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SECURITIES AND EXCHANGE COMMISSION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8-K</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Report (Date of earliest event reported): February 6, 2024</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32"/>
        </w:rPr>
        <w:t>RECURSION PHARMACEUTICALS, INC.</w:t>
      </w:r>
      <w:r>
        <w:rPr>
          <w:color w:val="000000"/>
        </w:rPr>
        <w:t xml:space="preserve"> </w:t>
      </w:r>
    </w:p>
    <w:p>
      <w:pPr>
        <w:pStyle w:val="TextBody"/>
        <w:bidi w:val="0"/>
        <w:spacing w:lineRule="auto" w:line="288" w:before="0" w:after="0"/>
        <w:jc w:val="center"/>
        <w:rPr/>
      </w:pPr>
      <w:r>
        <w:rPr>
          <w:rFonts w:ascii="Arial;sans-serif" w:hAnsi="Arial;sans-serif"/>
          <w:b/>
          <w:color w:val="000000"/>
          <w:sz w:val="18"/>
        </w:rPr>
        <w:t>(Exact name of registrant as specified in its charter)</w:t>
      </w:r>
      <w:r>
        <w:rPr>
          <w:color w:val="000000"/>
        </w:rPr>
        <w:t xml:space="preserve"> </w:t>
      </w:r>
    </w:p>
    <w:p>
      <w:pPr>
        <w:pStyle w:val="TextBody"/>
        <w:bidi w:val="0"/>
        <w:spacing w:before="0" w:after="0"/>
        <w:jc w:val="left"/>
        <w:rPr/>
      </w:pPr>
      <w:r>
        <w:rPr/>
      </w:r>
    </w:p>
    <w:tbl>
      <w:tblPr>
        <w:tblW w:w="9877" w:type="dxa"/>
        <w:jc w:val="left"/>
        <w:tblInd w:w="0" w:type="dxa"/>
        <w:tblLayout w:type="fixed"/>
        <w:tblCellMar>
          <w:top w:w="28" w:type="dxa"/>
          <w:left w:w="28" w:type="dxa"/>
          <w:bottom w:w="28" w:type="dxa"/>
          <w:right w:w="28" w:type="dxa"/>
        </w:tblCellMar>
      </w:tblPr>
      <w:tblGrid>
        <w:gridCol w:w="1374"/>
        <w:gridCol w:w="1208"/>
        <w:gridCol w:w="1212"/>
        <w:gridCol w:w="109"/>
        <w:gridCol w:w="109"/>
        <w:gridCol w:w="109"/>
        <w:gridCol w:w="792"/>
        <w:gridCol w:w="792"/>
        <w:gridCol w:w="800"/>
        <w:gridCol w:w="109"/>
        <w:gridCol w:w="109"/>
        <w:gridCol w:w="109"/>
        <w:gridCol w:w="891"/>
        <w:gridCol w:w="891"/>
        <w:gridCol w:w="1263"/>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rFonts w:ascii="Arial;sans-serif" w:hAnsi="Arial;sans-serif"/>
                <w:b/>
                <w:color w:val="000000"/>
                <w:sz w:val="20"/>
              </w:rPr>
            </w:pPr>
            <w:r>
              <w:rPr>
                <w:rFonts w:ascii="Arial;sans-serif" w:hAnsi="Arial;sans-serif"/>
                <w:b/>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001-40323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color w:val="000000"/>
              </w:rPr>
            </w:pPr>
            <w:r>
              <w:rPr>
                <w:color w:val="000000"/>
              </w:rPr>
              <w:t> </w:t>
            </w:r>
            <w:r>
              <w:rPr>
                <w:rFonts w:ascii="Arial;sans-serif" w:hAnsi="Arial;sans-serif"/>
                <w:b/>
                <w:color w:val="000000"/>
                <w:sz w:val="20"/>
              </w:rPr>
              <w:t>46-4099738</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41 S Rio Grande Street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Salt Lake City, UT 84101</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(385) 269 - 0203</w:t>
      </w:r>
    </w:p>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47"/>
        <w:gridCol w:w="1424"/>
        <w:gridCol w:w="1439"/>
        <w:gridCol w:w="571"/>
        <w:gridCol w:w="571"/>
        <w:gridCol w:w="573"/>
        <w:gridCol w:w="1162"/>
        <w:gridCol w:w="1162"/>
        <w:gridCol w:w="1656"/>
      </w:tblGrid>
      <w:tr>
        <w:trPr/>
        <w:tc>
          <w:tcPr>
            <w:tcW w:w="164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3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5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Class A Common Stock, par value $0.00001 per share</w:t>
            </w:r>
          </w:p>
        </w:tc>
        <w:tc>
          <w:tcPr>
            <w:tcW w:w="17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RXRX</w:t>
            </w:r>
          </w:p>
        </w:tc>
        <w:tc>
          <w:tcPr>
            <w:tcW w:w="39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Nasdaq Global Select Market </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or (§230.405 of this chapter) or Rule 12b-2 of the Securities Exchange Act of 1934 (§240.12b-2 of this chapter).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144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On February 6, 2024, in connection with consolidation of executive officer’s time at Headquarters, Dr. Shafique Virani, the Chief Business Officer of Recursion Pharmaceuticals, Inc. (the “Company” or “Recursion”) transitioned into a new role as a Senior Strategic Advisor. In this role Dr. Virani will provide strategic and operational support for Recursion’s business development efforts and will continue to help drive Recursion’s mission. Dr. Virani has played a pivotal role in numerous corporate development transactions during his tenure at Recursion and is uniquely positioned to help facilitate a seamless transition.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Also on February 6, 2024, Matthew Kinn, Senior Vice President, Business Development and Corporate Initiatives joined Recursion’s executive team and assumed all responsibilities previously held by Dr. Virani. Since joining Recursion in 2017, Mr. Kinn has led numerous critical corporate development transactions spanning asset licensing, research and development collaborations with large pharma partners and technology focused partnerships. Prior to Recursion, Matt was a Principal at the Boston Consulting Group's San Francisco office in both the Technology and Healthcare practice areas.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To facilitate the transition, Dr. Virani and Recursion entered into a transition agreement and an advisory agreement (collectively, the “Agreements”), under which Dr. Virani will receive the following payments and benefits in exchange for his release of claims contained in the transition agreement:</w:t>
      </w:r>
    </w:p>
    <w:p>
      <w:pPr>
        <w:pStyle w:val="TextBody"/>
        <w:bidi w:val="0"/>
        <w:spacing w:before="0" w:after="0"/>
        <w:jc w:val="left"/>
        <w:rPr/>
      </w:pPr>
      <w:r>
        <w:rPr/>
      </w:r>
    </w:p>
    <w:p>
      <w:pPr>
        <w:pStyle w:val="TextBody"/>
        <w:bidi w:val="0"/>
        <w:spacing w:lineRule="auto" w:line="266" w:before="0" w:after="120"/>
        <w:ind w:left="0" w:right="0" w:hanging="360"/>
        <w:jc w:val="left"/>
        <w:rPr/>
      </w:pPr>
      <w:r>
        <w:rPr>
          <w:color w:val="000000"/>
        </w:rPr>
        <w:t>•</w:t>
      </w:r>
      <w:r>
        <w:rPr>
          <w:rFonts w:ascii="Arial;sans-serif" w:hAnsi="Arial;sans-serif"/>
          <w:b w:val="false"/>
          <w:color w:val="000000"/>
          <w:sz w:val="20"/>
        </w:rPr>
        <w:t xml:space="preserve">cash advisory fees for </w:t>
      </w:r>
      <w:r>
        <w:rPr>
          <w:rFonts w:ascii="Arial;sans-serif" w:hAnsi="Arial;sans-serif"/>
          <w:b w:val="false"/>
          <w:color w:val="000000"/>
          <w:sz w:val="20"/>
          <w:shd w:fill="FFFFFF" w:val="clear"/>
        </w:rPr>
        <w:t xml:space="preserve">his services as a Senior Strategic Advisor under the advisory agreement at a rate </w:t>
      </w:r>
      <w:r>
        <w:rPr>
          <w:rFonts w:ascii="Arial;sans-serif" w:hAnsi="Arial;sans-serif"/>
          <w:b w:val="false"/>
          <w:color w:val="000000"/>
          <w:sz w:val="20"/>
        </w:rPr>
        <w:t>of $1,000 per hour (but with the amount of such fees being at least $25,000 for each month from February through July and at least $15,000 for each month from August through December);</w:t>
      </w:r>
    </w:p>
    <w:p>
      <w:pPr>
        <w:pStyle w:val="TextBody"/>
        <w:bidi w:val="0"/>
        <w:spacing w:lineRule="auto" w:line="266" w:before="0" w:after="120"/>
        <w:ind w:left="0" w:right="0" w:hanging="360"/>
        <w:jc w:val="left"/>
        <w:rPr/>
      </w:pPr>
      <w:r>
        <w:rPr>
          <w:color w:val="000000"/>
        </w:rPr>
        <w:t>•</w:t>
      </w:r>
      <w:r>
        <w:rPr>
          <w:rFonts w:ascii="Arial;sans-serif" w:hAnsi="Arial;sans-serif"/>
          <w:b w:val="false"/>
          <w:color w:val="000000"/>
          <w:sz w:val="20"/>
        </w:rPr>
        <w:t xml:space="preserve">continued vesting of his </w:t>
      </w:r>
      <w:r>
        <w:rPr>
          <w:rFonts w:ascii="Arial;sans-serif" w:hAnsi="Arial;sans-serif"/>
          <w:b w:val="false"/>
          <w:color w:val="000000"/>
          <w:sz w:val="20"/>
          <w:shd w:fill="FFFFFF" w:val="clear"/>
        </w:rPr>
        <w:t xml:space="preserve">Recursion </w:t>
      </w:r>
      <w:r>
        <w:rPr>
          <w:rFonts w:ascii="Arial;sans-serif" w:hAnsi="Arial;sans-serif"/>
          <w:b w:val="false"/>
          <w:color w:val="000000"/>
          <w:sz w:val="20"/>
        </w:rPr>
        <w:t xml:space="preserve">equity awards in accordance with their terms while he provides services under the advisory agreement; </w:t>
      </w:r>
    </w:p>
    <w:p>
      <w:pPr>
        <w:pStyle w:val="TextBody"/>
        <w:bidi w:val="0"/>
        <w:spacing w:lineRule="auto" w:line="266" w:before="0" w:after="120"/>
        <w:ind w:left="0" w:right="0" w:hanging="360"/>
        <w:jc w:val="left"/>
        <w:rPr/>
      </w:pPr>
      <w:r>
        <w:rPr>
          <w:color w:val="000000"/>
        </w:rPr>
        <w:t>•</w:t>
      </w:r>
      <w:r>
        <w:rPr>
          <w:rFonts w:ascii="Arial;sans-serif" w:hAnsi="Arial;sans-serif"/>
          <w:b w:val="false"/>
          <w:color w:val="000000"/>
          <w:sz w:val="20"/>
          <w:shd w:fill="FFFFFF" w:val="clear"/>
        </w:rPr>
        <w:t xml:space="preserve">Recursion’s </w:t>
      </w:r>
      <w:r>
        <w:rPr>
          <w:rFonts w:ascii="Arial;sans-serif" w:hAnsi="Arial;sans-serif"/>
          <w:b w:val="false"/>
          <w:color w:val="000000"/>
          <w:sz w:val="20"/>
        </w:rPr>
        <w:t xml:space="preserve">payment of the premiums for COBRA continuation coverage under </w:t>
      </w:r>
      <w:r>
        <w:rPr>
          <w:rFonts w:ascii="Arial;sans-serif" w:hAnsi="Arial;sans-serif"/>
          <w:b w:val="false"/>
          <w:color w:val="000000"/>
          <w:sz w:val="20"/>
          <w:shd w:fill="FFFFFF" w:val="clear"/>
        </w:rPr>
        <w:t xml:space="preserve">Recursion’s </w:t>
      </w:r>
      <w:r>
        <w:rPr>
          <w:rFonts w:ascii="Arial;sans-serif" w:hAnsi="Arial;sans-serif"/>
          <w:b w:val="false"/>
          <w:color w:val="000000"/>
          <w:sz w:val="20"/>
        </w:rPr>
        <w:t xml:space="preserve">group health plans for </w:t>
      </w:r>
      <w:r>
        <w:rPr>
          <w:rFonts w:ascii="Arial;sans-serif" w:hAnsi="Arial;sans-serif"/>
          <w:b w:val="false"/>
          <w:color w:val="000000"/>
          <w:sz w:val="20"/>
          <w:shd w:fill="FFFFFF" w:val="clear"/>
        </w:rPr>
        <w:t xml:space="preserve">him </w:t>
      </w:r>
      <w:r>
        <w:rPr>
          <w:rFonts w:ascii="Arial;sans-serif" w:hAnsi="Arial;sans-serif"/>
          <w:b w:val="false"/>
          <w:color w:val="000000"/>
          <w:sz w:val="20"/>
        </w:rPr>
        <w:t xml:space="preserve">and his eligible dependents while he provides services under the advisory agreement; </w:t>
      </w:r>
    </w:p>
    <w:p>
      <w:pPr>
        <w:pStyle w:val="TextBody"/>
        <w:bidi w:val="0"/>
        <w:spacing w:lineRule="auto" w:line="266" w:before="0" w:after="120"/>
        <w:ind w:left="0" w:right="0" w:hanging="360"/>
        <w:jc w:val="left"/>
        <w:rPr/>
      </w:pPr>
      <w:r>
        <w:rPr>
          <w:color w:val="000000"/>
        </w:rPr>
        <w:t>•</w:t>
      </w:r>
      <w:r>
        <w:rPr>
          <w:rFonts w:ascii="Arial;sans-serif" w:hAnsi="Arial;sans-serif"/>
          <w:b w:val="false"/>
          <w:color w:val="000000"/>
          <w:sz w:val="20"/>
        </w:rPr>
        <w:t>in addition to the release of claims contained in the executed transition agreement and subject to his execution of a supplemental release of claims after he ceases providing services under the advisory agreement, a cash payment of $2,500; and</w:t>
      </w:r>
    </w:p>
    <w:p>
      <w:pPr>
        <w:pStyle w:val="TextBody"/>
        <w:bidi w:val="0"/>
        <w:spacing w:lineRule="auto" w:line="266" w:before="0" w:after="120"/>
        <w:ind w:left="0" w:right="0" w:hanging="360"/>
        <w:jc w:val="left"/>
        <w:rPr/>
      </w:pPr>
      <w:r>
        <w:rPr>
          <w:color w:val="000000"/>
        </w:rPr>
        <w:t>•</w:t>
      </w:r>
      <w:r>
        <w:rPr>
          <w:rFonts w:ascii="Arial;sans-serif" w:hAnsi="Arial;sans-serif"/>
          <w:b w:val="false"/>
          <w:color w:val="000000"/>
          <w:sz w:val="20"/>
        </w:rPr>
        <w:t>if the Company terminates the agreement prior to August 1, 2024, Dr. Virani will be entitled to receive a lump sum cash payment based on the month in which the agreement is terminated, beginning with a $390,000 payment if terminated in February 2024, and decreasing by $65,000 per month thereafter.</w:t>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foregoing description of the terms of the Agreements is not complete and is qualified in its entirety by reference to the full text of such agreements. The Company intends to file the Agreements as exhibits to the periodic report covering the period during which the Agreements were executed.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 on February 7,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355" w:type="dxa"/>
        <w:jc w:val="left"/>
        <w:tblInd w:w="0" w:type="dxa"/>
        <w:tblLayout w:type="fixed"/>
        <w:tblCellMar>
          <w:top w:w="28" w:type="dxa"/>
          <w:left w:w="28" w:type="dxa"/>
          <w:bottom w:w="28" w:type="dxa"/>
          <w:right w:w="28" w:type="dxa"/>
        </w:tblCellMar>
      </w:tblPr>
      <w:tblGrid>
        <w:gridCol w:w="124"/>
        <w:gridCol w:w="109"/>
        <w:gridCol w:w="109"/>
        <w:gridCol w:w="593"/>
        <w:gridCol w:w="593"/>
        <w:gridCol w:w="593"/>
        <w:gridCol w:w="652"/>
        <w:gridCol w:w="652"/>
        <w:gridCol w:w="9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RECURSION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Christopher Gibson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Christopher Gibson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Chief Executive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827</Words>
  <Characters>4646</Characters>
  <CharactersWithSpaces>5442</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