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March 31, 2025</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560"/>
        <w:spacing w:after="0" w:line="251" w:lineRule="auto"/>
        <w:rPr>
          <w:sz w:val="20"/>
          <w:szCs w:val="20"/>
          <w:color w:val="auto"/>
        </w:rPr>
      </w:pPr>
      <w:r>
        <w:rPr>
          <w:rFonts w:ascii="Arial" w:cs="Arial" w:eastAsia="Arial" w:hAnsi="Arial"/>
          <w:sz w:val="16"/>
          <w:szCs w:val="16"/>
          <w:color w:val="auto"/>
        </w:rPr>
        <w:t>As of April 30, 2025, there were 399,656,573 and 6,838,575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24</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33</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38</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22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use our combined assets from our recent business combination to create a fully integrated, technology-first drug discovery platform;</w:t>
      </w:r>
    </w:p>
    <w:p>
      <w:pPr>
        <w:spacing w:after="0" w:line="7" w:lineRule="exact"/>
        <w:rPr>
          <w:rFonts w:ascii="Arial" w:cs="Arial" w:eastAsia="Arial" w:hAnsi="Arial"/>
          <w:sz w:val="17"/>
          <w:szCs w:val="17"/>
          <w:color w:val="auto"/>
        </w:rPr>
      </w:pPr>
    </w:p>
    <w:p>
      <w:pPr>
        <w:ind w:left="340" w:right="46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likelihood of our ability to shift our wet-lab from a source of data generation to a model for validating data from AI-generated results;</w:t>
      </w:r>
    </w:p>
    <w:p>
      <w:pPr>
        <w:spacing w:after="0" w:line="1" w:lineRule="exact"/>
        <w:rPr>
          <w:rFonts w:ascii="Arial" w:cs="Arial" w:eastAsia="Arial" w:hAnsi="Arial"/>
          <w:sz w:val="17"/>
          <w:szCs w:val="17"/>
          <w:color w:val="auto"/>
        </w:rPr>
      </w:pPr>
    </w:p>
    <w:p>
      <w:pPr>
        <w:ind w:left="340" w:right="48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7" w:lineRule="exact"/>
        <w:rPr>
          <w:rFonts w:ascii="Arial" w:cs="Arial" w:eastAsia="Arial" w:hAnsi="Arial"/>
          <w:sz w:val="17"/>
          <w:szCs w:val="17"/>
          <w:color w:val="auto"/>
        </w:rPr>
      </w:pPr>
    </w:p>
    <w:p>
      <w:pPr>
        <w:ind w:left="340" w:right="40" w:hanging="251"/>
        <w:spacing w:after="0" w:line="251"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TechBio companies, including the expected impact of AI-enabled technologies;</w:t>
      </w:r>
    </w:p>
    <w:p>
      <w:pPr>
        <w:spacing w:after="0" w:line="7" w:lineRule="exact"/>
        <w:rPr>
          <w:rFonts w:ascii="Arial" w:cs="Arial" w:eastAsia="Arial" w:hAnsi="Arial"/>
          <w:sz w:val="17"/>
          <w:szCs w:val="17"/>
          <w:color w:val="auto"/>
        </w:rPr>
      </w:pPr>
    </w:p>
    <w:p>
      <w:pPr>
        <w:ind w:left="340" w:right="58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w:t>
      </w:r>
    </w:p>
    <w:p>
      <w:pPr>
        <w:spacing w:after="0" w:line="1" w:lineRule="exact"/>
        <w:rPr>
          <w:rFonts w:ascii="Arial" w:cs="Arial" w:eastAsia="Arial" w:hAnsi="Arial"/>
          <w:sz w:val="17"/>
          <w:szCs w:val="17"/>
          <w:color w:val="auto"/>
        </w:rPr>
      </w:pPr>
    </w:p>
    <w:p>
      <w:pPr>
        <w:ind w:left="340" w:right="22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7" w:lineRule="exact"/>
        <w:rPr>
          <w:rFonts w:ascii="Arial" w:cs="Arial" w:eastAsia="Arial" w:hAnsi="Arial"/>
          <w:sz w:val="17"/>
          <w:szCs w:val="17"/>
          <w:color w:val="auto"/>
        </w:rPr>
      </w:pPr>
    </w:p>
    <w:p>
      <w:pPr>
        <w:ind w:left="340" w:right="6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spacing w:after="0" w:line="1" w:lineRule="exact"/>
        <w:rPr>
          <w:rFonts w:ascii="Arial" w:cs="Arial" w:eastAsia="Arial" w:hAnsi="Arial"/>
          <w:sz w:val="17"/>
          <w:szCs w:val="17"/>
          <w:color w:val="auto"/>
        </w:rPr>
      </w:pPr>
    </w:p>
    <w:p>
      <w:pPr>
        <w:ind w:left="340" w:right="24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use machine learning and artificial intelligence in our drug development process;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our collaborations and partnerships to develop our products and grow our business;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BioHive-2 supercomputer, Recursion OS, and our digital chemistry platform;</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sell or license assets and re-invest proceeds into funding our long-term strategy;</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and to add more programs to our pipeline each year;</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generate datasets to train and develop our AI-enabled technologies;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7" w:lineRule="exact"/>
        <w:rPr>
          <w:rFonts w:ascii="Arial" w:cs="Arial" w:eastAsia="Arial" w:hAnsi="Arial"/>
          <w:sz w:val="17"/>
          <w:szCs w:val="17"/>
          <w:color w:val="auto"/>
        </w:rPr>
      </w:pPr>
    </w:p>
    <w:p>
      <w:pPr>
        <w:ind w:left="340" w:right="42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1" w:lineRule="exact"/>
        <w:rPr>
          <w:rFonts w:ascii="Arial" w:cs="Arial" w:eastAsia="Arial" w:hAnsi="Arial"/>
          <w:sz w:val="17"/>
          <w:szCs w:val="17"/>
          <w:color w:val="auto"/>
        </w:rPr>
      </w:pPr>
    </w:p>
    <w:p>
      <w:pPr>
        <w:ind w:left="340" w:right="200" w:hanging="251"/>
        <w:spacing w:after="0" w:line="252"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 including with respect to our AI-enabled technologies;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2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7" w:lineRule="exact"/>
        <w:rPr>
          <w:rFonts w:ascii="Arial" w:cs="Arial" w:eastAsia="Arial" w:hAnsi="Arial"/>
          <w:sz w:val="17"/>
          <w:szCs w:val="17"/>
          <w:color w:val="auto"/>
        </w:rPr>
      </w:pPr>
    </w:p>
    <w:p>
      <w:pPr>
        <w:ind w:left="34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 including with respect to AI;</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7" w:lineRule="exact"/>
        <w:rPr>
          <w:rFonts w:ascii="Arial" w:cs="Arial" w:eastAsia="Arial" w:hAnsi="Arial"/>
          <w:sz w:val="17"/>
          <w:szCs w:val="17"/>
          <w:color w:val="auto"/>
        </w:rPr>
      </w:pPr>
    </w:p>
    <w:p>
      <w:pPr>
        <w:ind w:left="340" w:right="460" w:hanging="251"/>
        <w:spacing w:after="0" w:line="251"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achieve net-zero greenhouse gas emissions across our operations;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7" w:lineRule="exact"/>
        <w:rPr>
          <w:rFonts w:ascii="Arial" w:cs="Arial" w:eastAsia="Arial" w:hAnsi="Arial"/>
          <w:sz w:val="17"/>
          <w:szCs w:val="17"/>
          <w:color w:val="auto"/>
        </w:rPr>
      </w:pPr>
    </w:p>
    <w:p>
      <w:pPr>
        <w:ind w:left="340" w:right="4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spacing w:after="0" w:line="1" w:lineRule="exact"/>
        <w:rPr>
          <w:rFonts w:ascii="Arial" w:cs="Arial" w:eastAsia="Arial" w:hAnsi="Arial"/>
          <w:sz w:val="17"/>
          <w:szCs w:val="17"/>
          <w:color w:val="auto"/>
        </w:rPr>
      </w:pPr>
    </w:p>
    <w:p>
      <w:pPr>
        <w:ind w:left="340" w:right="140" w:hanging="251"/>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7" w:lineRule="exact"/>
        <w:rPr>
          <w:rFonts w:ascii="Arial" w:cs="Arial" w:eastAsia="Arial" w:hAnsi="Arial"/>
          <w:sz w:val="17"/>
          <w:szCs w:val="17"/>
          <w:color w:val="auto"/>
        </w:rPr>
      </w:pPr>
    </w:p>
    <w:p>
      <w:pPr>
        <w:ind w:left="340" w:right="320" w:hanging="251"/>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7" w:lineRule="exact"/>
        <w:rPr>
          <w:rFonts w:ascii="Arial" w:cs="Arial" w:eastAsia="Arial" w:hAnsi="Arial"/>
          <w:sz w:val="17"/>
          <w:szCs w:val="17"/>
          <w:color w:val="auto"/>
        </w:rPr>
      </w:pPr>
    </w:p>
    <w:p>
      <w:pPr>
        <w:ind w:left="340" w:right="80" w:hanging="251"/>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 and disclosure controls and procedures, including our ability to remediate the material weakness in internal control over financial reporting;</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public offerings; and</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23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594,350</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3,045</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49,166</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Prepaid data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29,601</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32,023</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584,145</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714,269</w:t>
            </w:r>
          </w:p>
        </w:tc>
      </w:tr>
      <w:tr>
        <w:trPr>
          <w:trHeight w:val="108"/>
        </w:trPr>
        <w:tc>
          <w:tcPr>
            <w:tcW w:w="7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5,629</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5,629</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141,063</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53,186</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65,877</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lease right-of-use 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24,757</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26,273</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335,790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335,855</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158,112</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148,873</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1,934</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14,778</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1,305,234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25,086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21,613</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39,651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61,767</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11,853</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13,795</w:t>
            </w: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Notes payable and financing lease liabilities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8,587</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8,425</w:t>
            </w: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141,981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187,472</w:t>
            </w:r>
          </w:p>
        </w:tc>
      </w:tr>
      <w:tr>
        <w:trPr>
          <w:trHeight w:val="108"/>
        </w:trPr>
        <w:tc>
          <w:tcPr>
            <w:tcW w:w="7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revenue, non-current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129,609</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118,765</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56,024</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67,250</w:t>
            </w: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payable and financing lease liabilities, non-current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16,446</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19,022</w:t>
            </w: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liabilities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22,437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16,575</w:t>
            </w: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4,790</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371,287</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413,816</w:t>
            </w:r>
          </w:p>
        </w:tc>
      </w:tr>
      <w:tr>
        <w:trPr>
          <w:trHeight w:val="108"/>
        </w:trPr>
        <w:tc>
          <w:tcPr>
            <w:tcW w:w="79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bl>
    <w:p>
      <w:pPr>
        <w:ind w:left="200"/>
        <w:spacing w:after="0"/>
        <w:rPr>
          <w:sz w:val="20"/>
          <w:szCs w:val="20"/>
          <w:color w:val="auto"/>
        </w:rPr>
      </w:pPr>
      <w:r>
        <w:rPr>
          <w:rFonts w:ascii="Arial" w:cs="Arial" w:eastAsia="Arial" w:hAnsi="Arial"/>
          <w:sz w:val="16"/>
          <w:szCs w:val="16"/>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wp:posOffset>
            </wp:positionV>
            <wp:extent cx="7046595"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8580"/>
                    </a:xfrm>
                    <a:prstGeom prst="rect">
                      <a:avLst/>
                    </a:prstGeom>
                    <a:noFill/>
                  </pic:spPr>
                </pic:pic>
              </a:graphicData>
            </a:graphic>
          </wp:anchor>
        </w:drawing>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685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46595" cy="685800"/>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stock, $0.00001 par value; 2,000,000,000 shares (Class A 1,989,032,117 and Class B 10,967,883)</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authorized as of March 31, 2025 and December 31, 2024; 406,410,733 shares (Class A 399,150,820,</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900" w:type="dxa"/>
            <w:vAlign w:val="bottom"/>
          </w:tcPr>
          <w:p>
            <w:pPr>
              <w:ind w:left="340"/>
              <w:spacing w:after="0"/>
              <w:rPr>
                <w:sz w:val="20"/>
                <w:szCs w:val="20"/>
                <w:color w:val="auto"/>
              </w:rPr>
            </w:pPr>
            <w:r>
              <w:rPr>
                <w:rFonts w:ascii="Arial" w:cs="Arial" w:eastAsia="Arial" w:hAnsi="Arial"/>
                <w:sz w:val="16"/>
                <w:szCs w:val="16"/>
                <w:color w:val="auto"/>
              </w:rPr>
              <w:t>Class B 6,838,575 and Exchangeable 421,338) and 396,802,394 shares (Class A 389,547,223, Class B</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00" w:type="dxa"/>
            <w:vAlign w:val="bottom"/>
          </w:tcPr>
          <w:p>
            <w:pPr>
              <w:ind w:left="340"/>
              <w:spacing w:after="0"/>
              <w:rPr>
                <w:sz w:val="20"/>
                <w:szCs w:val="20"/>
                <w:color w:val="auto"/>
              </w:rPr>
            </w:pPr>
            <w:r>
              <w:rPr>
                <w:rFonts w:ascii="Arial" w:cs="Arial" w:eastAsia="Arial" w:hAnsi="Arial"/>
                <w:sz w:val="16"/>
                <w:szCs w:val="16"/>
                <w:color w:val="auto"/>
              </w:rPr>
              <w:t>6,958,575 and Exchangeable 296,596) issued and outstanding as of March 31, 2025 and December 31,</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2024, respectively</w:t>
            </w:r>
          </w:p>
        </w:tc>
        <w:tc>
          <w:tcPr>
            <w:tcW w:w="5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68"/>
        </w:trPr>
        <w:tc>
          <w:tcPr>
            <w:tcW w:w="7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90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2,553,492</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2,473,698</w:t>
            </w: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(1,633,694)</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0" w:type="dxa"/>
            <w:vAlign w:val="bottom"/>
          </w:tcPr>
          <w:p>
            <w:pPr>
              <w:spacing w:after="0"/>
              <w:rPr>
                <w:sz w:val="1"/>
                <w:szCs w:val="1"/>
                <w:color w:val="auto"/>
              </w:rPr>
            </w:pPr>
          </w:p>
        </w:tc>
      </w:tr>
      <w:tr>
        <w:trPr>
          <w:trHeight w:val="215"/>
        </w:trPr>
        <w:tc>
          <w:tcPr>
            <w:tcW w:w="79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14,145</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933,947</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108"/>
        </w:trPr>
        <w:tc>
          <w:tcPr>
            <w:tcW w:w="79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79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5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1,305,234</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1,448,598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1E1E1E"/>
        </w:rPr>
        <w:t>(</w:t>
      </w:r>
      <w:r>
        <w:rPr>
          <w:rFonts w:ascii="Arial" w:cs="Arial" w:eastAsia="Arial" w:hAnsi="Arial"/>
          <w:sz w:val="18"/>
          <w:szCs w:val="18"/>
          <w:b w:val="1"/>
          <w:bCs w:val="1"/>
          <w:color w:val="000000"/>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76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w:t>
            </w:r>
          </w:p>
        </w:tc>
      </w:tr>
      <w:tr>
        <w:trPr>
          <w:trHeight w:val="230"/>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57"/>
        </w:trPr>
        <w:tc>
          <w:tcPr>
            <w:tcW w:w="7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21,829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11,166</w:t>
            </w: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129,634</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67,560</w:t>
            </w:r>
          </w:p>
        </w:tc>
      </w:tr>
      <w:tr>
        <w:trPr>
          <w:trHeight w:val="230"/>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110,134</w:t>
            </w:r>
          </w:p>
        </w:tc>
      </w:tr>
      <w:tr>
        <w:trPr>
          <w:trHeight w:val="257"/>
        </w:trPr>
        <w:tc>
          <w:tcPr>
            <w:tcW w:w="76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(96,340)</w:t>
            </w:r>
          </w:p>
        </w:tc>
      </w:tr>
      <w:tr>
        <w:trPr>
          <w:trHeight w:val="229"/>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(loss), net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(202,645)</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(92,152)</w:t>
            </w:r>
          </w:p>
        </w:tc>
      </w:tr>
      <w:tr>
        <w:trPr>
          <w:trHeight w:val="229"/>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48"/>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(202,487)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(91,373)</w:t>
            </w:r>
          </w:p>
        </w:tc>
      </w:tr>
      <w:tr>
        <w:trPr>
          <w:trHeight w:val="20"/>
        </w:trPr>
        <w:tc>
          <w:tcPr>
            <w:tcW w:w="7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loss per share of Class A, B and Exchangeable common stock, basic and diluted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(Class A, B and Exchangeable) outstanding, basic and diluted</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402,771,972</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236,019,349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w:t>
      </w:r>
    </w:p>
    <w:p>
      <w:pPr>
        <w:spacing w:after="0" w:line="6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March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81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20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(202,487)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(91,373)</w:t>
            </w:r>
          </w:p>
        </w:tc>
      </w:tr>
      <w:tr>
        <w:trPr>
          <w:trHeight w:val="270"/>
        </w:trPr>
        <w:tc>
          <w:tcPr>
            <w:tcW w:w="8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gain:</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3051F2"/>
              </w:rPr>
              <w:t>—</w:t>
            </w:r>
          </w:p>
        </w:tc>
      </w:tr>
      <w:tr>
        <w:trPr>
          <w:trHeight w:val="223"/>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21,782</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r>
      <w:tr>
        <w:trPr>
          <w:trHeight w:val="248"/>
        </w:trPr>
        <w:tc>
          <w:tcPr>
            <w:tcW w:w="8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(91,373)</w:t>
            </w:r>
          </w:p>
        </w:tc>
      </w:tr>
      <w:tr>
        <w:trPr>
          <w:trHeight w:val="20"/>
        </w:trPr>
        <w:tc>
          <w:tcPr>
            <w:tcW w:w="8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931" w:right="33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026"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320" w:type="dxa"/>
            <w:vAlign w:val="bottom"/>
          </w:tcPr>
          <w:p>
            <w:pPr>
              <w:spacing w:after="0"/>
              <w:rPr>
                <w:sz w:val="22"/>
                <w:szCs w:val="22"/>
                <w:color w:val="auto"/>
              </w:rPr>
            </w:pPr>
          </w:p>
        </w:tc>
        <w:tc>
          <w:tcPr>
            <w:tcW w:w="2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(Class A, B and Exchangeable)</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Accumulated</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 w:type="dxa"/>
            <w:vAlign w:val="bottom"/>
          </w:tcPr>
          <w:p>
            <w:pPr>
              <w:spacing w:after="0"/>
              <w:rPr>
                <w:sz w:val="22"/>
                <w:szCs w:val="22"/>
                <w:color w:val="auto"/>
              </w:rPr>
            </w:pPr>
          </w:p>
        </w:tc>
        <w:tc>
          <w:tcPr>
            <w:tcW w:w="120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320" w:type="dxa"/>
            <w:vAlign w:val="bottom"/>
          </w:tcPr>
          <w:p>
            <w:pPr>
              <w:spacing w:after="0"/>
              <w:rPr>
                <w:sz w:val="2"/>
                <w:szCs w:val="2"/>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396,802,394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(202,487)</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(202,487)</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21,782</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tcPr>
          <w:p>
            <w:pPr>
              <w:jc w:val="right"/>
              <w:spacing w:after="0"/>
              <w:rPr>
                <w:sz w:val="20"/>
                <w:szCs w:val="20"/>
                <w:color w:val="auto"/>
              </w:rPr>
            </w:pPr>
            <w:r>
              <w:rPr>
                <w:rFonts w:ascii="Arial" w:cs="Arial" w:eastAsia="Arial" w:hAnsi="Arial"/>
                <w:sz w:val="16"/>
                <w:szCs w:val="16"/>
                <w:color w:val="auto"/>
              </w:rPr>
              <w:t>4,108,659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2,712</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36,058</w:t>
            </w:r>
          </w:p>
        </w:tc>
        <w:tc>
          <w:tcPr>
            <w:tcW w:w="0" w:type="dxa"/>
            <w:vAlign w:val="bottom"/>
          </w:tcPr>
          <w:p>
            <w:pPr>
              <w:spacing w:after="0"/>
              <w:rPr>
                <w:sz w:val="1"/>
                <w:szCs w:val="1"/>
                <w:color w:val="auto"/>
              </w:rPr>
            </w:pPr>
          </w:p>
        </w:tc>
      </w:tr>
      <w:tr>
        <w:trPr>
          <w:trHeight w:val="162"/>
        </w:trPr>
        <w:tc>
          <w:tcPr>
            <w:tcW w:w="33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5,499,680</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41,024</w:t>
            </w:r>
          </w:p>
        </w:tc>
        <w:tc>
          <w:tcPr>
            <w:tcW w:w="160" w:type="dxa"/>
            <w:vAlign w:val="bottom"/>
          </w:tcPr>
          <w:p>
            <w:pPr>
              <w:spacing w:after="0"/>
              <w:rPr>
                <w:sz w:val="14"/>
                <w:szCs w:val="14"/>
                <w:color w:val="auto"/>
              </w:rPr>
            </w:pP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41,024</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issuance costs</w:t>
            </w:r>
          </w:p>
        </w:tc>
        <w:tc>
          <w:tcPr>
            <w:tcW w:w="1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406,410,733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2,553,492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(1,633,694)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933,947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20" w:type="dxa"/>
            <w:vAlign w:val="bottom"/>
          </w:tcPr>
          <w:p>
            <w:pPr>
              <w:spacing w:after="0"/>
              <w:rPr>
                <w:sz w:val="21"/>
                <w:szCs w:val="21"/>
                <w:color w:val="auto"/>
              </w:rPr>
            </w:pPr>
          </w:p>
        </w:tc>
        <w:tc>
          <w:tcPr>
            <w:tcW w:w="2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(Class A, B and Exchangeable)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6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rPr>
              <w:t>Accumulated other</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380" w:type="dxa"/>
            <w:vAlign w:val="bottom"/>
            <w:tcBorders>
              <w:bottom w:val="single" w:sz="8" w:color="auto"/>
            </w:tcBorders>
            <w:gridSpan w:val="3"/>
            <w:vMerge w:val="continue"/>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2"/>
                <w:szCs w:val="12"/>
                <w:color w:val="auto"/>
              </w:rPr>
            </w:pPr>
          </w:p>
        </w:tc>
        <w:tc>
          <w:tcPr>
            <w:tcW w:w="116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500" w:type="dxa"/>
            <w:vAlign w:val="bottom"/>
          </w:tcPr>
          <w:p>
            <w:pPr>
              <w:jc w:val="center"/>
              <w:ind w:right="241"/>
              <w:spacing w:after="0" w:line="125" w:lineRule="exact"/>
              <w:rPr>
                <w:sz w:val="20"/>
                <w:szCs w:val="20"/>
                <w:color w:val="auto"/>
              </w:rPr>
            </w:pPr>
            <w:r>
              <w:rPr>
                <w:rFonts w:ascii="Arial" w:cs="Arial" w:eastAsia="Arial" w:hAnsi="Arial"/>
                <w:sz w:val="14"/>
                <w:szCs w:val="14"/>
                <w:b w:val="1"/>
                <w:bCs w:val="1"/>
                <w:color w:val="auto"/>
              </w:rPr>
              <w:t>comprehensive</w:t>
            </w:r>
          </w:p>
        </w:tc>
        <w:tc>
          <w:tcPr>
            <w:tcW w:w="120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320" w:type="dxa"/>
            <w:vAlign w:val="bottom"/>
          </w:tcPr>
          <w:p>
            <w:pPr>
              <w:spacing w:after="0"/>
              <w:rPr>
                <w:sz w:val="2"/>
                <w:szCs w:val="2"/>
                <w:color w:val="auto"/>
              </w:rPr>
            </w:pPr>
          </w:p>
        </w:tc>
        <w:tc>
          <w:tcPr>
            <w:tcW w:w="128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2"/>
                <w:szCs w:val="2"/>
                <w:color w:val="auto"/>
              </w:rPr>
            </w:pPr>
          </w:p>
        </w:tc>
        <w:tc>
          <w:tcPr>
            <w:tcW w:w="9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5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rPr>
              <w:t>income (loss)</w:t>
            </w:r>
          </w:p>
        </w:tc>
        <w:tc>
          <w:tcPr>
            <w:tcW w:w="120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234,270,384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(91,373)</w:t>
            </w:r>
          </w:p>
        </w:tc>
        <w:tc>
          <w:tcPr>
            <w:tcW w:w="160" w:type="dxa"/>
            <w:vAlign w:val="bottom"/>
          </w:tcPr>
          <w:p>
            <w:pPr>
              <w:spacing w:after="0"/>
              <w:rPr>
                <w:sz w:val="18"/>
                <w:szCs w:val="18"/>
                <w:color w:val="auto"/>
              </w:rPr>
            </w:pPr>
          </w:p>
        </w:tc>
        <w:tc>
          <w:tcPr>
            <w:tcW w:w="1500" w:type="dxa"/>
            <w:vAlign w:val="bottom"/>
          </w:tcPr>
          <w:p>
            <w:pPr>
              <w:ind w:left="11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(91,373)</w:t>
            </w:r>
          </w:p>
        </w:tc>
        <w:tc>
          <w:tcPr>
            <w:tcW w:w="0" w:type="dxa"/>
            <w:vAlign w:val="bottom"/>
          </w:tcPr>
          <w:p>
            <w:pPr>
              <w:spacing w:after="0"/>
              <w:rPr>
                <w:sz w:val="1"/>
                <w:szCs w:val="1"/>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2,317,083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2,088</w:t>
            </w:r>
          </w:p>
        </w:tc>
        <w:tc>
          <w:tcPr>
            <w:tcW w:w="0" w:type="dxa"/>
            <w:vAlign w:val="bottom"/>
          </w:tcPr>
          <w:p>
            <w:pPr>
              <w:spacing w:after="0"/>
              <w:rPr>
                <w:sz w:val="1"/>
                <w:szCs w:val="1"/>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16,127</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00" w:type="dxa"/>
            <w:vAlign w:val="bottom"/>
          </w:tcPr>
          <w:p>
            <w:pPr>
              <w:ind w:left="11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16,127</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Common stock sales issuances, net of</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921,215</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10,873</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10,873</w:t>
            </w:r>
          </w:p>
        </w:tc>
        <w:tc>
          <w:tcPr>
            <w:tcW w:w="0" w:type="dxa"/>
            <w:vAlign w:val="bottom"/>
          </w:tcPr>
          <w:p>
            <w:pPr>
              <w:spacing w:after="0"/>
              <w:rPr>
                <w:sz w:val="1"/>
                <w:szCs w:val="1"/>
                <w:color w:val="auto"/>
              </w:rPr>
            </w:pPr>
          </w:p>
        </w:tc>
      </w:tr>
      <w:tr>
        <w:trPr>
          <w:trHeight w:val="215"/>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issuance costs</w:t>
            </w: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237,508,682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1,460,144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401,151</w:t>
            </w:r>
          </w:p>
        </w:tc>
        <w:tc>
          <w:tcPr>
            <w:tcW w:w="0" w:type="dxa"/>
            <w:vAlign w:val="bottom"/>
          </w:tcPr>
          <w:p>
            <w:pPr>
              <w:spacing w:after="0"/>
              <w:rPr>
                <w:sz w:val="1"/>
                <w:szCs w:val="1"/>
                <w:color w:val="auto"/>
              </w:rPr>
            </w:pP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12"/>
        </w:trPr>
        <w:tc>
          <w:tcPr>
            <w:tcW w:w="8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32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Recursion Pharmaceuticals, Inc.</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9"/>
              </w:rPr>
              <w:t>Condensed Consolidated Statements of Cash Flows (unaudited)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7"/>
        </w:trPr>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320" w:type="dxa"/>
            <w:vAlign w:val="bottom"/>
          </w:tcPr>
          <w:p>
            <w:pPr>
              <w:jc w:val="center"/>
              <w:ind w:left="2270"/>
              <w:spacing w:after="0"/>
              <w:rPr>
                <w:sz w:val="20"/>
                <w:szCs w:val="20"/>
                <w:color w:val="auto"/>
              </w:rPr>
            </w:pPr>
            <w:r>
              <w:rPr>
                <w:rFonts w:ascii="Arial" w:cs="Arial" w:eastAsia="Arial" w:hAnsi="Arial"/>
                <w:sz w:val="18"/>
                <w:szCs w:val="18"/>
                <w:b w:val="1"/>
                <w:bCs w:val="1"/>
                <w:color w:val="auto"/>
                <w:w w:val="99"/>
              </w:rPr>
              <w:t>(in thousands)</w:t>
            </w: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5"/>
        </w:trPr>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(91,373)</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36,058</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16,127</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Lease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6,130</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 business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4,405</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Other receivables and assets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data assets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Unearned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(9,762)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(13,655)</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Accrued development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599</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r>
      <w:tr>
        <w:trPr>
          <w:trHeight w:val="229"/>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Lease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w:t>
            </w:r>
          </w:p>
        </w:tc>
      </w:tr>
      <w:tr>
        <w:trPr>
          <w:trHeight w:val="223"/>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w:t>
            </w:r>
          </w:p>
        </w:tc>
      </w:tr>
      <w:tr>
        <w:trPr>
          <w:trHeight w:val="162"/>
        </w:trPr>
        <w:tc>
          <w:tcPr>
            <w:tcW w:w="80" w:type="dxa"/>
            <w:vAlign w:val="bottom"/>
          </w:tcPr>
          <w:p>
            <w:pPr>
              <w:spacing w:after="0"/>
              <w:rPr>
                <w:sz w:val="14"/>
                <w:szCs w:val="14"/>
                <w:color w:val="auto"/>
              </w:rPr>
            </w:pPr>
          </w:p>
        </w:tc>
        <w:tc>
          <w:tcPr>
            <w:tcW w:w="752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 cash related to disposal of a business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Purchases of investments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r>
      <w:tr>
        <w:trPr>
          <w:trHeight w:val="162"/>
        </w:trPr>
        <w:tc>
          <w:tcPr>
            <w:tcW w:w="80" w:type="dxa"/>
            <w:vAlign w:val="bottom"/>
          </w:tcPr>
          <w:p>
            <w:pPr>
              <w:spacing w:after="0"/>
              <w:rPr>
                <w:sz w:val="14"/>
                <w:szCs w:val="14"/>
                <w:color w:val="auto"/>
              </w:rPr>
            </w:pPr>
          </w:p>
        </w:tc>
        <w:tc>
          <w:tcPr>
            <w:tcW w:w="752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common shares, net of issuance costs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41,024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10,873</w:t>
            </w: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equity incentive plans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30"/>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Repayment of long-term debt and finance lease liabilities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r>
      <w:tr>
        <w:trPr>
          <w:trHeight w:val="162"/>
        </w:trPr>
        <w:tc>
          <w:tcPr>
            <w:tcW w:w="80" w:type="dxa"/>
            <w:vAlign w:val="bottom"/>
          </w:tcPr>
          <w:p>
            <w:pPr>
              <w:spacing w:after="0"/>
              <w:rPr>
                <w:sz w:val="14"/>
                <w:szCs w:val="14"/>
                <w:color w:val="auto"/>
              </w:rPr>
            </w:pPr>
          </w:p>
        </w:tc>
        <w:tc>
          <w:tcPr>
            <w:tcW w:w="752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162"/>
        </w:trPr>
        <w:tc>
          <w:tcPr>
            <w:tcW w:w="80" w:type="dxa"/>
            <w:vAlign w:val="bottom"/>
          </w:tcPr>
          <w:p>
            <w:pPr>
              <w:spacing w:after="0"/>
              <w:rPr>
                <w:sz w:val="14"/>
                <w:szCs w:val="14"/>
                <w:color w:val="auto"/>
              </w:rPr>
            </w:pPr>
          </w:p>
        </w:tc>
        <w:tc>
          <w:tcPr>
            <w:tcW w:w="7520" w:type="dxa"/>
            <w:vAlign w:val="bottom"/>
            <w:tcBorders>
              <w:bottom w:val="single" w:sz="8" w:color="auto"/>
            </w:tcBorders>
            <w:gridSpan w:val="2"/>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r>
        <w:trPr>
          <w:trHeight w:val="223"/>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(93,867)</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(95,275)</w:t>
            </w:r>
          </w:p>
        </w:tc>
      </w:tr>
      <w:tr>
        <w:trPr>
          <w:trHeight w:val="229"/>
        </w:trPr>
        <w:tc>
          <w:tcPr>
            <w:tcW w:w="80" w:type="dxa"/>
            <w:vAlign w:val="bottom"/>
          </w:tcPr>
          <w:p>
            <w:pPr>
              <w:spacing w:after="0"/>
              <w:rPr>
                <w:sz w:val="19"/>
                <w:szCs w:val="19"/>
                <w:color w:val="auto"/>
              </w:rPr>
            </w:pPr>
          </w:p>
        </w:tc>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603,024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401,425</w:t>
            </w:r>
          </w:p>
        </w:tc>
      </w:tr>
      <w:tr>
        <w:trPr>
          <w:trHeight w:val="248"/>
        </w:trPr>
        <w:tc>
          <w:tcPr>
            <w:tcW w:w="80" w:type="dxa"/>
            <w:vAlign w:val="bottom"/>
          </w:tcPr>
          <w:p>
            <w:pPr>
              <w:spacing w:after="0"/>
              <w:rPr>
                <w:sz w:val="21"/>
                <w:szCs w:val="21"/>
                <w:color w:val="auto"/>
              </w:rPr>
            </w:pPr>
          </w:p>
        </w:tc>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509,157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306,150</w:t>
            </w:r>
          </w:p>
        </w:tc>
      </w:tr>
      <w:tr>
        <w:trPr>
          <w:trHeight w:val="20"/>
        </w:trPr>
        <w:tc>
          <w:tcPr>
            <w:tcW w:w="80" w:type="dxa"/>
            <w:vAlign w:val="bottom"/>
          </w:tcPr>
          <w:p>
            <w:pPr>
              <w:spacing w:after="0" w:line="20" w:lineRule="exact"/>
              <w:rPr>
                <w:sz w:val="1"/>
                <w:szCs w:val="1"/>
                <w:color w:val="auto"/>
              </w:rPr>
            </w:pPr>
          </w:p>
        </w:tc>
        <w:tc>
          <w:tcPr>
            <w:tcW w:w="7520" w:type="dxa"/>
            <w:vAlign w:val="bottom"/>
            <w:tcBorders>
              <w:top w:val="single" w:sz="8" w:color="CCEEFF"/>
              <w:bottom w:val="single" w:sz="8" w:color="auto"/>
            </w:tcBorders>
            <w:gridSpan w:val="2"/>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Accrued property and equipment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equity investment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Recursion Pharmaceutical, Inc. (“Recursion” or the “Company”) is a clinical stage TechBio company decoding biology and chemistry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March 31, 2025, the Company had an accumulated deficit of $1.6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March 31, 2025,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2024.</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 Not Yet Adopted</w:t>
      </w:r>
    </w:p>
    <w:p>
      <w:pPr>
        <w:spacing w:after="0" w:line="250"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notes to the financial statements 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ending December 31, 2027 and for interim reporting periods within annual reporting periods beginning after December 15, 2027. Early adoption is permitted. The amendments can be applied on a prospective or retrospective basis. Recursion is currently assessing the impact of adopting this guidance on its consolidated financial statements.</w:t>
      </w:r>
    </w:p>
    <w:p>
      <w:pPr>
        <w:spacing w:after="0" w:line="2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December 2023, the FASB issued ASU No. 2023-9,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The amendments can be applied on a prospective or retrospective basis. Recursion is currently assessing the impact of adopting this guidance on its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xml:space="preserve">, Recursion entered into a </w:t>
      </w:r>
      <w:r>
        <w:rPr>
          <w:rFonts w:ascii="Arial" w:cs="Arial" w:eastAsia="Arial" w:hAnsi="Arial"/>
          <w:sz w:val="18"/>
          <w:szCs w:val="18"/>
          <w:color w:val="000000"/>
        </w:rPr>
        <w:t>five</w:t>
      </w:r>
      <w:r>
        <w:rPr>
          <w:rFonts w:ascii="Arial" w:cs="Arial" w:eastAsia="Arial" w:hAnsi="Arial"/>
          <w:sz w:val="18"/>
          <w:szCs w:val="18"/>
          <w:color w:val="1E1E1E"/>
        </w:rPr>
        <w:t xml:space="preserve">-year agreement </w:t>
      </w:r>
      <w:r>
        <w:rPr>
          <w:rFonts w:ascii="Arial" w:cs="Arial" w:eastAsia="Arial" w:hAnsi="Arial"/>
          <w:sz w:val="18"/>
          <w:szCs w:val="18"/>
          <w:color w:val="000000"/>
        </w:rPr>
        <w:t>(the Tempus Agreement)</w:t>
      </w:r>
      <w:r>
        <w:rPr>
          <w:rFonts w:ascii="Arial" w:cs="Arial" w:eastAsia="Arial" w:hAnsi="Arial"/>
          <w:sz w:val="18"/>
          <w:szCs w:val="18"/>
          <w:color w:val="1E1E1E"/>
        </w:rPr>
        <w:t xml:space="preserve"> with Tempus Labs, Inc. </w:t>
      </w:r>
      <w:r>
        <w:rPr>
          <w:rFonts w:ascii="Arial" w:cs="Arial" w:eastAsia="Arial" w:hAnsi="Arial"/>
          <w:sz w:val="18"/>
          <w:szCs w:val="18"/>
          <w:color w:val="000000"/>
        </w:rPr>
        <w:t>(“Tempus”) t</w:t>
      </w:r>
      <w:r>
        <w:rPr>
          <w:rFonts w:ascii="Arial" w:cs="Arial" w:eastAsia="Arial" w:hAnsi="Arial"/>
          <w:sz w:val="18"/>
          <w:szCs w:val="18"/>
          <w:color w:val="1E1E1E"/>
        </w:rPr>
        <w:t xml:space="preserve">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 w:cs="Arial" w:eastAsia="Arial" w:hAnsi="Arial"/>
          <w:sz w:val="18"/>
          <w:szCs w:val="18"/>
          <w:color w:val="000000"/>
        </w:rPr>
        <w:t>$22.0 million</w:t>
      </w:r>
      <w:r>
        <w:rPr>
          <w:rFonts w:ascii="Arial" w:cs="Arial" w:eastAsia="Arial" w:hAnsi="Arial"/>
          <w:sz w:val="18"/>
          <w:szCs w:val="18"/>
          <w:color w:val="1E1E1E"/>
        </w:rPr>
        <w:t xml:space="preserve"> and </w:t>
      </w:r>
      <w:r>
        <w:rPr>
          <w:rFonts w:ascii="Arial" w:cs="Arial" w:eastAsia="Arial" w:hAnsi="Arial"/>
          <w:sz w:val="18"/>
          <w:szCs w:val="18"/>
          <w:color w:val="000000"/>
        </w:rPr>
        <w:t>$42.0 million</w:t>
      </w:r>
      <w:r>
        <w:rPr>
          <w:rFonts w:ascii="Arial" w:cs="Arial" w:eastAsia="Arial" w:hAnsi="Arial"/>
          <w:sz w:val="18"/>
          <w:szCs w:val="18"/>
          <w:color w:val="1E1E1E"/>
        </w:rPr>
        <w:t xml:space="preserve">, up to </w:t>
      </w:r>
      <w:r>
        <w:rPr>
          <w:rFonts w:ascii="Arial" w:cs="Arial" w:eastAsia="Arial" w:hAnsi="Arial"/>
          <w:sz w:val="18"/>
          <w:szCs w:val="18"/>
          <w:color w:val="000000"/>
        </w:rPr>
        <w:t>$160.0 million</w:t>
      </w:r>
      <w:r>
        <w:rPr>
          <w:rFonts w:ascii="Arial" w:cs="Arial" w:eastAsia="Arial" w:hAnsi="Arial"/>
          <w:sz w:val="18"/>
          <w:szCs w:val="18"/>
          <w:color w:val="1E1E1E"/>
        </w:rPr>
        <w:t xml:space="preserve">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“Other Current Assets” or “Accrued Expenses and Other Liabilities” on the Condensed Consolidated Balance Sheet, respectively. The balance decreased from December 31, 2024 by $27.1 million due to records purchased by the Company. The purchase was recorded in “Research and Development” in the Condensed Consolidated Statement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7,669</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5,812</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received not invoiced</w:t>
            </w:r>
          </w:p>
        </w:tc>
        <w:tc>
          <w:tcPr>
            <w:tcW w:w="2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license fees</w:t>
            </w:r>
          </w:p>
        </w:tc>
        <w:tc>
          <w:tcPr>
            <w:tcW w:w="25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5,158</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81,872</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0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100" w:type="dxa"/>
            <w:vAlign w:val="bottom"/>
            <w:tcBorders>
              <w:bottom w:val="single" w:sz="8" w:color="auto"/>
            </w:tcBorders>
          </w:tcPr>
          <w:p>
            <w:pPr>
              <w:spacing w:after="0"/>
              <w:rPr>
                <w:sz w:val="21"/>
                <w:szCs w:val="21"/>
                <w:color w:val="auto"/>
              </w:rPr>
            </w:pPr>
          </w:p>
        </w:tc>
      </w:tr>
      <w:tr>
        <w:trPr>
          <w:trHeight w:val="223"/>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r>
      <w:tr>
        <w:trPr>
          <w:trHeight w:val="22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8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March 31, 2025 and 2024,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Exscientia plc</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2024, Recursion acquired all of the outstanding equity interests of Exscientia plc (“Exscientia”), a United Kingdom based public company that was registered on the Nasdaq Global Select Market. Exscientia is a drug design company utilizing its artificial intelligence platform to efficiently design and develop differentiated medicines for diseases with high unmet patient needs. Their focus is on utilizing their platform to develop best in class molecules with improvements to known or likely points of failure to improve the probability of developmental success. The Company believes the combination of the Recursion and Exscientia platforms and pipelines will position it to be a leader of the AI-enabled drug discovery and development space.</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acquisition of Exscientia was accounted for as a business combination using the acquisition method of accounting. The consideration transferred of approximately $630.1 million consisted of $616.9 million in Recursion Class A shares and $13.2 million related to the portion of Exscientia share based awards that were replaced with Recursion share based awards that is attributable to pre-combination service. Approximately 102.1 million Recursion Class A shares were issued in exchange for Exscientia ordinary shares using a fixed exchange ratio of one Exscientia ordinary share converts to 0.7729 Recursion Class A shares (the “Exchange Ratio”). In addition, Recursion replaced all outstanding Exscientia share based awards with Recursion share based awards wherein the vesting schedule and other applicable terms were carried over except for the exercise price of share options which were adjusted using the 0.7729 exchange ratio. This included Exscientia’s stock options and restricted stock units. Recursion used $6.04, the Company’s share price on November 20, 2024 to calculate the consideration transferred. See Note 10, “Stock-Based Compensation” for additional information on the Exscientia share based awards.</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three months ended March 31, 2025, Recursion updated the deferred tax liabilities from the acquisition, which were incomplete as of December 31, 2024. As a result, Recursion adjusted the provisional deferred tax liabilities to reflect the additional information obtained about the facts and circumstances that existed as of the acquisition date. As a result, deferred tax liabilities and goodwill increased by $6.0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60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277,104</w:t>
            </w:r>
          </w:p>
        </w:tc>
        <w:tc>
          <w:tcPr>
            <w:tcW w:w="20" w:type="dxa"/>
            <w:vAlign w:val="bottom"/>
          </w:tcPr>
          <w:p>
            <w:pPr>
              <w:spacing w:after="0"/>
              <w:rPr>
                <w:sz w:val="23"/>
                <w:szCs w:val="23"/>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5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48,408</w:t>
            </w:r>
          </w:p>
        </w:tc>
        <w:tc>
          <w:tcPr>
            <w:tcW w:w="20" w:type="dxa"/>
            <w:vAlign w:val="bottom"/>
          </w:tcPr>
          <w:p>
            <w:pPr>
              <w:spacing w:after="0"/>
              <w:rPr>
                <w:sz w:val="21"/>
                <w:szCs w:val="21"/>
                <w:color w:val="auto"/>
              </w:rPr>
            </w:pPr>
          </w:p>
        </w:tc>
      </w:tr>
      <w:tr>
        <w:trPr>
          <w:trHeight w:val="26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56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c>
          <w:tcPr>
            <w:tcW w:w="20" w:type="dxa"/>
            <w:vAlign w:val="bottom"/>
          </w:tcPr>
          <w:p>
            <w:pPr>
              <w:spacing w:after="0"/>
              <w:rPr>
                <w:sz w:val="23"/>
                <w:szCs w:val="23"/>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5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61,961</w:t>
            </w:r>
          </w:p>
        </w:tc>
        <w:tc>
          <w:tcPr>
            <w:tcW w:w="20" w:type="dxa"/>
            <w:vAlign w:val="bottom"/>
          </w:tcPr>
          <w:p>
            <w:pPr>
              <w:spacing w:after="0"/>
              <w:rPr>
                <w:sz w:val="21"/>
                <w:szCs w:val="21"/>
                <w:color w:val="auto"/>
              </w:rPr>
            </w:pPr>
          </w:p>
        </w:tc>
      </w:tr>
      <w:tr>
        <w:trPr>
          <w:trHeight w:val="26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56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c>
          <w:tcPr>
            <w:tcW w:w="20" w:type="dxa"/>
            <w:vAlign w:val="bottom"/>
          </w:tcPr>
          <w:p>
            <w:pPr>
              <w:spacing w:after="0"/>
              <w:rPr>
                <w:sz w:val="23"/>
                <w:szCs w:val="23"/>
                <w:color w:val="auto"/>
              </w:rPr>
            </w:pPr>
          </w:p>
        </w:tc>
      </w:tr>
      <w:tr>
        <w:trPr>
          <w:trHeight w:val="248"/>
        </w:trPr>
        <w:tc>
          <w:tcPr>
            <w:tcW w:w="4200" w:type="dxa"/>
            <w:vAlign w:val="bottom"/>
          </w:tcPr>
          <w:p>
            <w:pPr>
              <w:ind w:left="20"/>
              <w:spacing w:after="0"/>
              <w:rPr>
                <w:sz w:val="20"/>
                <w:szCs w:val="20"/>
                <w:color w:val="auto"/>
              </w:rPr>
            </w:pPr>
            <w:r>
              <w:rPr>
                <w:rFonts w:ascii="Arial" w:cs="Arial" w:eastAsia="Arial" w:hAnsi="Arial"/>
                <w:sz w:val="18"/>
                <w:szCs w:val="18"/>
                <w:color w:val="auto"/>
              </w:rPr>
              <w:t>Intangible assets, technology</w:t>
            </w:r>
          </w:p>
        </w:tc>
        <w:tc>
          <w:tcPr>
            <w:tcW w:w="5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182,000</w:t>
            </w:r>
          </w:p>
        </w:tc>
        <w:tc>
          <w:tcPr>
            <w:tcW w:w="20" w:type="dxa"/>
            <w:vAlign w:val="bottom"/>
          </w:tcPr>
          <w:p>
            <w:pPr>
              <w:spacing w:after="0"/>
              <w:rPr>
                <w:sz w:val="21"/>
                <w:szCs w:val="21"/>
                <w:color w:val="auto"/>
              </w:rPr>
            </w:pPr>
          </w:p>
        </w:tc>
      </w:tr>
      <w:tr>
        <w:trPr>
          <w:trHeight w:val="26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indefinite-lived</w:t>
            </w:r>
          </w:p>
        </w:tc>
        <w:tc>
          <w:tcPr>
            <w:tcW w:w="56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c>
          <w:tcPr>
            <w:tcW w:w="20" w:type="dxa"/>
            <w:vAlign w:val="bottom"/>
          </w:tcPr>
          <w:p>
            <w:pPr>
              <w:spacing w:after="0"/>
              <w:rPr>
                <w:sz w:val="23"/>
                <w:szCs w:val="23"/>
                <w:color w:val="auto"/>
              </w:rPr>
            </w:pPr>
          </w:p>
        </w:tc>
      </w:tr>
      <w:tr>
        <w:trPr>
          <w:trHeight w:val="895"/>
        </w:trPr>
        <w:tc>
          <w:tcPr>
            <w:tcW w:w="4200" w:type="dxa"/>
            <w:vAlign w:val="bottom"/>
          </w:tcPr>
          <w:p>
            <w:pPr>
              <w:spacing w:after="0"/>
              <w:rPr>
                <w:sz w:val="24"/>
                <w:szCs w:val="24"/>
                <w:color w:val="auto"/>
              </w:rPr>
            </w:pPr>
          </w:p>
        </w:tc>
        <w:tc>
          <w:tcPr>
            <w:tcW w:w="5600" w:type="dxa"/>
            <w:vAlign w:val="bottom"/>
          </w:tcPr>
          <w:p>
            <w:pPr>
              <w:jc w:val="right"/>
              <w:ind w:right="4030"/>
              <w:spacing w:after="0"/>
              <w:rPr>
                <w:sz w:val="20"/>
                <w:szCs w:val="20"/>
                <w:color w:val="auto"/>
              </w:rPr>
            </w:pPr>
            <w:r>
              <w:rPr>
                <w:rFonts w:ascii="Arial" w:cs="Arial" w:eastAsia="Arial" w:hAnsi="Arial"/>
                <w:sz w:val="18"/>
                <w:szCs w:val="18"/>
                <w:color w:val="auto"/>
              </w:rPr>
              <w:t>8</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56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75"/>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3"/>
        </w:trPr>
        <w:tc>
          <w:tcPr>
            <w:tcW w:w="6460" w:type="dxa"/>
            <w:vAlign w:val="bottom"/>
            <w:gridSpan w:val="2"/>
          </w:tcPr>
          <w:p>
            <w:pPr>
              <w:spacing w:after="0"/>
              <w:rPr>
                <w:sz w:val="2"/>
                <w:szCs w:val="2"/>
                <w:color w:val="auto"/>
              </w:rPr>
            </w:pPr>
          </w:p>
        </w:tc>
        <w:tc>
          <w:tcPr>
            <w:tcW w:w="3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(40,780)</w:t>
            </w:r>
          </w:p>
        </w:tc>
      </w:tr>
      <w:tr>
        <w:trPr>
          <w:trHeight w:val="265"/>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w:t>
            </w:r>
          </w:p>
        </w:tc>
      </w:tr>
      <w:tr>
        <w:trPr>
          <w:trHeight w:val="248"/>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(120,905)</w:t>
            </w:r>
          </w:p>
        </w:tc>
      </w:tr>
      <w:tr>
        <w:trPr>
          <w:trHeight w:val="265"/>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r>
      <w:tr>
        <w:trPr>
          <w:trHeight w:val="250"/>
        </w:trPr>
        <w:tc>
          <w:tcPr>
            <w:tcW w:w="6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257"/>
        </w:trPr>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526,438</w:t>
            </w:r>
          </w:p>
        </w:tc>
      </w:tr>
      <w:tr>
        <w:trPr>
          <w:trHeight w:val="250"/>
        </w:trPr>
        <w:tc>
          <w:tcPr>
            <w:tcW w:w="6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103,686</w:t>
            </w:r>
          </w:p>
        </w:tc>
      </w:tr>
      <w:tr>
        <w:trPr>
          <w:trHeight w:val="252"/>
        </w:trPr>
        <w:tc>
          <w:tcPr>
            <w:tcW w:w="6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 and liabilities assumed</w:t>
            </w:r>
          </w:p>
        </w:tc>
        <w:tc>
          <w:tcPr>
            <w:tcW w:w="33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630,124</w:t>
            </w: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Acquired contract liabilities in the scope of ASC 606 are an exception to the ASC 805 fair value measurement principle and were measured as if Recursion had originated the acquired contract. Two acquired customer contracts had contract liabilities and for each contract Recursion reassessed the identification of performance obligations, determination of transaction price, allocation of transaction price and measure of progress for each performance obligation as if Recursion has been party to the original contract and recognized the resulting contract liability as a liability assumed. No contract assets in the scope of ASC 606 were acquired.</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intangible assets of Exscientia consist of the Exscientia artificial intelligence platform and four clinical stage oncology in process research and development (IPR&amp;D) assets. The operating system is a critical tool used for both designing molecules for fulfilling collaboration agreements and Exscientia’s own research and development projects. The fair value of each intangible asset was valued based on the present value of future discounted cash flows prepared under the multi-period excess earnings method with the significant inputs being the estimates of future revenues, future expenses, the discount rate of 10.5% and probabilities of technological and regulatory success. The platform asset is being amortized on a straight line basis over a six year useful life. The IPR&amp;D assets have been assigned an indefinite useful life and will be tested for impairment prospectively and, if regulatory approval is achieved, will be assigned a useful life and amortization will commence.</w:t>
      </w:r>
    </w:p>
    <w:p>
      <w:pPr>
        <w:spacing w:after="0" w:line="21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Goodwill was calculated based on the excess of the consideration transferred over net assets acquired. The goodwill recognized represents the assembled workforce, future research and development projects enabled by the platform that do not yet have sufficient substance to meet the definition of in-process research and development assets and expected synergies such as the integration of Recursion and Exscientia platforms. The goodwill is not deductible for tax purposes.</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Recursion’s consolidated statement of operations for the three months ended March 31, 2025 includes $ 5.3 million of revenue and $36.8 million of operating loss from Exscientia operations. As the business combination occurred in November 2024, Recursion is still finalizing the allocation of the purchase price to assets acquired and liabilities assumed. The preliminary purchase price allocation reflected in the March 31, 2025 balance sheet is based on the current best estimate of management and subject to change. The Company will finalize the amounts recognized as the information necessary to complete the analysis is obtained and management estimates are further refined. The primary areas subject to finalization are the valuation of intangible assets, right-of-use assets, property and equipment and the valuation of tax assets and liabilities. The Company expects to finalize the purchase price allocation soon but will do so no later than one year from the acquisition date. External specialists have been engaged to assist with certain elements of applying the acquisition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The following pro forma summary presents consolidated revenue and earnings of Recursion as if the Exscientia business combination had occurred on January 1, 2023</w:t>
      </w:r>
      <w:r>
        <w:rPr>
          <w:rFonts w:ascii="Arial" w:cs="Arial" w:eastAsia="Arial" w:hAnsi="Arial"/>
          <w:sz w:val="18"/>
          <w:szCs w:val="18"/>
          <w:color w:val="008080"/>
        </w:rPr>
        <w:t>.</w:t>
      </w:r>
    </w:p>
    <w:tbl>
      <w:tblPr>
        <w:tblLayout w:type="fixed"/>
        <w:tblInd w:w="0" w:type="dxa"/>
        <w:tblCellMar>
          <w:top w:w="0" w:type="dxa"/>
          <w:left w:w="0" w:type="dxa"/>
          <w:bottom w:w="0" w:type="dxa"/>
          <w:right w:w="0" w:type="dxa"/>
        </w:tblCellMar>
      </w:tblPr>
      <w:tr>
        <w:trPr>
          <w:trHeight w:val="204"/>
        </w:trPr>
        <w:tc>
          <w:tcPr>
            <w:tcW w:w="4940" w:type="dxa"/>
            <w:vAlign w:val="bottom"/>
          </w:tcPr>
          <w:p>
            <w:pPr>
              <w:spacing w:after="0"/>
              <w:rPr>
                <w:sz w:val="17"/>
                <w:szCs w:val="17"/>
                <w:color w:val="auto"/>
              </w:rPr>
            </w:pPr>
          </w:p>
        </w:tc>
        <w:tc>
          <w:tcPr>
            <w:tcW w:w="6300" w:type="dxa"/>
            <w:vAlign w:val="bottom"/>
            <w:gridSpan w:val="2"/>
          </w:tcPr>
          <w:p>
            <w:pPr>
              <w:jc w:val="center"/>
              <w:ind w:left="3650"/>
              <w:spacing w:after="0" w:line="204" w:lineRule="exact"/>
              <w:rPr>
                <w:sz w:val="20"/>
                <w:szCs w:val="20"/>
                <w:color w:val="auto"/>
              </w:rPr>
            </w:pPr>
            <w:r>
              <w:rPr>
                <w:rFonts w:ascii="Arial" w:cs="Arial" w:eastAsia="Arial" w:hAnsi="Arial"/>
                <w:sz w:val="18"/>
                <w:szCs w:val="18"/>
                <w:b w:val="1"/>
                <w:bCs w:val="1"/>
                <w:color w:val="auto"/>
              </w:rPr>
              <w:t>Three months ended March</w:t>
            </w:r>
          </w:p>
        </w:tc>
      </w:tr>
      <w:tr>
        <w:trPr>
          <w:trHeight w:val="260"/>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60" w:type="dxa"/>
            <w:vAlign w:val="bottom"/>
          </w:tcPr>
          <w:p>
            <w:pPr>
              <w:spacing w:after="0"/>
              <w:rPr>
                <w:sz w:val="22"/>
                <w:szCs w:val="22"/>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b w:val="1"/>
                <w:bCs w:val="1"/>
                <w:color w:val="auto"/>
              </w:rPr>
              <w:t>31, 2024</w:t>
            </w:r>
          </w:p>
        </w:tc>
      </w:tr>
      <w:tr>
        <w:trPr>
          <w:trHeight w:val="56"/>
        </w:trPr>
        <w:tc>
          <w:tcPr>
            <w:tcW w:w="494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w:t>
            </w:r>
          </w:p>
        </w:tc>
      </w:tr>
      <w:tr>
        <w:trPr>
          <w:trHeight w:val="239"/>
        </w:trPr>
        <w:tc>
          <w:tcPr>
            <w:tcW w:w="49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2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(126,145)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 forma amounts have been calculated after converting the Exscientia financial information to U.S. GAAP, applying Recursion accounting policies and applying the acquisition method of accounting at January 1, 2023. The pro forma financial information is not necessarily indicative of what the consolidated results of operations would have been had the acquisition been completed on January 1, 2023. In addition, the pro forma financial information is not a projection of the future results of operations of the combined company nor does it reflect the expected realization of any cost savings or synergies associated with the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March 2025, Recursion completed the sale of its Austrian operations (Exscientia GmbH) to a newly formed company, Alpha Biotechnology GmbH (Alpha). As part of the sale, Recursion obtained a 49% equity interest in Alpha. Recursion entered into this transaction as part of focusing its efforts and moderating spend. Alpha is a company leveraging a patient-tissue platform for the development of precision therapeutics for the treatment of hematological and solid cancers. For the three months ended March 31, 2025, Recursion recorded a loss on the disposal of Exscientia GmbH of $4.5 million, which was classified as “Other income (loss), net” on the Condensed Consolidated Statement of Operations. Recursion also recorded a $4.4 million investment on the Condensed Consolidated Balance Sheet within “Other assets, non-current” related to its 49% equity interest in Alpha, which was determined to be an equity method investment.</w:t>
      </w:r>
    </w:p>
    <w:p>
      <w:pPr>
        <w:spacing w:after="0" w:line="200" w:lineRule="exact"/>
        <w:rPr>
          <w:sz w:val="20"/>
          <w:szCs w:val="20"/>
          <w:color w:val="auto"/>
        </w:rPr>
      </w:pP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an equipment financing lease related to the supercomputer. The Company’s leases have remaining terms from under one year to eight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three months ended March 31, 2025, Recursion entered into lease modifications and termination resulting in a decrease to the right-of-use asset and lease liability of $10.1 million. This impact included the lease surrender of the Vienna facilities of Exscientia GmbH in March, which resulted in a $5.2 million reduction to both the right-of-use asset and lease liability. In connection with this surrender, the Company also incurred a lease termination fee of $5.2 million, which was classified as “Other income (loss), net” on the Condensed Consolidated Statement of Operations. Additionally, the Company entered into a lease modification related to the Schrodinger leases to decrease the lease terms, which now ends during the second quarter of 2025. This resulted in a decrease to both the right-of-use asset and lease liability by $4.9 million. As a part of the lease modifications and termination, Recursion recorded leasehold impairments of $6.0 million.</w:t>
      </w:r>
    </w:p>
    <w:p>
      <w:pPr>
        <w:spacing w:after="0" w:line="21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three months ended March 31, 2024 Recursion entered into lease modifications resulting in a decrease to the right-of-use asset and lease liability of $3.1 million. The modifications had no impact to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29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5,265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3,955</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6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Right-of-use assets modifications and termination:</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r>
      <w:tr>
        <w:trPr>
          <w:trHeight w:val="230"/>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Financing leases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148,873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March 31, 2025</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158,112</w:t>
            </w:r>
          </w:p>
        </w:tc>
        <w:tc>
          <w:tcPr>
            <w:tcW w:w="0" w:type="dxa"/>
            <w:vAlign w:val="bottom"/>
          </w:tcPr>
          <w:p>
            <w:pPr>
              <w:spacing w:after="0"/>
              <w:rPr>
                <w:sz w:val="1"/>
                <w:szCs w:val="1"/>
                <w:color w:val="auto"/>
              </w:rPr>
            </w:pPr>
          </w:p>
        </w:tc>
      </w:tr>
      <w:tr>
        <w:trPr>
          <w:trHeight w:val="21"/>
        </w:trPr>
        <w:tc>
          <w:tcPr>
            <w:tcW w:w="6640" w:type="dxa"/>
            <w:vAlign w:val="bottom"/>
            <w:tcBorders>
              <w:bottom w:val="single" w:sz="8" w:color="auto"/>
            </w:tcBorders>
            <w:gridSpan w:val="7"/>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8220" w:type="dxa"/>
            <w:vAlign w:val="bottom"/>
            <w:gridSpan w:val="10"/>
          </w:tcPr>
          <w:p>
            <w:pPr>
              <w:spacing w:after="0"/>
              <w:rPr>
                <w:sz w:val="20"/>
                <w:szCs w:val="20"/>
                <w:color w:val="auto"/>
              </w:rPr>
            </w:pPr>
            <w:r>
              <w:rPr>
                <w:rFonts w:ascii="Arial" w:cs="Arial" w:eastAsia="Arial" w:hAnsi="Arial"/>
                <w:sz w:val="18"/>
                <w:szCs w:val="18"/>
                <w:color w:val="auto"/>
              </w:rPr>
              <w:t>No goodwill impairment was recorded during the three months ended March 31, 2025 and 2024.</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460" w:type="dxa"/>
            <w:vAlign w:val="bottom"/>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4060" w:type="dxa"/>
            <w:vAlign w:val="bottom"/>
            <w:gridSpan w:val="4"/>
          </w:tcPr>
          <w:p>
            <w:pPr>
              <w:spacing w:after="0"/>
              <w:rPr>
                <w:sz w:val="20"/>
                <w:szCs w:val="20"/>
                <w:color w:val="auto"/>
              </w:rPr>
            </w:pPr>
            <w:r>
              <w:rPr>
                <w:rFonts w:ascii="Arial" w:cs="Arial" w:eastAsia="Arial" w:hAnsi="Arial"/>
                <w:sz w:val="18"/>
                <w:szCs w:val="18"/>
                <w:color w:val="auto"/>
              </w:rPr>
              <w:t>The following table summarizes intangible assets: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2024</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5"/>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9"/>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230,115</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(35,647)</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194,468</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224,362</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199,818</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(2,925)</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8,583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132,739</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132,739</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374,362</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335,790</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362,487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335,855</w:t>
            </w:r>
          </w:p>
        </w:tc>
        <w:tc>
          <w:tcPr>
            <w:tcW w:w="0" w:type="dxa"/>
            <w:vAlign w:val="bottom"/>
          </w:tcPr>
          <w:p>
            <w:pPr>
              <w:spacing w:after="0"/>
              <w:rPr>
                <w:sz w:val="1"/>
                <w:szCs w:val="1"/>
                <w:color w:val="auto"/>
              </w:rPr>
            </w:pP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Amortization expense was $11.7 million and $3.4 million during the three months ended March 31, 2025 and 2024 respectively. Amortization expense was included in “Research and Development” and “Cost of Revenue” in the Condensed Consolidated Statements of Operations. No indefinite-lived intangible asset impairment charges were recorded during the three months ended March 31, 2025 and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March 31, 2025 and December 31, 2024, as no amounts were probable.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2024</w:t>
      </w:r>
      <w:r>
        <w:rPr>
          <w:rFonts w:ascii="Arial" w:cs="Arial" w:eastAsia="Arial" w:hAnsi="Arial"/>
          <w:sz w:val="18"/>
          <w:szCs w:val="18"/>
          <w:color w:val="auto"/>
        </w:rPr>
        <w:t>, a putative class action complaint was filed in the U.S. District Court for the District of New Jersey against Exscientia plc, Andrew Hopkins, Ben R. Taylor and David Nicholson (</w:t>
      </w:r>
      <w:r>
        <w:rPr>
          <w:rFonts w:ascii="Arial" w:cs="Arial" w:eastAsia="Arial" w:hAnsi="Arial"/>
          <w:sz w:val="18"/>
          <w:szCs w:val="18"/>
          <w:i w:val="1"/>
          <w:iCs w:val="1"/>
          <w:color w:val="auto"/>
        </w:rPr>
        <w:t>Campanile v. Exscientia plc,</w:t>
      </w:r>
      <w:r>
        <w:rPr>
          <w:rFonts w:ascii="Arial" w:cs="Arial" w:eastAsia="Arial" w:hAnsi="Arial"/>
          <w:sz w:val="18"/>
          <w:szCs w:val="18"/>
          <w:color w:val="auto"/>
        </w:rPr>
        <w:t xml:space="preserve"> Case No. 1:24-cv-05692). In </w:t>
      </w:r>
      <w:r>
        <w:rPr>
          <w:rFonts w:ascii="Arial" w:cs="Arial" w:eastAsia="Arial" w:hAnsi="Arial"/>
          <w:sz w:val="18"/>
          <w:szCs w:val="18"/>
          <w:color w:val="1E1E1E"/>
        </w:rPr>
        <w:t>June 2024</w:t>
      </w:r>
      <w:r>
        <w:rPr>
          <w:rFonts w:ascii="Arial" w:cs="Arial" w:eastAsia="Arial" w:hAnsi="Arial"/>
          <w:sz w:val="18"/>
          <w:szCs w:val="18"/>
          <w:color w:val="auto"/>
        </w:rPr>
        <w:t xml:space="preserve">, a separate complaint was filed against the same defendants in the U.S. District Court for the District of New Jersey (Case 1:24-cv-07181). Both complaints allege that the defendants violated federal securities laws by, among other things, making materially false and misleading statements regarding Exscientia’s business, operations, and prospects. The complaints seek unspecified compensatory damages, as well as an award of reasonable attorneys’ fees and other costs, on behalf of persons and/or entities which purchased Exscientia securities between </w:t>
      </w:r>
      <w:r>
        <w:rPr>
          <w:rFonts w:ascii="Arial" w:cs="Arial" w:eastAsia="Arial" w:hAnsi="Arial"/>
          <w:sz w:val="18"/>
          <w:szCs w:val="18"/>
          <w:color w:val="1E1E1E"/>
        </w:rPr>
        <w:t xml:space="preserve">March 2022 </w:t>
      </w:r>
      <w:r>
        <w:rPr>
          <w:rFonts w:ascii="Arial" w:cs="Arial" w:eastAsia="Arial" w:hAnsi="Arial"/>
          <w:sz w:val="18"/>
          <w:szCs w:val="18"/>
          <w:color w:val="000000"/>
        </w:rPr>
        <w:t>and</w:t>
      </w:r>
      <w:r>
        <w:rPr>
          <w:rFonts w:ascii="Arial" w:cs="Arial" w:eastAsia="Arial" w:hAnsi="Arial"/>
          <w:sz w:val="18"/>
          <w:szCs w:val="18"/>
          <w:color w:val="1E1E1E"/>
        </w:rPr>
        <w:t xml:space="preserve"> February 2024</w:t>
      </w:r>
      <w:r>
        <w:rPr>
          <w:rFonts w:ascii="Arial" w:cs="Arial" w:eastAsia="Arial" w:hAnsi="Arial"/>
          <w:sz w:val="18"/>
          <w:szCs w:val="18"/>
          <w:color w:val="000000"/>
        </w:rPr>
        <w:t>. The cases were consolidated and plaintiffs filed an amended complaint on November 11, 2024 against</w:t>
      </w:r>
      <w:r>
        <w:rPr>
          <w:rFonts w:ascii="Arial" w:cs="Arial" w:eastAsia="Arial" w:hAnsi="Arial"/>
          <w:sz w:val="18"/>
          <w:szCs w:val="18"/>
          <w:color w:val="1E1E1E"/>
        </w:rPr>
        <w:t xml:space="preserve"> </w:t>
      </w:r>
      <w:r>
        <w:rPr>
          <w:rFonts w:ascii="Arial" w:cs="Arial" w:eastAsia="Arial" w:hAnsi="Arial"/>
          <w:sz w:val="18"/>
          <w:szCs w:val="18"/>
          <w:color w:val="000000"/>
        </w:rPr>
        <w:t xml:space="preserve">Exscientia plc, Andrew Hopkins, and David Nicholson, and the Company moved to dismiss on January 21, 2025. That motion remains pending. As of </w:t>
      </w:r>
      <w:r>
        <w:rPr>
          <w:rFonts w:ascii="Arial" w:cs="Arial" w:eastAsia="Arial" w:hAnsi="Arial"/>
          <w:sz w:val="18"/>
          <w:szCs w:val="18"/>
          <w:color w:val="1E1E1E"/>
        </w:rPr>
        <w:t>March 31, 2025</w:t>
      </w:r>
      <w:r>
        <w:rPr>
          <w:rFonts w:ascii="Arial" w:cs="Arial" w:eastAsia="Arial" w:hAnsi="Arial"/>
          <w:sz w:val="18"/>
          <w:szCs w:val="18"/>
          <w:color w:val="000000"/>
        </w:rPr>
        <w:t>, the Company had no liability recorded for these events as an unfavorable outcome was not probable.</w:t>
      </w:r>
    </w:p>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March 31, 2025, the Company had no liability recorded for these events as an unfavorable outcome was not probable.</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damages associated with the Counterclaims.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2025, assets pledged as collateral against finance leases totaled $22.6 million. Assets pledged as collateral are Lab Equipment reported in “Property and Equipment, net” on the Condensed Consolidated Balance Sheet. As of March 31, 2025, the liabilities associated with collateral pledged were solely comprised of a finance lease and had a carrying value of $24.6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March 31, 2025 and December 31, 2024, no dividends had been declared.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(Jefferies)</w:t>
      </w:r>
    </w:p>
    <w:p>
      <w:pPr>
        <w:spacing w:after="0" w:line="23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xml:space="preserve">, the Company entered into an Open Market Sales Agreement (the “Jefferies Sales Agreement”) with Jefferies LLC ( “Jefferies”), to provide for the offering, issuance and sale of up to an aggregate amount of $300.0 million of its Class A common stock from time to time in “at-the-market” (ATM) offerings. In </w:t>
      </w:r>
      <w:r>
        <w:rPr>
          <w:rFonts w:ascii="Arial" w:cs="Arial" w:eastAsia="Arial" w:hAnsi="Arial"/>
          <w:sz w:val="18"/>
          <w:szCs w:val="18"/>
          <w:color w:val="1E1E1E"/>
        </w:rPr>
        <w:t>February 2025</w:t>
      </w:r>
      <w:r>
        <w:rPr>
          <w:rFonts w:ascii="Arial" w:cs="Arial" w:eastAsia="Arial" w:hAnsi="Arial"/>
          <w:sz w:val="18"/>
          <w:szCs w:val="18"/>
          <w:color w:val="auto"/>
        </w:rPr>
        <w:t>, the Company terminated the Jefferies Sales Agreement. In total, the Company sold 26.8 million shares and received net proceeds of $199.1 million under the agreement through its termination. Of the total sales and net proceeds, the Company sold 4.9 million shares and received net proceeds of $36.9 million under the agreement in the three months ended March 31, 2025 prior to its termination. The Company paid Jefferies a commission of up to 3% of the aggregate gross proceeds</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received from all sales of Class A common stock. The Jefferies ATM Offering was made under a prospectus supplement dated August 8, 2023 and related prospectus filed with the Securities and Exchange Commission pursuant to the Company’s automatically effective shelf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S-3ASR (Registration No. 333-264845).</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(Citi)</w:t>
      </w:r>
    </w:p>
    <w:p>
      <w:pPr>
        <w:spacing w:after="0" w:line="25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February 2025</w:t>
      </w:r>
      <w:r>
        <w:rPr>
          <w:rFonts w:ascii="Arial" w:cs="Arial" w:eastAsia="Arial" w:hAnsi="Arial"/>
          <w:sz w:val="18"/>
          <w:szCs w:val="18"/>
          <w:color w:val="auto"/>
        </w:rPr>
        <w:t>, following the termination of the Jefferies Sales Agreement, the Company entered into a Sales Agreement (the Citi Sales Agreement) with Citigroup Capital Markets Inc. (Citi) to provide for the offering, issuance and sale of up to an aggregate amount of</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500.0 million of its Class A common stock from time to time in “at-the-market” offerings (the Citi ATM Offering). As of March 31, 2025, an amount of $495.9 million remained available for future sales under the Sales Agreement. For the three months ended March 31, 2025, the Company has sold 0.6 million shares and received net proceeds of $4.1 million under the agreement. Recursion is not required to sell additional shares under the Citi Sales Agreement. The Company pays the Citi Sales Agent a commission of up to 3% of the aggregate gross proceeds received from all sales of Class A common stock less certain agreed credits and reimbursements. The Citi Sales Agreement continues until the earlier of selling all shares available under the Citi Sales Agreement or terminated by written notice from either of the parties. The Citi ATM Offering is being made under a prospectus supplement dated February 28, 2025 and related prospectus filed with the Securities and Exchange Commission pursuant to the Company’s automatically effective shelf registration statement on Form S-3 (Registration No. 333-284878).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2024, the Company closed its public offering of Class A common stock and issued 35.4 million shares at a price of $6.50 per share for net proceeds of approximately $216.4 million, after deducting transaction costs of $13.6 million. In connection with the public offering of Class A common stock, the Company entered into an underwriting agreement for the offering and sale of 30.8 million shares. The Company also granted the Underwriters a 30 day option from the date of the underwriting agreement to purchase up to an additional 4.6 million shares of Class A Common Stock, which was exercised in full. The public offering was made pursuant to the Company's effective registration statement on Form S-3 (File No. 333-264845) and a related prospectus supplement and accompanying prospectus dated June 26,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March 31, 2025, 4.9 million Exchangeable shares have been redeemed for Class A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xml:space="preserve">,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8"/>
          <w:szCs w:val="18"/>
          <w:color w:val="1E1E1E"/>
        </w:rPr>
        <w:t>December 2023</w:t>
      </w:r>
      <w:r>
        <w:rPr>
          <w:rFonts w:ascii="Arial" w:cs="Arial" w:eastAsia="Arial" w:hAnsi="Arial"/>
          <w:sz w:val="18"/>
          <w:szCs w:val="18"/>
          <w:color w:val="auto"/>
        </w:rPr>
        <w:t xml:space="preserve"> to register shares issued to Tempus for the initial license fee under the Tempus Agreement for resale. In </w:t>
      </w:r>
      <w:r>
        <w:rPr>
          <w:rFonts w:ascii="Arial" w:cs="Arial" w:eastAsia="Arial" w:hAnsi="Arial"/>
          <w:sz w:val="18"/>
          <w:szCs w:val="18"/>
          <w:color w:val="1E1E1E"/>
        </w:rPr>
        <w:t>December 2024</w:t>
      </w:r>
      <w:r>
        <w:rPr>
          <w:rFonts w:ascii="Arial" w:cs="Arial" w:eastAsia="Arial" w:hAnsi="Arial"/>
          <w:sz w:val="18"/>
          <w:szCs w:val="18"/>
          <w:color w:val="auto"/>
        </w:rPr>
        <w:t>, a prospectus supplement to a registration statement (File No. 333-264845) was filed to register shares issued to Tempus in payment for the 2024 annual fee.</w:t>
      </w:r>
    </w:p>
    <w:p>
      <w:pPr>
        <w:spacing w:after="0" w:line="21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July 2023,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August 2023 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March 31, 2025, there was no accrued liability related to this agreement, as it was not probable that payment would be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2024, in connection with the acquisition of Exscientia, the Company filed a Registration Statement on Form S-8 (File No. 333-283347) to register the shares of Class A common stock issuable upon exercise or settlement, as applicable, of Recursion stock options and RSUs issued under the assumed Exscientia plans and the Inducement awards. The Company has agreed to use commercially reasonable efforts to maintain the effectiveness of such registration statement as long as such Recursion stock options and RSUs issued under the assumed Exscientia plans remain outstanding.</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May 2023,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2023,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June 2023 to register the shares for resale by the holders. The registration statement must be continuously effective until the earlier of the date that all shares have been sold thereunder or are able to be publicly sold by relying on Rule 144 of the Securities Act without registration.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Private Placement</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October 2022</w:t>
      </w:r>
      <w:r>
        <w:rPr>
          <w:rFonts w:ascii="Arial" w:cs="Arial" w:eastAsia="Arial" w:hAnsi="Arial"/>
          <w:sz w:val="18"/>
          <w:szCs w:val="18"/>
          <w:color w:val="1E1E1E"/>
        </w:rPr>
        <w:t>,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the registration for resale of the shares of Class A common stock issued in such transaction. A prospectus supplement to a registration statement (File No. 333-264845) was subsequently filed in October 2022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the date and each month thereafter 1.0% of the aggregate purchase price paid by the holder without limit until the agreement is cured. As of March 31, 2025, there was no accrued liability related to this agreement, as it was not probable that a payment would be required.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March 31, 2025, Dr. Gibson and his affiliates held outstanding shares of Class B common stock representing approximately 15%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March 31, 2025, Dr. Gibson and his affiliates would hold approximately 15%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January 2022</w:t>
      </w:r>
      <w:r>
        <w:rPr>
          <w:rFonts w:ascii="Arial" w:cs="Arial" w:eastAsia="Arial" w:hAnsi="Arial"/>
          <w:sz w:val="18"/>
          <w:szCs w:val="18"/>
          <w:color w:val="auto"/>
        </w:rPr>
        <w:t>,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received a $100.0 million non-refundable upfront payment. The Company has also received multiple milestone payments related to this agreement of approximately $ 23.0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high-single-digits to mid-teens. Recursion could earn a maximum of $555.0 million from all research milestones and $1.8 billion from all development and regulatory milestones.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determined the transaction price to be $ 141.1 million, for the initial performance obligations, comprised of the upfront payment, several milestones that have been achieved and estimated additional target exercises. Recursion will fully constrain the amounts of remaining variable consideration to be received from</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potential milestones considering the stage of development and the risks associated with the remaining development required to achieve each milestone. Recursion will re-evaluate the transaction price each reporting period.</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milestone fees were allocated to related performance obligation as the terms of the variable consideration related specifically to Recursion’s efforts to satisfy the related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is unable to estimate the completion date of the performance obligations due to the current stage of work.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September 2023</w:t>
      </w:r>
      <w:r>
        <w:rPr>
          <w:rFonts w:ascii="Arial" w:cs="Arial" w:eastAsia="Arial" w:hAnsi="Arial"/>
          <w:sz w:val="18"/>
          <w:szCs w:val="18"/>
          <w:color w:val="auto"/>
        </w:rPr>
        <w:t>,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32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product.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three performance obligations related to each project in the partnership. These performance obligations are for performing research and development services for Merck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determined the transaction price to be $20.1 million, for the initial performance obligations, comprised of the upfront payment.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periods. Recursion was unable to estimate the completion date of the performance obligations due to the current stage of work.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(the “acceptance fee”), which was an acceptance fee related to the first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determined the transaction price to be $180.0 million, comprised of the upfront payment and the acceptance fee. Prior to the three months ended September 30, 2024, Recursion had fully constrained the $30.0 million variable consideration acceptance fee.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acceptance fee was allocated to one of the neuroscience performance obligations as the terms of the variable consideration related specifically to Recursion’s efforts to satisfy this performance obligation. The Company recognizes revenue over time based on costs incurred relative to total expected costs to perform the research and</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Of the revenue recognized during the three months ended March 31, 2025 and 2024, $14.7 million and $13.5 million was included in the unearned revenue balance as of December 31, 2024 and 2023, respectively. Revenue recognized was from the upfront payments received at the inception of the related contracts, which decreased the initial unearned revenue recognized. As of March 31, 2025, the Company had $6.2 million of costs incurred to fulfill a contract on its Condensed Consolidated Balance Sheet within “Other Current Assets.”</w:t>
      </w:r>
    </w:p>
    <w:p>
      <w:pPr>
        <w:spacing w:after="0" w:line="20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March 31, 2025, 22.3 million shares of Class A common stock were available for grant in the 2021 plan. In November 2024, the Board of Directors and the stockholders of the Company adopted the 2024 Inducement Equity Incentive Plan (the 2024 Plan) as part of the Exscientia acquisition. See Note 4, “Acquisitions” for additional information. As of March 31, 2025, 9.7 million shares of Class A common stock were available for grant in the 2024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75"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17,800</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7,666</w:t>
            </w: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r>
      <w:tr>
        <w:trPr>
          <w:trHeight w:val="22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15,509</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three months ended March 31, 2025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120" w:type="dxa"/>
            <w:vAlign w:val="bottom"/>
          </w:tcPr>
          <w:p>
            <w:pPr>
              <w:jc w:val="center"/>
              <w:ind w:left="355"/>
              <w:spacing w:after="0" w:line="162" w:lineRule="exact"/>
              <w:rPr>
                <w:sz w:val="20"/>
                <w:szCs w:val="20"/>
                <w:color w:val="auto"/>
              </w:rPr>
            </w:pPr>
            <w:r>
              <w:rPr>
                <w:rFonts w:ascii="Arial" w:cs="Arial" w:eastAsia="Arial" w:hAnsi="Arial"/>
                <w:sz w:val="16"/>
                <w:szCs w:val="16"/>
                <w:b w:val="1"/>
                <w:bCs w:val="1"/>
                <w:color w:val="auto"/>
              </w:rPr>
              <w:t>Exercise</w:t>
            </w:r>
          </w:p>
        </w:tc>
        <w:tc>
          <w:tcPr>
            <w:tcW w:w="460" w:type="dxa"/>
            <w:vAlign w:val="bottom"/>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 Life</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share data and per share amounts)</w:t>
            </w:r>
          </w:p>
        </w:tc>
        <w:tc>
          <w:tcPr>
            <w:tcW w:w="14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Price</w:t>
            </w: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21,941,495</w:t>
            </w:r>
          </w:p>
        </w:tc>
        <w:tc>
          <w:tcPr>
            <w:tcW w:w="112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5.40</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3,076,635</w:t>
            </w:r>
          </w:p>
        </w:tc>
        <w:tc>
          <w:tcPr>
            <w:tcW w:w="11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7.25</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(1,254,312)</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6.88</w:t>
            </w: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(1,858,286)</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2.13</w:t>
            </w: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21,905,532</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6.00</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March 31, 2025</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10,774,836</w:t>
            </w:r>
          </w:p>
        </w:tc>
        <w:tc>
          <w:tcPr>
            <w:tcW w:w="1120" w:type="dxa"/>
            <w:vAlign w:val="bottom"/>
            <w:tcBorders>
              <w:bottom w:val="single" w:sz="8" w:color="auto"/>
            </w:tcBorders>
          </w:tcPr>
          <w:p>
            <w:pPr>
              <w:jc w:val="right"/>
              <w:ind w:right="89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6"/>
              </w:rPr>
              <w:t>5.65</w:t>
            </w:r>
          </w:p>
        </w:tc>
        <w:tc>
          <w:tcPr>
            <w:tcW w:w="2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three months ended March 31, 2025 and 2024 were $4.59 and $6.41,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2024</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64 %</w:t>
            </w:r>
          </w:p>
        </w:tc>
        <w:tc>
          <w:tcPr>
            <w:tcW w:w="180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4.4 %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r>
    </w:tbl>
    <w:p>
      <w:pPr>
        <w:spacing w:after="0" w:line="30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As of March 31, 2025, $52.0 million of unrecognized compensation cost related to stock options is expected to be recognized as expense over approximately the next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three months ended March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8"/>
                <w:szCs w:val="18"/>
                <w:color w:val="auto"/>
              </w:rPr>
            </w:pPr>
          </w:p>
        </w:tc>
        <w:tc>
          <w:tcPr>
            <w:tcW w:w="37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27,304,229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2,034,892</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(2,229,677)</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(935,152)</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2025</w:t>
            </w:r>
          </w:p>
        </w:tc>
        <w:tc>
          <w:tcPr>
            <w:tcW w:w="3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26,174,292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3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fair market value of RSUs vested was $22.6 million during the three months ended March 31, 2025. As of March 31, 2025, $179.4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Company did not record any U.S. income tax expense during the three months ended March 31, 2025 and 2024. The Company has historically incurred operating losses and maintains a full valuation allowance against 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 net deferred tax assets. Foreign taxes were insignificant during the three months ended March 31, 2025 and 2024.</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2024, the Company completed a Section 382 study and did not identify ownership changes that would subject its NOLs or tax credit carry-forwards to Section 382 limitations.</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files income tax returns in the United States, Canada and United Kingdom. The Company files state income tax returns in multiple states in the United States among others Utah, California and Massachusetts. The Company is not currently under examination in any of these jurisdictions. The Company is subject to income tax examinations on all US federal and state returns since the 2017 tax return, Canadian income tax returns from the 2021 tax year, and UK income tax returns from the 2020 year.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For the three months ended March 31, 2025 and 2024,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w:t>
      </w:r>
      <w:r>
        <w:rPr>
          <w:rFonts w:ascii="Arial" w:cs="Arial" w:eastAsia="Arial" w:hAnsi="Arial"/>
          <w:sz w:val="18"/>
          <w:szCs w:val="18"/>
          <w:color w:val="auto"/>
        </w:rPr>
        <w:t xml:space="preserve"> three months ended March 31, 2025 and 2024</w:t>
      </w:r>
      <w:r>
        <w:rPr>
          <w:rFonts w:ascii="Arial" w:cs="Arial" w:eastAsia="Arial" w:hAnsi="Arial"/>
          <w:sz w:val="18"/>
          <w:szCs w:val="18"/>
          <w:color w:val="1E1E1E"/>
        </w:rPr>
        <w:t>, the Company reported a net loss and</w:t>
      </w:r>
      <w:r>
        <w:rPr>
          <w:rFonts w:ascii="Arial" w:cs="Arial" w:eastAsia="Arial" w:hAnsi="Arial"/>
          <w:sz w:val="18"/>
          <w:szCs w:val="18"/>
          <w:color w:val="auto"/>
        </w:rPr>
        <w:t xml:space="preserve"> therefore basic and diluted loss per share were the same.</w:t>
      </w:r>
    </w:p>
    <w:p>
      <w:pPr>
        <w:spacing w:after="0" w:line="2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months ended March 31, 2025 and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9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2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(91,373)</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402,771,972</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236,019,349</w:t>
            </w: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2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60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35"/>
        </w:trPr>
        <w:tc>
          <w:tcPr>
            <w:tcW w:w="518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2025</w:t>
            </w: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25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4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11,896,288</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11,159,250</w:t>
            </w:r>
          </w:p>
        </w:tc>
      </w:tr>
      <w:tr>
        <w:trPr>
          <w:trHeight w:val="25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Tempus agreement</w:t>
            </w:r>
          </w:p>
        </w:tc>
        <w:tc>
          <w:tcPr>
            <w:tcW w:w="4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5,369,128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5,143,690</w:t>
            </w:r>
          </w:p>
        </w:tc>
      </w:tr>
      <w:tr>
        <w:trPr>
          <w:trHeight w:val="275"/>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17,265,416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16,302,940</w:t>
            </w: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March 31, 2025</w:t>
            </w: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238,349</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tcPr>
          <w:p>
            <w:pPr>
              <w:ind w:left="240"/>
              <w:spacing w:after="0"/>
              <w:rPr>
                <w:sz w:val="20"/>
                <w:szCs w:val="20"/>
                <w:color w:val="auto"/>
              </w:rPr>
            </w:pPr>
            <w:r>
              <w:rPr>
                <w:rFonts w:ascii="Arial" w:cs="Arial" w:eastAsia="Arial" w:hAnsi="Arial"/>
                <w:sz w:val="18"/>
                <w:szCs w:val="18"/>
                <w:color w:val="auto"/>
              </w:rPr>
              <w:t>Bank deposits</w:t>
            </w:r>
          </w:p>
        </w:tc>
        <w:tc>
          <w:tcPr>
            <w:tcW w:w="18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247,053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247,053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2024</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ind w:left="240"/>
              <w:spacing w:after="0"/>
              <w:rPr>
                <w:sz w:val="20"/>
                <w:szCs w:val="20"/>
                <w:color w:val="auto"/>
              </w:rPr>
            </w:pPr>
            <w:r>
              <w:rPr>
                <w:rFonts w:ascii="Arial" w:cs="Arial" w:eastAsia="Arial" w:hAnsi="Arial"/>
                <w:sz w:val="18"/>
                <w:szCs w:val="18"/>
                <w:color w:val="auto"/>
              </w:rPr>
              <w:t>Bank deposits</w:t>
            </w:r>
          </w:p>
        </w:tc>
        <w:tc>
          <w:tcPr>
            <w:tcW w:w="17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160,487</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160,487</w:t>
            </w:r>
          </w:p>
        </w:tc>
        <w:tc>
          <w:tcPr>
            <w:tcW w:w="260" w:type="dxa"/>
            <w:vAlign w:val="bottom"/>
          </w:tcPr>
          <w:p>
            <w:pPr>
              <w:spacing w:after="0"/>
              <w:rPr>
                <w:sz w:val="19"/>
                <w:szCs w:val="19"/>
                <w:color w:val="auto"/>
              </w:rPr>
            </w:pPr>
          </w:p>
        </w:tc>
        <w:tc>
          <w:tcPr>
            <w:tcW w:w="1300" w:type="dxa"/>
            <w:vAlign w:val="bottom"/>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7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404,974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404,974</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40" w:type="dxa"/>
            <w:vAlign w:val="bottom"/>
            <w:gridSpan w:val="4"/>
          </w:tcPr>
          <w:p>
            <w:pPr>
              <w:ind w:left="1220"/>
              <w:spacing w:after="0"/>
              <w:rPr>
                <w:sz w:val="20"/>
                <w:szCs w:val="20"/>
                <w:color w:val="auto"/>
              </w:rPr>
            </w:pPr>
            <w:r>
              <w:rPr>
                <w:rFonts w:ascii="Arial" w:cs="Arial" w:eastAsia="Arial" w:hAnsi="Arial"/>
                <w:sz w:val="16"/>
                <w:szCs w:val="16"/>
                <w:b w:val="1"/>
                <w:bCs w:val="1"/>
                <w:color w:val="auto"/>
              </w:rPr>
              <w:t>Book values</w:t>
            </w:r>
          </w:p>
        </w:tc>
        <w:tc>
          <w:tcPr>
            <w:tcW w:w="260" w:type="dxa"/>
            <w:vAlign w:val="bottom"/>
          </w:tcPr>
          <w:p>
            <w:pPr>
              <w:spacing w:after="0"/>
              <w:rPr>
                <w:sz w:val="18"/>
                <w:szCs w:val="18"/>
                <w:color w:val="auto"/>
              </w:rPr>
            </w:pPr>
          </w:p>
        </w:tc>
        <w:tc>
          <w:tcPr>
            <w:tcW w:w="370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2025</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March 31, 2025</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260" w:type="dxa"/>
            <w:vAlign w:val="bottom"/>
            <w:vMerge w:val="continue"/>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2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is its Chief Executive Officer. The Company’s chief operating decision maker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Recursion’s segment net loss:</w:t>
      </w:r>
    </w:p>
    <w:p>
      <w:pPr>
        <w:spacing w:after="0" w:line="29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Three months ended March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2024</w:t>
            </w:r>
          </w:p>
        </w:tc>
      </w:tr>
      <w:tr>
        <w:trPr>
          <w:trHeight w:val="25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r>
      <w:tr>
        <w:trPr>
          <w:trHeight w:val="270"/>
        </w:trPr>
        <w:tc>
          <w:tcPr>
            <w:tcW w:w="57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20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Salaries</w:t>
            </w:r>
          </w:p>
        </w:tc>
        <w:tc>
          <w:tcPr>
            <w:tcW w:w="20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83,554</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50,358</w:t>
            </w: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20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54,677</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Platform</w:t>
            </w:r>
          </w:p>
        </w:tc>
        <w:tc>
          <w:tcPr>
            <w:tcW w:w="20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8,765</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1,883</w:t>
            </w: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20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20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10,564</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12,568</w:t>
            </w: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0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w:t>
            </w:r>
          </w:p>
        </w:tc>
      </w:tr>
      <w:tr>
        <w:trPr>
          <w:trHeight w:val="257"/>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segment items</w:t>
            </w:r>
          </w:p>
        </w:tc>
        <w:tc>
          <w:tcPr>
            <w:tcW w:w="20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14,398</w:t>
            </w:r>
          </w:p>
        </w:tc>
      </w:tr>
      <w:tr>
        <w:trPr>
          <w:trHeight w:val="25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0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191,368</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96,340</w:t>
            </w:r>
          </w:p>
        </w:tc>
      </w:tr>
      <w:tr>
        <w:trPr>
          <w:trHeight w:val="256"/>
        </w:trPr>
        <w:tc>
          <w:tcPr>
            <w:tcW w:w="5760" w:type="dxa"/>
            <w:vAlign w:val="bottom"/>
          </w:tcPr>
          <w:p>
            <w:pPr>
              <w:ind w:left="20"/>
              <w:spacing w:after="0"/>
              <w:rPr>
                <w:sz w:val="20"/>
                <w:szCs w:val="20"/>
                <w:color w:val="auto"/>
              </w:rPr>
            </w:pPr>
            <w:r>
              <w:rPr>
                <w:rFonts w:ascii="Arial" w:cs="Arial" w:eastAsia="Arial" w:hAnsi="Arial"/>
                <w:sz w:val="18"/>
                <w:szCs w:val="18"/>
                <w:color w:val="auto"/>
              </w:rPr>
              <w:t>Other non-operating income (loss), net</w:t>
            </w:r>
          </w:p>
        </w:tc>
        <w:tc>
          <w:tcPr>
            <w:tcW w:w="20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(11,277)</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4,188</w:t>
            </w:r>
          </w:p>
        </w:tc>
      </w:tr>
      <w:tr>
        <w:trPr>
          <w:trHeight w:val="257"/>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0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4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segment loss</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202,487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91,373</w:t>
            </w: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2"/>
        </w:trPr>
        <w:tc>
          <w:tcPr>
            <w:tcW w:w="57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52"/>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2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61"/>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Segment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Recursion’s operating revenues are attributed to the following geographic areas based on the location the services are performed:</w:t>
      </w:r>
    </w:p>
    <w:p>
      <w:pPr>
        <w:spacing w:after="0" w:line="50"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Three months ended March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2024</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3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13,491</w:t>
            </w:r>
          </w:p>
        </w:tc>
      </w:tr>
      <w:tr>
        <w:trPr>
          <w:trHeight w:val="22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3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3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13,491</w:t>
            </w: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Recursion generates revenue primarily from a single service, research and development services, therefore, the Company does not report additional information on revenue from external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Recursion’s long-lived assets are attributed to the following geographic areas based on their location: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March 31, 2025</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December 31, 2024</w:t>
            </w: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78,471</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49,682</w:t>
            </w: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56,332</w:t>
            </w:r>
          </w:p>
        </w:tc>
      </w:tr>
      <w:tr>
        <w:trPr>
          <w:trHeight w:val="257"/>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1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5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b w:val="1"/>
          <w:bCs w:val="1"/>
          <w:color w:val="1E1E1E"/>
        </w:rPr>
        <w:t>.</w:t>
      </w:r>
    </w:p>
    <w:p>
      <w:pPr>
        <w:spacing w:after="0" w:line="25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and the results of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2024 (the 2024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2024 Annual Report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Recursion is a leading clinical stage TechBio company decoding biology to radically improve lives. We aim to achieve our mission by industrializing drug discovery using the Recursion Operating System (OS), a vertical platform of diverse technologies that enables us to map and navigate trillions of biological, chemical and patient-centric relationships utilizing approximately 65 petabytes of proprietary data. The Recursion OS integrates ‘Real World’ data generated in our own wet-laboratories or by select partners and a ‘World Model’ which is a collection of AI computational models we also build in-house. Today, our scaled ‘wet-lab’ biology, chemistry and patient-centric experimental data feed our ‘dry-lab’ computational tools to identify, validate and translate therapeutic insights, which we can then validate in our wet-lab to both advance drug discovery programs and to generate data to further refine our world 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a few key factors that differentiate Recursion from other technology-enabled drug discovery companies.</w:t>
      </w:r>
    </w:p>
    <w:p>
      <w:pPr>
        <w:spacing w:after="0" w:line="252" w:lineRule="exact"/>
        <w:rPr>
          <w:sz w:val="20"/>
          <w:szCs w:val="20"/>
          <w:color w:val="auto"/>
        </w:rPr>
      </w:pPr>
    </w:p>
    <w:p>
      <w:pPr>
        <w:ind w:left="660" w:right="18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Recursion has built a full-stack platform utilizing many biology, chemistry and patient-centric proprietary datasets and modular tools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w:t>
      </w:r>
    </w:p>
    <w:p>
      <w:pPr>
        <w:spacing w:after="0" w:line="2" w:lineRule="exact"/>
        <w:rPr>
          <w:rFonts w:ascii="Arial" w:cs="Arial" w:eastAsia="Arial" w:hAnsi="Arial"/>
          <w:sz w:val="18"/>
          <w:szCs w:val="18"/>
          <w:color w:val="auto"/>
        </w:rPr>
      </w:pPr>
    </w:p>
    <w:p>
      <w:pPr>
        <w:ind w:left="660" w:right="220" w:hanging="328"/>
        <w:spacing w:after="0" w:line="25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Recursion integrates wet-lab and dry-lab capabilities in-house to create a virtuous cycle of iteration. Fit-for-purpose wet-lab experimental data are translated by dry-lab digital tools into in silico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2" w:lineRule="exact"/>
        <w:rPr>
          <w:rFonts w:ascii="Arial" w:cs="Arial" w:eastAsia="Arial" w:hAnsi="Arial"/>
          <w:sz w:val="18"/>
          <w:szCs w:val="18"/>
          <w:color w:val="auto"/>
        </w:rPr>
      </w:pPr>
    </w:p>
    <w:p>
      <w:pPr>
        <w:ind w:left="660" w:hanging="328"/>
        <w:spacing w:after="0" w:line="24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Recursion has achieved a significant scale with respect to its scientific, technological and business endeavors. With over 5 high potential clinical and pre-clinical programs across oncology and rare disease indications, four of the largest discovery partnerships in the biopharma industry with Roche-Genentech, Sanofi, Bayer and Merck KGaA and four technology-focused partnerships, Recursion is on the precipice of demonstrating the potential of technology-driven approaches to increase speed, quality and scalability of drug discovery.</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5863590" cy="2760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3590"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leverage the Recursion OS to deliver value in three ways: 1) our own pipeline of clinical and preclinical potential medicines focused in precision oncology, rare disease and other areas of high unmet need; 2) by discovering new medicines with large biopharmaceutical companies in some of the biggest areas of unmet need in medicine like neuroscience and inflammation; and 3) by leveraging our tools, technology and data for the benefit of other partners in targeted and limited ways.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actively advancing key catalysts in our pipeline while demonstrating significant progress in addressing high unmet medical needs. At the same time, we continue to validate various components of the Recursion OS, which has played a role in advancing every program in our portfolio, reinforcing its potential to accelerate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863590" cy="2726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Updates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Program Data</w:t>
      </w:r>
    </w:p>
    <w:p>
      <w:pPr>
        <w:spacing w:after="0" w:line="27" w:lineRule="exact"/>
        <w:rPr>
          <w:sz w:val="20"/>
          <w:szCs w:val="20"/>
          <w:color w:val="auto"/>
        </w:rPr>
      </w:pPr>
    </w:p>
    <w:p>
      <w:pPr>
        <w:ind w:left="660" w:right="360" w:hanging="328"/>
        <w:spacing w:after="0" w:line="24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REC-4881 (MEK1/2): </w:t>
      </w:r>
      <w:r>
        <w:rPr>
          <w:rFonts w:ascii="Arial" w:cs="Arial" w:eastAsia="Arial" w:hAnsi="Arial"/>
          <w:sz w:val="18"/>
          <w:szCs w:val="18"/>
          <w:color w:val="auto"/>
        </w:rPr>
        <w:t>Preliminary data presented at DDW as a late-breaking oral presentation on May 4, 2025 from the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Phase 1b/2 TUPELO study of REC-4881 in familial adenomatous polyposis (FAP):</w:t>
      </w:r>
    </w:p>
    <w:p>
      <w:pPr>
        <w:spacing w:after="0" w:line="1" w:lineRule="exact"/>
        <w:rPr>
          <w:rFonts w:ascii="Arial" w:cs="Arial" w:eastAsia="Arial" w:hAnsi="Arial"/>
          <w:sz w:val="18"/>
          <w:szCs w:val="18"/>
          <w:color w:val="auto"/>
        </w:rPr>
      </w:pPr>
    </w:p>
    <w:p>
      <w:pPr>
        <w:ind w:left="1300" w:right="300" w:hanging="320"/>
        <w:spacing w:after="0" w:line="250" w:lineRule="auto"/>
        <w:tabs>
          <w:tab w:leader="none" w:pos="1287"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the Phase 2 open-label study, REC-4881 (4 mg QD) led to a preliminary median 43% reduction (n=6 patients) in polyp burden at the week 13 assessment at time of data cutoff.</w:t>
      </w:r>
    </w:p>
    <w:p>
      <w:pPr>
        <w:ind w:left="1300" w:right="20" w:hanging="320"/>
        <w:spacing w:after="0" w:line="250" w:lineRule="auto"/>
        <w:tabs>
          <w:tab w:leader="none" w:pos="1287" w:val="left"/>
        </w:tabs>
        <w:numPr>
          <w:ilvl w:val="1"/>
          <w:numId w:val="7"/>
        </w:numPr>
        <w:rPr>
          <w:rFonts w:ascii="Arial" w:cs="Arial" w:eastAsia="Arial" w:hAnsi="Arial"/>
          <w:sz w:val="18"/>
          <w:szCs w:val="18"/>
          <w:color w:val="auto"/>
        </w:rPr>
      </w:pPr>
      <w:r>
        <w:rPr>
          <w:rFonts w:ascii="Arial" w:cs="Arial" w:eastAsia="Arial" w:hAnsi="Arial"/>
          <w:sz w:val="18"/>
          <w:szCs w:val="18"/>
          <w:color w:val="auto"/>
        </w:rPr>
        <w:t>Five of six patients (83%) experienced reductions in polyp burden ranging from 31% to 82%, however, one patient showed a substantial increase from baseline.</w:t>
      </w:r>
    </w:p>
    <w:p>
      <w:pPr>
        <w:ind w:left="1300" w:hanging="320"/>
        <w:spacing w:after="0" w:line="253" w:lineRule="auto"/>
        <w:tabs>
          <w:tab w:leader="none" w:pos="1287"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Week 13, 50% of patients (3 out of 6) achieved ≥1-point improvement in Spigelman stage, a measure of upper GI disease severity.</w:t>
      </w:r>
    </w:p>
    <w:p>
      <w:pPr>
        <w:ind w:left="1300" w:hanging="320"/>
        <w:spacing w:after="0" w:line="234" w:lineRule="auto"/>
        <w:tabs>
          <w:tab w:leader="none" w:pos="1298" w:val="left"/>
        </w:tabs>
        <w:numPr>
          <w:ilvl w:val="1"/>
          <w:numId w:val="7"/>
        </w:numPr>
        <w:rPr>
          <w:rFonts w:ascii="Arial" w:cs="Arial" w:eastAsia="Arial" w:hAnsi="Arial"/>
          <w:sz w:val="20"/>
          <w:szCs w:val="20"/>
          <w:color w:val="auto"/>
        </w:rPr>
      </w:pPr>
      <w:r>
        <w:rPr>
          <w:rFonts w:ascii="Arial" w:cs="Arial" w:eastAsia="Arial" w:hAnsi="Arial"/>
          <w:sz w:val="18"/>
          <w:szCs w:val="18"/>
          <w:color w:val="1B1C1D"/>
        </w:rPr>
        <w:t>The early safety profile of REC-4881 was generally consistent with that of prior MEK1/2 inhibitors; among 19 patients across Phase 1b and 2, most treatment-related adverse events were Grade 1 or 2, with Grade 3 events in 16% of patients and no Grade ≥4 TRAEs reported to date.</w:t>
      </w:r>
    </w:p>
    <w:p>
      <w:pPr>
        <w:spacing w:after="0" w:line="1" w:lineRule="exact"/>
        <w:rPr>
          <w:rFonts w:ascii="Arial" w:cs="Arial" w:eastAsia="Arial" w:hAnsi="Arial"/>
          <w:sz w:val="20"/>
          <w:szCs w:val="20"/>
          <w:color w:val="auto"/>
        </w:rPr>
      </w:pPr>
    </w:p>
    <w:p>
      <w:pPr>
        <w:ind w:left="660" w:right="180" w:hanging="328"/>
        <w:spacing w:after="0" w:line="239" w:lineRule="auto"/>
        <w:tabs>
          <w:tab w:leader="none" w:pos="648" w:val="left"/>
        </w:tabs>
        <w:numPr>
          <w:ilvl w:val="0"/>
          <w:numId w:val="7"/>
        </w:numPr>
        <w:rPr>
          <w:rFonts w:ascii="Arial" w:cs="Arial" w:eastAsia="Arial" w:hAnsi="Arial"/>
          <w:sz w:val="20"/>
          <w:szCs w:val="20"/>
          <w:color w:val="1E1E1E"/>
        </w:rPr>
      </w:pPr>
      <w:r>
        <w:rPr>
          <w:rFonts w:ascii="Arial" w:cs="Arial" w:eastAsia="Arial" w:hAnsi="Arial"/>
          <w:sz w:val="18"/>
          <w:szCs w:val="18"/>
          <w:b w:val="1"/>
          <w:bCs w:val="1"/>
          <w:color w:val="auto"/>
        </w:rPr>
        <w:t xml:space="preserve">REC-7735 (PI3Kα H1047R): </w:t>
      </w:r>
      <w:r>
        <w:rPr>
          <w:rFonts w:ascii="Arial" w:cs="Arial" w:eastAsia="Arial" w:hAnsi="Arial"/>
          <w:sz w:val="18"/>
          <w:szCs w:val="18"/>
          <w:color w:val="auto"/>
        </w:rPr>
        <w:t>Candidate profiling ongoing targeting PI3Kα H1047R mutant breast cancer; DC nomination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2H25:</w:t>
      </w:r>
    </w:p>
    <w:p>
      <w:pPr>
        <w:spacing w:after="0" w:line="1" w:lineRule="exact"/>
        <w:rPr>
          <w:rFonts w:ascii="Arial" w:cs="Arial" w:eastAsia="Arial" w:hAnsi="Arial"/>
          <w:sz w:val="20"/>
          <w:szCs w:val="20"/>
          <w:color w:val="1E1E1E"/>
        </w:rPr>
      </w:pPr>
    </w:p>
    <w:p>
      <w:pPr>
        <w:ind w:left="1300" w:hanging="320"/>
        <w:spacing w:after="0" w:line="234" w:lineRule="auto"/>
        <w:tabs>
          <w:tab w:leader="none" w:pos="1300" w:val="left"/>
        </w:tabs>
        <w:numPr>
          <w:ilvl w:val="1"/>
          <w:numId w:val="7"/>
        </w:numPr>
        <w:rPr>
          <w:rFonts w:ascii="Arial" w:cs="Arial" w:eastAsia="Arial" w:hAnsi="Arial"/>
          <w:sz w:val="20"/>
          <w:szCs w:val="20"/>
          <w:color w:val="auto"/>
        </w:rPr>
      </w:pPr>
      <w:r>
        <w:rPr>
          <w:rFonts w:ascii="Arial" w:cs="Arial" w:eastAsia="Arial" w:hAnsi="Arial"/>
          <w:sz w:val="18"/>
          <w:szCs w:val="18"/>
          <w:color w:val="1B1C1D"/>
        </w:rPr>
        <w:t>Highly selective and structurally differentiated molecule to reduce dose-limiting hyperglycemia.</w:t>
      </w:r>
    </w:p>
    <w:p>
      <w:pPr>
        <w:ind w:left="1300" w:right="200" w:hanging="320"/>
        <w:spacing w:after="0" w:line="237" w:lineRule="auto"/>
        <w:tabs>
          <w:tab w:leader="none" w:pos="1298" w:val="left"/>
        </w:tabs>
        <w:numPr>
          <w:ilvl w:val="1"/>
          <w:numId w:val="7"/>
        </w:numPr>
        <w:rPr>
          <w:rFonts w:ascii="Arial" w:cs="Arial" w:eastAsia="Arial" w:hAnsi="Arial"/>
          <w:sz w:val="20"/>
          <w:szCs w:val="20"/>
          <w:color w:val="auto"/>
        </w:rPr>
      </w:pPr>
      <w:r>
        <w:rPr>
          <w:rFonts w:ascii="Arial" w:cs="Arial" w:eastAsia="Arial" w:hAnsi="Arial"/>
          <w:sz w:val="18"/>
          <w:szCs w:val="18"/>
          <w:color w:val="1B1C1D"/>
        </w:rPr>
        <w:t>REC-7735 showed dose-dependent tumor regression in PI3Kα H1047R CDX models, with no elevation in insulin levels or hyperglycemia markers in wild-type mice, unlike standard-of-care PI3K inhibitors.</w:t>
      </w:r>
    </w:p>
    <w:p>
      <w:pPr>
        <w:ind w:left="1300" w:right="240" w:hanging="320"/>
        <w:spacing w:after="0" w:line="222" w:lineRule="auto"/>
        <w:tabs>
          <w:tab w:leader="none" w:pos="1298" w:val="left"/>
        </w:tabs>
        <w:numPr>
          <w:ilvl w:val="1"/>
          <w:numId w:val="7"/>
        </w:numPr>
        <w:rPr>
          <w:rFonts w:ascii="Arial" w:cs="Arial" w:eastAsia="Arial" w:hAnsi="Arial"/>
          <w:sz w:val="20"/>
          <w:szCs w:val="20"/>
          <w:color w:val="auto"/>
        </w:rPr>
      </w:pPr>
      <w:r>
        <w:rPr>
          <w:rFonts w:ascii="Arial" w:cs="Arial" w:eastAsia="Arial" w:hAnsi="Arial"/>
          <w:sz w:val="18"/>
          <w:szCs w:val="18"/>
          <w:color w:val="1B1C1D"/>
        </w:rPr>
        <w:t>Demonstrated dose-dependent tumor regression in preclinical models, with low-dose REC-7735 outperforming high-dose capivasertib (AKT inhibitor) in efficacy and tolerability.</w:t>
      </w:r>
    </w:p>
    <w:p>
      <w:pPr>
        <w:ind w:left="660" w:right="460" w:hanging="328"/>
        <w:spacing w:after="0" w:line="242" w:lineRule="auto"/>
        <w:tabs>
          <w:tab w:leader="none" w:pos="655" w:val="left"/>
        </w:tabs>
        <w:numPr>
          <w:ilvl w:val="0"/>
          <w:numId w:val="7"/>
        </w:numPr>
        <w:rPr>
          <w:rFonts w:ascii="Arial" w:cs="Arial" w:eastAsia="Arial" w:hAnsi="Arial"/>
          <w:sz w:val="18"/>
          <w:szCs w:val="18"/>
          <w:color w:val="1E1E1E"/>
        </w:rPr>
      </w:pPr>
      <w:r>
        <w:rPr>
          <w:rFonts w:ascii="Arial" w:cs="Arial" w:eastAsia="Arial" w:hAnsi="Arial"/>
          <w:sz w:val="18"/>
          <w:szCs w:val="18"/>
          <w:b w:val="1"/>
          <w:bCs w:val="1"/>
          <w:color w:val="auto"/>
        </w:rPr>
        <w:t xml:space="preserve">REV102 (ENPP1): </w:t>
      </w:r>
      <w:r>
        <w:rPr>
          <w:rFonts w:ascii="Arial" w:cs="Arial" w:eastAsia="Arial" w:hAnsi="Arial"/>
          <w:sz w:val="18"/>
          <w:szCs w:val="18"/>
          <w:color w:val="auto"/>
        </w:rPr>
        <w:t>IIND-enabling studies ongoing for hypophosphatasia (HPP) in development with Rallybio; Phase 1 initiation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2H26;</w:t>
      </w:r>
    </w:p>
    <w:p>
      <w:pPr>
        <w:spacing w:after="0" w:line="1" w:lineRule="exact"/>
        <w:rPr>
          <w:rFonts w:ascii="Arial" w:cs="Arial" w:eastAsia="Arial" w:hAnsi="Arial"/>
          <w:sz w:val="18"/>
          <w:szCs w:val="18"/>
          <w:color w:val="1E1E1E"/>
        </w:rPr>
      </w:pPr>
    </w:p>
    <w:p>
      <w:pPr>
        <w:ind w:left="1300" w:hanging="320"/>
        <w:spacing w:after="0" w:line="23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1B1C1D"/>
        </w:rPr>
        <w:t>Highly selective and orally bioavailable molecule supports QD or BID dosing.</w:t>
      </w:r>
    </w:p>
    <w:p>
      <w:pPr>
        <w:ind w:left="1300" w:right="380" w:hanging="320"/>
        <w:spacing w:after="0" w:line="242" w:lineRule="auto"/>
        <w:tabs>
          <w:tab w:leader="none" w:pos="1287"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1B1C1D"/>
        </w:rPr>
        <w:t xml:space="preserve">In vivo </w:t>
      </w:r>
      <w:r>
        <w:rPr>
          <w:rFonts w:ascii="Arial" w:cs="Arial" w:eastAsia="Arial" w:hAnsi="Arial"/>
          <w:sz w:val="18"/>
          <w:szCs w:val="18"/>
          <w:color w:val="1B1C1D"/>
        </w:rPr>
        <w:t>data in early-onset HPP model shows improved survival while treatment in late-onset HPP model improves bone</w:t>
      </w:r>
      <w:r>
        <w:rPr>
          <w:rFonts w:ascii="Arial" w:cs="Arial" w:eastAsia="Arial" w:hAnsi="Arial"/>
          <w:sz w:val="18"/>
          <w:szCs w:val="18"/>
          <w:i w:val="1"/>
          <w:iCs w:val="1"/>
          <w:color w:val="1B1C1D"/>
        </w:rPr>
        <w:t xml:space="preserve"> </w:t>
      </w:r>
      <w:r>
        <w:rPr>
          <w:rFonts w:ascii="Arial" w:cs="Arial" w:eastAsia="Arial" w:hAnsi="Arial"/>
          <w:sz w:val="18"/>
          <w:szCs w:val="18"/>
          <w:color w:val="1B1C1D"/>
        </w:rPr>
        <w:t>defects.</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7"/>
        </w:numPr>
        <w:rPr>
          <w:rFonts w:ascii="Arial" w:cs="Arial" w:eastAsia="Arial" w:hAnsi="Arial"/>
          <w:sz w:val="18"/>
          <w:szCs w:val="18"/>
          <w:color w:val="1B1C1D"/>
        </w:rPr>
      </w:pPr>
      <w:r>
        <w:rPr>
          <w:rFonts w:ascii="Arial" w:cs="Arial" w:eastAsia="Arial" w:hAnsi="Arial"/>
          <w:sz w:val="18"/>
          <w:szCs w:val="18"/>
          <w:color w:val="1B1C1D"/>
        </w:rPr>
        <w:t>Preliminary data supports first-in-class potential for adult-onset HPP.</w:t>
      </w:r>
    </w:p>
    <w:p>
      <w:pPr>
        <w:spacing w:after="0" w:line="232" w:lineRule="auto"/>
        <w:rPr>
          <w:sz w:val="20"/>
          <w:szCs w:val="20"/>
          <w:color w:val="auto"/>
        </w:rPr>
      </w:pPr>
      <w:r>
        <w:rPr>
          <w:rFonts w:ascii="Arial" w:cs="Arial" w:eastAsia="Arial" w:hAnsi="Arial"/>
          <w:sz w:val="18"/>
          <w:szCs w:val="18"/>
          <w:b w:val="1"/>
          <w:bCs w:val="1"/>
          <w:color w:val="1B1C1D"/>
        </w:rPr>
        <w:t>Additional Strategic Pipeline Programs</w:t>
      </w:r>
    </w:p>
    <w:p>
      <w:pPr>
        <w:ind w:left="640" w:hanging="308"/>
        <w:spacing w:after="0"/>
        <w:tabs>
          <w:tab w:leader="none" w:pos="640" w:val="left"/>
        </w:tabs>
        <w:numPr>
          <w:ilvl w:val="0"/>
          <w:numId w:val="8"/>
        </w:numPr>
        <w:rPr>
          <w:rFonts w:ascii="Arial" w:cs="Arial" w:eastAsia="Arial" w:hAnsi="Arial"/>
          <w:sz w:val="20"/>
          <w:szCs w:val="20"/>
          <w:color w:val="1B1C1D"/>
        </w:rPr>
      </w:pPr>
      <w:r>
        <w:rPr>
          <w:rFonts w:ascii="Arial" w:cs="Arial" w:eastAsia="Arial" w:hAnsi="Arial"/>
          <w:sz w:val="18"/>
          <w:szCs w:val="18"/>
          <w:color w:val="auto"/>
        </w:rPr>
        <w:t>Focus on highest value programs in core therapeutic areas (oncology and rare disease):</w:t>
      </w:r>
    </w:p>
    <w:p>
      <w:pPr>
        <w:spacing w:after="0" w:line="13" w:lineRule="exact"/>
        <w:rPr>
          <w:rFonts w:ascii="Arial" w:cs="Arial" w:eastAsia="Arial" w:hAnsi="Arial"/>
          <w:sz w:val="20"/>
          <w:szCs w:val="20"/>
          <w:color w:val="1B1C1D"/>
        </w:rPr>
      </w:pPr>
    </w:p>
    <w:p>
      <w:pPr>
        <w:ind w:left="1300" w:right="700" w:hanging="320"/>
        <w:spacing w:after="0" w:line="238" w:lineRule="auto"/>
        <w:tabs>
          <w:tab w:leader="none" w:pos="1298"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REC-617 (CDK7): </w:t>
      </w:r>
      <w:r>
        <w:rPr>
          <w:rFonts w:ascii="Arial" w:cs="Arial" w:eastAsia="Arial" w:hAnsi="Arial"/>
          <w:sz w:val="18"/>
          <w:szCs w:val="18"/>
          <w:color w:val="auto"/>
        </w:rPr>
        <w:t>Phase 1/2 ELUCIDATE study ongoing in advanced solid tumors; molecule designed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index; best-in-class potential.</w:t>
      </w:r>
    </w:p>
    <w:p>
      <w:pPr>
        <w:spacing w:after="0" w:line="1" w:lineRule="exact"/>
        <w:rPr>
          <w:rFonts w:ascii="Arial" w:cs="Arial" w:eastAsia="Arial" w:hAnsi="Arial"/>
          <w:sz w:val="20"/>
          <w:szCs w:val="20"/>
          <w:color w:val="auto"/>
        </w:rPr>
      </w:pPr>
    </w:p>
    <w:p>
      <w:pPr>
        <w:ind w:left="1300" w:right="220" w:hanging="320"/>
        <w:spacing w:after="0" w:line="237" w:lineRule="auto"/>
        <w:tabs>
          <w:tab w:leader="none" w:pos="1298"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REC-1245 (RBM39): </w:t>
      </w:r>
      <w:r>
        <w:rPr>
          <w:rFonts w:ascii="Arial" w:cs="Arial" w:eastAsia="Arial" w:hAnsi="Arial"/>
          <w:sz w:val="18"/>
          <w:szCs w:val="18"/>
          <w:color w:val="auto"/>
        </w:rPr>
        <w:t>Phase 1/2 DAHLIA study with dose-escalation ongoing for biomarker-selected solid tumors and R/R</w:t>
      </w:r>
      <w:r>
        <w:rPr>
          <w:rFonts w:ascii="Arial" w:cs="Arial" w:eastAsia="Arial" w:hAnsi="Arial"/>
          <w:sz w:val="18"/>
          <w:szCs w:val="18"/>
          <w:b w:val="1"/>
          <w:bCs w:val="1"/>
          <w:color w:val="auto"/>
        </w:rPr>
        <w:t xml:space="preserve"> </w:t>
      </w:r>
      <w:r>
        <w:rPr>
          <w:rFonts w:ascii="Arial" w:cs="Arial" w:eastAsia="Arial" w:hAnsi="Arial"/>
          <w:sz w:val="18"/>
          <w:szCs w:val="18"/>
          <w:color w:val="auto"/>
        </w:rPr>
        <w:t>lymphomas; novel mechanism of action identified to modulate DDR; first-in-class potential.</w:t>
      </w:r>
    </w:p>
    <w:p>
      <w:pPr>
        <w:ind w:left="1300" w:right="100" w:hanging="320"/>
        <w:spacing w:after="0" w:line="237" w:lineRule="auto"/>
        <w:tabs>
          <w:tab w:leader="none" w:pos="1298"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REC-3565 (MALT1): </w:t>
      </w:r>
      <w:r>
        <w:rPr>
          <w:rFonts w:ascii="Arial" w:cs="Arial" w:eastAsia="Arial" w:hAnsi="Arial"/>
          <w:sz w:val="18"/>
          <w:szCs w:val="18"/>
          <w:color w:val="auto"/>
        </w:rPr>
        <w:t>Phase 1 EXCELERIZE study recently initiated for B cell malignancies; designed to avoid UGT1A1 on-target toxicity; best-in-class potential.</w:t>
      </w:r>
    </w:p>
    <w:p>
      <w:pPr>
        <w:ind w:left="1300" w:right="60" w:hanging="320"/>
        <w:spacing w:after="0" w:line="237" w:lineRule="auto"/>
        <w:tabs>
          <w:tab w:leader="none" w:pos="1298"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 xml:space="preserve">REC-4539 (LSD1): </w:t>
      </w:r>
      <w:r>
        <w:rPr>
          <w:rFonts w:ascii="Arial" w:cs="Arial" w:eastAsia="Arial" w:hAnsi="Arial"/>
          <w:sz w:val="18"/>
          <w:szCs w:val="18"/>
          <w:color w:val="auto"/>
        </w:rPr>
        <w:t>Precision designed for reversibility and CNS penetration in solid tumors (e.g., SCLC); strategic pause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a competitive Target Product Profile.</w:t>
      </w:r>
    </w:p>
    <w:p>
      <w:pPr>
        <w:ind w:left="1300" w:hanging="320"/>
        <w:spacing w:after="0" w:line="230" w:lineRule="auto"/>
        <w:tabs>
          <w:tab w:leader="none" w:pos="1300" w:val="left"/>
        </w:tabs>
        <w:numPr>
          <w:ilvl w:val="1"/>
          <w:numId w:val="8"/>
        </w:numPr>
        <w:rPr>
          <w:rFonts w:ascii="Arial" w:cs="Arial" w:eastAsia="Arial" w:hAnsi="Arial"/>
          <w:sz w:val="20"/>
          <w:szCs w:val="20"/>
          <w:color w:val="auto"/>
        </w:rPr>
      </w:pPr>
      <w:r>
        <w:rPr>
          <w:rFonts w:ascii="Arial" w:cs="Arial" w:eastAsia="Arial" w:hAnsi="Arial"/>
          <w:sz w:val="18"/>
          <w:szCs w:val="18"/>
          <w:color w:val="auto"/>
        </w:rPr>
        <w:t>Continued focus on advancing additional discovery programs that meet key criteria.</w:t>
      </w:r>
    </w:p>
    <w:p>
      <w:pPr>
        <w:spacing w:after="0" w:line="247" w:lineRule="exact"/>
        <w:rPr>
          <w:rFonts w:ascii="Arial" w:cs="Arial" w:eastAsia="Arial" w:hAnsi="Arial"/>
          <w:sz w:val="20"/>
          <w:szCs w:val="20"/>
          <w:color w:val="auto"/>
        </w:rPr>
      </w:pPr>
    </w:p>
    <w:p>
      <w:pPr>
        <w:ind w:left="660" w:right="480" w:hanging="328"/>
        <w:spacing w:after="0" w:line="254" w:lineRule="auto"/>
        <w:tabs>
          <w:tab w:leader="none" w:pos="648" w:val="left"/>
        </w:tabs>
        <w:numPr>
          <w:ilvl w:val="0"/>
          <w:numId w:val="8"/>
        </w:numPr>
        <w:rPr>
          <w:rFonts w:ascii="Arial" w:cs="Arial" w:eastAsia="Arial" w:hAnsi="Arial"/>
          <w:sz w:val="20"/>
          <w:szCs w:val="20"/>
          <w:color w:val="1B1C1D"/>
        </w:rPr>
      </w:pPr>
      <w:r>
        <w:rPr>
          <w:rFonts w:ascii="Arial" w:cs="Arial" w:eastAsia="Arial" w:hAnsi="Arial"/>
          <w:sz w:val="18"/>
          <w:szCs w:val="18"/>
          <w:color w:val="auto"/>
        </w:rPr>
        <w:t>As part of this prioritization, the Company will discontinue development and/or pursue partnering opportunities for the following clinical programs:</w:t>
      </w:r>
    </w:p>
    <w:p>
      <w:pPr>
        <w:spacing w:after="0" w:line="1" w:lineRule="exact"/>
        <w:rPr>
          <w:rFonts w:ascii="Arial" w:cs="Arial" w:eastAsia="Arial" w:hAnsi="Arial"/>
          <w:sz w:val="20"/>
          <w:szCs w:val="20"/>
          <w:color w:val="1B1C1D"/>
        </w:rPr>
      </w:pPr>
    </w:p>
    <w:p>
      <w:pPr>
        <w:ind w:left="1300" w:hanging="320"/>
        <w:spacing w:after="0" w:line="238" w:lineRule="auto"/>
        <w:tabs>
          <w:tab w:leader="none" w:pos="1300"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REC-2282 (NF2)</w:t>
      </w:r>
      <w:r>
        <w:rPr>
          <w:rFonts w:ascii="Arial" w:cs="Arial" w:eastAsia="Arial" w:hAnsi="Arial"/>
          <w:sz w:val="18"/>
          <w:szCs w:val="18"/>
          <w:color w:val="auto"/>
        </w:rPr>
        <w:t>: Totality of data supports the discontinuation of the study</w:t>
      </w:r>
    </w:p>
    <w:p>
      <w:pPr>
        <w:ind w:left="1960" w:right="420" w:hanging="332"/>
        <w:spacing w:after="0" w:line="237" w:lineRule="auto"/>
        <w:tabs>
          <w:tab w:leader="none" w:pos="1948" w:val="left"/>
        </w:tabs>
        <w:numPr>
          <w:ilvl w:val="2"/>
          <w:numId w:val="8"/>
        </w:numPr>
        <w:rPr>
          <w:rFonts w:ascii="Arial" w:cs="Arial" w:eastAsia="Arial" w:hAnsi="Arial"/>
          <w:sz w:val="20"/>
          <w:szCs w:val="20"/>
          <w:color w:val="auto"/>
        </w:rPr>
      </w:pPr>
      <w:r>
        <w:rPr>
          <w:rFonts w:ascii="Arial" w:cs="Arial" w:eastAsia="Arial" w:hAnsi="Arial"/>
          <w:sz w:val="18"/>
          <w:szCs w:val="18"/>
          <w:color w:val="auto"/>
        </w:rPr>
        <w:t>New findings: Phase 2 passed the futility threshold primarily driven by the 40mg cohort, however the 60mg and combined dose arms did not pass the futility criteria.</w:t>
      </w:r>
    </w:p>
    <w:p>
      <w:pPr>
        <w:spacing w:after="0" w:line="1" w:lineRule="exact"/>
        <w:rPr>
          <w:rFonts w:ascii="Arial" w:cs="Arial" w:eastAsia="Arial" w:hAnsi="Arial"/>
          <w:sz w:val="20"/>
          <w:szCs w:val="20"/>
          <w:color w:val="auto"/>
        </w:rPr>
      </w:pPr>
    </w:p>
    <w:p>
      <w:pPr>
        <w:ind w:left="1940" w:hanging="312"/>
        <w:spacing w:after="0" w:line="230" w:lineRule="auto"/>
        <w:tabs>
          <w:tab w:leader="none" w:pos="1940" w:val="left"/>
        </w:tabs>
        <w:numPr>
          <w:ilvl w:val="2"/>
          <w:numId w:val="8"/>
        </w:numPr>
        <w:rPr>
          <w:rFonts w:ascii="Arial" w:cs="Arial" w:eastAsia="Arial" w:hAnsi="Arial"/>
          <w:sz w:val="20"/>
          <w:szCs w:val="20"/>
          <w:color w:val="auto"/>
        </w:rPr>
      </w:pPr>
      <w:r>
        <w:rPr>
          <w:rFonts w:ascii="Arial" w:cs="Arial" w:eastAsia="Arial" w:hAnsi="Arial"/>
          <w:sz w:val="18"/>
          <w:szCs w:val="18"/>
          <w:color w:val="auto"/>
        </w:rPr>
        <w:t>Limited overall tumor shrinkage and clinical activity across all arms.</w:t>
      </w:r>
    </w:p>
    <w:p>
      <w:pPr>
        <w:spacing w:after="0" w:line="6" w:lineRule="exact"/>
        <w:rPr>
          <w:rFonts w:ascii="Arial" w:cs="Arial" w:eastAsia="Arial" w:hAnsi="Arial"/>
          <w:sz w:val="20"/>
          <w:szCs w:val="20"/>
          <w:color w:val="auto"/>
        </w:rPr>
      </w:pPr>
    </w:p>
    <w:p>
      <w:pPr>
        <w:ind w:left="1300" w:hanging="320"/>
        <w:spacing w:after="0"/>
        <w:tabs>
          <w:tab w:leader="none" w:pos="1300" w:val="left"/>
        </w:tabs>
        <w:numPr>
          <w:ilvl w:val="1"/>
          <w:numId w:val="8"/>
        </w:numPr>
        <w:rPr>
          <w:rFonts w:ascii="Arial" w:cs="Arial" w:eastAsia="Arial" w:hAnsi="Arial"/>
          <w:sz w:val="20"/>
          <w:szCs w:val="20"/>
          <w:color w:val="auto"/>
        </w:rPr>
      </w:pPr>
      <w:r>
        <w:rPr>
          <w:rFonts w:ascii="Arial" w:cs="Arial" w:eastAsia="Arial" w:hAnsi="Arial"/>
          <w:sz w:val="18"/>
          <w:szCs w:val="18"/>
          <w:b w:val="1"/>
          <w:bCs w:val="1"/>
          <w:color w:val="auto"/>
        </w:rPr>
        <w:t>REC-994 (CCM)</w:t>
      </w:r>
      <w:r>
        <w:rPr>
          <w:rFonts w:ascii="Arial" w:cs="Arial" w:eastAsia="Arial" w:hAnsi="Arial"/>
          <w:sz w:val="18"/>
          <w:szCs w:val="18"/>
          <w:color w:val="auto"/>
        </w:rPr>
        <w:t>: Totality of data supports the discontinuation of study</w:t>
      </w:r>
    </w:p>
    <w:p>
      <w:pPr>
        <w:spacing w:after="0" w:line="1" w:lineRule="exact"/>
        <w:rPr>
          <w:rFonts w:ascii="Arial" w:cs="Arial" w:eastAsia="Arial" w:hAnsi="Arial"/>
          <w:sz w:val="20"/>
          <w:szCs w:val="20"/>
          <w:color w:val="auto"/>
        </w:rPr>
      </w:pPr>
    </w:p>
    <w:p>
      <w:pPr>
        <w:ind w:left="1960" w:hanging="332"/>
        <w:spacing w:after="0" w:line="237" w:lineRule="auto"/>
        <w:tabs>
          <w:tab w:leader="none" w:pos="1948" w:val="left"/>
        </w:tabs>
        <w:numPr>
          <w:ilvl w:val="2"/>
          <w:numId w:val="8"/>
        </w:numPr>
        <w:rPr>
          <w:rFonts w:ascii="Arial" w:cs="Arial" w:eastAsia="Arial" w:hAnsi="Arial"/>
          <w:sz w:val="20"/>
          <w:szCs w:val="20"/>
          <w:color w:val="auto"/>
        </w:rPr>
      </w:pPr>
      <w:r>
        <w:rPr>
          <w:rFonts w:ascii="Arial" w:cs="Arial" w:eastAsia="Arial" w:hAnsi="Arial"/>
          <w:sz w:val="18"/>
          <w:szCs w:val="18"/>
          <w:color w:val="auto"/>
        </w:rPr>
        <w:t>Early data suggested potential promising trends in exploratory efficacy endpoints at 400mg (mean volume reduction, mRS), negative trends in efficacy at 200mg (data were not statistically significant).</w:t>
      </w:r>
    </w:p>
    <w:p>
      <w:pPr>
        <w:spacing w:after="0" w:line="1" w:lineRule="exact"/>
        <w:rPr>
          <w:rFonts w:ascii="Arial" w:cs="Arial" w:eastAsia="Arial" w:hAnsi="Arial"/>
          <w:sz w:val="20"/>
          <w:szCs w:val="20"/>
          <w:color w:val="auto"/>
        </w:rPr>
      </w:pPr>
    </w:p>
    <w:p>
      <w:pPr>
        <w:ind w:left="1960" w:right="100" w:hanging="332"/>
        <w:spacing w:after="0" w:line="238" w:lineRule="auto"/>
        <w:tabs>
          <w:tab w:leader="none" w:pos="1948" w:val="left"/>
        </w:tabs>
        <w:numPr>
          <w:ilvl w:val="2"/>
          <w:numId w:val="8"/>
        </w:numPr>
        <w:rPr>
          <w:rFonts w:ascii="Arial" w:cs="Arial" w:eastAsia="Arial" w:hAnsi="Arial"/>
          <w:sz w:val="20"/>
          <w:szCs w:val="20"/>
          <w:color w:val="auto"/>
        </w:rPr>
      </w:pPr>
      <w:r>
        <w:rPr>
          <w:rFonts w:ascii="Arial" w:cs="Arial" w:eastAsia="Arial" w:hAnsi="Arial"/>
          <w:sz w:val="18"/>
          <w:szCs w:val="18"/>
          <w:color w:val="auto"/>
        </w:rPr>
        <w:t>New findings: Long-term extension results showed no promising trends in MRI or functional outcomes in the placebo-to-400mg crossover, and the 400mg-to-400mg arm did not continue prior trends and was indistinguishable from natural history.</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hanging="320"/>
        <w:spacing w:after="0"/>
        <w:tabs>
          <w:tab w:leader="none" w:pos="1300" w:val="left"/>
        </w:tabs>
        <w:numPr>
          <w:ilvl w:val="1"/>
          <w:numId w:val="9"/>
        </w:numPr>
        <w:rPr>
          <w:rFonts w:ascii="Arial" w:cs="Arial" w:eastAsia="Arial" w:hAnsi="Arial"/>
          <w:sz w:val="20"/>
          <w:szCs w:val="20"/>
          <w:color w:val="auto"/>
        </w:rPr>
      </w:pPr>
      <w:r>
        <w:rPr>
          <w:rFonts w:ascii="Arial" w:cs="Arial" w:eastAsia="Arial" w:hAnsi="Arial"/>
          <w:sz w:val="18"/>
          <w:szCs w:val="18"/>
          <w:b w:val="1"/>
          <w:bCs w:val="1"/>
          <w:color w:val="auto"/>
        </w:rPr>
        <w:t>REC-3964 (</w:t>
      </w:r>
      <w:r>
        <w:rPr>
          <w:rFonts w:ascii="Arial" w:cs="Arial" w:eastAsia="Arial" w:hAnsi="Arial"/>
          <w:sz w:val="18"/>
          <w:szCs w:val="18"/>
          <w:b w:val="1"/>
          <w:bCs w:val="1"/>
          <w:i w:val="1"/>
          <w:iCs w:val="1"/>
          <w:color w:val="auto"/>
        </w:rPr>
        <w:t>C. difficile</w:t>
      </w:r>
      <w:r>
        <w:rPr>
          <w:rFonts w:ascii="Arial" w:cs="Arial" w:eastAsia="Arial" w:hAnsi="Arial"/>
          <w:sz w:val="18"/>
          <w:szCs w:val="18"/>
          <w:b w:val="1"/>
          <w:bCs w:val="1"/>
          <w:color w:val="auto"/>
        </w:rPr>
        <w:t>)</w:t>
      </w:r>
      <w:r>
        <w:rPr>
          <w:rFonts w:ascii="Arial" w:cs="Arial" w:eastAsia="Arial" w:hAnsi="Arial"/>
          <w:sz w:val="18"/>
          <w:szCs w:val="18"/>
          <w:color w:val="auto"/>
        </w:rPr>
        <w:t>: The Company will consider out-licensing opportunities</w:t>
      </w:r>
    </w:p>
    <w:p>
      <w:pPr>
        <w:spacing w:after="0" w:line="16" w:lineRule="exact"/>
        <w:rPr>
          <w:rFonts w:ascii="Arial" w:cs="Arial" w:eastAsia="Arial" w:hAnsi="Arial"/>
          <w:sz w:val="20"/>
          <w:szCs w:val="20"/>
          <w:color w:val="auto"/>
        </w:rPr>
      </w:pPr>
    </w:p>
    <w:p>
      <w:pPr>
        <w:ind w:left="1940" w:hanging="312"/>
        <w:spacing w:after="0" w:line="231" w:lineRule="auto"/>
        <w:tabs>
          <w:tab w:leader="none" w:pos="1940" w:val="left"/>
        </w:tabs>
        <w:numPr>
          <w:ilvl w:val="2"/>
          <w:numId w:val="9"/>
        </w:numPr>
        <w:rPr>
          <w:rFonts w:ascii="Arial" w:cs="Arial" w:eastAsia="Arial" w:hAnsi="Arial"/>
          <w:sz w:val="20"/>
          <w:szCs w:val="20"/>
          <w:color w:val="auto"/>
        </w:rPr>
      </w:pPr>
      <w:r>
        <w:rPr>
          <w:rFonts w:ascii="Arial" w:cs="Arial" w:eastAsia="Arial" w:hAnsi="Arial"/>
          <w:sz w:val="18"/>
          <w:szCs w:val="18"/>
          <w:color w:val="auto"/>
        </w:rPr>
        <w:t>Evolved treatment options result in low recurrence rates (~5%); thus limiting unmet need.</w:t>
      </w:r>
    </w:p>
    <w:p>
      <w:pPr>
        <w:spacing w:after="0" w:line="6" w:lineRule="exact"/>
        <w:rPr>
          <w:rFonts w:ascii="Arial" w:cs="Arial" w:eastAsia="Arial" w:hAnsi="Arial"/>
          <w:sz w:val="20"/>
          <w:szCs w:val="20"/>
          <w:color w:val="auto"/>
        </w:rPr>
      </w:pPr>
    </w:p>
    <w:p>
      <w:pPr>
        <w:ind w:left="1940" w:hanging="312"/>
        <w:spacing w:after="0" w:line="233" w:lineRule="auto"/>
        <w:tabs>
          <w:tab w:leader="none" w:pos="1940" w:val="left"/>
        </w:tabs>
        <w:numPr>
          <w:ilvl w:val="2"/>
          <w:numId w:val="9"/>
        </w:numPr>
        <w:rPr>
          <w:rFonts w:ascii="Arial" w:cs="Arial" w:eastAsia="Arial" w:hAnsi="Arial"/>
          <w:sz w:val="20"/>
          <w:szCs w:val="20"/>
          <w:color w:val="auto"/>
        </w:rPr>
      </w:pPr>
      <w:r>
        <w:rPr>
          <w:rFonts w:ascii="Arial" w:cs="Arial" w:eastAsia="Arial" w:hAnsi="Arial"/>
          <w:sz w:val="18"/>
          <w:szCs w:val="18"/>
          <w:color w:val="auto"/>
        </w:rPr>
        <w:t>Strategic decision to focus on other areas with greater unmet need.</w:t>
      </w:r>
    </w:p>
    <w:p>
      <w:pPr>
        <w:spacing w:after="0" w:line="221" w:lineRule="exact"/>
        <w:rPr>
          <w:rFonts w:ascii="Arial" w:cs="Arial" w:eastAsia="Arial" w:hAnsi="Arial"/>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8"/>
          <w:szCs w:val="18"/>
          <w:b w:val="1"/>
          <w:bCs w:val="1"/>
          <w:color w:val="auto"/>
        </w:rPr>
        <w:t>Upcoming milestones:</w:t>
      </w: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REC-617 (CDK7): </w:t>
      </w:r>
      <w:r>
        <w:rPr>
          <w:rFonts w:ascii="Arial" w:cs="Arial" w:eastAsia="Arial" w:hAnsi="Arial"/>
          <w:sz w:val="18"/>
          <w:szCs w:val="18"/>
          <w:color w:val="auto"/>
        </w:rPr>
        <w:t>On track to initiate CDK7 combination studies in 1H25, additional monotherapy data expected in 2H25.</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REC-4881 (MEK1/2): </w:t>
      </w:r>
      <w:r>
        <w:rPr>
          <w:rFonts w:ascii="Arial" w:cs="Arial" w:eastAsia="Arial" w:hAnsi="Arial"/>
          <w:sz w:val="18"/>
          <w:szCs w:val="18"/>
          <w:color w:val="auto"/>
        </w:rPr>
        <w:t>Additional data in FAP from TUPELO expected in 2H25.</w:t>
      </w: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REC-7735 (PI3Kα H1047R): </w:t>
      </w:r>
      <w:r>
        <w:rPr>
          <w:rFonts w:ascii="Arial" w:cs="Arial" w:eastAsia="Arial" w:hAnsi="Arial"/>
          <w:sz w:val="18"/>
          <w:szCs w:val="18"/>
          <w:color w:val="auto"/>
        </w:rPr>
        <w:t>Preclinical studies ongoing with development candidate expected in 2H25.</w:t>
      </w: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REC-1245 (RBM39): </w:t>
      </w:r>
      <w:r>
        <w:rPr>
          <w:rFonts w:ascii="Arial" w:cs="Arial" w:eastAsia="Arial" w:hAnsi="Arial"/>
          <w:sz w:val="18"/>
          <w:szCs w:val="18"/>
          <w:color w:val="auto"/>
        </w:rPr>
        <w:t>Early Phase 1 safety and PK monotherapy data expected in 1H26.</w:t>
      </w: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REC-3565 (MALT1): </w:t>
      </w:r>
      <w:r>
        <w:rPr>
          <w:rFonts w:ascii="Arial" w:cs="Arial" w:eastAsia="Arial" w:hAnsi="Arial"/>
          <w:sz w:val="18"/>
          <w:szCs w:val="18"/>
          <w:color w:val="auto"/>
        </w:rPr>
        <w:t>Early Phase 1 safety and PK monotherapy data expected in 2H26.</w:t>
      </w:r>
    </w:p>
    <w:p>
      <w:pPr>
        <w:ind w:left="1300" w:hanging="320"/>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18"/>
          <w:szCs w:val="18"/>
          <w:b w:val="1"/>
          <w:bCs w:val="1"/>
          <w:color w:val="auto"/>
        </w:rPr>
        <w:t xml:space="preserve">REV102 (ENPP1): </w:t>
      </w:r>
      <w:r>
        <w:rPr>
          <w:rFonts w:ascii="Arial" w:cs="Arial" w:eastAsia="Arial" w:hAnsi="Arial"/>
          <w:sz w:val="18"/>
          <w:szCs w:val="18"/>
          <w:color w:val="auto"/>
        </w:rPr>
        <w:t>Phase 1 initiation expected in 2H26.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Updates</w:t>
      </w:r>
    </w:p>
    <w:p>
      <w:pPr>
        <w:spacing w:after="0" w:line="2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Recursion and Sanofi advanced their fourth partnered program through a significant discovery milestone. This milestone involved the Recursion OS identifying differentiated, orally active small molecule leads against a high-interest immune cell target. These leads exhibit potential best-in-class properties, addressing significant liabilities seen in other candidates. As a result of this milestone, Recursion has received a $7 million milestone payment with the potential for over $300 million in additional milestone payments for this program. In total, the partnership has generated $130 million of cash inflows (including an upfront payment) to Recursion to date.</w:t>
      </w:r>
    </w:p>
    <w:p>
      <w:pPr>
        <w:spacing w:after="0" w:line="2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Recursion’s collaboration within Neuroscience and a GI Oncology indication for Roche and Genentech continues to bring unbiased novel biological insights to potential programs. To date, the collaboration has built five phenomaps derived from a vast dataset of over one trillion iPSC-derived cells, one hundred billion GI Oncology relevant cells, alongside around 5,000 transcriptomes representing approximately 171 TB of data. Our approach continues to integrate high-throughput screens of genetics and small molecules with detailed cell measurements, informing our AI/ML models. Looking ahead, we are actively building additional maps and are focused on leveraging the Recursion OS and collaborating with Roche and Genentech to identify new novel programs that will fuel program advancement in both a GI Oncology indication and within Neuroscience.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Updates</w:t>
      </w:r>
    </w:p>
    <w:p>
      <w:pPr>
        <w:spacing w:after="0" w:line="22" w:lineRule="exact"/>
        <w:rPr>
          <w:sz w:val="20"/>
          <w:szCs w:val="20"/>
          <w:color w:val="auto"/>
        </w:rPr>
      </w:pPr>
    </w:p>
    <w:p>
      <w:pPr>
        <w:ind w:left="660" w:right="20" w:hanging="328"/>
        <w:spacing w:after="0" w:line="238"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color w:val="auto"/>
        </w:rPr>
        <w:t>The platform is continuing to expand its ClinTech focus including high-quality, linked data assets, to industrialize clinical development, reduce costs, and accelerate the development of novel therapeutics. Updates include:</w:t>
      </w:r>
    </w:p>
    <w:p>
      <w:pPr>
        <w:spacing w:after="0" w:line="1" w:lineRule="exact"/>
        <w:rPr>
          <w:rFonts w:ascii="Arial" w:cs="Arial" w:eastAsia="Arial" w:hAnsi="Arial"/>
          <w:sz w:val="20"/>
          <w:szCs w:val="20"/>
          <w:color w:val="auto"/>
        </w:rPr>
      </w:pPr>
    </w:p>
    <w:p>
      <w:pPr>
        <w:ind w:left="1300" w:right="160" w:hanging="320"/>
        <w:spacing w:after="0" w:line="242"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Leveraging Tempus data across Recursion’s oncology programs to expand therapeutic areas, which the Company believes will enrich patient population subgroups, and help increase likelihood of response for oncology clinical programs.</w:t>
      </w:r>
    </w:p>
    <w:p>
      <w:pPr>
        <w:spacing w:after="0" w:line="1" w:lineRule="exact"/>
        <w:rPr>
          <w:rFonts w:ascii="Arial" w:cs="Arial" w:eastAsia="Arial" w:hAnsi="Arial"/>
          <w:sz w:val="18"/>
          <w:szCs w:val="18"/>
          <w:color w:val="auto"/>
        </w:rPr>
      </w:pPr>
    </w:p>
    <w:p>
      <w:pPr>
        <w:jc w:val="both"/>
        <w:ind w:left="1300" w:right="280" w:hanging="320"/>
        <w:spacing w:after="0"/>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Signing an agreement with HealthVerity to integrate de-identified data for over 340 million covered lives within the US into Recursion OS, allowing for deeper insights into patient populations, enhanced trial design and feasibility assessments, as well as clinical operations workflows.</w:t>
      </w:r>
    </w:p>
    <w:p>
      <w:pPr>
        <w:jc w:val="both"/>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collaboration with Enamine, leveraging Recursion's massive data layer of predicted protein-small molecule interactions, resulted in the generation of enriched screening libraries to target 100 key and clinically relevant drug targets. The screening libraries are now available for purchase from Enamine.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were incorporated in November 2013. In April 2021, we closed our Initial Public Offering (IPO) and issued 27.9 million shares of Class A common stock at a price of $18.00 per share, raising net proceeds of </w:t>
      </w:r>
      <w:r>
        <w:rPr>
          <w:rFonts w:ascii="Arial" w:cs="Arial" w:eastAsia="Arial" w:hAnsi="Arial"/>
          <w:sz w:val="18"/>
          <w:szCs w:val="18"/>
          <w:color w:val="1E1E1E"/>
        </w:rPr>
        <w:t>$462.4 million.</w:t>
      </w:r>
      <w:r>
        <w:rPr>
          <w:rFonts w:ascii="Arial" w:cs="Arial" w:eastAsia="Arial" w:hAnsi="Arial"/>
          <w:sz w:val="18"/>
          <w:szCs w:val="18"/>
          <w:color w:val="auto"/>
        </w:rPr>
        <w:t xml:space="preserve"> Prior to our IPO, we had raised </w:t>
      </w:r>
      <w:r>
        <w:rPr>
          <w:rFonts w:ascii="Arial" w:cs="Arial" w:eastAsia="Arial" w:hAnsi="Arial"/>
          <w:sz w:val="18"/>
          <w:szCs w:val="18"/>
          <w:color w:val="1E1E1E"/>
        </w:rPr>
        <w:t>$448.9 million</w:t>
      </w:r>
      <w:r>
        <w:rPr>
          <w:rFonts w:ascii="Arial" w:cs="Arial" w:eastAsia="Arial" w:hAnsi="Arial"/>
          <w:sz w:val="18"/>
          <w:szCs w:val="18"/>
          <w:color w:val="auto"/>
        </w:rPr>
        <w:t xml:space="preserve"> in equity financing from investors in addition to </w:t>
      </w:r>
      <w:r>
        <w:rPr>
          <w:rFonts w:ascii="Arial" w:cs="Arial" w:eastAsia="Arial" w:hAnsi="Arial"/>
          <w:sz w:val="18"/>
          <w:szCs w:val="18"/>
          <w:color w:val="1E1E1E"/>
        </w:rPr>
        <w:t>$ 30.0 million</w:t>
      </w:r>
      <w:r>
        <w:rPr>
          <w:rFonts w:ascii="Arial" w:cs="Arial" w:eastAsia="Arial" w:hAnsi="Arial"/>
          <w:sz w:val="18"/>
          <w:szCs w:val="18"/>
          <w:color w:val="auto"/>
        </w:rPr>
        <w:t xml:space="preserve"> in an upfront payment from our collaboration with Bayer AG (Bayer). In </w:t>
      </w:r>
      <w:r>
        <w:rPr>
          <w:rFonts w:ascii="Arial" w:cs="Arial" w:eastAsia="Arial" w:hAnsi="Arial"/>
          <w:sz w:val="18"/>
          <w:szCs w:val="18"/>
          <w:color w:val="1E1E1E"/>
        </w:rPr>
        <w:t>January 2022</w:t>
      </w:r>
      <w:r>
        <w:rPr>
          <w:rFonts w:ascii="Arial" w:cs="Arial" w:eastAsia="Arial" w:hAnsi="Arial"/>
          <w:sz w:val="18"/>
          <w:szCs w:val="18"/>
          <w:color w:val="auto"/>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auto"/>
        </w:rPr>
        <w:t xml:space="preserve"> from our collaboration with Roche. </w:t>
      </w:r>
      <w:r>
        <w:rPr>
          <w:rFonts w:ascii="Arial" w:cs="Arial" w:eastAsia="Arial" w:hAnsi="Arial"/>
          <w:sz w:val="18"/>
          <w:szCs w:val="18"/>
          <w:color w:val="1E1E1E"/>
        </w:rPr>
        <w:t>See Note 9, “Collaborative Development Contracts” to the</w:t>
      </w:r>
      <w:r>
        <w:rPr>
          <w:rFonts w:ascii="Arial" w:cs="Arial" w:eastAsia="Arial" w:hAnsi="Arial"/>
          <w:sz w:val="18"/>
          <w:szCs w:val="18"/>
          <w:color w:val="auto"/>
        </w:rPr>
        <w:t xml:space="preserve"> </w:t>
      </w:r>
      <w:r>
        <w:rPr>
          <w:rFonts w:ascii="Arial" w:cs="Arial" w:eastAsia="Arial" w:hAnsi="Arial"/>
          <w:sz w:val="18"/>
          <w:szCs w:val="18"/>
          <w:color w:val="1E1E1E"/>
        </w:rPr>
        <w:t xml:space="preserve">Condensed Consolidated Financial Statements for additional information on the collaboration with Roche. </w:t>
      </w:r>
      <w:r>
        <w:rPr>
          <w:rFonts w:ascii="Arial" w:cs="Arial" w:eastAsia="Arial" w:hAnsi="Arial"/>
          <w:sz w:val="18"/>
          <w:szCs w:val="18"/>
          <w:color w:val="000000"/>
        </w:rPr>
        <w:t>In October 2022, we issued</w:t>
      </w:r>
      <w:r>
        <w:rPr>
          <w:rFonts w:ascii="Arial" w:cs="Arial" w:eastAsia="Arial" w:hAnsi="Arial"/>
          <w:sz w:val="18"/>
          <w:szCs w:val="18"/>
          <w:color w:val="1E1E1E"/>
        </w:rPr>
        <w:t xml:space="preserve"> </w:t>
      </w:r>
      <w:r>
        <w:rPr>
          <w:rFonts w:ascii="Arial" w:cs="Arial" w:eastAsia="Arial" w:hAnsi="Arial"/>
          <w:sz w:val="18"/>
          <w:szCs w:val="18"/>
          <w:color w:val="000000"/>
        </w:rPr>
        <w:t xml:space="preserve">15.3 million shares of our Class A common stock at a purchase price of </w:t>
      </w:r>
      <w:r>
        <w:rPr>
          <w:rFonts w:ascii="Arial" w:cs="Arial" w:eastAsia="Arial" w:hAnsi="Arial"/>
          <w:sz w:val="18"/>
          <w:szCs w:val="18"/>
          <w:color w:val="1E1E1E"/>
        </w:rPr>
        <w:t>$ 9.80</w:t>
      </w:r>
      <w:r>
        <w:rPr>
          <w:rFonts w:ascii="Arial" w:cs="Arial" w:eastAsia="Arial" w:hAnsi="Arial"/>
          <w:sz w:val="18"/>
          <w:szCs w:val="18"/>
          <w:color w:val="000000"/>
        </w:rPr>
        <w:t xml:space="preserve"> per share in the 2022 private placement to qualified institutional buyers and </w:t>
      </w:r>
      <w:r>
        <w:rPr>
          <w:rFonts w:ascii="Arial" w:cs="Arial" w:eastAsia="Arial" w:hAnsi="Arial"/>
          <w:sz w:val="18"/>
          <w:szCs w:val="18"/>
          <w:color w:val="1E1E1E"/>
        </w:rPr>
        <w:t>institutional accredited investors for net proceeds of $143.7 million, after deducting fees and offering costs of $6.6</w:t>
      </w:r>
      <w:r>
        <w:rPr>
          <w:rFonts w:ascii="Arial" w:cs="Arial" w:eastAsia="Arial" w:hAnsi="Arial"/>
          <w:sz w:val="18"/>
          <w:szCs w:val="18"/>
          <w:color w:val="000000"/>
        </w:rPr>
        <w:t xml:space="preserve"> </w:t>
      </w:r>
      <w:r>
        <w:rPr>
          <w:rFonts w:ascii="Arial" w:cs="Arial" w:eastAsia="Arial" w:hAnsi="Arial"/>
          <w:sz w:val="18"/>
          <w:szCs w:val="18"/>
          <w:color w:val="1E1E1E"/>
        </w:rPr>
        <w:t xml:space="preserve">million. In </w:t>
      </w:r>
      <w:r>
        <w:rPr>
          <w:rFonts w:ascii="Arial" w:cs="Arial" w:eastAsia="Arial" w:hAnsi="Arial"/>
          <w:sz w:val="18"/>
          <w:szCs w:val="18"/>
          <w:color w:val="000000"/>
        </w:rPr>
        <w:t>July 2023</w:t>
      </w:r>
      <w:r>
        <w:rPr>
          <w:rFonts w:ascii="Arial" w:cs="Arial" w:eastAsia="Arial" w:hAnsi="Arial"/>
          <w:sz w:val="18"/>
          <w:szCs w:val="18"/>
          <w:color w:val="1E1E1E"/>
        </w:rPr>
        <w:t>, we issued an aggregate of</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7.7 million </w:t>
      </w:r>
      <w:r>
        <w:rPr>
          <w:rFonts w:ascii="Arial" w:cs="Arial" w:eastAsia="Arial" w:hAnsi="Arial"/>
          <w:sz w:val="18"/>
          <w:szCs w:val="18"/>
          <w:color w:val="1E1E1E"/>
        </w:rPr>
        <w:t>shares of our Class A common stock at a purchase price of $6.49 per share in the 2023 Private Placement with NVIDIA</w:t>
      </w:r>
      <w:r>
        <w:rPr>
          <w:rFonts w:ascii="Arial" w:cs="Arial" w:eastAsia="Arial" w:hAnsi="Arial"/>
          <w:sz w:val="18"/>
          <w:szCs w:val="18"/>
          <w:color w:val="auto"/>
        </w:rPr>
        <w:t xml:space="preserve"> </w:t>
      </w:r>
      <w:r>
        <w:rPr>
          <w:rFonts w:ascii="Arial" w:cs="Arial" w:eastAsia="Arial" w:hAnsi="Arial"/>
          <w:sz w:val="18"/>
          <w:szCs w:val="18"/>
          <w:color w:val="1E1E1E"/>
        </w:rPr>
        <w:t xml:space="preserve">Corporation for net proceeds of approximately $49.9 million. In </w:t>
      </w:r>
      <w:r>
        <w:rPr>
          <w:rFonts w:ascii="Arial" w:cs="Arial" w:eastAsia="Arial" w:hAnsi="Arial"/>
          <w:sz w:val="18"/>
          <w:szCs w:val="18"/>
          <w:color w:val="000000"/>
        </w:rPr>
        <w:t>August 2023</w:t>
      </w:r>
      <w:r>
        <w:rPr>
          <w:rFonts w:ascii="Arial" w:cs="Arial" w:eastAsia="Arial" w:hAnsi="Arial"/>
          <w:sz w:val="18"/>
          <w:szCs w:val="18"/>
          <w:color w:val="1E1E1E"/>
        </w:rPr>
        <w:t>, we entered into an O</w:t>
      </w:r>
      <w:r>
        <w:rPr>
          <w:rFonts w:ascii="Arial" w:cs="Arial" w:eastAsia="Arial" w:hAnsi="Arial"/>
          <w:sz w:val="18"/>
          <w:szCs w:val="18"/>
          <w:color w:val="000000"/>
        </w:rPr>
        <w:t>pen Market Sales Agreement with Jefferies</w:t>
      </w:r>
      <w:r>
        <w:rPr>
          <w:rFonts w:ascii="Arial" w:cs="Arial" w:eastAsia="Arial" w:hAnsi="Arial"/>
          <w:sz w:val="18"/>
          <w:szCs w:val="18"/>
          <w:color w:val="1E1E1E"/>
        </w:rPr>
        <w:t xml:space="preserve"> </w:t>
      </w:r>
      <w:r>
        <w:rPr>
          <w:rFonts w:ascii="Arial" w:cs="Arial" w:eastAsia="Arial" w:hAnsi="Arial"/>
          <w:sz w:val="18"/>
          <w:szCs w:val="18"/>
          <w:color w:val="000000"/>
        </w:rPr>
        <w:t xml:space="preserve">LLC to provide for the offering, 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000000"/>
        </w:rPr>
        <w:t xml:space="preserve"> of its Class A common stock. The Company has sold 26.8 million shares and received net proceeds of $199.1 million under the agreement. In June 2024, we issued an aggregate of</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35.4 million shares of our Class A common stock at a purchase price of </w:t>
      </w:r>
      <w:r>
        <w:rPr>
          <w:rFonts w:ascii="Arial" w:cs="Arial" w:eastAsia="Arial" w:hAnsi="Arial"/>
          <w:sz w:val="18"/>
          <w:szCs w:val="18"/>
          <w:color w:val="1E1E1E"/>
        </w:rPr>
        <w:t>$6.50</w:t>
      </w:r>
      <w:r>
        <w:rPr>
          <w:rFonts w:ascii="Arial" w:cs="Arial" w:eastAsia="Arial" w:hAnsi="Arial"/>
          <w:sz w:val="18"/>
          <w:szCs w:val="18"/>
          <w:color w:val="auto"/>
        </w:rPr>
        <w:t xml:space="preserve"> per share and received net proceeds of $216.4 million</w:t>
      </w:r>
      <w:r>
        <w:rPr>
          <w:rFonts w:ascii="Arial" w:cs="Arial" w:eastAsia="Arial" w:hAnsi="Arial"/>
          <w:sz w:val="18"/>
          <w:szCs w:val="18"/>
          <w:color w:val="1E1E1E"/>
        </w:rPr>
        <w:t>, after</w:t>
      </w:r>
      <w:r>
        <w:rPr>
          <w:rFonts w:ascii="Arial" w:cs="Arial" w:eastAsia="Arial" w:hAnsi="Arial"/>
          <w:sz w:val="18"/>
          <w:szCs w:val="18"/>
          <w:color w:val="auto"/>
        </w:rPr>
        <w:t xml:space="preserve"> </w:t>
      </w:r>
      <w:r>
        <w:rPr>
          <w:rFonts w:ascii="Arial" w:cs="Arial" w:eastAsia="Arial" w:hAnsi="Arial"/>
          <w:sz w:val="18"/>
          <w:szCs w:val="18"/>
          <w:color w:val="1E1E1E"/>
        </w:rPr>
        <w:t xml:space="preserve">deducting </w:t>
      </w:r>
      <w:r>
        <w:rPr>
          <w:rFonts w:ascii="Arial" w:cs="Arial" w:eastAsia="Arial" w:hAnsi="Arial"/>
          <w:sz w:val="18"/>
          <w:szCs w:val="18"/>
          <w:color w:val="000000"/>
        </w:rPr>
        <w:t>transaction costs of $13.6 million.</w:t>
      </w:r>
      <w:r>
        <w:rPr>
          <w:rFonts w:ascii="Arial" w:cs="Arial" w:eastAsia="Arial" w:hAnsi="Arial"/>
          <w:sz w:val="18"/>
          <w:szCs w:val="18"/>
          <w:color w:val="1E1E1E"/>
        </w:rPr>
        <w:t xml:space="preserve"> See Note 8, “Common Stock” to the Condensed Consolidated Financial Statements for additional information on the public offering. In September 2024</w:t>
      </w:r>
      <w:r>
        <w:rPr>
          <w:rFonts w:ascii="Arial" w:cs="Arial" w:eastAsia="Arial" w:hAnsi="Arial"/>
          <w:sz w:val="18"/>
          <w:szCs w:val="18"/>
          <w:color w:val="000000"/>
        </w:rPr>
        <w:t>, we received a Phenomap acceptance fee of $30.0 million from our</w:t>
      </w:r>
      <w:r>
        <w:rPr>
          <w:rFonts w:ascii="Arial" w:cs="Arial" w:eastAsia="Arial" w:hAnsi="Arial"/>
          <w:sz w:val="18"/>
          <w:szCs w:val="18"/>
          <w:color w:val="1E1E1E"/>
        </w:rPr>
        <w:t xml:space="preserve"> </w:t>
      </w:r>
      <w:r>
        <w:rPr>
          <w:rFonts w:ascii="Arial" w:cs="Arial" w:eastAsia="Arial" w:hAnsi="Arial"/>
          <w:sz w:val="18"/>
          <w:szCs w:val="18"/>
          <w:color w:val="000000"/>
        </w:rPr>
        <w:t xml:space="preserve">collaboration with Roche. In </w:t>
      </w:r>
      <w:r>
        <w:rPr>
          <w:rFonts w:ascii="Arial" w:cs="Arial" w:eastAsia="Arial" w:hAnsi="Arial"/>
          <w:sz w:val="18"/>
          <w:szCs w:val="18"/>
          <w:color w:val="1E1E1E"/>
        </w:rPr>
        <w:t>February 2025</w:t>
      </w:r>
      <w:r>
        <w:rPr>
          <w:rFonts w:ascii="Arial" w:cs="Arial" w:eastAsia="Arial" w:hAnsi="Arial"/>
          <w:sz w:val="18"/>
          <w:szCs w:val="18"/>
          <w:color w:val="000000"/>
        </w:rPr>
        <w:t>, the Company terminated the Sales Agreement with Jefferies LLC and entered into a Sales Agreement with Citigroup Capital Markets Inc., to provide for the offering, issuance and sale of up to an aggregate amount of 500.0 million of its Class A common stock. As of March 31, 2025, an amount of $495.9 million remained available for future sales under the Sales Agreement. For the three months ended March 31, 2025, the Company has sold 0.6 million shares and received net proceeds of $4.1 million under the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development, digital and other infrastructure, creation of our portfolio of intellectual property and administrative support. We do not have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products approved for commercial sale and have not generated any revenues from product sales. We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$500.5 million as of March 31, 2025. Based on our current operating plan, we believe that our cash and cash equivalents will be sufficient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our operations for at least the next twelve months.</w:t>
      </w:r>
    </w:p>
    <w:p>
      <w:pPr>
        <w:spacing w:after="0" w:line="23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Since inception, we have incurred significant operating losses. Our net losses were $202.5 million and $91.4 million during the three months ended March 31, 2025 and 2024, respectively. As of March 31, 2025, our accumulated deficit was $1.6 billion.</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80" w:type="dxa"/>
            <w:vAlign w:val="bottom"/>
          </w:tcPr>
          <w:p>
            <w:pPr>
              <w:spacing w:after="0"/>
              <w:rPr>
                <w:sz w:val="16"/>
                <w:szCs w:val="16"/>
                <w:color w:val="auto"/>
              </w:rPr>
            </w:pPr>
          </w:p>
        </w:tc>
        <w:tc>
          <w:tcPr>
            <w:tcW w:w="2160" w:type="dxa"/>
            <w:vAlign w:val="bottom"/>
            <w:gridSpan w:val="6"/>
          </w:tcPr>
          <w:p>
            <w:pPr>
              <w:jc w:val="right"/>
              <w:spacing w:after="0"/>
              <w:rPr>
                <w:sz w:val="20"/>
                <w:szCs w:val="20"/>
                <w:color w:val="auto"/>
              </w:rPr>
            </w:pPr>
            <w:r>
              <w:rPr>
                <w:rFonts w:ascii="Arial" w:cs="Arial" w:eastAsia="Arial" w:hAnsi="Arial"/>
                <w:sz w:val="16"/>
                <w:szCs w:val="16"/>
                <w:b w:val="1"/>
                <w:bCs w:val="1"/>
                <w:color w:val="auto"/>
              </w:rPr>
              <w:t>Three months ended March</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6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239"/>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11"/>
        </w:trPr>
        <w:tc>
          <w:tcPr>
            <w:tcW w:w="69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5"/>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(376)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57"/>
        </w:trPr>
        <w:tc>
          <w:tcPr>
            <w:tcW w:w="6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5"/>
        </w:trPr>
        <w:tc>
          <w:tcPr>
            <w:tcW w:w="698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10,663</w:t>
            </w:r>
          </w:p>
        </w:tc>
        <w:tc>
          <w:tcPr>
            <w:tcW w:w="64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30"/>
        </w:trPr>
        <w:tc>
          <w:tcPr>
            <w:tcW w:w="6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129,634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62,074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29"/>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54,650</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23,242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206,113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95,979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56"/>
        </w:trPr>
        <w:tc>
          <w:tcPr>
            <w:tcW w:w="6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(191,368)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(95,028)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29"/>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(11,277)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(15,465)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(202,645)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(110,493)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35"/>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   (202,487)</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(111,114)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698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1"/>
        </w:trPr>
        <w:tc>
          <w:tcPr>
            <w:tcW w:w="6980" w:type="dxa"/>
            <w:vAlign w:val="bottom"/>
          </w:tcPr>
          <w:p>
            <w:pPr>
              <w:spacing w:after="0"/>
              <w:rPr>
                <w:sz w:val="20"/>
                <w:szCs w:val="20"/>
                <w:color w:val="auto"/>
              </w:rPr>
            </w:pPr>
            <w:r>
              <w:rPr>
                <w:rFonts w:ascii="Arial" w:cs="Arial" w:eastAsia="Arial" w:hAnsi="Arial"/>
                <w:sz w:val="18"/>
                <w:szCs w:val="18"/>
                <w:color w:val="auto"/>
              </w:rPr>
              <w:t>The following table summarizes our components of revenue: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68"/>
        </w:trPr>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40"/>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March 31,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239"/>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r>
      <w:tr>
        <w:trPr>
          <w:trHeight w:val="210"/>
        </w:trPr>
        <w:tc>
          <w:tcPr>
            <w:tcW w:w="6980" w:type="dxa"/>
            <w:vAlign w:val="bottom"/>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13,491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1,327</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5"/>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303</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(377)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4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950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For the three months ended March 31, 2025, the increase in revenue compared to prior period was due to revenue recognized from our strategic partnerships with Sanofi and Merck.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740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March 31,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415"/>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35"/>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21,829 $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11,166</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10,663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months ended March 31, 2025, the change in cost of revenue compared to prior period was due to our Exscientia acquisition for which our results now also include additional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40"/>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0"/>
                <w:szCs w:val="20"/>
                <w:color w:val="auto"/>
              </w:rPr>
            </w:pPr>
          </w:p>
        </w:tc>
      </w:tr>
      <w:tr>
        <w:trPr>
          <w:trHeight w:val="415"/>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2024</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66,472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25,914</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40,558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5"/>
        </w:trPr>
        <w:tc>
          <w:tcPr>
            <w:tcW w:w="732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20,849</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16,642</w:t>
            </w:r>
          </w:p>
        </w:tc>
        <w:tc>
          <w:tcPr>
            <w:tcW w:w="260" w:type="dxa"/>
            <w:vAlign w:val="bottom"/>
          </w:tcPr>
          <w:p>
            <w:pPr>
              <w:spacing w:after="0"/>
              <w:rPr>
                <w:sz w:val="18"/>
                <w:szCs w:val="18"/>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4,207</w:t>
            </w:r>
          </w:p>
        </w:tc>
        <w:tc>
          <w:tcPr>
            <w:tcW w:w="5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16,597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960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5"/>
        </w:trPr>
        <w:tc>
          <w:tcPr>
            <w:tcW w:w="732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17,800</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7,995</w:t>
            </w:r>
          </w:p>
        </w:tc>
        <w:tc>
          <w:tcPr>
            <w:tcW w:w="260" w:type="dxa"/>
            <w:vAlign w:val="bottom"/>
          </w:tcPr>
          <w:p>
            <w:pPr>
              <w:spacing w:after="0"/>
              <w:rPr>
                <w:sz w:val="18"/>
                <w:szCs w:val="18"/>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9,805</w:t>
            </w:r>
          </w:p>
        </w:tc>
        <w:tc>
          <w:tcPr>
            <w:tcW w:w="58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7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6,544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9"/>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129,634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67,560</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62,074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92 %</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 and</w:t>
      </w:r>
    </w:p>
    <w:p>
      <w:pPr>
        <w:spacing w:after="0" w:line="9" w:lineRule="exact"/>
        <w:rPr>
          <w:rFonts w:ascii="Arial" w:cs="Arial" w:eastAsia="Arial" w:hAnsi="Arial"/>
          <w:sz w:val="18"/>
          <w:szCs w:val="18"/>
          <w:color w:val="auto"/>
        </w:rPr>
      </w:pPr>
    </w:p>
    <w:p>
      <w:pPr>
        <w:ind w:left="980" w:right="420" w:hanging="324"/>
        <w:spacing w:after="0" w:line="266"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w:t>
      </w:r>
      <w:r>
        <w:rPr>
          <w:rFonts w:ascii="Arial" w:cs="Arial" w:eastAsia="Arial" w:hAnsi="Arial"/>
          <w:sz w:val="18"/>
          <w:szCs w:val="18"/>
          <w:color w:val="1E1E1E"/>
        </w:rPr>
        <w:t>.</w:t>
      </w:r>
    </w:p>
    <w:p>
      <w:pPr>
        <w:spacing w:after="0" w:line="19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For the three months ended March 31, 2025, the increase in research and development expenses compared to the prior period was primarily driven by Tempus, Exscientia and personnel costs. Within platform, we purchased records from Tempus of $27.1 million. Our expenses also increased by $25.8 million due to our acquisition of Exscientia in November 2024, which was primarily within platform and discovery.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0"/>
        </w:trPr>
        <w:tc>
          <w:tcPr>
            <w:tcW w:w="7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6"/>
                <w:szCs w:val="16"/>
                <w:b w:val="1"/>
                <w:bCs w:val="1"/>
                <w:color w:val="auto"/>
              </w:rPr>
              <w:t>March 31,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r>
      <w:tr>
        <w:trPr>
          <w:trHeight w:val="23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35"/>
        </w:trPr>
        <w:tc>
          <w:tcPr>
            <w:tcW w:w="7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54,650 $</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31,408</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23,242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0"/>
        </w:trPr>
        <w:tc>
          <w:tcPr>
            <w:tcW w:w="7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25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For the three months ended March 31, 2025, the increase in general and administrative expense compared to prior period was primarily driven by the inclusion of Exscientia’s results of $8.1 million and an increase in salaries and wages of $9.2 million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(loss),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7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March 31,</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9"/>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1,510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37.3 %</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(508)</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(488)</w:t>
            </w:r>
          </w:p>
        </w:tc>
        <w:tc>
          <w:tcPr>
            <w:tcW w:w="66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7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(16,327)</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(16,487)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(loss),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(15,465)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7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March 31, 2025</w:t>
      </w:r>
      <w:r>
        <w:rPr>
          <w:rFonts w:ascii="Arial" w:cs="Arial" w:eastAsia="Arial" w:hAnsi="Arial"/>
          <w:sz w:val="18"/>
          <w:szCs w:val="18"/>
          <w:color w:val="1E1E1E"/>
        </w:rPr>
        <w:t xml:space="preserve">, the </w:t>
      </w:r>
      <w:r>
        <w:rPr>
          <w:rFonts w:ascii="Arial" w:cs="Arial" w:eastAsia="Arial" w:hAnsi="Arial"/>
          <w:sz w:val="18"/>
          <w:szCs w:val="18"/>
          <w:color w:val="000000"/>
        </w:rPr>
        <w:t>decrease in other income compared to prior period related to our loss on disposal of</w:t>
      </w:r>
      <w:r>
        <w:rPr>
          <w:rFonts w:ascii="Arial" w:cs="Arial" w:eastAsia="Arial" w:hAnsi="Arial"/>
          <w:sz w:val="18"/>
          <w:szCs w:val="18"/>
          <w:color w:val="1E1E1E"/>
        </w:rPr>
        <w:t xml:space="preserve"> </w:t>
      </w:r>
      <w:r>
        <w:rPr>
          <w:rFonts w:ascii="Arial" w:cs="Arial" w:eastAsia="Arial" w:hAnsi="Arial"/>
          <w:sz w:val="18"/>
          <w:szCs w:val="18"/>
          <w:color w:val="000000"/>
        </w:rPr>
        <w:t>Exscientia GmbH and our Vienna lease termination.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and cash equivalents totaled $500.5 million and $594.3 million as of March 31, 2025 and December 31, 2024, respectively.</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incurred operating losses and experienced negative operating cash flows and we anticipate that the Company will continue to incur losses for at least the foreseeable future. Our net loss was $202.5 million and $91.4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million during the three months ended March 31, 2025 and 2024, respectively. As of March 31, 2025, we had an accumulated deficit of $1.6 billion.</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financed our operations through the private placements of preferred stock and Class A common stock issuances. As of March 31, 2025, we have received net proceeds of $448.9 million from the sale of preferred stock and $1.1 billion from Class A common stock issuances. See Note 8, “Common Stock” to the Condensed Consolidated Financial Statements for additional details on Class A common stock issuances. Additionally, as of March 31, 2025, we have received proceeds of $217.0 million from our strategic partnerships. See Note 9, “Collaborative Development Contracts” to the Condensed Consolidated Financial Statements for additional details on the strategic partnerships.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(7,270)</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(6,653)</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40,527</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13,897</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Cash used by operating activities increased during the three months ended March 31, 2025 as a result of higher costs incurred for research and development and general and administrative due to the Company’s acquisition of Exscientia. This included Exscientia GmbH disposal related payments of $9.7 million and severance payments of $6.5 million. See Note 4</w:t>
      </w:r>
      <w:r>
        <w:rPr>
          <w:rFonts w:ascii="Arial" w:cs="Arial" w:eastAsia="Arial" w:hAnsi="Arial"/>
          <w:sz w:val="18"/>
          <w:szCs w:val="18"/>
          <w:color w:val="1E1E1E"/>
        </w:rPr>
        <w:t>,</w:t>
      </w:r>
      <w:r>
        <w:rPr>
          <w:rFonts w:ascii="Arial" w:cs="Arial" w:eastAsia="Arial" w:hAnsi="Arial"/>
          <w:sz w:val="18"/>
          <w:szCs w:val="18"/>
          <w:color w:val="auto"/>
        </w:rPr>
        <w:t xml:space="preserve"> “Acquisitions” to the Consolidated Financial Statements for additional details related to the Exscientia acquisition.</w:t>
      </w:r>
    </w:p>
    <w:p>
      <w:pPr>
        <w:spacing w:after="0" w:line="2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Cash used by operating activities increased during the three months ended March 31, 2024 as a result of higher costs incurred for research and development and general and administrative due to the Company’s expansion and upgraded capabilities.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Cash used by investing activities during the three months ended March 31, 2025 consisted of the disposal of Exscientia GmbH of $4.4 million and property and equipment purchases of $1.8 million.</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Cash used by investing activities during the three months ended March 31, 2024 consisted primarily of purchases of property and equipment of $6.7 million, which included $2.9 million for a project to upgrade the BioHive -2 supercomputer and $2.7 million for lab equipment purchases.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color w:val="auto"/>
        </w:rPr>
        <w:t>Cash provided by financing activities during the three months ended March 31, 2025 primarily included proceeds of $41.0 million from common stock issuances. Financing inflows also included proceeds from equity incentive plans of $1.6 million.</w:t>
      </w:r>
    </w:p>
    <w:p>
      <w:pPr>
        <w:spacing w:after="0" w:line="19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Cash provided by financing activities during the three months ended March 31, 2024 primarily included proceeds of $10.9 million from common stock issuances. Financing cash inflows also included proceeds from equity incentive plans of $3.0 million</w:t>
      </w:r>
      <w:r>
        <w:rPr>
          <w:rFonts w:ascii="Arial" w:cs="Arial" w:eastAsia="Arial" w:hAnsi="Arial"/>
          <w:sz w:val="18"/>
          <w:szCs w:val="18"/>
          <w:color w:val="1E1E1E"/>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2024 Annual Report. There were no significant changes in the Company’s application of its critical accounting policies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We are exposed to market risk related to changes in interest rates on our investment portfolio of cash and cash equivalents. As of March 31, 2025, our cash and cash equivalents consisted of money market funds. Our primary exposure to market risk is interest income sensitivity, which is affected by changes in interest rates. A hypothetical 100 basis point decrease in interest rates as of </w:t>
      </w:r>
      <w:r>
        <w:rPr>
          <w:rFonts w:ascii="Arial" w:cs="Arial" w:eastAsia="Arial" w:hAnsi="Arial"/>
          <w:sz w:val="18"/>
          <w:szCs w:val="18"/>
          <w:color w:val="1E1E1E"/>
        </w:rPr>
        <w:t>as of</w:t>
      </w:r>
      <w:r>
        <w:rPr>
          <w:rFonts w:ascii="Arial" w:cs="Arial" w:eastAsia="Arial" w:hAnsi="Arial"/>
          <w:sz w:val="18"/>
          <w:szCs w:val="18"/>
          <w:color w:val="auto"/>
        </w:rPr>
        <w:t xml:space="preserve"> March 31, 2025</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months ended March 31,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March 31, 2025, our disclosure controls and procedures were ineffective due to the material weakness in internal control over financial reporting disclosed in Part II, Item 9A of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5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following remediation actions have been taken as of March 31, 2025 related to the material weakness for estimated costs and time to completion and controls to validate the completeness and accuracy of data used to calculate revenue and unearned revenue related to our license agreement:</w:t>
      </w:r>
    </w:p>
    <w:p>
      <w:pPr>
        <w:spacing w:after="0" w:line="198" w:lineRule="exact"/>
        <w:rPr>
          <w:sz w:val="20"/>
          <w:szCs w:val="20"/>
          <w:color w:val="auto"/>
        </w:rPr>
      </w:pPr>
    </w:p>
    <w:p>
      <w:pPr>
        <w:ind w:left="660" w:right="26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cost model due to responses from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Provided additional documentation for internal reports to validate and support completeness and accuracy of reports</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of these processes was done with the input of our third-party consultants who continue to be involved in the design and enhancement of the revenue recognition policies and procedures</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While significant progress has been made to enhance our internal control over financial reporting, Recursion is still designing, implementing and testing these processes, procedures and controls.</w:t>
      </w:r>
    </w:p>
    <w:p>
      <w:pPr>
        <w:spacing w:after="0" w:line="180"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Regarding the material weaknesses related to the acquired Exscientia business, Recursion is currently in the process of integrating Exscientia’s operations into our overall system of internal control over financial reporting.</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March 31, 2025.</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March 31, 2025, management was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Part I, Item 1A. “Risk Factors” of our 2024 Annual Report.</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risk factors set forth below represent new risk factors or those containing changes to the similarly titled risk factor included in the sections titled “Risk Factors” in Part I, Item 1A. of our 2024 Annual Report.</w:t>
      </w:r>
    </w:p>
    <w:p>
      <w:pPr>
        <w:spacing w:after="0" w:line="18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We are subject to various governmental export controls, trade and economic sanctions, and import laws and regulations that could impair our ability to compete in international markets and subject us to liability if we are not in full compliance with applicable laws.</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products and technologies are subject to export control laws and regulations, including the Export Administration Regulations administered by the U.S. Department of Commerce, and our products, technologies, and activities are subject to trade and economic sanctions, including those administered by the U.S. Treasury Department’s Office of Foreign Assets Control, or OFAC, as well as regulations administered by the governments of the United Kingdom and authorities in the European Union, which we collectively refer to as trade controls. As such, licenses and notices may be required to import products, technologies, and services from or export or re-export products, technologies, and services to certain countries and end users and for certain end uses. For example, the U.S. government continues to add additional entities in China and elsewhere to restricted party lists impacting the ability of U.S. companies to provide products, technology, and services to, and in some cases receive products, technologies, and services from, these entities. These controls may impact our ability to import certain products, technology, or services from or export or re-export certain products, technology, or services to China and other destinations, and it is also possible that the Chinese government will retaliate in ways that could impact our business. The process for obtaining necessary licenses and making required notices may be time-consuming or unsuccessful, potentially causing delays in sales or losses of sales opportunities. Trade controls are complex and dynamic regimes and monitoring and ensuring compliance can be challenging. Any failure to comply with these regimes could subject us to both civil and criminal penalties, including substantial fines, possible incarceration of responsible individuals for willful violations, possible loss of our export or import privileges, and reputational harm. In addition, investigating or defending against any such allegations, actions, or investigations will likely result in a materially significant diversion of management’s attention and resources and significant defense costs and other professional fees.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in such countries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laws or regulations, economic sanctions, or related legislation, shift in the enforcement or scope of existing export, import, or sanctions laws or regulations, or change in the countries, governments, persons, or technologies targeted by such export, import, or sanctions laws or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could adversely affect our business, financial condition, and results of operations.</w:t>
      </w:r>
    </w:p>
    <w:p>
      <w:pPr>
        <w:spacing w:after="0" w:line="21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Tariffs could also have a material impact on our product costs and decrease our ability to sell our products and services to existing or potential customers as well as harm our ability to compete internationally. Recent escalations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tariffs imposed by the United States on imports from its trading partners, retaliatory actions taken by affected countries, as well as uncertainties concerning further changes in tariff and non-tariff trade policies, particularly regarding those between the United States, Mexico, and Canada, and the between the United States and China, have been significant. The U.S. government has implemented additional broad tariffs on the import of most items from virtually all U.S. trading partners and has imposed particularly significant tariffs on imports from China. China responded by imposing significant tariffs on a variety of items imported from the United States, implementing new export controls on certain commodities, and imposing trade restrictions targeting particular U.S. companies. These tariffs could materially and adversely affect our ability to compete internationally. The future of these tariffs, as well as the possibility for new tariffs, remains very uncertain. Other causes of uncertainty include the effects of new tariffs implemented by the United States on imports from Mexico and Canada that do not qualify for duty-free treatment under the U.S.-Mexico-Canada Agreement. The macroeconomic effect of any such tariffs on major trading partners, including China, Mexico, and Canada could be significant, and our business and financial results could be negatively affected as a result.</w:t>
      </w:r>
    </w:p>
    <w:p>
      <w:pPr>
        <w:spacing w:after="0" w:line="19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Any changes in our product or in export or import regulations or legislation; shifts or changes in enforcement; or changes in the countries, persons or technologies targeted by these regulations could delay us introducing new products in international markets, decrease use of our products by, or decrease our ability to export or sell our products to existing or potential customers with international operations, adversely affecting our business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For the three months ended March 31, 2025, we issued 30 thousand shares of our Class A common stock to our employees, directors, advisors and consultants upon the exercise of stock options under our Key Personnel Incentive Stock Plan for aggregate consideration of approximately $10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60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23"/>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780" w:type="dxa"/>
            <w:vAlign w:val="bottom"/>
            <w:vMerge w:val="continue"/>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23"/>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700" w:type="dxa"/>
            <w:vAlign w:val="bottom"/>
            <w:gridSpan w:val="31"/>
          </w:tcPr>
          <w:p>
            <w:pPr>
              <w:spacing w:after="0" w:line="169" w:lineRule="exact"/>
              <w:rPr>
                <w:rFonts w:ascii="Arial" w:cs="Arial" w:eastAsia="Arial" w:hAnsi="Arial"/>
                <w:sz w:val="16"/>
                <w:szCs w:val="16"/>
                <w:color w:val="0000FF"/>
              </w:rPr>
            </w:pPr>
            <w:hyperlink r:id="rId54">
              <w:r>
                <w:rPr>
                  <w:rFonts w:ascii="Arial" w:cs="Arial" w:eastAsia="Arial" w:hAnsi="Arial"/>
                  <w:sz w:val="16"/>
                  <w:szCs w:val="16"/>
                  <w:color w:val="0000FF"/>
                </w:rPr>
                <w:t>Transaction Agreement by and between Recursion</w:t>
              </w:r>
            </w:hyperlink>
          </w:p>
        </w:tc>
        <w:tc>
          <w:tcPr>
            <w:tcW w:w="82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60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Pharmaceuticals, Inc. and Exscientia plc dated as</w:t>
              </w:r>
            </w:hyperlink>
          </w:p>
        </w:tc>
        <w:tc>
          <w:tcPr>
            <w:tcW w:w="1060" w:type="dxa"/>
            <w:vAlign w:val="bottom"/>
            <w:gridSpan w:val="19"/>
          </w:tcPr>
          <w:p>
            <w:pPr>
              <w:jc w:val="right"/>
              <w:ind w:right="220"/>
              <w:spacing w:after="0" w:line="142" w:lineRule="exact"/>
              <w:rPr>
                <w:rFonts w:ascii="Arial" w:cs="Arial" w:eastAsia="Arial" w:hAnsi="Arial"/>
                <w:sz w:val="16"/>
                <w:szCs w:val="16"/>
                <w:color w:val="0000FF"/>
                <w:w w:val="95"/>
              </w:rPr>
            </w:pPr>
            <w:hyperlink r:id="rId54">
              <w:r>
                <w:rPr>
                  <w:rFonts w:ascii="Arial" w:cs="Arial" w:eastAsia="Arial" w:hAnsi="Arial"/>
                  <w:sz w:val="16"/>
                  <w:szCs w:val="16"/>
                  <w:color w:val="0000FF"/>
                  <w:w w:val="95"/>
                </w:rPr>
                <w:t>of August 8,</w:t>
              </w:r>
            </w:hyperlink>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54">
              <w:r>
                <w:rPr>
                  <w:rFonts w:ascii="Arial" w:cs="Arial" w:eastAsia="Arial" w:hAnsi="Arial"/>
                  <w:sz w:val="16"/>
                  <w:szCs w:val="16"/>
                  <w:color w:val="0000FF"/>
                  <w:w w:val="94"/>
                </w:rPr>
                <w:t>2024.</w:t>
              </w:r>
            </w:hyperlink>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700" w:type="dxa"/>
            <w:vAlign w:val="bottom"/>
            <w:gridSpan w:val="31"/>
          </w:tcPr>
          <w:p>
            <w:pPr>
              <w:spacing w:after="0"/>
              <w:rPr>
                <w:rFonts w:ascii="Arial" w:cs="Arial" w:eastAsia="Arial" w:hAnsi="Arial"/>
                <w:sz w:val="16"/>
                <w:szCs w:val="16"/>
                <w:color w:val="0000FF"/>
              </w:rPr>
            </w:pPr>
            <w:hyperlink r:id="rId55">
              <w:r>
                <w:rPr>
                  <w:rFonts w:ascii="Arial" w:cs="Arial" w:eastAsia="Arial" w:hAnsi="Arial"/>
                  <w:sz w:val="16"/>
                  <w:szCs w:val="16"/>
                  <w:color w:val="0000FF"/>
                </w:rPr>
                <w:t>Amended and Restated Certificate of Incorporation of Recursion</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700" w:type="dxa"/>
            <w:vAlign w:val="bottom"/>
            <w:gridSpan w:val="31"/>
          </w:tcPr>
          <w:p>
            <w:pPr>
              <w:spacing w:after="0"/>
              <w:rPr>
                <w:rFonts w:ascii="Arial" w:cs="Arial" w:eastAsia="Arial" w:hAnsi="Arial"/>
                <w:sz w:val="16"/>
                <w:szCs w:val="16"/>
                <w:color w:val="0000FF"/>
              </w:rPr>
            </w:pPr>
            <w:hyperlink r:id="rId56">
              <w:r>
                <w:rPr>
                  <w:rFonts w:ascii="Arial" w:cs="Arial" w:eastAsia="Arial" w:hAnsi="Arial"/>
                  <w:sz w:val="16"/>
                  <w:szCs w:val="16"/>
                  <w:color w:val="0000FF"/>
                </w:rPr>
                <w:t>Amended and Restated Bylaws of Recursion Pharmaceuticals,</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60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700" w:type="dxa"/>
            <w:vAlign w:val="bottom"/>
            <w:gridSpan w:val="31"/>
          </w:tcPr>
          <w:p>
            <w:pPr>
              <w:spacing w:after="0"/>
              <w:rPr>
                <w:rFonts w:ascii="Arial" w:cs="Arial" w:eastAsia="Arial" w:hAnsi="Arial"/>
                <w:sz w:val="16"/>
                <w:szCs w:val="16"/>
                <w:color w:val="0000FF"/>
              </w:rPr>
            </w:pPr>
            <w:hyperlink r:id="rId57">
              <w:r>
                <w:rPr>
                  <w:rFonts w:ascii="Arial" w:cs="Arial" w:eastAsia="Arial" w:hAnsi="Arial"/>
                  <w:sz w:val="16"/>
                  <w:szCs w:val="16"/>
                  <w:color w:val="0000FF"/>
                </w:rPr>
                <w:t>Specimen Class A common stock certificate of the Registrant.</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9"/>
          </w:tcPr>
          <w:p>
            <w:pPr>
              <w:spacing w:after="0"/>
              <w:rPr>
                <w:rFonts w:ascii="Arial" w:cs="Arial" w:eastAsia="Arial" w:hAnsi="Arial"/>
                <w:sz w:val="16"/>
                <w:szCs w:val="16"/>
                <w:color w:val="0000FF"/>
              </w:rPr>
            </w:pPr>
            <w:hyperlink r:id="rId58">
              <w:r>
                <w:rPr>
                  <w:rFonts w:ascii="Arial" w:cs="Arial" w:eastAsia="Arial" w:hAnsi="Arial"/>
                  <w:sz w:val="16"/>
                  <w:szCs w:val="16"/>
                  <w:color w:val="0000FF"/>
                </w:rPr>
                <w:t>Exchangeable Share Support Agreement, dated May 8, 2023.</w:t>
              </w:r>
            </w:hyperlink>
          </w:p>
        </w:tc>
        <w:tc>
          <w:tcPr>
            <w:tcW w:w="260" w:type="dxa"/>
            <w:vAlign w:val="bottom"/>
            <w:gridSpan w:val="12"/>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60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700" w:type="dxa"/>
            <w:vAlign w:val="bottom"/>
            <w:gridSpan w:val="31"/>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Registration Rights Agreement, dated October 24, 2022,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0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among the Company and the Purchasers.</w:t>
              </w:r>
            </w:hyperlink>
          </w:p>
        </w:tc>
        <w:tc>
          <w:tcPr>
            <w:tcW w:w="160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700" w:type="dxa"/>
            <w:vAlign w:val="bottom"/>
            <w:gridSpan w:val="31"/>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Registration Agreement, dated May 16,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60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Valence Discovery, Inc.</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700" w:type="dxa"/>
            <w:vAlign w:val="bottom"/>
            <w:gridSpan w:val="31"/>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Registration Agreement, dated May 25, 2023, by and among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60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Cyclica Inc.</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700" w:type="dxa"/>
            <w:vAlign w:val="bottom"/>
            <w:gridSpan w:val="31"/>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Registration Rights Agreement, dated July 11, 2023, by and</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60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700" w:type="dxa"/>
            <w:vAlign w:val="bottom"/>
            <w:tcBorders>
              <w:bottom w:val="single" w:sz="8" w:color="0000FF"/>
            </w:tcBorders>
            <w:gridSpan w:val="31"/>
          </w:tcPr>
          <w:p>
            <w:pPr>
              <w:spacing w:after="0"/>
              <w:rPr>
                <w:rFonts w:ascii="Arial" w:cs="Arial" w:eastAsia="Arial" w:hAnsi="Arial"/>
                <w:sz w:val="16"/>
                <w:szCs w:val="16"/>
                <w:color w:val="0000FF"/>
              </w:rPr>
            </w:pPr>
            <w:hyperlink r:id="rId63">
              <w:r>
                <w:rPr>
                  <w:rFonts w:ascii="Arial" w:cs="Arial" w:eastAsia="Arial" w:hAnsi="Arial"/>
                  <w:sz w:val="16"/>
                  <w:szCs w:val="16"/>
                  <w:color w:val="0000FF"/>
                </w:rPr>
                <w:t>Recursion Pharmaceuticals, Inc. Outside Director Compensation</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600" w:type="dxa"/>
            <w:vAlign w:val="bottom"/>
          </w:tcPr>
          <w:p>
            <w:pPr>
              <w:jc w:val="center"/>
              <w:spacing w:after="0"/>
              <w:rPr>
                <w:sz w:val="20"/>
                <w:szCs w:val="20"/>
                <w:color w:val="auto"/>
              </w:rPr>
            </w:pPr>
            <w:r>
              <w:rPr>
                <w:rFonts w:ascii="Arial" w:cs="Arial" w:eastAsia="Arial" w:hAnsi="Arial"/>
                <w:sz w:val="16"/>
                <w:szCs w:val="16"/>
                <w:color w:val="auto"/>
              </w:rPr>
              <w:t>March 18. 2025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700" w:type="dxa"/>
            <w:vAlign w:val="bottom"/>
            <w:gridSpan w:val="31"/>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Policy.</w:t>
              </w:r>
            </w:hyperlink>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10.2</w:t>
            </w:r>
          </w:p>
        </w:tc>
        <w:tc>
          <w:tcPr>
            <w:tcW w:w="4700" w:type="dxa"/>
            <w:vAlign w:val="bottom"/>
            <w:gridSpan w:val="31"/>
          </w:tcPr>
          <w:p>
            <w:pPr>
              <w:spacing w:after="0"/>
              <w:rPr>
                <w:rFonts w:ascii="Arial" w:cs="Arial" w:eastAsia="Arial" w:hAnsi="Arial"/>
                <w:sz w:val="16"/>
                <w:szCs w:val="16"/>
                <w:color w:val="0000FF"/>
              </w:rPr>
            </w:pPr>
            <w:hyperlink r:id="rId64">
              <w:r>
                <w:rPr>
                  <w:rFonts w:ascii="Arial" w:cs="Arial" w:eastAsia="Arial" w:hAnsi="Arial"/>
                  <w:sz w:val="16"/>
                  <w:szCs w:val="16"/>
                  <w:color w:val="0000FF"/>
                </w:rPr>
                <w:t>Sales Agreement dated February 28, 2025 by and between the</w:t>
              </w:r>
            </w:hyperlink>
          </w:p>
        </w:tc>
        <w:tc>
          <w:tcPr>
            <w:tcW w:w="820" w:type="dxa"/>
            <w:vAlign w:val="bottom"/>
          </w:tcPr>
          <w:p>
            <w:pPr>
              <w:jc w:val="center"/>
              <w:spacing w:after="0"/>
              <w:rPr>
                <w:sz w:val="20"/>
                <w:szCs w:val="20"/>
                <w:color w:val="auto"/>
              </w:rPr>
            </w:pPr>
            <w:r>
              <w:rPr>
                <w:rFonts w:ascii="Arial" w:cs="Arial" w:eastAsia="Arial" w:hAnsi="Arial"/>
                <w:sz w:val="16"/>
                <w:szCs w:val="16"/>
                <w:color w:val="auto"/>
              </w:rPr>
              <w:t>10-K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780" w:type="dxa"/>
            <w:vAlign w:val="bottom"/>
          </w:tcPr>
          <w:p>
            <w:pPr>
              <w:jc w:val="center"/>
              <w:spacing w:after="0"/>
              <w:rPr>
                <w:sz w:val="20"/>
                <w:szCs w:val="20"/>
                <w:color w:val="auto"/>
              </w:rPr>
            </w:pPr>
            <w:r>
              <w:rPr>
                <w:rFonts w:ascii="Arial" w:cs="Arial" w:eastAsia="Arial" w:hAnsi="Arial"/>
                <w:sz w:val="16"/>
                <w:szCs w:val="16"/>
                <w:color w:val="auto"/>
              </w:rPr>
              <w:t>10.39</w:t>
            </w:r>
          </w:p>
        </w:tc>
        <w:tc>
          <w:tcPr>
            <w:tcW w:w="1600" w:type="dxa"/>
            <w:vAlign w:val="bottom"/>
          </w:tcPr>
          <w:p>
            <w:pPr>
              <w:jc w:val="center"/>
              <w:spacing w:after="0"/>
              <w:rPr>
                <w:sz w:val="20"/>
                <w:szCs w:val="20"/>
                <w:color w:val="auto"/>
              </w:rPr>
            </w:pPr>
            <w:r>
              <w:rPr>
                <w:rFonts w:ascii="Arial" w:cs="Arial" w:eastAsia="Arial" w:hAnsi="Arial"/>
                <w:sz w:val="16"/>
                <w:szCs w:val="16"/>
                <w:color w:val="auto"/>
              </w:rPr>
              <w:t>February 28, 2025</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Registrant and Citigroup Capital Markets Inc.</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700" w:type="dxa"/>
            <w:vAlign w:val="bottom"/>
            <w:gridSpan w:val="31"/>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380" w:type="dxa"/>
            <w:vAlign w:val="bottom"/>
            <w:gridSpan w:val="14"/>
          </w:tcPr>
          <w:p>
            <w:pPr>
              <w:jc w:val="right"/>
              <w:ind w:right="220"/>
              <w:spacing w:after="0" w:line="142" w:lineRule="exact"/>
              <w:rPr>
                <w:sz w:val="20"/>
                <w:szCs w:val="20"/>
                <w:color w:val="auto"/>
              </w:rPr>
            </w:pPr>
            <w:r>
              <w:rPr>
                <w:rFonts w:ascii="Arial" w:cs="Arial" w:eastAsia="Arial" w:hAnsi="Arial"/>
                <w:sz w:val="16"/>
                <w:szCs w:val="16"/>
                <w:color w:val="0000FF"/>
              </w:rPr>
              <w:t>of</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8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0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700" w:type="dxa"/>
            <w:vAlign w:val="bottom"/>
            <w:gridSpan w:val="31"/>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80" w:type="dxa"/>
            <w:vAlign w:val="bottom"/>
            <w:tcBorders>
              <w:top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8"/>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60" w:type="dxa"/>
            <w:vAlign w:val="bottom"/>
            <w:gridSpan w:val="3"/>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6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of 2002.</w:t>
            </w:r>
          </w:p>
        </w:tc>
        <w:tc>
          <w:tcPr>
            <w:tcW w:w="140" w:type="dxa"/>
            <w:vAlign w:val="bottom"/>
            <w:gridSpan w:val="7"/>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700" w:type="dxa"/>
            <w:vAlign w:val="bottom"/>
            <w:gridSpan w:val="31"/>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gridSpan w:val="1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4700" w:type="dxa"/>
            <w:vAlign w:val="bottom"/>
            <w:gridSpan w:val="31"/>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660" w:type="dxa"/>
            <w:vAlign w:val="bottom"/>
            <w:gridSpan w:val="17"/>
          </w:tcPr>
          <w:p>
            <w:pPr>
              <w:jc w:val="right"/>
              <w:ind w:right="200"/>
              <w:spacing w:after="0" w:line="142" w:lineRule="exact"/>
              <w:rPr>
                <w:sz w:val="20"/>
                <w:szCs w:val="20"/>
                <w:color w:val="auto"/>
              </w:rPr>
            </w:pPr>
            <w:r>
              <w:rPr>
                <w:rFonts w:ascii="Arial" w:cs="Arial" w:eastAsia="Arial" w:hAnsi="Arial"/>
                <w:sz w:val="16"/>
                <w:szCs w:val="16"/>
                <w:color w:val="0000FF"/>
              </w:rPr>
              <w:t>Act of</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Instance Document</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Taxonomy Extension Schema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Taxonomy Extension Label Linkbase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700" w:type="dxa"/>
            <w:vAlign w:val="bottom"/>
            <w:gridSpan w:val="31"/>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700" w:type="dxa"/>
            <w:vAlign w:val="bottom"/>
            <w:gridSpan w:val="31"/>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4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700" w:type="dxa"/>
            <w:vAlign w:val="bottom"/>
            <w:gridSpan w:val="31"/>
          </w:tcPr>
          <w:p>
            <w:pPr>
              <w:spacing w:after="0"/>
              <w:rPr>
                <w:sz w:val="20"/>
                <w:szCs w:val="20"/>
                <w:color w:val="auto"/>
              </w:rPr>
            </w:pPr>
            <w:r>
              <w:rPr>
                <w:rFonts w:ascii="Arial" w:cs="Arial" w:eastAsia="Arial" w:hAnsi="Arial"/>
                <w:sz w:val="16"/>
                <w:szCs w:val="16"/>
                <w:color w:val="auto"/>
              </w:rPr>
              <w:t>contained in Exhibit 101)</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120" w:right="360" w:hanging="600"/>
        <w:spacing w:after="0" w:line="224"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right="360" w:hanging="635"/>
        <w:spacing w:after="0" w:line="221"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May 5, 2025.</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Ben Taylor</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Ben Taylor</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86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2025</w:t>
      </w:r>
    </w:p>
    <w:p>
      <w:pPr>
        <w:sectPr>
          <w:pgSz w:w="11900" w:h="16838" w:orient="portrait"/>
          <w:cols w:equalWidth="0" w:num="1">
            <w:col w:w="11240"/>
          </w:cols>
          <w:pgMar w:left="320" w:top="36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40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2025</w:t>
      </w:r>
    </w:p>
    <w:p>
      <w:pPr>
        <w:sectPr>
          <w:pgSz w:w="11900" w:h="16838" w:orient="portrait"/>
          <w:cols w:equalWidth="0" w:num="1">
            <w:col w:w="11240"/>
          </w:cols>
          <w:pgMar w:left="320" w:top="36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March 31, 2025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5, 2025</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
      <w:numFmt w:val="bullet"/>
      <w:start w:val="1"/>
    </w:lvl>
  </w:abstractNum>
  <w:abstractNum w:abstractNumId="7">
    <w:nsid w:val="3352255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54" Type="http://schemas.openxmlformats.org/officeDocument/2006/relationships/hyperlink" Target="https://www.sec.gov/Archives/edgar/data/1601830/000119312524196505/d856792dex21.htm" TargetMode="External"/><Relationship Id="rId55" Type="http://schemas.openxmlformats.org/officeDocument/2006/relationships/hyperlink" Target="https://www.sec.gov/Archives/edgar/data/0001601830/000119312521123764/d149444dex31.htm" TargetMode="External"/><Relationship Id="rId56" Type="http://schemas.openxmlformats.org/officeDocument/2006/relationships/hyperlink" Target="https://www.sec.gov/Archives/edgar/data/1601830/000160183024000009/a1-25x24amendedbylaws.htm" TargetMode="External"/><Relationship Id="rId57" Type="http://schemas.openxmlformats.org/officeDocument/2006/relationships/hyperlink" Target="https://www.sec.gov/Archives/edgar/data/0001601830/000119312521089610/d89478dex42.htm" TargetMode="External"/><Relationship Id="rId58" Type="http://schemas.openxmlformats.org/officeDocument/2006/relationships/hyperlink" Target="https://www.sec.gov/Archives/edgar/data/1601830/000160183023000036/exhibit42-valencexexchange.htm" TargetMode="External"/><Relationship Id="rId59" Type="http://schemas.openxmlformats.org/officeDocument/2006/relationships/hyperlink" Target="https://www.sec.gov/Archives/edgar/data/1601830/000119312522268003/d365090dex102.htm" TargetMode="External"/><Relationship Id="rId60" Type="http://schemas.openxmlformats.org/officeDocument/2006/relationships/hyperlink" Target="https://www.sec.gov/Archives/edgar/data/1601830/000160183023000036/exhibit43-valencexregistra.htm" TargetMode="External"/><Relationship Id="rId61" Type="http://schemas.openxmlformats.org/officeDocument/2006/relationships/hyperlink" Target="https://www.sec.gov/Archives/edgar/data/1601830/000160183023000044/exhibit41registrationagree.htm" TargetMode="External"/><Relationship Id="rId62" Type="http://schemas.openxmlformats.org/officeDocument/2006/relationships/hyperlink" Target="https://www.sec.gov/Archives/edgar/data/1601830/000160183023000050/ex102-rxrxxnvidiaregrights.htm" TargetMode="External"/><Relationship Id="rId63" Type="http://schemas.openxmlformats.org/officeDocument/2006/relationships/hyperlink" Target="https://www.sec.gov/Archives/edgar/data/1601830/000160183025000040/exhibit101-outsidedirector.htm" TargetMode="External"/><Relationship Id="rId64" Type="http://schemas.openxmlformats.org/officeDocument/2006/relationships/hyperlink" Target="https://www.sec.gov/Archives/edgar/data/1601830/000160183025000035/exhibit1039-atmxsales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2025-05-05T05:17:59Z</dcterms:created>
  <dcterms:modified xsi:type="dcterms:W3CDTF">2025-05-05T05:17:59Z</dcterms:modified>
</cp:coreProperties>
</file>