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1E1E1E"/>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Washington, D.C. 20549</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FORM 10-Q</w:t>
      </w:r>
    </w:p>
    <w:p>
      <w:pPr>
        <w:spacing w:after="0" w:line="276"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spacing w:after="0" w:line="5" w:lineRule="exact"/>
        <w:rPr>
          <w:sz w:val="24"/>
          <w:szCs w:val="24"/>
          <w:color w:val="auto"/>
        </w:rPr>
      </w:pPr>
    </w:p>
    <w:p>
      <w:pPr>
        <w:ind w:left="20" w:right="380" w:firstLine="346"/>
        <w:spacing w:after="0" w:line="251" w:lineRule="auto"/>
        <w:tabs>
          <w:tab w:leader="none" w:pos="56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QUARTERLY REPORT PURSUANT TO SECTION 13 OR 15(d) OF THE SECURITIES EXCHANGE ACT OF 1934 </w:t>
      </w:r>
      <w:r>
        <w:rPr>
          <w:rFonts w:ascii="Arial" w:cs="Arial" w:eastAsia="Arial" w:hAnsi="Arial"/>
          <w:sz w:val="16"/>
          <w:szCs w:val="16"/>
          <w:color w:val="1E1E1E"/>
        </w:rPr>
        <w:t>For the quarterly period ended March 31, 2023</w:t>
      </w:r>
    </w:p>
    <w:p>
      <w:pPr>
        <w:jc w:val="center"/>
        <w:ind w:right="20"/>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60" w:firstLine="370"/>
        <w:spacing w:after="0" w:line="298" w:lineRule="auto"/>
        <w:tabs>
          <w:tab w:leader="none" w:pos="5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Commission File Number: 001-40323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RECURSION PHARMACEUTICALS, INC.</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r>
        <w:rPr>
          <w:rFonts w:ascii="Arial" w:cs="Arial" w:eastAsia="Arial" w:hAnsi="Arial"/>
          <w:sz w:val="16"/>
          <w:szCs w:val="16"/>
          <w:b w:val="1"/>
          <w:bCs w:val="1"/>
          <w:color w:val="FFFFFF"/>
        </w:rPr>
        <w:t>________________________________________________</w:t>
      </w:r>
      <w:r>
        <w:rPr>
          <w:rFonts w:ascii="Arial" w:cs="Arial" w:eastAsia="Arial" w:hAnsi="Arial"/>
          <w:sz w:val="16"/>
          <w:szCs w:val="16"/>
          <w:b w:val="1"/>
          <w:bCs w:val="1"/>
          <w:color w:val="auto"/>
        </w:rPr>
        <w:t>46-4099738</w:t>
      </w:r>
    </w:p>
    <w:p>
      <w:pPr>
        <w:spacing w:after="0" w:line="35"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(State or other jurisdiction of incorporation or organization)</w:t>
      </w:r>
      <w:r>
        <w:rPr>
          <w:rFonts w:ascii="Arial" w:cs="Arial" w:eastAsia="Arial" w:hAnsi="Arial"/>
          <w:sz w:val="16"/>
          <w:szCs w:val="16"/>
          <w:color w:val="FFFFFF"/>
        </w:rPr>
        <w:t>________________</w:t>
      </w:r>
      <w:r>
        <w:rPr>
          <w:rFonts w:ascii="Arial" w:cs="Arial" w:eastAsia="Arial" w:hAnsi="Arial"/>
          <w:sz w:val="16"/>
          <w:szCs w:val="16"/>
          <w:color w:val="auto"/>
        </w:rPr>
        <w:t>(I.R.S. Employer Identification No.)</w:t>
      </w:r>
    </w:p>
    <w:p>
      <w:pPr>
        <w:spacing w:after="0" w:line="2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5"/>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7" w:lineRule="exact"/>
        <w:rPr>
          <w:sz w:val="24"/>
          <w:szCs w:val="24"/>
          <w:color w:val="auto"/>
        </w:rPr>
      </w:pPr>
    </w:p>
    <w:p>
      <w:pPr>
        <w:ind w:left="20" w:right="80"/>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20"/>
        <w:spacing w:after="0" w:line="21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left="20" w:right="2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7" w:right="1319" w:bottom="1440" w:gutter="0" w:footer="0" w:header="0"/>
        </w:sectPr>
      </w:pPr>
    </w:p>
    <w:p>
      <w:pPr>
        <w:spacing w:after="0" w:line="164"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3">
            <w:col w:w="1620" w:space="300"/>
            <w:col w:w="4580" w:space="720"/>
            <w:col w:w="2040"/>
          </w:cols>
          <w:pgMar w:left="1320" w:top="1087" w:right="1319" w:bottom="1440" w:gutter="0" w:footer="0" w:header="0"/>
          <w:type w:val="continuous"/>
        </w:sectPr>
      </w:pPr>
    </w:p>
    <w:p>
      <w:pPr>
        <w:spacing w:after="0" w:line="26"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1200" w:space="720"/>
            <w:col w:w="4140" w:space="720"/>
            <w:col w:w="2480"/>
          </w:cols>
          <w:pgMar w:left="1320" w:top="1087" w:right="131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60"/>
          </w:cols>
          <w:pgMar w:left="1320" w:top="1087" w:right="131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ind w:left="20" w:right="80"/>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7"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ind w:left="20" w:right="740"/>
        <w:spacing w:after="0" w:line="251" w:lineRule="auto"/>
        <w:rPr>
          <w:sz w:val="20"/>
          <w:szCs w:val="20"/>
          <w:color w:val="auto"/>
        </w:rPr>
      </w:pPr>
      <w:r>
        <w:rPr>
          <w:rFonts w:ascii="Arial" w:cs="Arial" w:eastAsia="Arial" w:hAnsi="Arial"/>
          <w:sz w:val="16"/>
          <w:szCs w:val="16"/>
          <w:color w:val="auto"/>
        </w:rPr>
        <w:t>As of April 30, 2023, there were 184,643,171 and 7,716,209 of the registrant’s Class A and B common stock, par value $0.00001 per share,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797560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1087"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1E1E1E"/>
        </w:rPr>
        <w:t>TABLE OF CONTENTS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0000EE"/>
                <w:w w:val="97"/>
              </w:rPr>
              <w:t>Part I</w:t>
            </w:r>
          </w:p>
        </w:tc>
        <w:tc>
          <w:tcPr>
            <w:tcW w:w="960" w:type="dxa"/>
            <w:vAlign w:val="bottom"/>
            <w:gridSpan w:val="2"/>
          </w:tcPr>
          <w:p>
            <w:pPr>
              <w:spacing w:after="0"/>
              <w:rPr>
                <w:sz w:val="19"/>
                <w:szCs w:val="19"/>
                <w:color w:val="auto"/>
              </w:rPr>
            </w:pPr>
          </w:p>
        </w:tc>
        <w:tc>
          <w:tcPr>
            <w:tcW w:w="9240" w:type="dxa"/>
            <w:vAlign w:val="bottom"/>
            <w:gridSpan w:val="10"/>
          </w:tcPr>
          <w:p>
            <w:pPr>
              <w:spacing w:after="0"/>
              <w:rPr>
                <w:sz w:val="20"/>
                <w:szCs w:val="20"/>
                <w:color w:val="auto"/>
              </w:rPr>
            </w:pPr>
            <w:r>
              <w:rPr>
                <w:rFonts w:ascii="Arial" w:cs="Arial" w:eastAsia="Arial" w:hAnsi="Arial"/>
                <w:sz w:val="18"/>
                <w:szCs w:val="18"/>
                <w:b w:val="1"/>
                <w:bCs w:val="1"/>
                <w:color w:val="0000FF"/>
              </w:rPr>
              <w:t>Financial Information</w:t>
            </w:r>
          </w:p>
        </w:tc>
        <w:tc>
          <w:tcPr>
            <w:tcW w:w="220" w:type="dxa"/>
            <w:vAlign w:val="bottom"/>
            <w:gridSpan w:val="2"/>
          </w:tcPr>
          <w:p>
            <w:pPr>
              <w:jc w:val="center"/>
              <w:ind w:left="36"/>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0"/>
          </w:tcPr>
          <w:p>
            <w:pPr>
              <w:spacing w:after="0"/>
              <w:rPr>
                <w:sz w:val="20"/>
                <w:szCs w:val="20"/>
                <w:color w:val="auto"/>
              </w:rPr>
            </w:pPr>
            <w:r>
              <w:rPr>
                <w:rFonts w:ascii="Arial" w:cs="Arial" w:eastAsia="Arial" w:hAnsi="Arial"/>
                <w:sz w:val="18"/>
                <w:szCs w:val="18"/>
                <w:color w:val="0000FF"/>
              </w:rPr>
              <w:t>Financial Statements (unaudited)</w:t>
            </w:r>
          </w:p>
        </w:tc>
        <w:tc>
          <w:tcPr>
            <w:tcW w:w="220" w:type="dxa"/>
            <w:vAlign w:val="bottom"/>
            <w:gridSpan w:val="2"/>
          </w:tcPr>
          <w:p>
            <w:pPr>
              <w:jc w:val="center"/>
              <w:ind w:left="36"/>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8"/>
                <w:szCs w:val="18"/>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18</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7"/>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26</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5"/>
          </w:tcPr>
          <w:p>
            <w:pPr>
              <w:spacing w:after="0"/>
              <w:rPr>
                <w:sz w:val="20"/>
                <w:szCs w:val="20"/>
                <w:color w:val="auto"/>
              </w:rPr>
            </w:pPr>
            <w:r>
              <w:rPr>
                <w:rFonts w:ascii="Arial" w:cs="Arial" w:eastAsia="Arial" w:hAnsi="Arial"/>
                <w:sz w:val="18"/>
                <w:szCs w:val="18"/>
                <w:color w:val="0000EE"/>
                <w:w w:val="99"/>
              </w:rPr>
              <w:t>Controls and Procedures</w:t>
            </w:r>
          </w:p>
        </w:tc>
        <w:tc>
          <w:tcPr>
            <w:tcW w:w="2720" w:type="dxa"/>
            <w:vAlign w:val="bottom"/>
            <w:gridSpan w:val="2"/>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26</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b w:val="1"/>
                <w:bCs w:val="1"/>
                <w:color w:val="0000EE"/>
              </w:rPr>
              <w:t>Part II</w:t>
            </w:r>
          </w:p>
        </w:tc>
        <w:tc>
          <w:tcPr>
            <w:tcW w:w="2000" w:type="dxa"/>
            <w:vAlign w:val="bottom"/>
            <w:gridSpan w:val="5"/>
          </w:tcPr>
          <w:p>
            <w:pPr>
              <w:spacing w:after="0"/>
              <w:rPr>
                <w:sz w:val="20"/>
                <w:szCs w:val="20"/>
                <w:color w:val="auto"/>
              </w:rPr>
            </w:pPr>
            <w:r>
              <w:rPr>
                <w:rFonts w:ascii="Arial" w:cs="Arial" w:eastAsia="Arial" w:hAnsi="Arial"/>
                <w:sz w:val="18"/>
                <w:szCs w:val="18"/>
                <w:b w:val="1"/>
                <w:bCs w:val="1"/>
                <w:color w:val="0000FF"/>
              </w:rPr>
              <w:t>Other Information</w:t>
            </w:r>
          </w:p>
        </w:tc>
        <w:tc>
          <w:tcPr>
            <w:tcW w:w="7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28</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360" w:type="dxa"/>
            <w:vAlign w:val="bottom"/>
            <w:tcBorders>
              <w:left w:val="single" w:sz="8" w:color="0000FF"/>
            </w:tcBorders>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3"/>
          </w:tcPr>
          <w:p>
            <w:pPr>
              <w:spacing w:after="0"/>
              <w:rPr>
                <w:sz w:val="20"/>
                <w:szCs w:val="20"/>
                <w:color w:val="auto"/>
              </w:rPr>
            </w:pPr>
            <w:r>
              <w:rPr>
                <w:rFonts w:ascii="Arial" w:cs="Arial" w:eastAsia="Arial" w:hAnsi="Arial"/>
                <w:sz w:val="18"/>
                <w:szCs w:val="18"/>
                <w:color w:val="0000FF"/>
                <w:w w:val="97"/>
              </w:rPr>
              <w:t>Legal Proceedings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28</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3"/>
          </w:tcPr>
          <w:p>
            <w:pPr>
              <w:spacing w:after="0"/>
              <w:rPr>
                <w:sz w:val="20"/>
                <w:szCs w:val="20"/>
                <w:color w:val="auto"/>
              </w:rPr>
            </w:pPr>
            <w:r>
              <w:rPr>
                <w:rFonts w:ascii="Arial" w:cs="Arial" w:eastAsia="Arial" w:hAnsi="Arial"/>
                <w:sz w:val="18"/>
                <w:szCs w:val="18"/>
                <w:color w:val="0000FF"/>
              </w:rPr>
              <w:t>Risk Factors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28</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920" w:type="dxa"/>
            <w:vAlign w:val="bottom"/>
            <w:tcBorders>
              <w:left w:val="single" w:sz="8" w:color="0000FF"/>
            </w:tcBorders>
            <w:gridSpan w:val="6"/>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8"/>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28</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7"/>
          </w:tcPr>
          <w:p>
            <w:pPr>
              <w:spacing w:after="0"/>
              <w:rPr>
                <w:sz w:val="18"/>
                <w:szCs w:val="18"/>
                <w:color w:val="auto"/>
              </w:rPr>
            </w:pP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29</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300" w:type="dxa"/>
            <w:vAlign w:val="bottom"/>
            <w:gridSpan w:val="8"/>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0000EE"/>
                <w:w w:val="96"/>
              </w:rPr>
              <w:t>Signatures</w:t>
            </w:r>
          </w:p>
        </w:tc>
        <w:tc>
          <w:tcPr>
            <w:tcW w:w="830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30</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212"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27" w:lineRule="exact"/>
        <w:rPr>
          <w:rFonts w:ascii="Arial" w:cs="Arial" w:eastAsia="Arial" w:hAnsi="Arial"/>
          <w:sz w:val="18"/>
          <w:szCs w:val="18"/>
          <w:color w:val="auto"/>
        </w:rPr>
      </w:pPr>
    </w:p>
    <w:p>
      <w:pPr>
        <w:ind w:left="340" w:right="1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drug candidates, and other positive results;</w:t>
      </w:r>
    </w:p>
    <w:p>
      <w:pPr>
        <w:spacing w:after="0" w:line="9" w:lineRule="exact"/>
        <w:rPr>
          <w:rFonts w:ascii="Arial" w:cs="Arial" w:eastAsia="Arial" w:hAnsi="Arial"/>
          <w:sz w:val="18"/>
          <w:szCs w:val="18"/>
          <w:color w:val="auto"/>
        </w:rPr>
      </w:pPr>
    </w:p>
    <w:p>
      <w:pPr>
        <w:ind w:left="340" w:right="28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collaborators to continue research and development activities relating to our development candidates and investigational medicines;</w:t>
      </w:r>
    </w:p>
    <w:p>
      <w:pPr>
        <w:ind w:left="340" w:right="30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investigational medicines and any other approved product;</w:t>
      </w: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8"/>
          <w:szCs w:val="18"/>
          <w:color w:val="auto"/>
        </w:rPr>
        <w:t>the timing, scope, or likelihood of foreign regulatory filings and approvals, including our ability to maintain any such approvals;</w:t>
      </w:r>
    </w:p>
    <w:p>
      <w:pPr>
        <w:spacing w:after="0" w:line="9" w:lineRule="exact"/>
        <w:rPr>
          <w:rFonts w:ascii="Arial" w:cs="Arial" w:eastAsia="Arial" w:hAnsi="Arial"/>
          <w:sz w:val="14"/>
          <w:szCs w:val="14"/>
          <w:color w:val="auto"/>
        </w:rPr>
      </w:pPr>
    </w:p>
    <w:p>
      <w:pPr>
        <w:ind w:left="340" w:right="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 opportunity for our drug candidates, including our estimates of the number of patients who suffer from the diseases we are targeting and potential annual sales;</w:t>
      </w:r>
    </w:p>
    <w:p>
      <w:pPr>
        <w:ind w:left="340" w:righ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viable new drug candidates for clinical development and the rate at which we expect to identify such candidates, whether through an inferential approach or otherwise;</w:t>
      </w:r>
    </w:p>
    <w:p>
      <w:pPr>
        <w:ind w:left="340" w:right="4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the assets that will drive the most value for us are those that we will identify in the future using our datasets and tools;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our current drug candidates and programs into, and successfully complete, clinical studies;</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the time or cost or increase the likelihood of success of our research and development relative to the traditional drug discovery paradigm;</w:t>
      </w:r>
    </w:p>
    <w:p>
      <w:pPr>
        <w:ind w:left="340" w:right="8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and the rate of improvement in, our infrastructure, datasets, biology, technology tools and drug discovery platform, and our ability to realize benefits from such improvements;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performance and benefits of our BioHive supercomputer;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a return on our investment of resources and cash in our drug discovery collaborations;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like a technology company and to add more programs to our pipeline each year;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a highly competitive market;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drug candidates, if approved, including the geographic areas of focus and sales strategy;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drug candidates in combination with other drugs;</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drug candidates, if approved, and other drug candidates we may develop;</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approaches that are or may become available;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 and the timing of their enrollment;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drug candidates;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further development of our drug candidates, including additional indications we may pursue;</w:t>
      </w:r>
    </w:p>
    <w:p>
      <w:pPr>
        <w:spacing w:after="0" w:line="9" w:lineRule="exact"/>
        <w:rPr>
          <w:rFonts w:ascii="Arial" w:cs="Arial" w:eastAsia="Arial" w:hAnsi="Arial"/>
          <w:sz w:val="18"/>
          <w:szCs w:val="18"/>
          <w:color w:val="auto"/>
        </w:rPr>
      </w:pPr>
    </w:p>
    <w:p>
      <w:pPr>
        <w:ind w:left="340" w:right="40" w:hanging="332"/>
        <w:spacing w:after="0" w:line="254"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right="640" w:hanging="332"/>
        <w:spacing w:after="0" w:line="26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intellectual property disputes and our ability to defend against claims of infringement, misappropriation, or other violations of intellectual property rights;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new technological developments;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third-party open source software and cloud-based infrastructure, on which we are dependent;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insurance policies and the scope of their coverage;</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technical operations infrastructure to avoid errors, delays, or cybersecurity breaches;</w:t>
      </w:r>
    </w:p>
    <w:p>
      <w:pPr>
        <w:spacing w:after="0" w:line="9" w:lineRule="exact"/>
        <w:rPr>
          <w:rFonts w:ascii="Arial" w:cs="Arial" w:eastAsia="Arial" w:hAnsi="Arial"/>
          <w:sz w:val="18"/>
          <w:szCs w:val="18"/>
          <w:color w:val="auto"/>
        </w:rPr>
      </w:pPr>
    </w:p>
    <w:p>
      <w:pPr>
        <w:ind w:left="340" w:right="40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drug candidates, and for the manufacture of our drug candidates for preclinical studies and clinical trials;</w:t>
      </w:r>
    </w:p>
    <w:p>
      <w:pPr>
        <w:ind w:left="340" w:right="5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research, develop, manufacture, or commercialize our platform and drug candidates;</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current drug candidates and other drug candidates we may develop, if approved;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 for additional financing;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340" w:righ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substantial additional funding;</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current and future laws and regulations, and our ability to comply with all regulations that we are, or may become, subject to;</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current or future litigation, which may arise during the ordinary course of business and be costly to defend;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net proceeds from our initial public offering;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titled “Risk Factors.”</w:t>
      </w:r>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1E1E1E"/>
        </w:rPr>
        <w:t>Condensed Consolidated Balance Sheets (unaudited)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8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r>
      <w:tr>
        <w:trPr>
          <w:trHeight w:val="22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5"/>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549,912</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15,869</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492,125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569,814</w:t>
            </w:r>
          </w:p>
        </w:tc>
      </w:tr>
      <w:tr>
        <w:trPr>
          <w:trHeight w:val="148"/>
        </w:trPr>
        <w:tc>
          <w:tcPr>
            <w:tcW w:w="8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non-current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90,004</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88,192</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33,255</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1,318</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assets, non-current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701,288</w:t>
            </w:r>
          </w:p>
        </w:tc>
      </w:tr>
      <w:tr>
        <w:trPr>
          <w:trHeight w:val="20"/>
        </w:trPr>
        <w:tc>
          <w:tcPr>
            <w:tcW w:w="8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25,041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32,904</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revenue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56,726</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92,150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100,265</w:t>
            </w:r>
          </w:p>
        </w:tc>
      </w:tr>
      <w:tr>
        <w:trPr>
          <w:trHeight w:val="149"/>
        </w:trPr>
        <w:tc>
          <w:tcPr>
            <w:tcW w:w="8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Unearned revenue, non-current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57,091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70,261</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non-current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44,420</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197,191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215,482</w:t>
            </w:r>
          </w:p>
        </w:tc>
      </w:tr>
    </w:tbl>
    <w:p>
      <w:pPr>
        <w:spacing w:after="0" w:line="1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Commitments and contingencies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0" w:lineRule="exact"/>
        <w:rPr>
          <w:sz w:val="20"/>
          <w:szCs w:val="20"/>
          <w:color w:val="auto"/>
        </w:rPr>
      </w:pPr>
    </w:p>
    <w:p>
      <w:pPr>
        <w:ind w:left="360" w:hanging="215"/>
        <w:spacing w:after="0" w:line="261" w:lineRule="auto"/>
        <w:rPr>
          <w:sz w:val="20"/>
          <w:szCs w:val="20"/>
          <w:color w:val="auto"/>
        </w:rPr>
      </w:pPr>
      <w:r>
        <w:rPr>
          <w:rFonts w:ascii="Arial" w:cs="Arial" w:eastAsia="Arial" w:hAnsi="Arial"/>
          <w:sz w:val="18"/>
          <w:szCs w:val="18"/>
          <w:color w:val="auto"/>
        </w:rPr>
        <w:t>Common stock, $0.00001 par value; 2,000,000,000 shares (Class A 1,989,032,117 and Class B 10,967,883) authorized as of March 31, 2023 and December 31, 2022; 192,230,854 shares (Class A 184,514,645 and Class B 7,716,209) and 191,022,864 shares (Class A 183,209,655 and Class B 7,813,209) issued and outstanding as of March 31, 2023 and December 31, 2022, respectively</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2</w:t>
      </w:r>
    </w:p>
    <w:p>
      <w:pPr>
        <w:spacing w:after="0" w:line="3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1,135,056</w:t>
      </w:r>
      <w:r>
        <w:rPr>
          <w:sz w:val="20"/>
          <w:szCs w:val="20"/>
          <w:color w:val="auto"/>
        </w:rPr>
        <w:tab/>
      </w:r>
      <w:r>
        <w:rPr>
          <w:rFonts w:ascii="Arial" w:cs="Arial" w:eastAsia="Arial" w:hAnsi="Arial"/>
          <w:sz w:val="18"/>
          <w:szCs w:val="18"/>
          <w:color w:val="auto"/>
        </w:rPr>
        <w:t>1,125,360</w:t>
      </w:r>
    </w:p>
    <w:p>
      <w:pPr>
        <w:spacing w:after="0" w:line="23" w:lineRule="exact"/>
        <w:rPr>
          <w:sz w:val="20"/>
          <w:szCs w:val="20"/>
          <w:color w:val="auto"/>
        </w:rPr>
      </w:pPr>
    </w:p>
    <w:p>
      <w:pPr>
        <w:ind w:left="80"/>
        <w:spacing w:after="0"/>
        <w:tabs>
          <w:tab w:leader="none" w:pos="1400" w:val="left"/>
        </w:tabs>
        <w:rPr>
          <w:sz w:val="20"/>
          <w:szCs w:val="20"/>
          <w:color w:val="auto"/>
        </w:rPr>
      </w:pPr>
      <w:r>
        <w:rPr>
          <w:rFonts w:ascii="Arial" w:cs="Arial" w:eastAsia="Arial" w:hAnsi="Arial"/>
          <w:sz w:val="18"/>
          <w:szCs w:val="18"/>
          <w:color w:val="auto"/>
        </w:rPr>
        <w:t>(704,883)</w:t>
      </w:r>
      <w:r>
        <w:rPr>
          <w:sz w:val="20"/>
          <w:szCs w:val="20"/>
          <w:color w:val="auto"/>
        </w:rPr>
        <w:tab/>
      </w:r>
      <w:r>
        <w:rPr>
          <w:rFonts w:ascii="Arial" w:cs="Arial" w:eastAsia="Arial" w:hAnsi="Arial"/>
          <w:sz w:val="18"/>
          <w:szCs w:val="18"/>
          <w:color w:val="auto"/>
        </w:rPr>
        <w:t>(639,556)</w:t>
      </w:r>
    </w:p>
    <w:p>
      <w:pPr>
        <w:spacing w:after="0" w:line="17" w:lineRule="exact"/>
        <w:rPr>
          <w:sz w:val="20"/>
          <w:szCs w:val="20"/>
          <w:color w:val="auto"/>
        </w:rPr>
      </w:pPr>
    </w:p>
    <w:p>
      <w:pPr>
        <w:sectPr>
          <w:pgSz w:w="11900" w:h="16838" w:orient="portrait"/>
          <w:cols w:equalWidth="0" w:num="2">
            <w:col w:w="8340" w:space="680"/>
            <w:col w:w="2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0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28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430,175</w:t>
            </w: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485,806</w:t>
            </w:r>
          </w:p>
        </w:tc>
      </w:tr>
      <w:tr>
        <w:trPr>
          <w:trHeight w:val="149"/>
        </w:trPr>
        <w:tc>
          <w:tcPr>
            <w:tcW w:w="606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248"/>
        </w:trPr>
        <w:tc>
          <w:tcPr>
            <w:tcW w:w="6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2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627,366</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701,288</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540" w:type="dxa"/>
            <w:vAlign w:val="bottom"/>
          </w:tcPr>
          <w:p>
            <w:pPr>
              <w:jc w:val="center"/>
              <w:ind w:left="2050"/>
              <w:spacing w:after="0"/>
              <w:rPr>
                <w:sz w:val="20"/>
                <w:szCs w:val="20"/>
                <w:color w:val="auto"/>
              </w:rPr>
            </w:pPr>
            <w:r>
              <w:rPr>
                <w:rFonts w:ascii="Arial" w:cs="Arial" w:eastAsia="Arial" w:hAnsi="Arial"/>
                <w:sz w:val="18"/>
                <w:szCs w:val="18"/>
                <w:b w:val="1"/>
                <w:bCs w:val="1"/>
                <w:color w:val="1E1E1E"/>
                <w:w w:val="99"/>
              </w:rPr>
              <w:t>Recursion Pharmaceuticals, Inc.</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824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1E1E1E"/>
                <w:w w:val="99"/>
              </w:rPr>
              <w:t>Condensed Consolidated Statements of Operations (unaudited)</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5"/>
        </w:trPr>
        <w:tc>
          <w:tcPr>
            <w:tcW w:w="1280" w:type="dxa"/>
            <w:vAlign w:val="bottom"/>
          </w:tcPr>
          <w:p>
            <w:pPr>
              <w:spacing w:after="0"/>
              <w:rPr>
                <w:sz w:val="21"/>
                <w:szCs w:val="21"/>
                <w:color w:val="auto"/>
              </w:rPr>
            </w:pPr>
          </w:p>
        </w:tc>
        <w:tc>
          <w:tcPr>
            <w:tcW w:w="6780" w:type="dxa"/>
            <w:vAlign w:val="bottom"/>
            <w:gridSpan w:val="2"/>
          </w:tcPr>
          <w:p>
            <w:pPr>
              <w:jc w:val="center"/>
              <w:ind w:left="181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8"/>
        </w:trPr>
        <w:tc>
          <w:tcPr>
            <w:tcW w:w="12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1280" w:type="dxa"/>
            <w:vAlign w:val="bottom"/>
          </w:tcPr>
          <w:p>
            <w:pPr>
              <w:spacing w:after="0"/>
              <w:rPr>
                <w:sz w:val="22"/>
                <w:szCs w:val="22"/>
                <w:color w:val="auto"/>
              </w:rPr>
            </w:pPr>
          </w:p>
        </w:tc>
        <w:tc>
          <w:tcPr>
            <w:tcW w:w="6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16"/>
        </w:trPr>
        <w:tc>
          <w:tcPr>
            <w:tcW w:w="78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r>
      <w:tr>
        <w:trPr>
          <w:trHeight w:val="230"/>
        </w:trPr>
        <w:tc>
          <w:tcPr>
            <w:tcW w:w="7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Grant revenue</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r>
      <w:tr>
        <w:trPr>
          <w:trHeight w:val="257"/>
        </w:trPr>
        <w:tc>
          <w:tcPr>
            <w:tcW w:w="782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82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12,448</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7,799</w:t>
            </w:r>
          </w:p>
        </w:tc>
      </w:tr>
      <w:tr>
        <w:trPr>
          <w:trHeight w:val="229"/>
        </w:trPr>
        <w:tc>
          <w:tcPr>
            <w:tcW w:w="7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32,441</w:t>
            </w:r>
          </w:p>
        </w:tc>
      </w:tr>
      <w:tr>
        <w:trPr>
          <w:trHeight w:val="229"/>
        </w:trPr>
        <w:tc>
          <w:tcPr>
            <w:tcW w:w="7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22,874</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21,074</w:t>
            </w:r>
          </w:p>
        </w:tc>
      </w:tr>
      <w:tr>
        <w:trPr>
          <w:trHeight w:val="22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81,999</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61,314</w:t>
            </w:r>
          </w:p>
        </w:tc>
      </w:tr>
      <w:tr>
        <w:trPr>
          <w:trHeight w:val="257"/>
        </w:trPr>
        <w:tc>
          <w:tcPr>
            <w:tcW w:w="7820" w:type="dxa"/>
            <w:vAlign w:val="bottom"/>
            <w:tcBorders>
              <w:bottom w:val="single" w:sz="8" w:color="auto"/>
            </w:tcBorders>
            <w:gridSpan w:val="2"/>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2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(69,865)</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(55,981)</w:t>
            </w:r>
          </w:p>
        </w:tc>
      </w:tr>
      <w:tr>
        <w:trPr>
          <w:trHeight w:val="230"/>
        </w:trPr>
        <w:tc>
          <w:tcPr>
            <w:tcW w:w="7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8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(55,979)</w:t>
            </w:r>
          </w:p>
        </w:tc>
      </w:tr>
      <w:tr>
        <w:trPr>
          <w:trHeight w:val="20"/>
        </w:trPr>
        <w:tc>
          <w:tcPr>
            <w:tcW w:w="78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9"/>
        </w:trPr>
        <w:tc>
          <w:tcPr>
            <w:tcW w:w="78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23"/>
        </w:trPr>
        <w:tc>
          <w:tcPr>
            <w:tcW w:w="7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Net loss per share of Class A and B common stock, basic and 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78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(Class A and B) outstanding, basic and diluted</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191,618,238</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170,690,392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08" w:right="339" w:bottom="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1E1E1E"/>
        </w:rPr>
        <w:t>Condensed Consolidated Statements of Comprehensive Loss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1E1E1E"/>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76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(55,979)</w:t>
            </w:r>
          </w:p>
        </w:tc>
      </w:tr>
      <w:tr>
        <w:trPr>
          <w:trHeight w:val="270"/>
        </w:trPr>
        <w:tc>
          <w:tcPr>
            <w:tcW w:w="7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investments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realized loss on investments reclassified into net loss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7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(56,162)</w:t>
            </w:r>
          </w:p>
        </w:tc>
      </w:tr>
      <w:tr>
        <w:trPr>
          <w:trHeight w:val="21"/>
        </w:trPr>
        <w:tc>
          <w:tcPr>
            <w:tcW w:w="7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40"/>
          </w:cols>
          <w:pgMar w:left="320" w:top="121" w:right="4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7"/>
          <w:szCs w:val="17"/>
          <w:color w:val="1E1E1E"/>
        </w:rPr>
        <w:t>See the accompanying notes to these c</w:t>
      </w:r>
      <w:r>
        <w:rPr>
          <w:rFonts w:ascii="Arial" w:cs="Arial" w:eastAsia="Arial" w:hAnsi="Arial"/>
          <w:sz w:val="17"/>
          <w:szCs w:val="17"/>
          <w:color w:val="000000"/>
        </w:rPr>
        <w:t>ondensed</w:t>
      </w:r>
      <w:r>
        <w:rPr>
          <w:rFonts w:ascii="Arial" w:cs="Arial" w:eastAsia="Arial" w:hAnsi="Arial"/>
          <w:sz w:val="17"/>
          <w:szCs w:val="17"/>
          <w:color w:val="1E1E1E"/>
        </w:rPr>
        <w:t xml:space="preserve"> consolidated financial statements.</w:t>
      </w:r>
    </w:p>
    <w:p>
      <w:pPr>
        <w:sectPr>
          <w:pgSz w:w="11900" w:h="16838" w:orient="portrait"/>
          <w:cols w:equalWidth="0" w:num="1">
            <w:col w:w="9019"/>
          </w:cols>
          <w:pgMar w:left="1440" w:top="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77"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1E1E1E"/>
        </w:rPr>
        <w:t>Condensed Consolidated Statements of Stockholders’ Equity (Deficit)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2120" w:type="dxa"/>
            <w:vAlign w:val="bottom"/>
            <w:gridSpan w:val="3"/>
          </w:tcPr>
          <w:p>
            <w:pPr>
              <w:ind w:left="5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21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(Class A and B)</w:t>
            </w:r>
          </w:p>
        </w:tc>
        <w:tc>
          <w:tcPr>
            <w:tcW w:w="20" w:type="dxa"/>
            <w:vAlign w:val="bottom"/>
          </w:tcPr>
          <w:p>
            <w:pPr>
              <w:spacing w:after="0"/>
              <w:rPr>
                <w:sz w:val="18"/>
                <w:szCs w:val="1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8"/>
                <w:szCs w:val="18"/>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8"/>
                <w:szCs w:val="18"/>
                <w:color w:val="auto"/>
              </w:rPr>
            </w:pPr>
          </w:p>
        </w:tc>
        <w:tc>
          <w:tcPr>
            <w:tcW w:w="1420" w:type="dxa"/>
            <w:vAlign w:val="bottom"/>
          </w:tcPr>
          <w:p>
            <w:pPr>
              <w:jc w:val="center"/>
              <w:ind w:right="4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8"/>
                <w:szCs w:val="18"/>
                <w:color w:val="auto"/>
              </w:rPr>
            </w:pPr>
          </w:p>
        </w:tc>
        <w:tc>
          <w:tcPr>
            <w:tcW w:w="1340" w:type="dxa"/>
            <w:vAlign w:val="bottom"/>
          </w:tcPr>
          <w:p>
            <w:pPr>
              <w:jc w:val="center"/>
              <w:ind w:right="14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8"/>
        </w:trPr>
        <w:tc>
          <w:tcPr>
            <w:tcW w:w="3180" w:type="dxa"/>
            <w:vAlign w:val="bottom"/>
          </w:tcPr>
          <w:p>
            <w:pPr>
              <w:spacing w:after="0"/>
              <w:rPr>
                <w:sz w:val="3"/>
                <w:szCs w:val="3"/>
                <w:color w:val="auto"/>
              </w:rPr>
            </w:pPr>
          </w:p>
        </w:tc>
        <w:tc>
          <w:tcPr>
            <w:tcW w:w="130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3"/>
                <w:szCs w:val="3"/>
                <w:color w:val="auto"/>
              </w:rPr>
            </w:pPr>
          </w:p>
        </w:tc>
        <w:tc>
          <w:tcPr>
            <w:tcW w:w="6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1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220" w:type="dxa"/>
            <w:vAlign w:val="bottom"/>
          </w:tcPr>
          <w:p>
            <w:pPr>
              <w:spacing w:after="0"/>
              <w:rPr>
                <w:sz w:val="3"/>
                <w:szCs w:val="3"/>
                <w:color w:val="auto"/>
              </w:rPr>
            </w:pPr>
          </w:p>
        </w:tc>
        <w:tc>
          <w:tcPr>
            <w:tcW w:w="134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5"/>
        </w:trPr>
        <w:tc>
          <w:tcPr>
            <w:tcW w:w="31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191,022,864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1,125,360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(639,556)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 $</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485,806</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(65,327)</w:t>
            </w:r>
          </w:p>
        </w:tc>
        <w:tc>
          <w:tcPr>
            <w:tcW w:w="120" w:type="dxa"/>
            <w:vAlign w:val="bottom"/>
          </w:tcPr>
          <w:p>
            <w:pPr>
              <w:spacing w:after="0"/>
              <w:rPr>
                <w:sz w:val="18"/>
                <w:szCs w:val="18"/>
                <w:color w:val="auto"/>
              </w:rPr>
            </w:pPr>
          </w:p>
        </w:tc>
        <w:tc>
          <w:tcPr>
            <w:tcW w:w="1420" w:type="dxa"/>
            <w:vAlign w:val="bottom"/>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(65,327)</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exercises and other</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1,207,990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15"/>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Stock-based compensation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8,814</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8,814</w:t>
            </w:r>
          </w:p>
        </w:tc>
        <w:tc>
          <w:tcPr>
            <w:tcW w:w="0" w:type="dxa"/>
            <w:vAlign w:val="bottom"/>
          </w:tcPr>
          <w:p>
            <w:pPr>
              <w:spacing w:after="0"/>
              <w:rPr>
                <w:sz w:val="1"/>
                <w:szCs w:val="1"/>
                <w:color w:val="auto"/>
              </w:rPr>
            </w:pPr>
          </w:p>
        </w:tc>
      </w:tr>
      <w:tr>
        <w:trPr>
          <w:trHeight w:val="23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192,230,854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1,135,056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(704,883)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gridSpan w:val="2"/>
            <w:shd w:val="clear" w:color="auto" w:fill="CCEEFF"/>
          </w:tcPr>
          <w:p>
            <w:pPr>
              <w:ind w:left="1200"/>
              <w:spacing w:after="0"/>
              <w:rPr>
                <w:sz w:val="20"/>
                <w:szCs w:val="20"/>
                <w:color w:val="auto"/>
              </w:rPr>
            </w:pPr>
            <w:r>
              <w:rPr>
                <w:rFonts w:ascii="Arial" w:cs="Arial" w:eastAsia="Arial" w:hAnsi="Arial"/>
                <w:sz w:val="16"/>
                <w:szCs w:val="16"/>
                <w:color w:val="auto"/>
              </w:rPr>
              <w:t>— $</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430,175</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3180" w:type="dxa"/>
            <w:vAlign w:val="bottom"/>
          </w:tcPr>
          <w:p>
            <w:pPr>
              <w:spacing w:after="0"/>
              <w:rPr>
                <w:sz w:val="24"/>
                <w:szCs w:val="24"/>
                <w:color w:val="auto"/>
              </w:rPr>
            </w:pPr>
          </w:p>
        </w:tc>
        <w:tc>
          <w:tcPr>
            <w:tcW w:w="2120" w:type="dxa"/>
            <w:vAlign w:val="bottom"/>
            <w:gridSpan w:val="3"/>
          </w:tcPr>
          <w:p>
            <w:pPr>
              <w:ind w:left="5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2120" w:type="dxa"/>
            <w:vAlign w:val="bottom"/>
            <w:gridSpan w:val="3"/>
          </w:tcPr>
          <w:p>
            <w:pPr>
              <w:ind w:left="540"/>
              <w:spacing w:after="0"/>
              <w:rPr>
                <w:sz w:val="20"/>
                <w:szCs w:val="20"/>
                <w:color w:val="auto"/>
              </w:rPr>
            </w:pPr>
            <w:r>
              <w:rPr>
                <w:rFonts w:ascii="Arial" w:cs="Arial" w:eastAsia="Arial" w:hAnsi="Arial"/>
                <w:sz w:val="14"/>
                <w:szCs w:val="14"/>
                <w:b w:val="1"/>
                <w:bCs w:val="1"/>
                <w:color w:val="auto"/>
              </w:rPr>
              <w:t>(Class A and B)</w:t>
            </w:r>
          </w:p>
        </w:tc>
        <w:tc>
          <w:tcPr>
            <w:tcW w:w="20" w:type="dxa"/>
            <w:vAlign w:val="bottom"/>
          </w:tcPr>
          <w:p>
            <w:pPr>
              <w:spacing w:after="0"/>
              <w:rPr>
                <w:sz w:val="17"/>
                <w:szCs w:val="17"/>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7"/>
                <w:szCs w:val="17"/>
                <w:color w:val="auto"/>
              </w:rPr>
            </w:pPr>
          </w:p>
        </w:tc>
        <w:tc>
          <w:tcPr>
            <w:tcW w:w="11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14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7"/>
                <w:szCs w:val="17"/>
                <w:color w:val="auto"/>
              </w:rPr>
            </w:pPr>
          </w:p>
        </w:tc>
        <w:tc>
          <w:tcPr>
            <w:tcW w:w="134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180" w:type="dxa"/>
            <w:vAlign w:val="bottom"/>
          </w:tcPr>
          <w:p>
            <w:pPr>
              <w:spacing w:after="0"/>
              <w:rPr>
                <w:sz w:val="2"/>
                <w:szCs w:val="2"/>
                <w:color w:val="auto"/>
              </w:rPr>
            </w:pPr>
          </w:p>
        </w:tc>
        <w:tc>
          <w:tcPr>
            <w:tcW w:w="130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
                <w:szCs w:val="2"/>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1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220" w:type="dxa"/>
            <w:vAlign w:val="bottom"/>
          </w:tcPr>
          <w:p>
            <w:pPr>
              <w:spacing w:after="0"/>
              <w:rPr>
                <w:sz w:val="2"/>
                <w:szCs w:val="2"/>
                <w:color w:val="auto"/>
              </w:rPr>
            </w:pPr>
          </w:p>
        </w:tc>
        <w:tc>
          <w:tcPr>
            <w:tcW w:w="134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31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170,272,462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943,142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(400,080)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542,938</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(55,979)</w:t>
            </w:r>
          </w:p>
        </w:tc>
        <w:tc>
          <w:tcPr>
            <w:tcW w:w="120" w:type="dxa"/>
            <w:vAlign w:val="bottom"/>
          </w:tcPr>
          <w:p>
            <w:pPr>
              <w:spacing w:after="0"/>
              <w:rPr>
                <w:sz w:val="18"/>
                <w:szCs w:val="18"/>
                <w:color w:val="auto"/>
              </w:rPr>
            </w:pPr>
          </w:p>
        </w:tc>
        <w:tc>
          <w:tcPr>
            <w:tcW w:w="1420" w:type="dxa"/>
            <w:vAlign w:val="bottom"/>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(55,979)</w:t>
            </w: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(183)</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300" w:type="dxa"/>
            <w:vAlign w:val="bottom"/>
          </w:tcPr>
          <w:p>
            <w:pPr>
              <w:jc w:val="right"/>
              <w:spacing w:after="0"/>
              <w:rPr>
                <w:sz w:val="20"/>
                <w:szCs w:val="20"/>
                <w:color w:val="auto"/>
              </w:rPr>
            </w:pPr>
            <w:r>
              <w:rPr>
                <w:rFonts w:ascii="Arial" w:cs="Arial" w:eastAsia="Arial" w:hAnsi="Arial"/>
                <w:sz w:val="16"/>
                <w:szCs w:val="16"/>
                <w:color w:val="auto"/>
              </w:rPr>
              <w:t>805,626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1,158</w:t>
            </w:r>
          </w:p>
        </w:tc>
        <w:tc>
          <w:tcPr>
            <w:tcW w:w="1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5,632</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5,632</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171,078,088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949,932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(456,059)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(309)</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493,566</w:t>
            </w:r>
          </w:p>
        </w:tc>
        <w:tc>
          <w:tcPr>
            <w:tcW w:w="0" w:type="dxa"/>
            <w:vAlign w:val="bottom"/>
          </w:tcPr>
          <w:p>
            <w:pPr>
              <w:spacing w:after="0"/>
              <w:rPr>
                <w:sz w:val="1"/>
                <w:szCs w:val="1"/>
                <w:color w:val="auto"/>
              </w:rPr>
            </w:pP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121" w:right="519" w:bottom="1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060"/>
          </w:cols>
          <w:pgMar w:left="320" w:top="121" w:right="519" w:bottom="151"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15"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240" w:type="dxa"/>
            <w:vAlign w:val="bottom"/>
          </w:tcPr>
          <w:p>
            <w:pPr>
              <w:jc w:val="center"/>
              <w:ind w:left="2350"/>
              <w:spacing w:after="0"/>
              <w:rPr>
                <w:sz w:val="20"/>
                <w:szCs w:val="20"/>
                <w:color w:val="auto"/>
              </w:rPr>
            </w:pPr>
            <w:r>
              <w:rPr>
                <w:rFonts w:ascii="Arial" w:cs="Arial" w:eastAsia="Arial" w:hAnsi="Arial"/>
                <w:sz w:val="18"/>
                <w:szCs w:val="18"/>
                <w:b w:val="1"/>
                <w:bCs w:val="1"/>
                <w:color w:val="1E1E1E"/>
                <w:w w:val="99"/>
              </w:rPr>
              <w:t>Recursion Pharmaceuticals, Inc.</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81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1E1E1E"/>
                <w:w w:val="99"/>
              </w:rPr>
              <w:t>Condensed Consolidated Statements of Cash Flows (unaudited)</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6240" w:type="dxa"/>
            <w:vAlign w:val="bottom"/>
          </w:tcPr>
          <w:p>
            <w:pPr>
              <w:jc w:val="center"/>
              <w:ind w:left="2350"/>
              <w:spacing w:after="0"/>
              <w:rPr>
                <w:sz w:val="20"/>
                <w:szCs w:val="20"/>
                <w:color w:val="auto"/>
              </w:rPr>
            </w:pPr>
            <w:r>
              <w:rPr>
                <w:rFonts w:ascii="Arial" w:cs="Arial" w:eastAsia="Arial" w:hAnsi="Arial"/>
                <w:sz w:val="18"/>
                <w:szCs w:val="18"/>
                <w:b w:val="1"/>
                <w:bCs w:val="1"/>
                <w:i w:val="1"/>
                <w:iCs w:val="1"/>
                <w:color w:val="1E1E1E"/>
                <w:w w:val="99"/>
              </w:rPr>
              <w:t>(in thousands)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2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64"/>
        </w:trPr>
        <w:tc>
          <w:tcPr>
            <w:tcW w:w="1280" w:type="dxa"/>
            <w:vAlign w:val="bottom"/>
            <w:tcBorders>
              <w:bottom w:val="single" w:sz="8" w:color="auto"/>
            </w:tcBorders>
          </w:tcPr>
          <w:p>
            <w:pPr>
              <w:spacing w:after="0"/>
              <w:rPr>
                <w:sz w:val="22"/>
                <w:szCs w:val="22"/>
                <w:color w:val="auto"/>
              </w:rPr>
            </w:pPr>
          </w:p>
        </w:tc>
        <w:tc>
          <w:tcPr>
            <w:tcW w:w="62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(55,979)</w:t>
            </w: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8,814</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 asset impairment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Lease expense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1,988</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receivables and assets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Unearned revenue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(12,134)</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144,701</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9"/>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Accrued development expense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676</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(15,903)</w:t>
            </w:r>
          </w:p>
        </w:tc>
        <w:tc>
          <w:tcPr>
            <w:tcW w:w="0" w:type="dxa"/>
            <w:vAlign w:val="bottom"/>
          </w:tcPr>
          <w:p>
            <w:pPr>
              <w:spacing w:after="0"/>
              <w:rPr>
                <w:sz w:val="1"/>
                <w:szCs w:val="1"/>
                <w:color w:val="auto"/>
              </w:rPr>
            </w:pPr>
          </w:p>
        </w:tc>
      </w:tr>
      <w:tr>
        <w:trPr>
          <w:trHeight w:val="229"/>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(2,444)</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(73,316)</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77,388</w:t>
            </w:r>
          </w:p>
        </w:tc>
        <w:tc>
          <w:tcPr>
            <w:tcW w:w="0" w:type="dxa"/>
            <w:vAlign w:val="bottom"/>
          </w:tcPr>
          <w:p>
            <w:pPr>
              <w:spacing w:after="0"/>
              <w:rPr>
                <w:sz w:val="1"/>
                <w:szCs w:val="1"/>
                <w:color w:val="auto"/>
              </w:rPr>
            </w:pPr>
          </w:p>
        </w:tc>
      </w:tr>
      <w:tr>
        <w:trPr>
          <w:trHeight w:val="148"/>
        </w:trPr>
        <w:tc>
          <w:tcPr>
            <w:tcW w:w="7520" w:type="dxa"/>
            <w:vAlign w:val="bottom"/>
            <w:gridSpan w:val="2"/>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Purchase of an intangible asset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Sales and maturities of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147,646</w:t>
            </w:r>
          </w:p>
        </w:tc>
        <w:tc>
          <w:tcPr>
            <w:tcW w:w="0" w:type="dxa"/>
            <w:vAlign w:val="bottom"/>
          </w:tcPr>
          <w:p>
            <w:pPr>
              <w:spacing w:after="0"/>
              <w:rPr>
                <w:sz w:val="1"/>
                <w:szCs w:val="1"/>
                <w:color w:val="auto"/>
              </w:rPr>
            </w:pP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(5,340)</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143,304</w:t>
            </w:r>
          </w:p>
        </w:tc>
        <w:tc>
          <w:tcPr>
            <w:tcW w:w="0" w:type="dxa"/>
            <w:vAlign w:val="bottom"/>
          </w:tcPr>
          <w:p>
            <w:pPr>
              <w:spacing w:after="0"/>
              <w:rPr>
                <w:sz w:val="1"/>
                <w:szCs w:val="1"/>
                <w:color w:val="auto"/>
              </w:rPr>
            </w:pPr>
          </w:p>
        </w:tc>
      </w:tr>
      <w:tr>
        <w:trPr>
          <w:trHeight w:val="148"/>
        </w:trPr>
        <w:tc>
          <w:tcPr>
            <w:tcW w:w="7520" w:type="dxa"/>
            <w:vAlign w:val="bottom"/>
            <w:gridSpan w:val="2"/>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equity incentive plans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Repayment of long-term debt</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148"/>
        </w:trPr>
        <w:tc>
          <w:tcPr>
            <w:tcW w:w="752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752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32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(76,736)</w:t>
            </w:r>
          </w:p>
        </w:tc>
        <w:tc>
          <w:tcPr>
            <w:tcW w:w="420" w:type="dxa"/>
            <w:vAlign w:val="bottom"/>
            <w:shd w:val="clear" w:color="auto" w:fill="CCEEFF"/>
          </w:tcPr>
          <w:p>
            <w:pPr>
              <w:spacing w:after="0"/>
              <w:rPr>
                <w:sz w:val="21"/>
                <w:szCs w:val="2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222,776</w:t>
            </w:r>
          </w:p>
        </w:tc>
        <w:tc>
          <w:tcPr>
            <w:tcW w:w="0" w:type="dxa"/>
            <w:vAlign w:val="bottom"/>
          </w:tcPr>
          <w:p>
            <w:pPr>
              <w:spacing w:after="0"/>
              <w:rPr>
                <w:sz w:val="1"/>
                <w:szCs w:val="1"/>
                <w:color w:val="auto"/>
              </w:rPr>
            </w:pPr>
          </w:p>
        </w:tc>
      </w:tr>
      <w:tr>
        <w:trPr>
          <w:trHeight w:val="69"/>
        </w:trPr>
        <w:tc>
          <w:tcPr>
            <w:tcW w:w="1280" w:type="dxa"/>
            <w:vAlign w:val="bottom"/>
            <w:shd w:val="clear" w:color="auto" w:fill="CCEEFF"/>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559,112</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295,349</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482,376</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518,125</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28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Accrued 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244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Right-of-use asset additions and modifications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Financed equipment purchase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1,214</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7520" w:type="dxa"/>
            <w:vAlign w:val="bottom"/>
            <w:gridSpan w:val="2"/>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paid for operating leases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Recursion Pharmaceuticals, Inc. (Recursion, the Company, we or our) was originally formed as a limited liability</w:t>
      </w:r>
    </w:p>
    <w:p>
      <w:pPr>
        <w:spacing w:after="0" w:line="27"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company on November 4, 2013 under the name Recursion Pharmaceuticals, LLC. In September 2016, the Company converted to a Delaware corporation and changed its name to Recursion Pharmaceuticals, Inc.</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Recursion is a clinical stage TechBio company decoding biology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March 31, 2023, the Company had an accumulated deficit of $704.9 million.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with its subsidiaries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funded its operations to date primarily through the issuance of convertible preferred stock and the issuance of Class A common stock (see Note 7, “Common Stock” for additional details). Additionally, we have received payments of $180.0 million from our strategic partnerships (see Note 8, “Collaborative Development Contracts” for additional details). Recursion will likely be required to raise additional capital. As of March 31, 2023,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1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2022.</w:t>
      </w:r>
    </w:p>
    <w:p>
      <w:pPr>
        <w:spacing w:after="0" w:line="206"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1E1E1E"/>
        </w:rPr>
        <w:t>It is management’s opinion that these condensed consolidated financial statements include all normal and recurring adjustments necessary for a fair presentation of the Company’s financial statements. Revenues and net loss for any interim period are not necessarily indicative of future or annual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New accounting pronouncements are routinely issued by the Financial Accounting Standards Board (FASB) or other standard setting bodies and adopted by Recursion as of the specified effective date. The Company does not expect</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the impact of recently issued standards that are not yet effective will have a material impact on its condensed consolidated financial statements and disclosures.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900" w:type="dxa"/>
            <w:vAlign w:val="bottom"/>
          </w:tcPr>
          <w:p>
            <w:pPr>
              <w:spacing w:after="0"/>
              <w:rPr>
                <w:sz w:val="20"/>
                <w:szCs w:val="20"/>
                <w:color w:val="auto"/>
              </w:rPr>
            </w:pPr>
            <w:r>
              <w:rPr>
                <w:rFonts w:ascii="Arial" w:cs="Arial" w:eastAsia="Arial" w:hAnsi="Arial"/>
                <w:sz w:val="18"/>
                <w:szCs w:val="18"/>
                <w:b w:val="1"/>
                <w:bCs w:val="1"/>
                <w:color w:val="auto"/>
              </w:rPr>
              <w:t>Note 3.  Supplemental Financial Information</w:t>
            </w:r>
          </w:p>
        </w:tc>
        <w:tc>
          <w:tcPr>
            <w:tcW w:w="2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59"/>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82"/>
        </w:trPr>
        <w:tc>
          <w:tcPr>
            <w:tcW w:w="59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2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47,524</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42,958</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41,872</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21,839</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20,164</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2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8,747</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123,638</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118,307</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(33,634)</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(30,115)</w:t>
            </w:r>
          </w:p>
        </w:tc>
      </w:tr>
      <w:tr>
        <w:trPr>
          <w:trHeight w:val="248"/>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88,192</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Depreciation expense on property and equipment was $3.6 million and $2.7 million during the three months ended March 31, 2023 and </w:t>
      </w:r>
      <w:r>
        <w:rPr>
          <w:rFonts w:ascii="Arial" w:cs="Arial" w:eastAsia="Arial" w:hAnsi="Arial"/>
          <w:sz w:val="18"/>
          <w:szCs w:val="18"/>
          <w:color w:val="1E1E1E"/>
        </w:rPr>
        <w:t xml:space="preserve">2022, respectively. The Company recorded an impairment of </w:t>
      </w:r>
      <w:r>
        <w:rPr>
          <w:rFonts w:ascii="Arial" w:cs="Arial" w:eastAsia="Arial" w:hAnsi="Arial"/>
          <w:sz w:val="18"/>
          <w:szCs w:val="18"/>
          <w:color w:val="000000"/>
        </w:rPr>
        <w:t>$1.2 million</w:t>
      </w:r>
      <w:r>
        <w:rPr>
          <w:rFonts w:ascii="Arial" w:cs="Arial" w:eastAsia="Arial" w:hAnsi="Arial"/>
          <w:sz w:val="18"/>
          <w:szCs w:val="18"/>
          <w:color w:val="1E1E1E"/>
        </w:rPr>
        <w:t xml:space="preserve"> during the </w:t>
      </w:r>
      <w:r>
        <w:rPr>
          <w:rFonts w:ascii="Arial" w:cs="Arial" w:eastAsia="Arial" w:hAnsi="Arial"/>
          <w:sz w:val="18"/>
          <w:szCs w:val="18"/>
          <w:color w:val="000000"/>
        </w:rPr>
        <w:t>three months ended March 31, 2023</w:t>
      </w:r>
      <w:r>
        <w:rPr>
          <w:rFonts w:ascii="Arial" w:cs="Arial" w:eastAsia="Arial" w:hAnsi="Arial"/>
          <w:sz w:val="18"/>
          <w:szCs w:val="18"/>
          <w:color w:val="1E1E1E"/>
        </w:rPr>
        <w:t xml:space="preserve"> related to a construction project for leasehold improvements as the Company no longer intended to use them. The impairment was recorded in “General and Administrative” in the Condensed Consolidated Statements of Operations.</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three months ended March 31, 2023, the</w:t>
      </w:r>
      <w:r>
        <w:rPr>
          <w:rFonts w:ascii="Arial" w:cs="Arial" w:eastAsia="Arial" w:hAnsi="Arial"/>
          <w:sz w:val="18"/>
          <w:szCs w:val="18"/>
          <w:color w:val="1E1E1E"/>
        </w:rPr>
        <w:t xml:space="preserve"> Company initiated and completed a project to upgrade the BioHive supercomputer for </w:t>
      </w:r>
      <w:r>
        <w:rPr>
          <w:rFonts w:ascii="Arial" w:cs="Arial" w:eastAsia="Arial" w:hAnsi="Arial"/>
          <w:sz w:val="18"/>
          <w:szCs w:val="18"/>
          <w:color w:val="000000"/>
        </w:rPr>
        <w:t>$1.7</w:t>
      </w:r>
      <w:r>
        <w:rPr>
          <w:rFonts w:ascii="Arial" w:cs="Arial" w:eastAsia="Arial" w:hAnsi="Arial"/>
          <w:sz w:val="18"/>
          <w:szCs w:val="18"/>
          <w:color w:val="1E1E1E"/>
        </w:rPr>
        <w:t xml:space="preserve"> </w:t>
      </w:r>
      <w:r>
        <w:rPr>
          <w:rFonts w:ascii="Arial" w:cs="Arial" w:eastAsia="Arial" w:hAnsi="Arial"/>
          <w:sz w:val="18"/>
          <w:szCs w:val="18"/>
          <w:color w:val="000000"/>
        </w:rPr>
        <w:t>million</w:t>
      </w:r>
      <w:r>
        <w:rPr>
          <w:rFonts w:ascii="Arial" w:cs="Arial" w:eastAsia="Arial" w:hAnsi="Arial"/>
          <w:sz w:val="18"/>
          <w:szCs w:val="18"/>
          <w:color w:val="1E1E1E"/>
        </w:rPr>
        <w:t>. The supercomputer was classified as office equipment in the above table. The increase in lab equipment from the prior year was</w:t>
      </w:r>
      <w:r>
        <w:rPr>
          <w:rFonts w:ascii="Arial" w:cs="Arial" w:eastAsia="Arial" w:hAnsi="Arial"/>
          <w:sz w:val="18"/>
          <w:szCs w:val="18"/>
          <w:color w:val="000000"/>
        </w:rPr>
        <w:t xml:space="preserve"> </w:t>
      </w:r>
      <w:r>
        <w:rPr>
          <w:rFonts w:ascii="Arial" w:cs="Arial" w:eastAsia="Arial" w:hAnsi="Arial"/>
          <w:sz w:val="18"/>
          <w:szCs w:val="18"/>
          <w:color w:val="1E1E1E"/>
        </w:rPr>
        <w:t>driven by the completion of several labs in the headquarters expansion. The majority of the balance was included in construction in progress in the prior year. The construction in progress balance primarily relates to lab equipment under construction.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82"/>
        </w:trPr>
        <w:tc>
          <w:tcPr>
            <w:tcW w:w="5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20,433</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2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4,048</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3,372</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early discovery expenses</w:t>
            </w:r>
          </w:p>
        </w:tc>
        <w:tc>
          <w:tcPr>
            <w:tcW w:w="2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Materials received not invoiced</w:t>
            </w:r>
          </w:p>
        </w:tc>
        <w:tc>
          <w:tcPr>
            <w:tcW w:w="2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4,036</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3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other expenses</w:t>
            </w:r>
          </w:p>
        </w:tc>
        <w:tc>
          <w:tcPr>
            <w:tcW w:w="2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2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expense and other liabilities</w:t>
            </w:r>
          </w:p>
        </w:tc>
        <w:tc>
          <w:tcPr>
            <w:tcW w:w="2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 January 2023, the Company entered into a financing agreement for borrowing $1.9 million as part of the supercomputer upgrade project.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debt will be repaid over a three-year period at a 7% interest rate. As of March 31, 2023, the outstanding balance was $1.2 million.</w:t>
      </w:r>
    </w:p>
    <w:p>
      <w:pPr>
        <w:spacing w:after="0" w:line="234"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In 2018, the Company borrowed $992 thousand, which was available as part of a lease agreement for use on tenant improvements. Under the terms of the lease, the note will be repaid over a 10-year period at an 8% interest rate. As of March 31, 2023, the outstanding balance was $609 thousand.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gridSpan w:val="3"/>
          </w:tcPr>
          <w:p>
            <w:pPr>
              <w:ind w:left="38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78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March 31,</w:t>
            </w:r>
          </w:p>
        </w:tc>
        <w:tc>
          <w:tcPr>
            <w:tcW w:w="1120" w:type="dxa"/>
            <w:vAlign w:val="bottom"/>
            <w:tcBorders>
              <w:bottom w:val="single" w:sz="8" w:color="auto"/>
            </w:tcBorders>
          </w:tcPr>
          <w:p>
            <w:pPr>
              <w:spacing w:after="0"/>
              <w:rPr>
                <w:sz w:val="21"/>
                <w:szCs w:val="21"/>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4,660</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87</w:t>
            </w:r>
          </w:p>
        </w:tc>
      </w:tr>
      <w:tr>
        <w:trPr>
          <w:trHeight w:val="229"/>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99"/>
              </w:rPr>
              <w:t>(19)</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9"/>
              </w:rPr>
              <w:t>(14)</w:t>
            </w:r>
          </w:p>
        </w:tc>
      </w:tr>
      <w:tr>
        <w:trPr>
          <w:trHeight w:val="248"/>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4,641</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99"/>
              </w:rPr>
              <w:t>73</w:t>
            </w:r>
          </w:p>
        </w:tc>
      </w:tr>
      <w:tr>
        <w:trPr>
          <w:trHeight w:val="20"/>
        </w:trPr>
        <w:tc>
          <w:tcPr>
            <w:tcW w:w="7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For the three months ended March 31, 2023, interest income primarily related to earnings on cash and cash equivalents in money market funds. Interest income was included in “Other income, net” on the Condensed Consolidated Statements of Operations.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4.</w:t>
        <w:tab/>
        <w:t>Leases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has entered into various long-term real estate leases primarily related to office, research and development and operating activities. The Company’s leases have remaining terms from 1 to 10 years, and some of those leases include options that provide Recursion with the ability to extend the lease term for five years. The options are included in the lease term when it is reasonably certain that the option will be exercised.</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For the three months ended March 31, 2023, Recursion entered into a lease modification resulting in an increase to the related right-of-use asset and lease liability of $3.5 million. The modification had no impact to the Condensed Consolidated Statements of Operations.</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May 2022, the Company entered into a lease agreement for laboratory and office space in Toronto, Ontario with approximately 26,320 square feet (the “Toronto Lease”). This lease was separated into multiple lease components based on the intended use of the portions of the space. For some of those components, the right of use began May 2022 when the control of the assets were obtained. The right of use asset for the remaining lease component is expected to begin in the second quarter of 2023. The Toronto Lease terms for each component are ten years with a five-year renewal option. The Toronto Lease includes provisions for escalating rent payments and a tenant improvement allowance of up to $1.5 million. Total fixed payments are expected to be approximately $10.8 million with additional variable expenses, including building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See Note 6, “Commitments and Contingencies” for information on the Industry 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lease cost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76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1"/>
                <w:szCs w:val="21"/>
                <w:color w:val="auto"/>
              </w:rPr>
            </w:pP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Variable lease cost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48"/>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r>
      <w:tr>
        <w:trPr>
          <w:trHeight w:val="20"/>
        </w:trPr>
        <w:tc>
          <w:tcPr>
            <w:tcW w:w="76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7620" w:type="dxa"/>
            <w:vAlign w:val="bottom"/>
          </w:tcPr>
          <w:p>
            <w:pPr>
              <w:spacing w:after="0"/>
              <w:rPr>
                <w:sz w:val="20"/>
                <w:szCs w:val="20"/>
                <w:color w:val="auto"/>
              </w:rPr>
            </w:pPr>
            <w:r>
              <w:rPr>
                <w:rFonts w:ascii="Arial" w:cs="Arial" w:eastAsia="Arial" w:hAnsi="Arial"/>
                <w:sz w:val="18"/>
                <w:szCs w:val="18"/>
                <w:color w:val="auto"/>
              </w:rPr>
              <w:t>Lease term and discount rates as of March 31, 2023 were:</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95"/>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w w:val="99"/>
              </w:rPr>
              <w:t>March 31, 2023</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ind w:left="760"/>
              <w:spacing w:after="0"/>
              <w:rPr>
                <w:sz w:val="20"/>
                <w:szCs w:val="20"/>
                <w:color w:val="auto"/>
              </w:rPr>
            </w:pPr>
            <w:r>
              <w:rPr>
                <w:rFonts w:ascii="Arial" w:cs="Arial" w:eastAsia="Arial" w:hAnsi="Arial"/>
                <w:sz w:val="18"/>
                <w:szCs w:val="18"/>
                <w:color w:val="auto"/>
              </w:rPr>
              <w:t>7.3</w:t>
            </w: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9"/>
              </w:rPr>
              <w:t>7.6 %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March 31, 2023 were: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March 31, 2023</w:t>
            </w: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3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2024</w:t>
            </w:r>
          </w:p>
        </w:tc>
        <w:tc>
          <w:tcPr>
            <w:tcW w:w="34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9,561</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2026</w:t>
            </w:r>
          </w:p>
        </w:tc>
        <w:tc>
          <w:tcPr>
            <w:tcW w:w="34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9,996</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4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r>
      <w:tr>
        <w:trPr>
          <w:trHeight w:val="22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4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24,081</w:t>
            </w: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4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69,543</w:t>
            </w:r>
          </w:p>
        </w:tc>
      </w:tr>
      <w:tr>
        <w:trPr>
          <w:trHeight w:val="22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imputed interest</w:t>
            </w:r>
          </w:p>
        </w:tc>
        <w:tc>
          <w:tcPr>
            <w:tcW w:w="34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(18,332)</w:t>
            </w:r>
          </w:p>
        </w:tc>
      </w:tr>
      <w:tr>
        <w:trPr>
          <w:trHeight w:val="248"/>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51,211</w:t>
            </w:r>
          </w:p>
        </w:tc>
      </w:tr>
      <w:tr>
        <w:trPr>
          <w:trHeight w:val="20"/>
        </w:trPr>
        <w:tc>
          <w:tcPr>
            <w:tcW w:w="568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were no changes to the carrying amount of goodwill during the three months ended March 31, 2023 and 2022. No goodwill impairment was recorded during the three months ended March 31, 2023 and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40" w:type="dxa"/>
            <w:vAlign w:val="bottom"/>
          </w:tcPr>
          <w:p>
            <w:pPr>
              <w:jc w:val="right"/>
              <w:ind w:right="97"/>
              <w:spacing w:after="0" w:line="143"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220" w:type="dxa"/>
            <w:vAlign w:val="bottom"/>
          </w:tcPr>
          <w:p>
            <w:pPr>
              <w:jc w:val="center"/>
              <w:ind w:right="39"/>
              <w:spacing w:after="0" w:line="14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2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40" w:type="dxa"/>
            <w:vAlign w:val="bottom"/>
          </w:tcPr>
          <w:p>
            <w:pPr>
              <w:jc w:val="right"/>
              <w:ind w:right="97"/>
              <w:spacing w:after="0" w:line="143" w:lineRule="exact"/>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300" w:type="dxa"/>
            <w:vAlign w:val="bottom"/>
          </w:tcPr>
          <w:p>
            <w:pPr>
              <w:jc w:val="center"/>
              <w:ind w:right="117"/>
              <w:spacing w:after="0" w:line="14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7"/>
              <w:spacing w:after="0" w:line="14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$152 thousand and $76 thousand during the three months ended March 31, 2023 and 2022,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included in research and development in the Condensed Consolidated Statements of Operations.</w:t>
      </w:r>
    </w:p>
    <w:p>
      <w:pPr>
        <w:spacing w:after="0" w:line="23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indefinite-lived intangible asset represents the Recursion domain name that the Company purchased. No indefinite-lived intangible asset impairment charges were recorded during the three months ended March 31, 2023 and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Contract Obligations</w:t>
      </w:r>
    </w:p>
    <w:p>
      <w:pPr>
        <w:spacing w:after="0" w:line="250"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1E1E1E"/>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Indemnification</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1E1E1E"/>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amounts it pays under 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1E1E1E"/>
        </w:rPr>
        <w:t>indemnification obligations. The Company had no liabilities recorded for these agreements as of March 31, 2023 and December 31, 2022, as no amounts were probable.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Employee Agreements</w:t>
      </w:r>
    </w:p>
    <w:p>
      <w:pPr>
        <w:spacing w:after="0" w:line="250"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1E1E1E"/>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Legal Matters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1E1E1E"/>
        </w:rPr>
        <w:t xml:space="preserve">In February 2021, the Company entered into a lease agreement for laboratory and office space (the Industry Lease) with Industry Office SLC, LLC (the landlord). For the </w:t>
      </w:r>
      <w:r>
        <w:rPr>
          <w:rFonts w:ascii="Arial" w:cs="Arial" w:eastAsia="Arial" w:hAnsi="Arial"/>
          <w:sz w:val="18"/>
          <w:szCs w:val="18"/>
          <w:color w:val="000000"/>
        </w:rPr>
        <w:t>three months ended March 31, 2023, the Company determined there were several issues related to the</w:t>
      </w:r>
      <w:r>
        <w:rPr>
          <w:rFonts w:ascii="Arial" w:cs="Arial" w:eastAsia="Arial" w:hAnsi="Arial"/>
          <w:sz w:val="18"/>
          <w:szCs w:val="18"/>
          <w:color w:val="1E1E1E"/>
        </w:rPr>
        <w:t xml:space="preserve"> </w:t>
      </w:r>
      <w:r>
        <w:rPr>
          <w:rFonts w:ascii="Arial" w:cs="Arial" w:eastAsia="Arial" w:hAnsi="Arial"/>
          <w:sz w:val="18"/>
          <w:szCs w:val="18"/>
          <w:color w:val="000000"/>
        </w:rPr>
        <w:t xml:space="preserve">agreement including with the assets being constructed and the timing of the project. The Company is in negotiations with the landlord. There are a wide-range of potential outcomes, some of which include: the termination of the lease contract or legal action. Several of the potential outcomes could require the Company to distribute a payment to the landlord. The Company is unable to estimate the possible payment or range of payments. As of </w:t>
      </w:r>
      <w:r>
        <w:rPr>
          <w:rFonts w:ascii="Arial" w:cs="Arial" w:eastAsia="Arial" w:hAnsi="Arial"/>
          <w:sz w:val="18"/>
          <w:szCs w:val="18"/>
          <w:color w:val="1E1E1E"/>
        </w:rPr>
        <w:t>March 31, 2023, the Company had no liability recorded for these events as an unfavorable outcome was not</w:t>
      </w:r>
      <w:r>
        <w:rPr>
          <w:rFonts w:ascii="Arial" w:cs="Arial" w:eastAsia="Arial" w:hAnsi="Arial"/>
          <w:sz w:val="18"/>
          <w:szCs w:val="18"/>
          <w:color w:val="000000"/>
        </w:rPr>
        <w:t xml:space="preserve"> </w:t>
      </w:r>
      <w:r>
        <w:rPr>
          <w:rFonts w:ascii="Arial" w:cs="Arial" w:eastAsia="Arial" w:hAnsi="Arial"/>
          <w:sz w:val="18"/>
          <w:szCs w:val="18"/>
          <w:color w:val="1E1E1E"/>
        </w:rPr>
        <w:t>probable.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Common Stock</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March 31, 2023 and December 31, 2022, no dividends had been declared.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Private Placement</w:t>
      </w:r>
    </w:p>
    <w:p>
      <w:pPr>
        <w:spacing w:after="0" w:line="25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1E1E1E"/>
        </w:rPr>
        <w:t>In October 2022, Recursion issued 15,336,734 shares of the Company’s Class A common stock (the Shares) at a purchase price of $9.80 per share in a private placement (the Private Placement) to qualified institutional buyers and institutional accredited investors (the Purchasers) for net proceeds of $143.7 million, after deducting fees and offering costs of $6.6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1E1E1E"/>
        </w:rPr>
        <w:t>In October 2022, i</w:t>
      </w:r>
      <w:r>
        <w:rPr>
          <w:rFonts w:ascii="Arial" w:cs="Arial" w:eastAsia="Arial" w:hAnsi="Arial"/>
          <w:sz w:val="18"/>
          <w:szCs w:val="18"/>
          <w:color w:val="000000"/>
        </w:rPr>
        <w:t>n connection with the Private Placement, the Company entered into a Registration Rights Agreement (the Agreement)</w:t>
      </w:r>
      <w:r>
        <w:rPr>
          <w:rFonts w:ascii="Arial" w:cs="Arial" w:eastAsia="Arial" w:hAnsi="Arial"/>
          <w:sz w:val="18"/>
          <w:szCs w:val="18"/>
          <w:color w:val="1E1E1E"/>
        </w:rPr>
        <w:t xml:space="preserve"> </w:t>
      </w:r>
      <w:r>
        <w:rPr>
          <w:rFonts w:ascii="Arial" w:cs="Arial" w:eastAsia="Arial" w:hAnsi="Arial"/>
          <w:sz w:val="18"/>
          <w:szCs w:val="18"/>
          <w:color w:val="000000"/>
        </w:rPr>
        <w:t xml:space="preserve">providing for the registration for resale of the Shares. A prospectus supplement to a registration statement (File No. 333-264845) was subsequently filed in </w:t>
      </w:r>
      <w:r>
        <w:rPr>
          <w:rFonts w:ascii="Arial" w:cs="Arial" w:eastAsia="Arial" w:hAnsi="Arial"/>
          <w:sz w:val="18"/>
          <w:szCs w:val="18"/>
          <w:color w:val="1E1E1E"/>
        </w:rPr>
        <w:t>October 2022</w:t>
      </w:r>
      <w:r>
        <w:rPr>
          <w:rFonts w:ascii="Arial" w:cs="Arial" w:eastAsia="Arial" w:hAnsi="Arial"/>
          <w:sz w:val="18"/>
          <w:szCs w:val="18"/>
          <w:color w:val="000000"/>
        </w:rPr>
        <w:t xml:space="preserve"> to register the resale of the Shares by the Purchasers. The Agreement must remain effective until registrable securities covered by the Agreement have been publicly sold by the holders or all shares cease to be registrable securities. In the event the holders cannot sell their shares due to certain circumstances causing the Agreement to be ineffective, the Company must pay each holder of shares outstanding on the date and each month thereafter 1.0% of the aggregate purchase price paid by the holder without limit until the Agreement is cured. As of March 31, 2023, there was no accrued liability related to this agreement, as it was not probable that a payment would be required.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w:t>
      </w:r>
      <w:r>
        <w:rPr>
          <w:rFonts w:ascii="Arial" w:cs="Arial" w:eastAsia="Arial" w:hAnsi="Arial"/>
          <w:sz w:val="18"/>
          <w:szCs w:val="18"/>
          <w:color w:val="auto"/>
        </w:rPr>
        <w:t>,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Class B common stock is held by Christopher Gibson, Ph.D., the Company’s Chief Executive Officer (CEO), or his affiliates. As of March 31, 2023, Dr. Gibson and his affiliates held outstanding shares of Class B common stock representing approximately 29%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March 31, 2023, Dr. Gibson and his affiliates would hold approximately 32% of the voting power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8. Collaborative Development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Recursion is eligible for additional milestone payments based on performance progress of the collaboration. Each of the Phenomaps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requested by Roche and created by Recursion may be subject to either an initiation fee, acceptance fee or both. Such fees could exceed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million for 16 accepted Phenomaps. In addition, for a period of time after Roche’s acceptance of certain Phenomaps, Roche will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option to obtain, subject to payment of an exercise fee, rights to use outside the collaboration the raw images generated in the course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creating those Phenomaps. If Roche exercises its external use option for all 12 eligible Phenomaps, Roche’s associated exercise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to Recursion could exceed $250.0 million. Under the collaboration, Roche may initiate up to 40 programs, each of which,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successfully developed and commercialized, could yield more than $300.0 million in development, commercialization and net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milestones for Recursion, as well as tiered royalties on net revenue.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agreement represents a transaction with a customer and therefore is accounted for in accordance with Accounting Standards Codification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0"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The Company has determined the transaction price to be $150.0 million, comprised of the upfront payment. Recursion will fully constrain the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costs. A significant change in these estimates could have a material effect on the timing and amount of revenue recognized in future periods.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Recursion has estimated the completion of the performance obligations by 2025.</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August 2020, the Company entered into a Research Collaboration and Option Agreement (the Bayer Agreement) with Bayer AG (Bayer) for a five-year term pursuant to which the Company and Bayer may initiate approximately 10 research projects related to fibrosis across multiple organ systems, including the lung, liver and heart. Under the agreement, the Company contributed compounds from its proprietary library and Bayer contributed compounds from its proprietary library and will contribute scientific expertise throughout the collaboration. Under each research project, the Company will work with Bayer to identify potential candidates for development. Under the agreement, Bayer has the first option for licenses to potential candidates.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October 2020, the Company received a $30.0 million non-refundable upfront payment. Each such license could potentially result in option exercise fees and development and commercial milestone payments payable to the Company, with an aggregate value of up to approximately $100.0 million (for an option on a lead series) or up to approximately $120.0 million (for an option on a development candidate), as well as tiered royalties for each such license, ranging from low- to mid-single digit percentages of sales, depending on commercial success.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determined that it has one performance obligation under the agreement, which is to perform research and development services for Bayer. Recursion determined the transaction price to be $30.0 million, comprised of the upfront payment. The Company allocated the amount to the single performance obligation. The Company is recognizing revenue over time by measuring progress towards completion of the performance obligation. This method of recognizing revenue requires the Company to make estimates of the total time to provide the services required under the performance obligation. A significant change in these estimates could have a material effect on the timing and amount of revenue recognized in future periods. Recursion has estimated the completion of the performance obligation in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Recursion recognized $12.1 million of operating revenue during the three months ended March 31, 2023, all of which was included in the unearned revenue balance as of December 31, 2022. Of the revenue recognized during the three months ended March 31, 2022, $2.5 million was included in the unearned revenue balance as of December 31, 2021. Revenue recognized was from upfront payments received at the inception of the related contracts, which decreased the initial unearned revenue recognized. As of March 31, 2023, the Company had $7.2 million of costs incurred to fulfill a contract on its Condensed Consolidated Balance Sheet within “Other current assets.”</w:t>
      </w:r>
    </w:p>
    <w:p>
      <w:pPr>
        <w:spacing w:after="0" w:line="20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Unearned revenue was classified as short-term and long-term on the Condensed Consolidated Balance Sheets based on the Company’s estimate of revenue that will be recognized during the next twelve months.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5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Under the 2021 Plan, 16,186,000 shares of Class A common stock were reserved. Additionally, shares were reserved for all outstanding awards under the previous 2016 Plan. The Company may grant stock options, restricted stock units (RSUs), stock appreciation rights, restricted stock awards and other forms of stock-based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20,652,818 shares of Class A common stock were available for grant.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presents the classification of stock-based compensation expense for stock options and RSUs for employees and non-employees within the Condensed Consolidated Statements of Operations:</w:t>
      </w:r>
    </w:p>
    <w:p>
      <w:pPr>
        <w:spacing w:after="0" w:line="220"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2,683</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1,635</w:t>
            </w: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Stock options are primarily granted to executive leaders at the Company, generally vest over four years and expire no later than 10 years from the date of grant. Stock option activity during the three months ended March 31, 2023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54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 except share data)</w:t>
            </w:r>
          </w:p>
        </w:tc>
        <w:tc>
          <w:tcPr>
            <w:tcW w:w="20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center"/>
              <w:ind w:left="379"/>
              <w:spacing w:after="0" w:line="149" w:lineRule="exact"/>
              <w:rPr>
                <w:sz w:val="20"/>
                <w:szCs w:val="20"/>
                <w:color w:val="auto"/>
              </w:rPr>
            </w:pPr>
            <w:r>
              <w:rPr>
                <w:rFonts w:ascii="Arial" w:cs="Arial" w:eastAsia="Arial" w:hAnsi="Arial"/>
                <w:sz w:val="14"/>
                <w:szCs w:val="14"/>
                <w:b w:val="1"/>
                <w:bCs w:val="1"/>
                <w:color w:val="auto"/>
              </w:rPr>
              <w:t>Exercise</w:t>
            </w:r>
          </w:p>
        </w:tc>
        <w:tc>
          <w:tcPr>
            <w:tcW w:w="4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 Life</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rPr>
              <w:t>Price</w:t>
            </w:r>
          </w:p>
        </w:tc>
        <w:tc>
          <w:tcPr>
            <w:tcW w:w="4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16,154,924</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67,997</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Pr>
          <w:p>
            <w:pPr>
              <w:jc w:val="right"/>
              <w:spacing w:after="0"/>
              <w:rPr>
                <w:sz w:val="20"/>
                <w:szCs w:val="20"/>
                <w:color w:val="auto"/>
              </w:rPr>
            </w:pPr>
            <w:r>
              <w:rPr>
                <w:rFonts w:ascii="Arial" w:cs="Arial" w:eastAsia="Arial" w:hAnsi="Arial"/>
                <w:sz w:val="18"/>
                <w:szCs w:val="18"/>
                <w:color w:val="auto"/>
              </w:rPr>
              <w:t>2,757,614</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8.55</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(671,116)</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(582,395)</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2023</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17,659,027</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March 31, 2023</w:t>
            </w:r>
          </w:p>
        </w:tc>
        <w:tc>
          <w:tcPr>
            <w:tcW w:w="2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9,233,673</w:t>
            </w:r>
          </w:p>
        </w:tc>
        <w:tc>
          <w:tcPr>
            <w:tcW w:w="1100" w:type="dxa"/>
            <w:vAlign w:val="bottom"/>
            <w:tcBorders>
              <w:bottom w:val="single" w:sz="8" w:color="auto"/>
            </w:tcBorders>
          </w:tcPr>
          <w:p>
            <w:pPr>
              <w:jc w:val="right"/>
              <w:ind w:right="899"/>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w:t>
            </w:r>
          </w:p>
        </w:tc>
        <w:tc>
          <w:tcPr>
            <w:tcW w:w="2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360" w:type="dxa"/>
            <w:vAlign w:val="bottom"/>
            <w:tcBorders>
              <w:bottom w:val="single" w:sz="8" w:color="auto"/>
            </w:tcBorders>
          </w:tcPr>
          <w:p>
            <w:pPr>
              <w:jc w:val="right"/>
              <w:ind w:right="155"/>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37,544</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three months ended March 31, 2023 and 2022 were $5.32 and $7.42,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93"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2022</w:t>
            </w: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64 %</w:t>
            </w:r>
          </w:p>
        </w:tc>
        <w:tc>
          <w:tcPr>
            <w:tcW w:w="180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3.5 %</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r>
    </w:tbl>
    <w:p>
      <w:pPr>
        <w:spacing w:after="0" w:line="31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As of March 31, 2023, $37.1 million of unrecognized compensation cost related to stock options is expected to be recognized as expense over approximately the next three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three months ended March 31,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2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6,894,525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1,916,806</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(484,444)</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(303,686)</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8,023,201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The fair market value of RSUs vested was $5.2 million during the three months ended March 31, 2023. As of March 31, 2023, $59.8 million of unrecognized compensation cost related to RSUs is expected to be recognized as expense over approximately the next three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2" w:lineRule="exact"/>
        <w:rPr>
          <w:sz w:val="20"/>
          <w:szCs w:val="20"/>
          <w:color w:val="auto"/>
        </w:rPr>
      </w:pPr>
    </w:p>
    <w:p>
      <w:pPr>
        <w:jc w:val="both"/>
        <w:ind w:right="740"/>
        <w:spacing w:after="0" w:line="268" w:lineRule="auto"/>
        <w:rPr>
          <w:sz w:val="20"/>
          <w:szCs w:val="20"/>
          <w:color w:val="auto"/>
        </w:rPr>
      </w:pPr>
      <w:r>
        <w:rPr>
          <w:rFonts w:ascii="Arial" w:cs="Arial" w:eastAsia="Arial" w:hAnsi="Arial"/>
          <w:sz w:val="18"/>
          <w:szCs w:val="18"/>
          <w:color w:val="auto"/>
        </w:rPr>
        <w:t>The Company did not record any income tax expense during the three months ended March 31, 2023 and 2022. The Company has historically incurred operating losses and maintains a full valuation allowance against its net deferred tax assets. Foreign taxes were insignificant during the three months ended March 31, 2023.</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operating losses (NOLs) and tax credit carry-forwards are subject to review and possible adjustment by the Internal Revenue Service (“IRS”) and may become subject to annual limitation due to ownership changes that have occurred previously or that could occur in the future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ownership has occurred or whether there have been multiple ownership changes since inception due to the significant complexity and cost associated with such a study. If the Company has experienced a change of ownership,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2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files income tax returns in the United States, Canada, Utah, California and Massachusetts. The Company is not currently under examination in any of these jurisdictions. The Company is subject to income tax examinations on all federal returns since the 2019 tax return.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11. Net Loss Per Share</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For the three months ended March 31, 2023 and </w:t>
      </w:r>
      <w:r>
        <w:rPr>
          <w:rFonts w:ascii="Arial" w:cs="Arial" w:eastAsia="Arial" w:hAnsi="Arial"/>
          <w:sz w:val="18"/>
          <w:szCs w:val="18"/>
          <w:color w:val="1E1E1E"/>
        </w:rPr>
        <w:t>2022</w:t>
      </w:r>
      <w:r>
        <w:rPr>
          <w:rFonts w:ascii="Arial" w:cs="Arial" w:eastAsia="Arial" w:hAnsi="Arial"/>
          <w:sz w:val="18"/>
          <w:szCs w:val="18"/>
          <w:color w:val="auto"/>
        </w:rPr>
        <w:t xml:space="preserve">, Recursion calculated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For the three months ended March 31, 2023 and </w:t>
      </w:r>
      <w:r>
        <w:rPr>
          <w:rFonts w:ascii="Arial" w:cs="Arial" w:eastAsia="Arial" w:hAnsi="Arial"/>
          <w:sz w:val="18"/>
          <w:szCs w:val="18"/>
          <w:color w:val="1E1E1E"/>
        </w:rPr>
        <w:t>2022,</w:t>
      </w:r>
      <w:r>
        <w:rPr>
          <w:rFonts w:ascii="Arial" w:cs="Arial" w:eastAsia="Arial" w:hAnsi="Arial"/>
          <w:sz w:val="18"/>
          <w:szCs w:val="18"/>
          <w:color w:val="auto"/>
        </w:rPr>
        <w:t xml:space="preserve"> the Company reported a net loss and therefore basic and diluted loss per share were the same.</w:t>
      </w:r>
    </w:p>
    <w:p>
      <w:pPr>
        <w:spacing w:after="0" w:line="21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rights, including the liquidation and dividend rights, of the holders of the Company’s Class A and Class B common stock are identical, except with respect to voting. As a result, the undistributed earnings for each period are allocated based on the contractual participation rights of the Class A and Class B common shares as if the earnings for the period had been distributed. As the liquidation and dividend rights are identical, the undistributed earnings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are allocated on a proportionate basis and the resulting amount per share for Class A and Class B common stock was the same during the three months ended March 31, 2023 and </w:t>
      </w:r>
      <w:r>
        <w:rPr>
          <w:rFonts w:ascii="Arial" w:cs="Arial" w:eastAsia="Arial" w:hAnsi="Arial"/>
          <w:sz w:val="18"/>
          <w:szCs w:val="18"/>
          <w:color w:val="1E1E1E"/>
        </w:rPr>
        <w:t>2022</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 of Class A and Class B common stock:</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26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r>
      <w:tr>
        <w:trPr>
          <w:trHeight w:val="235"/>
        </w:trPr>
        <w:tc>
          <w:tcPr>
            <w:tcW w:w="5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March 31, 2023</w:t>
            </w: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March 31, 2022</w:t>
            </w: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amount)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Class B</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B</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Allocation of undistributed earnings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183,851,596</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7,766,642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161,674,169</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9,016,223</w:t>
            </w: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r>
      <w:tr>
        <w:trPr>
          <w:trHeight w:val="21"/>
        </w:trPr>
        <w:tc>
          <w:tcPr>
            <w:tcW w:w="5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1E1E1E"/>
        </w:rPr>
        <w:t>The Company excluded the following potential common shares from the computation of diluted net loss per share for the periods indicated because including them would have had an anti-dilutive effect: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760" w:type="dxa"/>
            <w:vAlign w:val="bottom"/>
          </w:tcPr>
          <w:p>
            <w:pPr>
              <w:spacing w:after="0"/>
              <w:rPr>
                <w:sz w:val="21"/>
                <w:szCs w:val="21"/>
                <w:color w:val="auto"/>
              </w:rPr>
            </w:pPr>
          </w:p>
        </w:tc>
        <w:tc>
          <w:tcPr>
            <w:tcW w:w="6480" w:type="dxa"/>
            <w:vAlign w:val="bottom"/>
            <w:gridSpan w:val="2"/>
          </w:tcPr>
          <w:p>
            <w:pPr>
              <w:ind w:left="3420"/>
              <w:spacing w:after="0"/>
              <w:rPr>
                <w:sz w:val="20"/>
                <w:szCs w:val="20"/>
                <w:color w:val="auto"/>
              </w:rPr>
            </w:pPr>
            <w:r>
              <w:rPr>
                <w:rFonts w:ascii="Arial" w:cs="Arial" w:eastAsia="Arial" w:hAnsi="Arial"/>
                <w:sz w:val="18"/>
                <w:szCs w:val="18"/>
                <w:b w:val="1"/>
                <w:bCs w:val="1"/>
                <w:color w:val="auto"/>
              </w:rPr>
              <w:t>Three months ended</w:t>
            </w:r>
          </w:p>
        </w:tc>
      </w:tr>
      <w:tr>
        <w:trPr>
          <w:trHeight w:val="245"/>
        </w:trPr>
        <w:tc>
          <w:tcPr>
            <w:tcW w:w="476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ind w:left="2580"/>
              <w:spacing w:after="0"/>
              <w:rPr>
                <w:sz w:val="20"/>
                <w:szCs w:val="20"/>
                <w:color w:val="auto"/>
              </w:rPr>
            </w:pPr>
            <w:r>
              <w:rPr>
                <w:rFonts w:ascii="Arial" w:cs="Arial" w:eastAsia="Arial" w:hAnsi="Arial"/>
                <w:sz w:val="18"/>
                <w:szCs w:val="18"/>
                <w:b w:val="1"/>
                <w:bCs w:val="1"/>
                <w:color w:val="auto"/>
              </w:rPr>
              <w:t>March 31, 2023</w:t>
            </w:r>
          </w:p>
        </w:tc>
        <w:tc>
          <w:tcPr>
            <w:tcW w:w="1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2022</w:t>
            </w:r>
          </w:p>
        </w:tc>
      </w:tr>
      <w:tr>
        <w:trPr>
          <w:trHeight w:val="250"/>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4500" w:type="dxa"/>
            <w:vAlign w:val="bottom"/>
            <w:tcBorders>
              <w:bottom w:val="single" w:sz="8" w:color="auto"/>
            </w:tcBorders>
            <w:shd w:val="clear" w:color="auto" w:fill="CCEEFF"/>
          </w:tcPr>
          <w:p>
            <w:pPr>
              <w:ind w:left="3420"/>
              <w:spacing w:after="0"/>
              <w:rPr>
                <w:sz w:val="20"/>
                <w:szCs w:val="20"/>
                <w:color w:val="auto"/>
              </w:rPr>
            </w:pPr>
            <w:r>
              <w:rPr>
                <w:rFonts w:ascii="Arial" w:cs="Arial" w:eastAsia="Arial" w:hAnsi="Arial"/>
                <w:sz w:val="18"/>
                <w:szCs w:val="18"/>
                <w:color w:val="auto"/>
              </w:rPr>
              <w:t>8,534,876</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12,089,621</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9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1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March 31, 2023</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5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408,711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408,711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ind w:left="800"/>
              <w:spacing w:after="0"/>
              <w:rPr>
                <w:sz w:val="20"/>
                <w:szCs w:val="20"/>
                <w:color w:val="auto"/>
              </w:rPr>
            </w:pPr>
            <w:r>
              <w:rPr>
                <w:rFonts w:ascii="Arial" w:cs="Arial" w:eastAsia="Arial" w:hAnsi="Arial"/>
                <w:sz w:val="18"/>
                <w:szCs w:val="18"/>
                <w:color w:val="auto"/>
              </w:rPr>
              <w:t>— $</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417,942</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417,942</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02"/>
        </w:trPr>
        <w:tc>
          <w:tcPr>
            <w:tcW w:w="3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jc w:val="right"/>
              <w:ind w:right="1292"/>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1"/>
        </w:trPr>
        <w:tc>
          <w:tcPr>
            <w:tcW w:w="35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1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December 31, 2022</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8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5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404,613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404,613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ind w:left="800"/>
              <w:spacing w:after="0"/>
              <w:rPr>
                <w:sz w:val="20"/>
                <w:szCs w:val="20"/>
                <w:color w:val="auto"/>
              </w:rPr>
            </w:pPr>
            <w:r>
              <w:rPr>
                <w:rFonts w:ascii="Arial" w:cs="Arial" w:eastAsia="Arial" w:hAnsi="Arial"/>
                <w:sz w:val="18"/>
                <w:szCs w:val="18"/>
                <w:color w:val="auto"/>
              </w:rPr>
              <w:t>— $</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413,813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413,813</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4"/>
          </w:tcPr>
          <w:p>
            <w:pPr>
              <w:ind w:left="1220"/>
              <w:spacing w:after="0"/>
              <w:rPr>
                <w:sz w:val="20"/>
                <w:szCs w:val="20"/>
                <w:color w:val="auto"/>
              </w:rPr>
            </w:pPr>
            <w:r>
              <w:rPr>
                <w:rFonts w:ascii="Arial" w:cs="Arial" w:eastAsia="Arial" w:hAnsi="Arial"/>
                <w:sz w:val="16"/>
                <w:szCs w:val="16"/>
                <w:b w:val="1"/>
                <w:bCs w:val="1"/>
                <w:color w:val="auto"/>
              </w:rPr>
              <w:t>Book values</w:t>
            </w:r>
          </w:p>
        </w:tc>
        <w:tc>
          <w:tcPr>
            <w:tcW w:w="260" w:type="dxa"/>
            <w:vAlign w:val="bottom"/>
          </w:tcPr>
          <w:p>
            <w:pPr>
              <w:spacing w:after="0"/>
              <w:rPr>
                <w:sz w:val="18"/>
                <w:szCs w:val="18"/>
                <w:color w:val="auto"/>
              </w:rPr>
            </w:pPr>
          </w:p>
        </w:tc>
        <w:tc>
          <w:tcPr>
            <w:tcW w:w="370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r>
      <w:tr>
        <w:trPr>
          <w:trHeight w:val="21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March 31, 2023</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March 31, 2023</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2022</w:t>
            </w: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notes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Notes payable, net of current portion</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 Inc.</w:t>
      </w:r>
    </w:p>
    <w:p>
      <w:pPr>
        <w:spacing w:after="0" w:line="2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May 8, 2023, Recursion and its indirect wholly owned subsidiary (the “Cyclica Purchaser”) entered into a definitive agreement pursuant to which, subject to applicable closing conditions, the Cyclica Purchaser will, among other things acquire all of the outstanding equity securities of Cyclica Inc. (“Cyclica”) to be paid in the form of shares of Recursion Class A common stock (the “Class A Shares”), cash and the assumption by Recursion of outstanding options to purchase shares of Cyclica. Following the completion of the Cyclica Acquisition, Recursion would issue up to approximately 6.9 million Class A Shares in the Cyclica Acquisition (including Class A Shares issuable upon the exercise of options to purchase shares of Cyclica assumed by Recursion in the Cyclica Acquisition) based on a reference price of Class A Shares of $5.78 (the “Reference Price”), which is the volume weighted average price of Class A Shares over the 30 days ended May 5,</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2023. The purchase price for the Cyclica Acquisition is subject to customary closing and post-closing purchase price adjustments, which may result in the issuance of additional or fewer Class A Shares. In addition, under the terms of the Cyclica Purchase Agreement, in certain circumstances Recursion may pay cash consideration to Cyclica shareholders in lieu of Class A Shares at a value based on the Reference Price, which may result in the issuance of fewer Class A Shares. Recursion expects to close the transaction in the second quarter of 2023.</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Cyclica has built a digital chemistry software suite which enables mechanism of action deconvolution and generative chemistry suggestions based on desired targets. Cyclica’s platform is expected to enhance the optimization of Recursion’s compounds for efficacy while minimizing liabilities through generative machine learning approaches. Cyclica is located in Toronto Canada and the teams at Cyclica will be fully integrated into Recursion.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Discovery Inc.</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May 8, 2023, Recursion and its indirect wholly owned subsidiary (the “Valence Purchaser”) entered into a definitive agreement (the “Valence Purchase Agreement”) pursuant to which, subject to applicable closing conditions, the Valence Purchaser will, among other things, acquire all of the outstanding equity securities of Valence Discovery Inc. (“Valence”) to be paid in the form of (i) Class A Shares and shares of the Valence Purchaser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“Exchangeable Shares”), (ii) cash and (iii) the assumption by Recursion of outstanding options to purchase shares of Valence. Each Exchangeable Share will be exchangeable into one Class A Share at the option of the holder, subject to certain adjustments. Following the completion of the Valence Acquisition, Recursion will issue up to approximately 8.2 million Class A Shares in the Valence Acquisition (including Class A Shares issuable upon the exchange of Exchangeable Shares and upon the exercise of options to purchase shares of Valence assumed by Recursion in the Valence Acquisition) based on the Reference Price. The purchase price for the Valence Acquisition is subject to customary closing and post-closing purchase price adjustments, which may result in the issuance of additional or fewer Class A Shares (including Class A Shares issuable upon the exchange of Exchangeable Shares). In addition, under the terms of the Valence Purchase Agreement, in certain circumstances Recursion may pay cash consideration to Valence shareholders in lieu of Exchangeable Shares or Class A Shares at a value based on the Reference Price, which may result in the issuance of fewer Class A Shares (including Class A Shares issuable upon the exchange of Exchangeable Shares). Recursion expects to close the transaction in the second quarter of 2023.</w:t>
      </w: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Valence is a machine learning (ML) / artificial intelligence digital chemistry company that creates chemical compound and interaction representations using graph neural networks. Valence designs novel chemical matter using artificial intelligence and proprietary computation tools. Valence is located in </w:t>
      </w:r>
      <w:r>
        <w:rPr>
          <w:rFonts w:ascii="Arial" w:cs="Arial" w:eastAsia="Arial" w:hAnsi="Arial"/>
          <w:sz w:val="18"/>
          <w:szCs w:val="18"/>
          <w:color w:val="1E1E1E"/>
        </w:rPr>
        <w:t>Montr</w:t>
      </w:r>
      <w:r>
        <w:rPr>
          <w:rFonts w:ascii="Arial" w:cs="Arial" w:eastAsia="Arial" w:hAnsi="Arial"/>
          <w:sz w:val="18"/>
          <w:szCs w:val="18"/>
          <w:color w:val="auto"/>
        </w:rPr>
        <w:t>é</w:t>
      </w:r>
      <w:r>
        <w:rPr>
          <w:rFonts w:ascii="Arial" w:cs="Arial" w:eastAsia="Arial" w:hAnsi="Arial"/>
          <w:sz w:val="18"/>
          <w:szCs w:val="18"/>
          <w:color w:val="1E1E1E"/>
        </w:rPr>
        <w:t>al</w:t>
      </w:r>
      <w:r>
        <w:rPr>
          <w:rFonts w:ascii="Arial" w:cs="Arial" w:eastAsia="Arial" w:hAnsi="Arial"/>
          <w:sz w:val="18"/>
          <w:szCs w:val="18"/>
          <w:color w:val="auto"/>
        </w:rPr>
        <w:t xml:space="preserve"> Canada and will work on applied ML research across chemistry and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2. Management’s Discussion and Analysis of Financial Condition and Results of Operations.</w:t>
      </w:r>
    </w:p>
    <w:p>
      <w:pPr>
        <w:spacing w:after="0" w:line="2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1E1E1E"/>
        </w:rPr>
        <w:t xml:space="preserve">The following is a discussion and analysis of the financial condition of </w:t>
      </w:r>
      <w:r>
        <w:rPr>
          <w:rFonts w:ascii="Arial" w:cs="Arial" w:eastAsia="Arial" w:hAnsi="Arial"/>
          <w:sz w:val="18"/>
          <w:szCs w:val="18"/>
          <w:i w:val="1"/>
          <w:iCs w:val="1"/>
          <w:color w:val="000000"/>
        </w:rPr>
        <w:t>Recursion Pharmaceuticals, Inc. (Recursion, the Company, we, us or</w:t>
      </w:r>
      <w:r>
        <w:rPr>
          <w:rFonts w:ascii="Arial" w:cs="Arial" w:eastAsia="Arial" w:hAnsi="Arial"/>
          <w:sz w:val="18"/>
          <w:szCs w:val="18"/>
          <w:i w:val="1"/>
          <w:iCs w:val="1"/>
          <w:color w:val="1E1E1E"/>
        </w:rPr>
        <w:t xml:space="preserve"> </w:t>
      </w:r>
      <w:r>
        <w:rPr>
          <w:rFonts w:ascii="Arial" w:cs="Arial" w:eastAsia="Arial" w:hAnsi="Arial"/>
          <w:sz w:val="18"/>
          <w:szCs w:val="18"/>
          <w:i w:val="1"/>
          <w:iCs w:val="1"/>
          <w:color w:val="000000"/>
        </w:rPr>
        <w:t xml:space="preserve">our) </w:t>
      </w:r>
      <w:r>
        <w:rPr>
          <w:rFonts w:ascii="Arial" w:cs="Arial" w:eastAsia="Arial" w:hAnsi="Arial"/>
          <w:sz w:val="18"/>
          <w:szCs w:val="18"/>
          <w:i w:val="1"/>
          <w:iCs w:val="1"/>
          <w:color w:val="1E1E1E"/>
        </w:rPr>
        <w:t>and the results of operations. This commentary should be read in conjunction with the unaudited Condensed Consolidated Financial</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1E1E1E"/>
        </w:rPr>
        <w:t>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2022.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the Annual Report on Form 10-K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1E1E1E"/>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Overview</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Recursion is a clinical stage TechBio company leading this burgeoning space by decoding biology and chemistry to industrialize drug discovery. Central to our mission is the Recursion Operating System (OS), a platform built across diverse technologies that enables us to map and navigate trillions of biological and chemical relationships within the Recursion Data Universe, one of the world’s largest proprietary biological and chemical datasets. We frame this integration of the physical and digital components as iterative loops of atoms and bits. Scaled ‘wet-lab’ biology and chemistry data built in-house (atoms) are organized into virtuous cycles with ‘dry-lab’ computational tools (bits)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 Our focus on mapping and navigating the complexities of biology and chemistry beyond the published literature and in a target-agnostic way differentiates us from other companies in our space and leads us to confront a fundamental cause of failure for the majority of clinical-stage programs - the wrong target is chosen due to an incomplete and reductionist view of biology. Our balanced team of life scientists and computational and technical experts creates an environment where empirical data, statistical rigor and creative thinking are brought to bear on our decisions.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leverage our Recursion OS to enable three key value drivers:</w:t>
      </w:r>
    </w:p>
    <w:p>
      <w:pPr>
        <w:spacing w:after="0" w:line="27" w:lineRule="exact"/>
        <w:rPr>
          <w:sz w:val="20"/>
          <w:szCs w:val="20"/>
          <w:color w:val="auto"/>
        </w:rPr>
      </w:pPr>
    </w:p>
    <w:p>
      <w:pPr>
        <w:ind w:left="660" w:right="400" w:hanging="328"/>
        <w:spacing w:after="0" w:line="265" w:lineRule="auto"/>
        <w:tabs>
          <w:tab w:leader="none" w:pos="648"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An expansive </w:t>
      </w:r>
      <w:r>
        <w:rPr>
          <w:rFonts w:ascii="Arial" w:cs="Arial" w:eastAsia="Arial" w:hAnsi="Arial"/>
          <w:sz w:val="17"/>
          <w:szCs w:val="17"/>
          <w:b w:val="1"/>
          <w:bCs w:val="1"/>
          <w:color w:val="auto"/>
        </w:rPr>
        <w:t>pipeline</w:t>
      </w:r>
      <w:r>
        <w:rPr>
          <w:rFonts w:ascii="Arial" w:cs="Arial" w:eastAsia="Arial" w:hAnsi="Arial"/>
          <w:sz w:val="17"/>
          <w:szCs w:val="17"/>
          <w:color w:val="auto"/>
        </w:rPr>
        <w:t xml:space="preserve"> of internally-developed clinical and preclinical programs focused on genetically-driven rare diseases and oncology with significant unmet need and market opportunities in some cases potentially in excess of $1 billion in annual sales</w:t>
      </w:r>
    </w:p>
    <w:p>
      <w:pPr>
        <w:ind w:left="660" w:right="220" w:hanging="328"/>
        <w:spacing w:after="0" w:line="265" w:lineRule="auto"/>
        <w:tabs>
          <w:tab w:leader="none" w:pos="648"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Transformational </w:t>
      </w:r>
      <w:r>
        <w:rPr>
          <w:rFonts w:ascii="Arial" w:cs="Arial" w:eastAsia="Arial" w:hAnsi="Arial"/>
          <w:sz w:val="17"/>
          <w:szCs w:val="17"/>
          <w:b w:val="1"/>
          <w:bCs w:val="1"/>
          <w:color w:val="auto"/>
        </w:rPr>
        <w:t>partnerships</w:t>
      </w:r>
      <w:r>
        <w:rPr>
          <w:rFonts w:ascii="Arial" w:cs="Arial" w:eastAsia="Arial" w:hAnsi="Arial"/>
          <w:sz w:val="17"/>
          <w:szCs w:val="17"/>
          <w:color w:val="auto"/>
        </w:rPr>
        <w:t xml:space="preserve"> with leading biopharma companies to map and navigate intractable areas of biology, identify novel targets and develop potential new medicines that are further developed in resource-heavy clinical trials overseen by our partners</w:t>
      </w:r>
    </w:p>
    <w:p>
      <w:pPr>
        <w:ind w:left="660" w:right="60" w:hanging="328"/>
        <w:spacing w:after="0" w:line="266"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Development of one of the largest fit-for-purpose proprietary biological and chemical </w:t>
      </w:r>
      <w:r>
        <w:rPr>
          <w:rFonts w:ascii="Arial" w:cs="Arial" w:eastAsia="Arial" w:hAnsi="Arial"/>
          <w:sz w:val="18"/>
          <w:szCs w:val="18"/>
          <w:b w:val="1"/>
          <w:bCs w:val="1"/>
          <w:color w:val="auto"/>
        </w:rPr>
        <w:t>datasets</w:t>
      </w:r>
      <w:r>
        <w:rPr>
          <w:rFonts w:ascii="Arial" w:cs="Arial" w:eastAsia="Arial" w:hAnsi="Arial"/>
          <w:sz w:val="18"/>
          <w:szCs w:val="18"/>
          <w:color w:val="auto"/>
        </w:rPr>
        <w:t xml:space="preserve"> in the world at a time when advances in AI paired with the right training data are creating disruptive value.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394335</wp:posOffset>
            </wp:positionV>
            <wp:extent cx="5863590" cy="2751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Recursion finished the first quarter of 2023 with a portfolio of clinical-stage, preclinical and discovery programs and continued scaling the total number of experiments to over 192 million, size of its proprietary data to over 23 petabytes and number of biological and chemical relationships to over 3 trillion. Data have been generated by the Recursion OS across 48 human cell types, an in-house chemical library of approximately 1.7 million compounds and an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library of over 1 trillion small molecules, by a team of approximately 500 Recursionauts that is balanced between life scientists and computational and technical experts (total number of employees cited here does not account for employees associated with Cyclica and Valence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144780</wp:posOffset>
            </wp:positionV>
            <wp:extent cx="5786120" cy="22199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612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Business Highlights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Digital Chemistry and Generative AI Acquisitions</w:t>
      </w:r>
    </w:p>
    <w:p>
      <w:pPr>
        <w:spacing w:after="0" w:line="250" w:lineRule="exact"/>
        <w:rPr>
          <w:sz w:val="20"/>
          <w:szCs w:val="20"/>
          <w:color w:val="auto"/>
        </w:rPr>
      </w:pPr>
    </w:p>
    <w:p>
      <w:pPr>
        <w:ind w:left="660" w:hanging="328"/>
        <w:spacing w:after="0" w:line="257" w:lineRule="auto"/>
        <w:tabs>
          <w:tab w:leader="none" w:pos="655" w:val="left"/>
        </w:tabs>
        <w:numPr>
          <w:ilvl w:val="0"/>
          <w:numId w:val="7"/>
        </w:numPr>
        <w:rPr>
          <w:rFonts w:ascii="Arial" w:cs="Arial" w:eastAsia="Arial" w:hAnsi="Arial"/>
          <w:sz w:val="18"/>
          <w:szCs w:val="18"/>
          <w:color w:val="1E1E1E"/>
        </w:rPr>
      </w:pPr>
      <w:r>
        <w:rPr>
          <w:rFonts w:ascii="Arial" w:cs="Arial" w:eastAsia="Arial" w:hAnsi="Arial"/>
          <w:sz w:val="18"/>
          <w:szCs w:val="18"/>
          <w:b w:val="1"/>
          <w:bCs w:val="1"/>
          <w:color w:val="1E1E1E"/>
        </w:rPr>
        <w:t xml:space="preserve">Cyclica: </w:t>
      </w:r>
      <w:r>
        <w:rPr>
          <w:rFonts w:ascii="Arial" w:cs="Arial" w:eastAsia="Arial" w:hAnsi="Arial"/>
          <w:sz w:val="18"/>
          <w:szCs w:val="18"/>
          <w:color w:val="1E1E1E"/>
        </w:rPr>
        <w:t>Cyclica has built an industry-leading digital chemistry software suite which enables mechanism of action deconvolution,</w:t>
      </w:r>
      <w:r>
        <w:rPr>
          <w:rFonts w:ascii="Arial" w:cs="Arial" w:eastAsia="Arial" w:hAnsi="Arial"/>
          <w:sz w:val="18"/>
          <w:szCs w:val="18"/>
          <w:b w:val="1"/>
          <w:bCs w:val="1"/>
          <w:color w:val="1E1E1E"/>
        </w:rPr>
        <w:t xml:space="preserve"> </w:t>
      </w:r>
      <w:r>
        <w:rPr>
          <w:rFonts w:ascii="Arial" w:cs="Arial" w:eastAsia="Arial" w:hAnsi="Arial"/>
          <w:sz w:val="18"/>
          <w:szCs w:val="18"/>
          <w:color w:val="1E1E1E"/>
        </w:rPr>
        <w:t>generative chemistry and molecular optimization tools. Recursion completed a prospective, blinded evaluation of their software against challenging internal programs, where we gained deep confidence in the power of their tools and reinforced our belief that this team could accelerate Recursion’s work across its pipeline and partnerships by rapidly advancing the discovery of new chemical entities. We believe that Cyclica’s tools will enhance the optimization of our compounds for efficacy while minimizing liabilities through generative machine learning approaches. The company is located in Toronto,</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840"/>
        <w:spacing w:after="0" w:line="259" w:lineRule="auto"/>
        <w:rPr>
          <w:sz w:val="20"/>
          <w:szCs w:val="20"/>
          <w:color w:val="auto"/>
        </w:rPr>
      </w:pPr>
      <w:r>
        <w:rPr>
          <w:rFonts w:ascii="Arial" w:cs="Arial" w:eastAsia="Arial" w:hAnsi="Arial"/>
          <w:sz w:val="18"/>
          <w:szCs w:val="18"/>
          <w:color w:val="1E1E1E"/>
        </w:rPr>
        <w:t>where Recursion maintains its biggest hub outside of its headquarters, and the teams at Cyclica will be fully integrated into Recursion.</w:t>
      </w:r>
    </w:p>
    <w:p>
      <w:pPr>
        <w:spacing w:after="0" w:line="1" w:lineRule="exact"/>
        <w:rPr>
          <w:sz w:val="20"/>
          <w:szCs w:val="20"/>
          <w:color w:val="auto"/>
        </w:rPr>
      </w:pPr>
    </w:p>
    <w:p>
      <w:pPr>
        <w:ind w:left="660" w:right="80" w:hanging="328"/>
        <w:spacing w:after="0" w:line="265" w:lineRule="auto"/>
        <w:tabs>
          <w:tab w:leader="none" w:pos="648" w:val="left"/>
        </w:tabs>
        <w:numPr>
          <w:ilvl w:val="0"/>
          <w:numId w:val="8"/>
        </w:numPr>
        <w:rPr>
          <w:rFonts w:ascii="Arial" w:cs="Arial" w:eastAsia="Arial" w:hAnsi="Arial"/>
          <w:sz w:val="19"/>
          <w:szCs w:val="19"/>
          <w:color w:val="1E1E1E"/>
        </w:rPr>
      </w:pPr>
      <w:r>
        <w:rPr>
          <w:rFonts w:ascii="Arial" w:cs="Arial" w:eastAsia="Arial" w:hAnsi="Arial"/>
          <w:sz w:val="17"/>
          <w:szCs w:val="17"/>
          <w:b w:val="1"/>
          <w:bCs w:val="1"/>
          <w:color w:val="1E1E1E"/>
        </w:rPr>
        <w:t xml:space="preserve">Valence: </w:t>
      </w:r>
      <w:r>
        <w:rPr>
          <w:rFonts w:ascii="Arial" w:cs="Arial" w:eastAsia="Arial" w:hAnsi="Arial"/>
          <w:sz w:val="17"/>
          <w:szCs w:val="17"/>
          <w:color w:val="1E1E1E"/>
        </w:rPr>
        <w:t>Valence is a ML/AI-native digital chemistry company which has pioneered the development of novel hybrid graph neural</w:t>
      </w:r>
      <w:r>
        <w:rPr>
          <w:rFonts w:ascii="Arial" w:cs="Arial" w:eastAsia="Arial" w:hAnsi="Arial"/>
          <w:sz w:val="17"/>
          <w:szCs w:val="17"/>
          <w:b w:val="1"/>
          <w:bCs w:val="1"/>
          <w:color w:val="1E1E1E"/>
        </w:rPr>
        <w:t xml:space="preserve"> </w:t>
      </w:r>
      <w:r>
        <w:rPr>
          <w:rFonts w:ascii="Arial" w:cs="Arial" w:eastAsia="Arial" w:hAnsi="Arial"/>
          <w:sz w:val="17"/>
          <w:szCs w:val="17"/>
          <w:color w:val="1E1E1E"/>
        </w:rPr>
        <w:t>networks and transformers for state-of-the-art chemical property prediction. The small team at Valence has led a massive open-science movement with a network of academic collaborators at the pinnacle of machine learning, chemistry and other fields. Based in Montr</w:t>
      </w:r>
      <w:r>
        <w:rPr>
          <w:rFonts w:ascii="Arial" w:cs="Arial" w:eastAsia="Arial" w:hAnsi="Arial"/>
          <w:sz w:val="17"/>
          <w:szCs w:val="17"/>
          <w:color w:val="000000"/>
        </w:rPr>
        <w:t>é</w:t>
      </w:r>
      <w:r>
        <w:rPr>
          <w:rFonts w:ascii="Arial" w:cs="Arial" w:eastAsia="Arial" w:hAnsi="Arial"/>
          <w:sz w:val="17"/>
          <w:szCs w:val="17"/>
          <w:color w:val="1E1E1E"/>
        </w:rPr>
        <w:t>al, where Recursion also maintains a ML research team, Valence will work on cutting-edge applied ML research across chemistry and biology. We believe that the technology they have built and will build will enable acceleration of our work at Recursion across many fields, beginning with generative design of new molecules, DMPK predictions and more. Combined with Recursion’s wet-lab data generation capabilities and one of the largest relatable datasets in the industry, the team will also accelerate ongoing internal work to build foundation models, large-language models and other approaches leveraging active learning.</w:t>
      </w:r>
    </w:p>
    <w:p>
      <w:pPr>
        <w:spacing w:after="0" w:line="5" w:lineRule="exact"/>
        <w:rPr>
          <w:rFonts w:ascii="Arial" w:cs="Arial" w:eastAsia="Arial" w:hAnsi="Arial"/>
          <w:sz w:val="19"/>
          <w:szCs w:val="19"/>
          <w:color w:val="1E1E1E"/>
        </w:rPr>
      </w:pPr>
    </w:p>
    <w:p>
      <w:pPr>
        <w:ind w:left="640" w:hanging="308"/>
        <w:spacing w:after="0"/>
        <w:tabs>
          <w:tab w:leader="none" w:pos="640" w:val="left"/>
        </w:tabs>
        <w:numPr>
          <w:ilvl w:val="0"/>
          <w:numId w:val="8"/>
        </w:numPr>
        <w:rPr>
          <w:rFonts w:ascii="Calibri" w:cs="Calibri" w:eastAsia="Calibri" w:hAnsi="Calibri"/>
          <w:sz w:val="18"/>
          <w:szCs w:val="18"/>
          <w:b w:val="1"/>
          <w:bCs w:val="1"/>
          <w:color w:val="1E1E1E"/>
        </w:rPr>
      </w:pPr>
      <w:r>
        <w:rPr>
          <w:rFonts w:ascii="Arial" w:cs="Arial" w:eastAsia="Arial" w:hAnsi="Arial"/>
          <w:sz w:val="18"/>
          <w:szCs w:val="18"/>
          <w:b w:val="1"/>
          <w:bCs w:val="1"/>
          <w:color w:val="1E1E1E"/>
        </w:rPr>
        <w:t xml:space="preserve">Financial Impact of Acquisitions: </w:t>
      </w:r>
      <w:r>
        <w:rPr>
          <w:rFonts w:ascii="Arial" w:cs="Arial" w:eastAsia="Arial" w:hAnsi="Arial"/>
          <w:sz w:val="18"/>
          <w:szCs w:val="18"/>
          <w:color w:val="1E1E1E"/>
        </w:rPr>
        <w:t>See Note 13, “</w:t>
      </w:r>
      <w:r>
        <w:rPr>
          <w:rFonts w:ascii="Arial" w:cs="Arial" w:eastAsia="Arial" w:hAnsi="Arial"/>
          <w:sz w:val="18"/>
          <w:szCs w:val="18"/>
          <w:color w:val="000000"/>
        </w:rPr>
        <w:t>Subsequent Events</w:t>
      </w:r>
      <w:r>
        <w:rPr>
          <w:rFonts w:ascii="Arial" w:cs="Arial" w:eastAsia="Arial" w:hAnsi="Arial"/>
          <w:sz w:val="18"/>
          <w:szCs w:val="18"/>
          <w:color w:val="1E1E1E"/>
        </w:rPr>
        <w:t>” to the Condensed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Pipeline</w:t>
      </w:r>
    </w:p>
    <w:p>
      <w:pPr>
        <w:spacing w:after="0" w:line="264" w:lineRule="exact"/>
        <w:rPr>
          <w:sz w:val="20"/>
          <w:szCs w:val="20"/>
          <w:color w:val="auto"/>
        </w:rPr>
      </w:pPr>
    </w:p>
    <w:p>
      <w:pPr>
        <w:jc w:val="both"/>
        <w:ind w:left="660" w:right="80" w:hanging="328"/>
        <w:spacing w:after="0" w:line="250" w:lineRule="auto"/>
        <w:tabs>
          <w:tab w:leader="none" w:pos="648" w:val="left"/>
        </w:tabs>
        <w:numPr>
          <w:ilvl w:val="0"/>
          <w:numId w:val="9"/>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Cerebral Cavernous Malformation (CCM) (REC-994): </w:t>
      </w:r>
      <w:r>
        <w:rPr>
          <w:rFonts w:ascii="Arial" w:cs="Arial" w:eastAsia="Arial" w:hAnsi="Arial"/>
          <w:sz w:val="18"/>
          <w:szCs w:val="18"/>
          <w:color w:val="auto"/>
        </w:rPr>
        <w:t>Our Phase 2 SYCAMORE clinical trial is a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safety, tolerability and exploratory efficacy study of this drug candidate in 60 participants with CCM. We have enrolled the majority of participants associated with this study, and most participants who have finished their first year of treatment have now enrolled in the long-term extension study. We expect to share top-line data in H2 2024.</w:t>
      </w:r>
    </w:p>
    <w:p>
      <w:pPr>
        <w:ind w:left="660" w:right="140" w:hanging="328"/>
        <w:spacing w:after="0" w:line="252" w:lineRule="auto"/>
        <w:tabs>
          <w:tab w:leader="none" w:pos="648" w:val="left"/>
        </w:tabs>
        <w:numPr>
          <w:ilvl w:val="0"/>
          <w:numId w:val="9"/>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Neurofibromatosis Type 2 (NF2) (REC-2282): </w:t>
      </w:r>
      <w:r>
        <w:rPr>
          <w:rFonts w:ascii="Arial" w:cs="Arial" w:eastAsia="Arial" w:hAnsi="Arial"/>
          <w:sz w:val="18"/>
          <w:szCs w:val="18"/>
          <w:color w:val="auto"/>
        </w:rPr>
        <w:t>Our Phase 2/3 POPLAR clinical trial is a parallel group, two stage, randomized,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multicenter study of this drug candidate in approximately 90 participants with progressive </w:t>
      </w:r>
      <w:r>
        <w:rPr>
          <w:rFonts w:ascii="Arial" w:cs="Arial" w:eastAsia="Arial" w:hAnsi="Arial"/>
          <w:sz w:val="18"/>
          <w:szCs w:val="18"/>
          <w:i w:val="1"/>
          <w:iCs w:val="1"/>
          <w:color w:val="auto"/>
        </w:rPr>
        <w:t>NF2</w:t>
      </w:r>
      <w:r>
        <w:rPr>
          <w:rFonts w:ascii="Arial" w:cs="Arial" w:eastAsia="Arial" w:hAnsi="Arial"/>
          <w:sz w:val="18"/>
          <w:szCs w:val="18"/>
          <w:color w:val="auto"/>
        </w:rPr>
        <w:t>-mutated meningiomas. Enrollment is ongoing and we expect to share a Phase 2 interim safety analysis in 2024.</w:t>
      </w:r>
    </w:p>
    <w:p>
      <w:pPr>
        <w:spacing w:after="0" w:line="16" w:lineRule="exact"/>
        <w:rPr>
          <w:rFonts w:ascii="Arial" w:cs="Arial" w:eastAsia="Arial" w:hAnsi="Arial"/>
          <w:sz w:val="20"/>
          <w:szCs w:val="20"/>
          <w:b w:val="1"/>
          <w:bCs w:val="1"/>
          <w:color w:val="auto"/>
        </w:rPr>
      </w:pPr>
    </w:p>
    <w:p>
      <w:pPr>
        <w:ind w:left="660" w:right="2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b w:val="1"/>
          <w:bCs w:val="1"/>
          <w:color w:val="auto"/>
        </w:rPr>
        <w:t xml:space="preserve">Familial Adenomatous Polyposis (FAP) (REC-4881): </w:t>
      </w:r>
      <w:r>
        <w:rPr>
          <w:rFonts w:ascii="Arial" w:cs="Arial" w:eastAsia="Arial" w:hAnsi="Arial"/>
          <w:sz w:val="18"/>
          <w:szCs w:val="18"/>
          <w:color w:val="auto"/>
        </w:rPr>
        <w:t>Our Phase 2 TUPELO clinical trial is a multicenter, randomized, double-blind, placebo-controlled two-part clinical trial to evaluate efficacy, safety and pharmacokinetics of this drug candidate in patients with FAP. We continue to advance this study.</w:t>
      </w:r>
    </w:p>
    <w:p>
      <w:pPr>
        <w:ind w:left="660" w:hanging="328"/>
        <w:spacing w:after="0" w:line="251" w:lineRule="auto"/>
        <w:tabs>
          <w:tab w:leader="none" w:pos="648" w:val="left"/>
        </w:tabs>
        <w:numPr>
          <w:ilvl w:val="0"/>
          <w:numId w:val="9"/>
        </w:numPr>
        <w:rPr>
          <w:rFonts w:ascii="Arial" w:cs="Arial" w:eastAsia="Arial" w:hAnsi="Arial"/>
          <w:sz w:val="20"/>
          <w:szCs w:val="20"/>
          <w:b w:val="1"/>
          <w:bCs w:val="1"/>
          <w:i w:val="1"/>
          <w:iCs w:val="1"/>
          <w:color w:val="auto"/>
        </w:rPr>
      </w:pPr>
      <w:r>
        <w:rPr>
          <w:rFonts w:ascii="Arial" w:cs="Arial" w:eastAsia="Arial" w:hAnsi="Arial"/>
          <w:sz w:val="18"/>
          <w:szCs w:val="18"/>
          <w:b w:val="1"/>
          <w:bCs w:val="1"/>
          <w:i w:val="1"/>
          <w:iCs w:val="1"/>
          <w:color w:val="auto"/>
        </w:rPr>
        <w:t xml:space="preserve">AXIN1 </w:t>
      </w:r>
      <w:r>
        <w:rPr>
          <w:rFonts w:ascii="Arial" w:cs="Arial" w:eastAsia="Arial" w:hAnsi="Arial"/>
          <w:sz w:val="18"/>
          <w:szCs w:val="18"/>
          <w:b w:val="1"/>
          <w:bCs w:val="1"/>
          <w:color w:val="auto"/>
        </w:rPr>
        <w:t>or</w:t>
      </w:r>
      <w:r>
        <w:rPr>
          <w:rFonts w:ascii="Arial" w:cs="Arial" w:eastAsia="Arial" w:hAnsi="Arial"/>
          <w:sz w:val="18"/>
          <w:szCs w:val="18"/>
          <w:b w:val="1"/>
          <w:bCs w:val="1"/>
          <w:i w:val="1"/>
          <w:iCs w:val="1"/>
          <w:color w:val="auto"/>
        </w:rPr>
        <w:t xml:space="preserve"> APC </w:t>
      </w:r>
      <w:r>
        <w:rPr>
          <w:rFonts w:ascii="Arial" w:cs="Arial" w:eastAsia="Arial" w:hAnsi="Arial"/>
          <w:sz w:val="18"/>
          <w:szCs w:val="18"/>
          <w:b w:val="1"/>
          <w:bCs w:val="1"/>
          <w:color w:val="auto"/>
        </w:rPr>
        <w:t>Mutant Cancers (REC-4881):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REC-4881 is being studied for the potential treatment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AXIN1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cancers with an initial focus on solid tumors harboring these mutations. We are developing a Phase 2 open-label study for REC-4881 in participants with unresectable, locally advanced or metastatic cancer with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mutations. We expect to initiate a Phase 2 biomarker enriched study across select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mutant solid tumors in early 2024.</w:t>
      </w:r>
    </w:p>
    <w:p>
      <w:pPr>
        <w:spacing w:after="0" w:line="1" w:lineRule="exact"/>
        <w:rPr>
          <w:rFonts w:ascii="Arial" w:cs="Arial" w:eastAsia="Arial" w:hAnsi="Arial"/>
          <w:sz w:val="20"/>
          <w:szCs w:val="20"/>
          <w:b w:val="1"/>
          <w:bCs w:val="1"/>
          <w:i w:val="1"/>
          <w:iCs w:val="1"/>
          <w:color w:val="auto"/>
        </w:rPr>
      </w:pPr>
    </w:p>
    <w:p>
      <w:pPr>
        <w:ind w:left="660" w:right="160" w:hanging="328"/>
        <w:spacing w:after="0" w:line="249" w:lineRule="auto"/>
        <w:tabs>
          <w:tab w:leader="none" w:pos="648" w:val="left"/>
        </w:tabs>
        <w:numPr>
          <w:ilvl w:val="0"/>
          <w:numId w:val="9"/>
        </w:numPr>
        <w:rPr>
          <w:rFonts w:ascii="Arial" w:cs="Arial" w:eastAsia="Arial" w:hAnsi="Arial"/>
          <w:sz w:val="20"/>
          <w:szCs w:val="20"/>
          <w:b w:val="1"/>
          <w:bCs w:val="1"/>
          <w:i w:val="1"/>
          <w:iCs w:val="1"/>
          <w:color w:val="auto"/>
        </w:rPr>
      </w:pPr>
      <w:r>
        <w:rPr>
          <w:rFonts w:ascii="Arial" w:cs="Arial" w:eastAsia="Arial" w:hAnsi="Arial"/>
          <w:sz w:val="18"/>
          <w:szCs w:val="18"/>
          <w:b w:val="1"/>
          <w:bCs w:val="1"/>
          <w:i w:val="1"/>
          <w:iCs w:val="1"/>
          <w:color w:val="auto"/>
        </w:rPr>
        <w:t xml:space="preserve">Clostridioides difficile </w:t>
      </w:r>
      <w:r>
        <w:rPr>
          <w:rFonts w:ascii="Arial" w:cs="Arial" w:eastAsia="Arial" w:hAnsi="Arial"/>
          <w:sz w:val="18"/>
          <w:szCs w:val="18"/>
          <w:b w:val="1"/>
          <w:bCs w:val="1"/>
          <w:color w:val="auto"/>
        </w:rPr>
        <w:t>Colitis (REC-3964):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Phase 1 clinical trial is a first-in-human protocol evaluating single and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doses of REC-3964 in healthy volunteers and will assess the safety, tolerability and pharmacokinetic profile of REC-3964. We have enrolled the majority of participants associated with this study, and REC-3964 has been well tolerated to date. We expect to share safety and PK data in H2 2023.</w:t>
      </w:r>
    </w:p>
    <w:p>
      <w:pPr>
        <w:spacing w:after="0" w:line="3" w:lineRule="exact"/>
        <w:rPr>
          <w:rFonts w:ascii="Arial" w:cs="Arial" w:eastAsia="Arial" w:hAnsi="Arial"/>
          <w:sz w:val="20"/>
          <w:szCs w:val="20"/>
          <w:b w:val="1"/>
          <w:bCs w:val="1"/>
          <w:i w:val="1"/>
          <w:iCs w:val="1"/>
          <w:color w:val="auto"/>
        </w:rPr>
      </w:pPr>
    </w:p>
    <w:p>
      <w:pPr>
        <w:ind w:left="660" w:right="140" w:hanging="328"/>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RBM39 HR-Proficient Ovarian Cancer: </w:t>
      </w:r>
      <w:r>
        <w:rPr>
          <w:rFonts w:ascii="Arial" w:cs="Arial" w:eastAsia="Arial" w:hAnsi="Arial"/>
          <w:sz w:val="18"/>
          <w:szCs w:val="18"/>
          <w:color w:val="auto"/>
        </w:rPr>
        <w:t>In January 2023, we disclosed that RBM39 (previously identified as Target Gamma) is the</w:t>
      </w:r>
      <w:r>
        <w:rPr>
          <w:rFonts w:ascii="Arial" w:cs="Arial" w:eastAsia="Arial" w:hAnsi="Arial"/>
          <w:sz w:val="18"/>
          <w:szCs w:val="18"/>
          <w:b w:val="1"/>
          <w:bCs w:val="1"/>
          <w:color w:val="auto"/>
        </w:rPr>
        <w:t xml:space="preserve"> </w:t>
      </w:r>
      <w:r>
        <w:rPr>
          <w:rFonts w:ascii="Arial" w:cs="Arial" w:eastAsia="Arial" w:hAnsi="Arial"/>
          <w:sz w:val="18"/>
          <w:szCs w:val="18"/>
          <w:color w:val="auto"/>
        </w:rPr>
        <w:t>novel CDK12-adjacent target identified by the Recursion OS. We believe that we can modulate this target to produce a potentially therapeutic effect in HR-proficient ovarian cancer. We have advanced this program to the preclinical stage and have initiated IND-enabling studies.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Transformational Collaborations</w:t>
      </w:r>
    </w:p>
    <w:p>
      <w:pPr>
        <w:spacing w:after="0" w:line="25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continue to advance efforts to discover potential new therapeutics with our strategic partners in the areas of neuroscience and a single indication in gastrointestinal oncology (Roche-Genentech) as well as fibrotic disease (Bayer). In the near-term, there is the potential for option exercises associated with partnership programs, option exercises associated with map building initiatives or data sharing and additional partnerships in large, intractable areas of biology or technological innovation.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Recursion OS</w:t>
      </w:r>
    </w:p>
    <w:p>
      <w:pPr>
        <w:spacing w:after="0" w:line="250" w:lineRule="exact"/>
        <w:rPr>
          <w:sz w:val="20"/>
          <w:szCs w:val="20"/>
          <w:color w:val="auto"/>
        </w:rPr>
      </w:pPr>
    </w:p>
    <w:p>
      <w:pPr>
        <w:ind w:left="660" w:right="1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Industrialized Program Generation: </w:t>
      </w:r>
      <w:r>
        <w:rPr>
          <w:rFonts w:ascii="Arial" w:cs="Arial" w:eastAsia="Arial" w:hAnsi="Arial"/>
          <w:sz w:val="18"/>
          <w:szCs w:val="18"/>
          <w:color w:val="auto"/>
        </w:rPr>
        <w:t>This end-to-end process validates map-based insights without human intervention.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 of disease model starting points, Industrialized Program Generation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carries out the programmatic selection of compound hits, compound ordering coordination and validation through phenomic and transcriptomic profiling. Given the large number of proto-programs that are expected from this process, we look forward to leveraging the digital chemistry technology and expertise of the Cyclica and Valence teams to design and optimize chemical structures for novel biological targets.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Corporate Updates</w:t>
      </w:r>
    </w:p>
    <w:p>
      <w:pPr>
        <w:spacing w:after="0" w:line="250" w:lineRule="exact"/>
        <w:rPr>
          <w:sz w:val="20"/>
          <w:szCs w:val="20"/>
          <w:color w:val="auto"/>
        </w:rPr>
      </w:pPr>
    </w:p>
    <w:p>
      <w:pPr>
        <w:ind w:left="660" w:right="600" w:hanging="328"/>
        <w:spacing w:after="0" w:line="260"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ESG Reporting: </w:t>
      </w:r>
      <w:r>
        <w:rPr>
          <w:rFonts w:ascii="Arial" w:cs="Arial" w:eastAsia="Arial" w:hAnsi="Arial"/>
          <w:sz w:val="18"/>
          <w:szCs w:val="18"/>
          <w:color w:val="auto"/>
        </w:rPr>
        <w:t>In March 2023, Recursion released its second annual ESG report. Materials from this report can be found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E32E1"/>
        </w:rPr>
        <w:t>www.Recursion.com/esg</w:t>
      </w:r>
      <w:r>
        <w:rPr>
          <w:rFonts w:ascii="Arial" w:cs="Arial" w:eastAsia="Arial" w:hAnsi="Arial"/>
          <w:sz w:val="18"/>
          <w:szCs w:val="18"/>
          <w:color w:val="000000"/>
        </w:rPr>
        <w:t>.</w:t>
      </w:r>
    </w:p>
    <w:p>
      <w:pPr>
        <w:spacing w:after="0" w:line="1" w:lineRule="exact"/>
        <w:rPr>
          <w:rFonts w:ascii="Arial" w:cs="Arial" w:eastAsia="Arial" w:hAnsi="Arial"/>
          <w:sz w:val="18"/>
          <w:szCs w:val="18"/>
          <w:b w:val="1"/>
          <w:bCs w:val="1"/>
          <w:color w:val="auto"/>
        </w:rPr>
      </w:pPr>
    </w:p>
    <w:p>
      <w:pPr>
        <w:ind w:left="660" w:right="340" w:hanging="328"/>
        <w:spacing w:after="0" w:line="266"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Shareholder Meeting: </w:t>
      </w:r>
      <w:r>
        <w:rPr>
          <w:rFonts w:ascii="Arial" w:cs="Arial" w:eastAsia="Arial" w:hAnsi="Arial"/>
          <w:sz w:val="18"/>
          <w:szCs w:val="18"/>
          <w:color w:val="auto"/>
        </w:rPr>
        <w:t>The Recursion Annual Shareholder Meeting will be held on June 16, 2023 at 12:00 pm Mountain</w:t>
      </w:r>
      <w:r>
        <w:rPr>
          <w:rFonts w:ascii="Arial" w:cs="Arial" w:eastAsia="Arial" w:hAnsi="Arial"/>
          <w:sz w:val="18"/>
          <w:szCs w:val="18"/>
          <w:b w:val="1"/>
          <w:bCs w:val="1"/>
          <w:color w:val="auto"/>
        </w:rPr>
        <w:t xml:space="preserve"> </w:t>
      </w:r>
      <w:r>
        <w:rPr>
          <w:rFonts w:ascii="Arial" w:cs="Arial" w:eastAsia="Arial" w:hAnsi="Arial"/>
          <w:sz w:val="18"/>
          <w:szCs w:val="18"/>
          <w:color w:val="auto"/>
        </w:rPr>
        <w:t>Time. In preparation for this meeting, Recursion released its annual Proxy Statement in April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were incorporated in November 2013. In October 2022, we issued 15,336,734 shares of our Class A common stock at a purchase price of $9.80 per share in a private placement (the Private Placement) to qualified institutional buyers and </w:t>
      </w:r>
      <w:r>
        <w:rPr>
          <w:rFonts w:ascii="Arial" w:cs="Arial" w:eastAsia="Arial" w:hAnsi="Arial"/>
          <w:sz w:val="18"/>
          <w:szCs w:val="18"/>
          <w:color w:val="1E1E1E"/>
        </w:rPr>
        <w:t>institutional accredited investors (the</w:t>
      </w:r>
      <w:r>
        <w:rPr>
          <w:rFonts w:ascii="Arial" w:cs="Arial" w:eastAsia="Arial" w:hAnsi="Arial"/>
          <w:sz w:val="18"/>
          <w:szCs w:val="18"/>
          <w:color w:val="auto"/>
        </w:rPr>
        <w:t xml:space="preserve"> </w:t>
      </w:r>
      <w:r>
        <w:rPr>
          <w:rFonts w:ascii="Arial" w:cs="Arial" w:eastAsia="Arial" w:hAnsi="Arial"/>
          <w:sz w:val="18"/>
          <w:szCs w:val="18"/>
          <w:color w:val="1E1E1E"/>
        </w:rPr>
        <w:t xml:space="preserve">Purchasers) for net proceeds of $143.7 million, after deducting fees and offering costs of $6.6 million. </w:t>
      </w:r>
      <w:r>
        <w:rPr>
          <w:rFonts w:ascii="Arial" w:cs="Arial" w:eastAsia="Arial" w:hAnsi="Arial"/>
          <w:sz w:val="18"/>
          <w:szCs w:val="18"/>
          <w:color w:val="000000"/>
        </w:rPr>
        <w:t>On April 20, 2021, we closed our Initial</w:t>
      </w:r>
      <w:r>
        <w:rPr>
          <w:rFonts w:ascii="Arial" w:cs="Arial" w:eastAsia="Arial" w:hAnsi="Arial"/>
          <w:sz w:val="18"/>
          <w:szCs w:val="18"/>
          <w:color w:val="1E1E1E"/>
        </w:rPr>
        <w:t xml:space="preserve"> </w:t>
      </w:r>
      <w:r>
        <w:rPr>
          <w:rFonts w:ascii="Arial" w:cs="Arial" w:eastAsia="Arial" w:hAnsi="Arial"/>
          <w:sz w:val="18"/>
          <w:szCs w:val="18"/>
          <w:color w:val="000000"/>
        </w:rPr>
        <w:t xml:space="preserve">Public Offering (IPO) and issued 27,878,787 shares of Class A common stock at a price of $ 18.00 per share, raising net proceeds of </w:t>
      </w:r>
      <w:r>
        <w:rPr>
          <w:rFonts w:ascii="Arial" w:cs="Arial" w:eastAsia="Arial" w:hAnsi="Arial"/>
          <w:sz w:val="18"/>
          <w:szCs w:val="18"/>
          <w:color w:val="1E1E1E"/>
        </w:rPr>
        <w:t>$462.4</w:t>
      </w:r>
      <w:r>
        <w:rPr>
          <w:rFonts w:ascii="Arial" w:cs="Arial" w:eastAsia="Arial" w:hAnsi="Arial"/>
          <w:sz w:val="18"/>
          <w:szCs w:val="18"/>
          <w:color w:val="000000"/>
        </w:rPr>
        <w:t xml:space="preserve"> </w:t>
      </w:r>
      <w:r>
        <w:rPr>
          <w:rFonts w:ascii="Arial" w:cs="Arial" w:eastAsia="Arial" w:hAnsi="Arial"/>
          <w:sz w:val="18"/>
          <w:szCs w:val="18"/>
          <w:color w:val="1E1E1E"/>
        </w:rPr>
        <w:t>million</w:t>
      </w:r>
      <w:r>
        <w:rPr>
          <w:rFonts w:ascii="Arial" w:cs="Arial" w:eastAsia="Arial" w:hAnsi="Arial"/>
          <w:sz w:val="18"/>
          <w:szCs w:val="18"/>
          <w:color w:val="000000"/>
        </w:rPr>
        <w:t>. Prior to our IPO, we had raised approximately</w:t>
      </w:r>
      <w:r>
        <w:rPr>
          <w:rFonts w:ascii="Arial" w:cs="Arial" w:eastAsia="Arial" w:hAnsi="Arial"/>
          <w:sz w:val="18"/>
          <w:szCs w:val="18"/>
          <w:color w:val="1E1E1E"/>
        </w:rPr>
        <w:t xml:space="preserve"> $448.9 million </w:t>
      </w:r>
      <w:r>
        <w:rPr>
          <w:rFonts w:ascii="Arial" w:cs="Arial" w:eastAsia="Arial" w:hAnsi="Arial"/>
          <w:sz w:val="18"/>
          <w:szCs w:val="18"/>
          <w:color w:val="000000"/>
        </w:rPr>
        <w:t>in equity financing from investors in addition to</w:t>
      </w:r>
      <w:r>
        <w:rPr>
          <w:rFonts w:ascii="Arial" w:cs="Arial" w:eastAsia="Arial" w:hAnsi="Arial"/>
          <w:sz w:val="18"/>
          <w:szCs w:val="18"/>
          <w:color w:val="1E1E1E"/>
        </w:rPr>
        <w:t xml:space="preserve"> $30.0 million </w:t>
      </w:r>
      <w:r>
        <w:rPr>
          <w:rFonts w:ascii="Arial" w:cs="Arial" w:eastAsia="Arial" w:hAnsi="Arial"/>
          <w:sz w:val="18"/>
          <w:szCs w:val="18"/>
          <w:color w:val="000000"/>
        </w:rPr>
        <w:t>in an</w:t>
      </w:r>
      <w:r>
        <w:rPr>
          <w:rFonts w:ascii="Arial" w:cs="Arial" w:eastAsia="Arial" w:hAnsi="Arial"/>
          <w:sz w:val="18"/>
          <w:szCs w:val="18"/>
          <w:color w:val="1E1E1E"/>
        </w:rPr>
        <w:t xml:space="preserve"> </w:t>
      </w:r>
      <w:r>
        <w:rPr>
          <w:rFonts w:ascii="Arial" w:cs="Arial" w:eastAsia="Arial" w:hAnsi="Arial"/>
          <w:sz w:val="18"/>
          <w:szCs w:val="18"/>
          <w:color w:val="000000"/>
        </w:rPr>
        <w:t xml:space="preserve">upfront payment from our collaboration with Bayer AG (Bayer). In </w:t>
      </w:r>
      <w:r>
        <w:rPr>
          <w:rFonts w:ascii="Arial" w:cs="Arial" w:eastAsia="Arial" w:hAnsi="Arial"/>
          <w:sz w:val="18"/>
          <w:szCs w:val="18"/>
          <w:color w:val="1E1E1E"/>
        </w:rPr>
        <w:t>January 2022</w:t>
      </w:r>
      <w:r>
        <w:rPr>
          <w:rFonts w:ascii="Arial" w:cs="Arial" w:eastAsia="Arial" w:hAnsi="Arial"/>
          <w:sz w:val="18"/>
          <w:szCs w:val="18"/>
          <w:color w:val="000000"/>
        </w:rPr>
        <w:t xml:space="preserve">, we received an upfront payment of </w:t>
      </w:r>
      <w:r>
        <w:rPr>
          <w:rFonts w:ascii="Arial" w:cs="Arial" w:eastAsia="Arial" w:hAnsi="Arial"/>
          <w:sz w:val="18"/>
          <w:szCs w:val="18"/>
          <w:color w:val="1E1E1E"/>
        </w:rPr>
        <w:t>$150.0 million</w:t>
      </w:r>
      <w:r>
        <w:rPr>
          <w:rFonts w:ascii="Arial" w:cs="Arial" w:eastAsia="Arial" w:hAnsi="Arial"/>
          <w:sz w:val="18"/>
          <w:szCs w:val="18"/>
          <w:color w:val="000000"/>
        </w:rPr>
        <w:t xml:space="preserve"> from our collaboration with Roche. </w:t>
      </w:r>
      <w:r>
        <w:rPr>
          <w:rFonts w:ascii="Arial" w:cs="Arial" w:eastAsia="Arial" w:hAnsi="Arial"/>
          <w:sz w:val="18"/>
          <w:szCs w:val="18"/>
          <w:color w:val="1E1E1E"/>
        </w:rPr>
        <w:t>See Note 8, “Collaborative Development Contracts” to the Condensed Consolidated Financial Statements for</w:t>
      </w:r>
      <w:r>
        <w:rPr>
          <w:rFonts w:ascii="Arial" w:cs="Arial" w:eastAsia="Arial" w:hAnsi="Arial"/>
          <w:sz w:val="18"/>
          <w:szCs w:val="18"/>
          <w:color w:val="000000"/>
        </w:rPr>
        <w:t xml:space="preserve"> </w:t>
      </w:r>
      <w:r>
        <w:rPr>
          <w:rFonts w:ascii="Arial" w:cs="Arial" w:eastAsia="Arial" w:hAnsi="Arial"/>
          <w:sz w:val="18"/>
          <w:szCs w:val="18"/>
          <w:color w:val="1E1E1E"/>
        </w:rPr>
        <w:t>additional information on the collaborations.</w:t>
      </w: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use the capital we have raised to fund operations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w:t>
      </w:r>
      <w:r>
        <w:rPr>
          <w:rFonts w:ascii="Arial" w:cs="Arial" w:eastAsia="Arial" w:hAnsi="Arial"/>
          <w:sz w:val="18"/>
          <w:szCs w:val="18"/>
          <w:color w:val="1E1E1E"/>
        </w:rPr>
        <w:t>We had unrestricted cash and cash</w:t>
      </w:r>
      <w:r>
        <w:rPr>
          <w:rFonts w:ascii="Arial" w:cs="Arial" w:eastAsia="Arial" w:hAnsi="Arial"/>
          <w:sz w:val="18"/>
          <w:szCs w:val="18"/>
          <w:color w:val="auto"/>
        </w:rPr>
        <w:t xml:space="preserve"> </w:t>
      </w:r>
      <w:r>
        <w:rPr>
          <w:rFonts w:ascii="Arial" w:cs="Arial" w:eastAsia="Arial" w:hAnsi="Arial"/>
          <w:sz w:val="18"/>
          <w:szCs w:val="18"/>
          <w:color w:val="1E1E1E"/>
        </w:rPr>
        <w:t xml:space="preserve">equivalents of $473.1 million as of March 31, 2023. </w:t>
      </w:r>
      <w:r>
        <w:rPr>
          <w:rFonts w:ascii="Arial" w:cs="Arial" w:eastAsia="Arial" w:hAnsi="Arial"/>
          <w:sz w:val="18"/>
          <w:szCs w:val="18"/>
          <w:color w:val="000000"/>
        </w:rPr>
        <w:t>Based on our current operating plan, we believe that our cash and cash equivalents will</w:t>
      </w:r>
      <w:r>
        <w:rPr>
          <w:rFonts w:ascii="Arial" w:cs="Arial" w:eastAsia="Arial" w:hAnsi="Arial"/>
          <w:sz w:val="18"/>
          <w:szCs w:val="18"/>
          <w:color w:val="1E1E1E"/>
        </w:rPr>
        <w:t xml:space="preserve"> </w:t>
      </w:r>
      <w:r>
        <w:rPr>
          <w:rFonts w:ascii="Arial" w:cs="Arial" w:eastAsia="Arial" w:hAnsi="Arial"/>
          <w:sz w:val="18"/>
          <w:szCs w:val="18"/>
          <w:color w:val="000000"/>
        </w:rPr>
        <w:t>be sufficient to fund our operations for at least the next twelve months.</w:t>
      </w:r>
    </w:p>
    <w:p>
      <w:pPr>
        <w:spacing w:after="0" w:line="20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1E1E1E"/>
        </w:rPr>
        <w:t xml:space="preserve">Since inception, we have incurred significant operating losses. Our net losses were $65.3 million and $56.0 million during the </w:t>
      </w:r>
      <w:r>
        <w:rPr>
          <w:rFonts w:ascii="Arial" w:cs="Arial" w:eastAsia="Arial" w:hAnsi="Arial"/>
          <w:sz w:val="18"/>
          <w:szCs w:val="18"/>
          <w:color w:val="000000"/>
        </w:rPr>
        <w:t>three months</w:t>
      </w:r>
      <w:r>
        <w:rPr>
          <w:rFonts w:ascii="Arial" w:cs="Arial" w:eastAsia="Arial" w:hAnsi="Arial"/>
          <w:sz w:val="18"/>
          <w:szCs w:val="18"/>
          <w:color w:val="1E1E1E"/>
        </w:rPr>
        <w:t xml:space="preserve"> </w:t>
      </w:r>
      <w:r>
        <w:rPr>
          <w:rFonts w:ascii="Arial" w:cs="Arial" w:eastAsia="Arial" w:hAnsi="Arial"/>
          <w:sz w:val="18"/>
          <w:szCs w:val="18"/>
          <w:color w:val="000000"/>
        </w:rPr>
        <w:t xml:space="preserve">ended March 31, 2023 and </w:t>
      </w:r>
      <w:r>
        <w:rPr>
          <w:rFonts w:ascii="Arial" w:cs="Arial" w:eastAsia="Arial" w:hAnsi="Arial"/>
          <w:sz w:val="18"/>
          <w:szCs w:val="18"/>
          <w:color w:val="1E1E1E"/>
        </w:rPr>
        <w:t>2022, respectively. As of March 31, 2023, our accumulated deficit was $704.9 million.</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Components of Operating Results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w:t>
      </w:r>
    </w:p>
    <w:p>
      <w:pPr>
        <w:spacing w:after="0" w:line="25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1E1E1E"/>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Cost of Revenue</w:t>
      </w:r>
    </w:p>
    <w:p>
      <w:pPr>
        <w:spacing w:after="0" w:line="250"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1E1E1E"/>
        </w:rPr>
        <w:t xml:space="preserve">Cost of revenue consists of the Company’s costs to </w:t>
      </w:r>
      <w:r>
        <w:rPr>
          <w:rFonts w:ascii="Arial" w:cs="Arial" w:eastAsia="Arial" w:hAnsi="Arial"/>
          <w:sz w:val="18"/>
          <w:szCs w:val="18"/>
          <w:color w:val="000000"/>
        </w:rPr>
        <w:t>provide services for drug discovery required under performance obligations with</w:t>
      </w:r>
      <w:r>
        <w:rPr>
          <w:rFonts w:ascii="Arial" w:cs="Arial" w:eastAsia="Arial" w:hAnsi="Arial"/>
          <w:sz w:val="18"/>
          <w:szCs w:val="18"/>
          <w:color w:val="1E1E1E"/>
        </w:rPr>
        <w:t xml:space="preserve"> </w:t>
      </w:r>
      <w:r>
        <w:rPr>
          <w:rFonts w:ascii="Arial" w:cs="Arial" w:eastAsia="Arial" w:hAnsi="Arial"/>
          <w:sz w:val="18"/>
          <w:szCs w:val="18"/>
          <w:color w:val="000000"/>
        </w:rPr>
        <w:t>partnership customers. These primarily include materials costs, service hours performed by our</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employees and depreciation of property and equipment.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Research and Development</w:t>
      </w:r>
    </w:p>
    <w:p>
      <w:pPr>
        <w:spacing w:after="0" w:line="25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1E1E1E"/>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18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4"/>
          <w:szCs w:val="14"/>
          <w:color w:val="1E1E1E"/>
        </w:rPr>
      </w:pPr>
      <w:r>
        <w:rPr>
          <w:rFonts w:ascii="Arial" w:cs="Arial" w:eastAsia="Arial" w:hAnsi="Arial"/>
          <w:sz w:val="18"/>
          <w:szCs w:val="18"/>
          <w:color w:val="1E1E1E"/>
        </w:rPr>
        <w:t>costs to develop and operate our platform;</w:t>
      </w:r>
    </w:p>
    <w:p>
      <w:pPr>
        <w:spacing w:after="0" w:line="252" w:lineRule="exact"/>
        <w:rPr>
          <w:rFonts w:ascii="Arial" w:cs="Arial" w:eastAsia="Arial" w:hAnsi="Arial"/>
          <w:sz w:val="14"/>
          <w:szCs w:val="14"/>
          <w:color w:val="1E1E1E"/>
        </w:rPr>
      </w:pPr>
    </w:p>
    <w:p>
      <w:pPr>
        <w:ind w:left="980" w:hanging="324"/>
        <w:spacing w:after="0"/>
        <w:tabs>
          <w:tab w:leader="none" w:pos="980" w:val="left"/>
        </w:tabs>
        <w:numPr>
          <w:ilvl w:val="0"/>
          <w:numId w:val="12"/>
        </w:numPr>
        <w:rPr>
          <w:rFonts w:ascii="Arial" w:cs="Arial" w:eastAsia="Arial" w:hAnsi="Arial"/>
          <w:sz w:val="14"/>
          <w:szCs w:val="14"/>
          <w:color w:val="1E1E1E"/>
        </w:rPr>
      </w:pPr>
      <w:r>
        <w:rPr>
          <w:rFonts w:ascii="Arial" w:cs="Arial" w:eastAsia="Arial" w:hAnsi="Arial"/>
          <w:sz w:val="18"/>
          <w:szCs w:val="18"/>
          <w:color w:val="1E1E1E"/>
        </w:rPr>
        <w:t>costs of discovery efforts which may lead to development candidates, including research materials and external research;</w:t>
      </w:r>
    </w:p>
    <w:p>
      <w:pPr>
        <w:spacing w:after="0" w:line="252" w:lineRule="exact"/>
        <w:rPr>
          <w:rFonts w:ascii="Arial" w:cs="Arial" w:eastAsia="Arial" w:hAnsi="Arial"/>
          <w:sz w:val="14"/>
          <w:szCs w:val="14"/>
          <w:color w:val="1E1E1E"/>
        </w:rPr>
      </w:pPr>
    </w:p>
    <w:p>
      <w:pPr>
        <w:ind w:left="980" w:hanging="324"/>
        <w:spacing w:after="0"/>
        <w:tabs>
          <w:tab w:leader="none" w:pos="980" w:val="left"/>
        </w:tabs>
        <w:numPr>
          <w:ilvl w:val="0"/>
          <w:numId w:val="12"/>
        </w:numPr>
        <w:rPr>
          <w:rFonts w:ascii="Arial" w:cs="Arial" w:eastAsia="Arial" w:hAnsi="Arial"/>
          <w:sz w:val="14"/>
          <w:szCs w:val="14"/>
          <w:color w:val="1E1E1E"/>
        </w:rPr>
      </w:pPr>
      <w:r>
        <w:rPr>
          <w:rFonts w:ascii="Arial" w:cs="Arial" w:eastAsia="Arial" w:hAnsi="Arial"/>
          <w:sz w:val="18"/>
          <w:szCs w:val="18"/>
          <w:color w:val="1E1E1E"/>
        </w:rPr>
        <w:t>costs for clinical development of our investigational products;</w:t>
      </w:r>
    </w:p>
    <w:p>
      <w:pPr>
        <w:spacing w:after="0" w:line="252" w:lineRule="exact"/>
        <w:rPr>
          <w:rFonts w:ascii="Arial" w:cs="Arial" w:eastAsia="Arial" w:hAnsi="Arial"/>
          <w:sz w:val="14"/>
          <w:szCs w:val="14"/>
          <w:color w:val="1E1E1E"/>
        </w:rPr>
      </w:pPr>
    </w:p>
    <w:p>
      <w:pPr>
        <w:ind w:left="980" w:right="160" w:hanging="324"/>
        <w:spacing w:after="0" w:line="287" w:lineRule="auto"/>
        <w:tabs>
          <w:tab w:leader="none" w:pos="976" w:val="left"/>
        </w:tabs>
        <w:numPr>
          <w:ilvl w:val="0"/>
          <w:numId w:val="12"/>
        </w:numPr>
        <w:rPr>
          <w:rFonts w:ascii="Arial" w:cs="Arial" w:eastAsia="Arial" w:hAnsi="Arial"/>
          <w:sz w:val="14"/>
          <w:szCs w:val="14"/>
          <w:color w:val="1E1E1E"/>
        </w:rPr>
      </w:pPr>
      <w:r>
        <w:rPr>
          <w:rFonts w:ascii="Arial" w:cs="Arial" w:eastAsia="Arial" w:hAnsi="Arial"/>
          <w:sz w:val="18"/>
          <w:szCs w:val="18"/>
          <w:color w:val="1E1E1E"/>
        </w:rPr>
        <w:t>costs for materials and supplies associated with the manufacture of active pharmaceutical ingredients, investigational products for preclinical testing and clinical trials;</w:t>
      </w:r>
    </w:p>
    <w:p>
      <w:pPr>
        <w:spacing w:after="0" w:line="179" w:lineRule="exact"/>
        <w:rPr>
          <w:rFonts w:ascii="Arial" w:cs="Arial" w:eastAsia="Arial" w:hAnsi="Arial"/>
          <w:sz w:val="14"/>
          <w:szCs w:val="14"/>
          <w:color w:val="1E1E1E"/>
        </w:rPr>
      </w:pPr>
    </w:p>
    <w:p>
      <w:pPr>
        <w:ind w:left="980" w:right="340" w:hanging="324"/>
        <w:spacing w:after="0" w:line="287" w:lineRule="auto"/>
        <w:tabs>
          <w:tab w:leader="none" w:pos="976" w:val="left"/>
        </w:tabs>
        <w:numPr>
          <w:ilvl w:val="0"/>
          <w:numId w:val="12"/>
        </w:numPr>
        <w:rPr>
          <w:rFonts w:ascii="Arial" w:cs="Arial" w:eastAsia="Arial" w:hAnsi="Arial"/>
          <w:sz w:val="14"/>
          <w:szCs w:val="14"/>
          <w:color w:val="1E1E1E"/>
        </w:rPr>
      </w:pPr>
      <w:r>
        <w:rPr>
          <w:rFonts w:ascii="Arial" w:cs="Arial" w:eastAsia="Arial" w:hAnsi="Arial"/>
          <w:sz w:val="18"/>
          <w:szCs w:val="18"/>
          <w:color w:val="1E1E1E"/>
        </w:rPr>
        <w:t>personnel-related expenses, including salaries, benefits, bonuses and stock-based compensation for employees engaged in research and development functions;</w:t>
      </w:r>
    </w:p>
    <w:p>
      <w:pPr>
        <w:spacing w:after="0" w:line="179" w:lineRule="exact"/>
        <w:rPr>
          <w:rFonts w:ascii="Arial" w:cs="Arial" w:eastAsia="Arial" w:hAnsi="Arial"/>
          <w:sz w:val="14"/>
          <w:szCs w:val="14"/>
          <w:color w:val="1E1E1E"/>
        </w:rPr>
      </w:pPr>
    </w:p>
    <w:p>
      <w:pPr>
        <w:ind w:left="980" w:hanging="324"/>
        <w:spacing w:after="0"/>
        <w:tabs>
          <w:tab w:leader="none" w:pos="980" w:val="left"/>
        </w:tabs>
        <w:numPr>
          <w:ilvl w:val="0"/>
          <w:numId w:val="12"/>
        </w:numPr>
        <w:rPr>
          <w:rFonts w:ascii="Arial" w:cs="Arial" w:eastAsia="Arial" w:hAnsi="Arial"/>
          <w:sz w:val="14"/>
          <w:szCs w:val="14"/>
          <w:color w:val="1E1E1E"/>
        </w:rPr>
      </w:pPr>
      <w:r>
        <w:rPr>
          <w:rFonts w:ascii="Arial" w:cs="Arial" w:eastAsia="Arial" w:hAnsi="Arial"/>
          <w:sz w:val="18"/>
          <w:szCs w:val="18"/>
          <w:color w:val="1E1E1E"/>
        </w:rPr>
        <w:t>costs associated with operating our digital infrastructure; and</w:t>
      </w:r>
    </w:p>
    <w:p>
      <w:pPr>
        <w:spacing w:after="0" w:line="252" w:lineRule="exact"/>
        <w:rPr>
          <w:rFonts w:ascii="Arial" w:cs="Arial" w:eastAsia="Arial" w:hAnsi="Arial"/>
          <w:sz w:val="14"/>
          <w:szCs w:val="14"/>
          <w:color w:val="1E1E1E"/>
        </w:rPr>
      </w:pPr>
    </w:p>
    <w:p>
      <w:pPr>
        <w:ind w:left="980" w:right="360" w:hanging="324"/>
        <w:spacing w:after="0" w:line="287" w:lineRule="auto"/>
        <w:tabs>
          <w:tab w:leader="none" w:pos="976" w:val="left"/>
        </w:tabs>
        <w:numPr>
          <w:ilvl w:val="0"/>
          <w:numId w:val="12"/>
        </w:numPr>
        <w:rPr>
          <w:rFonts w:ascii="Arial" w:cs="Arial" w:eastAsia="Arial" w:hAnsi="Arial"/>
          <w:sz w:val="14"/>
          <w:szCs w:val="14"/>
          <w:color w:val="1E1E1E"/>
        </w:rPr>
      </w:pPr>
      <w:r>
        <w:rPr>
          <w:rFonts w:ascii="Arial" w:cs="Arial" w:eastAsia="Arial" w:hAnsi="Arial"/>
          <w:sz w:val="18"/>
          <w:szCs w:val="18"/>
          <w:color w:val="1E1E1E"/>
        </w:rPr>
        <w:t>other direct and allocated expenses incurred as a result of research and development activities, including those for facilities, depreciation, amortization and insurance.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E1E1E"/>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General and Administrative</w:t>
      </w:r>
    </w:p>
    <w:p>
      <w:pPr>
        <w:spacing w:after="0" w:line="25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1E1E1E"/>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Other Income (Loss),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Other income (loss), net consists primarily of interest earned on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results of operations: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500" w:type="dxa"/>
            <w:vAlign w:val="bottom"/>
          </w:tcPr>
          <w:p>
            <w:pPr>
              <w:jc w:val="right"/>
              <w:ind w:right="33"/>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7"/>
                <w:szCs w:val="17"/>
                <w:color w:val="auto"/>
              </w:rPr>
            </w:pPr>
          </w:p>
        </w:tc>
      </w:tr>
      <w:tr>
        <w:trPr>
          <w:trHeight w:val="22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073"/>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w:t>
            </w: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rPr>
              <w:t>6,836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29"/>
        </w:trPr>
        <w:tc>
          <w:tcPr>
            <w:tcW w:w="5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Grant revenue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rPr>
              <w:t>6,802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57"/>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12,448</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ind w:right="613"/>
              <w:spacing w:after="0"/>
              <w:rPr>
                <w:sz w:val="20"/>
                <w:szCs w:val="20"/>
                <w:color w:val="auto"/>
              </w:rPr>
            </w:pPr>
            <w:r>
              <w:rPr>
                <w:rFonts w:ascii="Arial" w:cs="Arial" w:eastAsia="Arial" w:hAnsi="Arial"/>
                <w:sz w:val="18"/>
                <w:szCs w:val="18"/>
                <w:color w:val="auto"/>
              </w:rPr>
              <w:t>4,649</w:t>
            </w:r>
          </w:p>
        </w:tc>
        <w:tc>
          <w:tcPr>
            <w:tcW w:w="1020" w:type="dxa"/>
            <w:vAlign w:val="bottom"/>
          </w:tcPr>
          <w:p>
            <w:pPr>
              <w:jc w:val="right"/>
              <w:spacing w:after="0"/>
              <w:rPr>
                <w:sz w:val="20"/>
                <w:szCs w:val="20"/>
                <w:color w:val="auto"/>
              </w:rPr>
            </w:pPr>
            <w:r>
              <w:rPr>
                <w:rFonts w:ascii="Arial" w:cs="Arial" w:eastAsia="Arial" w:hAnsi="Arial"/>
                <w:sz w:val="18"/>
                <w:szCs w:val="18"/>
                <w:color w:val="auto"/>
              </w:rPr>
              <w:t>59.6 %</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32,441</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rPr>
              <w:t>14,237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43.9 %</w:t>
            </w:r>
          </w:p>
        </w:tc>
      </w:tr>
      <w:tr>
        <w:trPr>
          <w:trHeight w:val="229"/>
        </w:trPr>
        <w:tc>
          <w:tcPr>
            <w:tcW w:w="5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22,874</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21,074</w:t>
            </w: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rPr>
              <w:t>1,800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8.5 %</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81,999</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61,314</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rPr>
              <w:t>20,686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r>
      <w:tr>
        <w:trPr>
          <w:trHeight w:val="257"/>
        </w:trPr>
        <w:tc>
          <w:tcPr>
            <w:tcW w:w="5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(55,981)</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(13,884)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5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rPr>
              <w:t>4,536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&gt;100%</w:t>
            </w:r>
          </w:p>
        </w:tc>
      </w:tr>
      <w:tr>
        <w:trPr>
          <w:trHeight w:val="248"/>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(55,979)</w:t>
            </w:r>
          </w:p>
        </w:tc>
        <w:tc>
          <w:tcPr>
            <w:tcW w:w="2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(9,348)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1E1E1E"/>
        </w:rPr>
        <w:t xml:space="preserve">Our financial performance during the </w:t>
      </w:r>
      <w:r>
        <w:rPr>
          <w:rFonts w:ascii="Arial" w:cs="Arial" w:eastAsia="Arial" w:hAnsi="Arial"/>
          <w:sz w:val="18"/>
          <w:szCs w:val="18"/>
          <w:color w:val="000000"/>
        </w:rPr>
        <w:t>three months ended March 31, 2023 compared to 2022 included; (i) an increase in research and</w:t>
      </w:r>
      <w:r>
        <w:rPr>
          <w:rFonts w:ascii="Arial" w:cs="Arial" w:eastAsia="Arial" w:hAnsi="Arial"/>
          <w:sz w:val="18"/>
          <w:szCs w:val="18"/>
          <w:color w:val="1E1E1E"/>
        </w:rPr>
        <w:t xml:space="preserve"> </w:t>
      </w:r>
      <w:r>
        <w:rPr>
          <w:rFonts w:ascii="Arial" w:cs="Arial" w:eastAsia="Arial" w:hAnsi="Arial"/>
          <w:sz w:val="18"/>
          <w:szCs w:val="18"/>
          <w:color w:val="000000"/>
        </w:rPr>
        <w:t xml:space="preserve">development costs due to increased platform costs as we have expanded and upgraded our capabilities, additionally </w:t>
      </w:r>
      <w:r>
        <w:rPr>
          <w:rFonts w:ascii="Arial" w:cs="Arial" w:eastAsia="Arial" w:hAnsi="Arial"/>
          <w:sz w:val="18"/>
          <w:szCs w:val="18"/>
          <w:color w:val="1E1E1E"/>
        </w:rPr>
        <w:t>for the three months</w:t>
      </w:r>
      <w:r>
        <w:rPr>
          <w:rFonts w:ascii="Arial" w:cs="Arial" w:eastAsia="Arial" w:hAnsi="Arial"/>
          <w:sz w:val="18"/>
          <w:szCs w:val="18"/>
          <w:color w:val="000000"/>
        </w:rPr>
        <w:t xml:space="preserve"> </w:t>
      </w:r>
      <w:r>
        <w:rPr>
          <w:rFonts w:ascii="Arial" w:cs="Arial" w:eastAsia="Arial" w:hAnsi="Arial"/>
          <w:sz w:val="18"/>
          <w:szCs w:val="18"/>
          <w:color w:val="1E1E1E"/>
        </w:rPr>
        <w:t>ended March 31, 2022 platform costs decreased due to a reallocation of spending to cost of revenue for our strategic partnerships and (ii) an increase in revenue and cost of revenue recognized due to progression on our strategic partnership with Roche.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revenue: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7"/>
                <w:szCs w:val="17"/>
                <w:color w:val="auto"/>
              </w:rPr>
            </w:pPr>
          </w:p>
        </w:tc>
        <w:tc>
          <w:tcPr>
            <w:tcW w:w="1420" w:type="dxa"/>
            <w:vAlign w:val="bottom"/>
          </w:tcPr>
          <w:p>
            <w:pPr>
              <w:jc w:val="right"/>
              <w:ind w:right="77"/>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7"/>
                <w:szCs w:val="17"/>
                <w:color w:val="auto"/>
              </w:rPr>
            </w:pPr>
          </w:p>
        </w:tc>
      </w:tr>
      <w:tr>
        <w:trPr>
          <w:trHeight w:val="228"/>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017"/>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6,836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30"/>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Grant revenue</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(34)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48"/>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8"/>
                <w:szCs w:val="18"/>
                <w:color w:val="auto"/>
              </w:rPr>
              <w:t>6,802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three months ended March 31, 2023</w:t>
      </w:r>
      <w:r>
        <w:rPr>
          <w:rFonts w:ascii="Arial" w:cs="Arial" w:eastAsia="Arial" w:hAnsi="Arial"/>
          <w:sz w:val="18"/>
          <w:szCs w:val="18"/>
          <w:color w:val="1E1E1E"/>
        </w:rPr>
        <w:t>, the increase in revenue compared to prior period was due to revenue recognized from our strategic partnership with Roche, which has progressed from primarily cell type evaluation work to inference based Phenomap building and additional cell type evaluation work.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Cost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cost of revenue: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60" w:type="dxa"/>
            <w:vAlign w:val="bottom"/>
          </w:tcPr>
          <w:p>
            <w:pPr>
              <w:spacing w:after="0"/>
              <w:rPr>
                <w:sz w:val="17"/>
                <w:szCs w:val="17"/>
                <w:color w:val="auto"/>
              </w:rPr>
            </w:pPr>
          </w:p>
        </w:tc>
        <w:tc>
          <w:tcPr>
            <w:tcW w:w="336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7"/>
                <w:szCs w:val="17"/>
                <w:color w:val="auto"/>
              </w:rPr>
            </w:pPr>
          </w:p>
        </w:tc>
      </w:tr>
      <w:tr>
        <w:trPr>
          <w:trHeight w:val="22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r>
      <w:tr>
        <w:trPr>
          <w:trHeight w:val="249"/>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12,448 $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2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8"/>
                <w:szCs w:val="18"/>
                <w:color w:val="auto"/>
              </w:rPr>
              <w:t>4,649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59.6 %</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three months ended March 31, 2023</w:t>
      </w:r>
      <w:r>
        <w:rPr>
          <w:rFonts w:ascii="Arial" w:cs="Arial" w:eastAsia="Arial" w:hAnsi="Arial"/>
          <w:sz w:val="18"/>
          <w:szCs w:val="18"/>
          <w:color w:val="1E1E1E"/>
        </w:rPr>
        <w:t>, the increase in cost of revenue compared to prior period was due to our strategic partnership with Roche, which has progressed from primarily cell type evaluation work to inference based Phenomap building and additional cell type evaluation work.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Research and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research and development expense: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7"/>
                <w:szCs w:val="17"/>
                <w:color w:val="auto"/>
              </w:rPr>
            </w:pPr>
          </w:p>
        </w:tc>
      </w:tr>
      <w:tr>
        <w:trPr>
          <w:trHeight w:val="228"/>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975"/>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w:t>
            </w: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Platform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13,178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Discovery</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13,505</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12,361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ind w:right="435"/>
              <w:spacing w:after="0"/>
              <w:rPr>
                <w:sz w:val="20"/>
                <w:szCs w:val="20"/>
                <w:color w:val="auto"/>
              </w:rPr>
            </w:pPr>
            <w:r>
              <w:rPr>
                <w:rFonts w:ascii="Arial" w:cs="Arial" w:eastAsia="Arial" w:hAnsi="Arial"/>
                <w:sz w:val="18"/>
                <w:szCs w:val="18"/>
                <w:color w:val="auto"/>
              </w:rPr>
              <w:t>1,144</w:t>
            </w:r>
          </w:p>
        </w:tc>
        <w:tc>
          <w:tcPr>
            <w:tcW w:w="88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Clinical</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410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2,833</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ind w:right="435"/>
              <w:spacing w:after="0"/>
              <w:rPr>
                <w:sz w:val="20"/>
                <w:szCs w:val="20"/>
                <w:color w:val="auto"/>
              </w:rPr>
            </w:pPr>
            <w:r>
              <w:rPr>
                <w:rFonts w:ascii="Arial" w:cs="Arial" w:eastAsia="Arial" w:hAnsi="Arial"/>
                <w:sz w:val="18"/>
                <w:szCs w:val="18"/>
                <w:color w:val="auto"/>
              </w:rPr>
              <w:t>1,069</w:t>
            </w:r>
          </w:p>
        </w:tc>
        <w:tc>
          <w:tcPr>
            <w:tcW w:w="880" w:type="dxa"/>
            <w:vAlign w:val="bottom"/>
          </w:tcPr>
          <w:p>
            <w:pPr>
              <w:jc w:val="right"/>
              <w:spacing w:after="0"/>
              <w:rPr>
                <w:sz w:val="20"/>
                <w:szCs w:val="20"/>
                <w:color w:val="auto"/>
              </w:rPr>
            </w:pPr>
            <w:r>
              <w:rPr>
                <w:rFonts w:ascii="Arial" w:cs="Arial" w:eastAsia="Arial" w:hAnsi="Arial"/>
                <w:sz w:val="18"/>
                <w:szCs w:val="18"/>
                <w:color w:val="auto"/>
              </w:rPr>
              <w:t>60.5 %</w:t>
            </w:r>
          </w:p>
        </w:tc>
      </w:tr>
      <w:tr>
        <w:trPr>
          <w:trHeight w:val="229"/>
        </w:trPr>
        <w:tc>
          <w:tcPr>
            <w:tcW w:w="5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8"/>
                <w:szCs w:val="18"/>
                <w:color w:val="auto"/>
              </w:rPr>
              <w:t>(1,565)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46,677</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32,441</w:t>
            </w: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14,236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43.9 %</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1E1E1E"/>
        </w:rPr>
        <w:t>Significant components of research and development expense include the following allocated by development phase: Platform, which refers primarily to expenses related to screening of product candidates through hit identification; Discovery, which refers primarily to expenses related to hit identification through development of candidates; and Clinical, which refers primarily to expenses related to development of candidates and beyond.</w:t>
      </w:r>
    </w:p>
    <w:p>
      <w:pPr>
        <w:spacing w:after="0" w:line="20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three months ended March 31, 2023</w:t>
      </w:r>
      <w:r>
        <w:rPr>
          <w:rFonts w:ascii="Arial" w:cs="Arial" w:eastAsia="Arial" w:hAnsi="Arial"/>
          <w:sz w:val="18"/>
          <w:szCs w:val="18"/>
          <w:color w:val="1E1E1E"/>
        </w:rPr>
        <w:t>, the increase in research and development expenses compared to the prior period was due to increased platform costs as we have expanded and upgraded our capabilities in platform including our chemical technology, machine learning and transcriptomics platform. Additionally, for the three months ended March 31, 2022 platform costs decreased due to a reallocation of spending to cost of revenue for our strategic partnerships.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General and Administrative Expense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general and administrative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60" w:type="dxa"/>
            <w:vAlign w:val="bottom"/>
          </w:tcPr>
          <w:p>
            <w:pPr>
              <w:spacing w:after="0"/>
              <w:rPr>
                <w:sz w:val="17"/>
                <w:szCs w:val="17"/>
                <w:color w:val="auto"/>
              </w:rPr>
            </w:pPr>
          </w:p>
        </w:tc>
        <w:tc>
          <w:tcPr>
            <w:tcW w:w="336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7"/>
                <w:szCs w:val="17"/>
                <w:color w:val="auto"/>
              </w:rPr>
            </w:pPr>
          </w:p>
        </w:tc>
        <w:tc>
          <w:tcPr>
            <w:tcW w:w="1220" w:type="dxa"/>
            <w:vAlign w:val="bottom"/>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7"/>
                <w:szCs w:val="17"/>
                <w:color w:val="auto"/>
              </w:rPr>
            </w:pPr>
          </w:p>
        </w:tc>
      </w:tr>
      <w:tr>
        <w:trPr>
          <w:trHeight w:val="22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r>
      <w:tr>
        <w:trPr>
          <w:trHeight w:val="249"/>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22,874 $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21,074</w:t>
            </w:r>
          </w:p>
        </w:tc>
        <w:tc>
          <w:tcPr>
            <w:tcW w:w="2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8"/>
                <w:szCs w:val="18"/>
                <w:color w:val="auto"/>
              </w:rPr>
              <w:t>1,800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three months ended March 31, 2023</w:t>
      </w:r>
      <w:r>
        <w:rPr>
          <w:rFonts w:ascii="Arial" w:cs="Arial" w:eastAsia="Arial" w:hAnsi="Arial"/>
          <w:sz w:val="18"/>
          <w:szCs w:val="18"/>
          <w:color w:val="1E1E1E"/>
        </w:rPr>
        <w:t>, the increase in general and administrative expenses compared to prior period was primarily driven by an increase in salaries and wages of $1.2 million and increases in other administrative costs associated with growth in the size of the Company’s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Other Income,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other income, net: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7"/>
                <w:szCs w:val="17"/>
                <w:color w:val="auto"/>
              </w:rPr>
            </w:pPr>
          </w:p>
        </w:tc>
        <w:tc>
          <w:tcPr>
            <w:tcW w:w="1540" w:type="dxa"/>
            <w:vAlign w:val="bottom"/>
          </w:tcPr>
          <w:p>
            <w:pPr>
              <w:jc w:val="right"/>
              <w:ind w:right="116"/>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7"/>
                <w:szCs w:val="17"/>
                <w:color w:val="auto"/>
              </w:rPr>
            </w:pPr>
          </w:p>
        </w:tc>
      </w:tr>
      <w:tr>
        <w:trPr>
          <w:trHeight w:val="229"/>
        </w:trPr>
        <w:tc>
          <w:tcPr>
            <w:tcW w:w="5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4,573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ind w:right="416"/>
              <w:spacing w:after="0"/>
              <w:rPr>
                <w:sz w:val="20"/>
                <w:szCs w:val="20"/>
                <w:color w:val="auto"/>
              </w:rPr>
            </w:pPr>
            <w:r>
              <w:rPr>
                <w:rFonts w:ascii="Arial" w:cs="Arial" w:eastAsia="Arial" w:hAnsi="Arial"/>
                <w:sz w:val="18"/>
                <w:szCs w:val="18"/>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31.6 %</w:t>
            </w: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(32)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45.5 %</w:t>
            </w: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4,536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&gt;100%</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three months ended March 31, 2023</w:t>
      </w:r>
      <w:r>
        <w:rPr>
          <w:rFonts w:ascii="Arial" w:cs="Arial" w:eastAsia="Arial" w:hAnsi="Arial"/>
          <w:sz w:val="18"/>
          <w:szCs w:val="18"/>
          <w:color w:val="1E1E1E"/>
        </w:rPr>
        <w:t xml:space="preserve">, the </w:t>
      </w:r>
      <w:r>
        <w:rPr>
          <w:rFonts w:ascii="Arial" w:cs="Arial" w:eastAsia="Arial" w:hAnsi="Arial"/>
          <w:sz w:val="18"/>
          <w:szCs w:val="18"/>
          <w:color w:val="000000"/>
        </w:rPr>
        <w:t>increase in interest income primarily related to earnings on cash and cash equivalents in</w:t>
      </w:r>
      <w:r>
        <w:rPr>
          <w:rFonts w:ascii="Arial" w:cs="Arial" w:eastAsia="Arial" w:hAnsi="Arial"/>
          <w:sz w:val="18"/>
          <w:szCs w:val="18"/>
          <w:color w:val="1E1E1E"/>
        </w:rPr>
        <w:t xml:space="preserve"> </w:t>
      </w:r>
      <w:r>
        <w:rPr>
          <w:rFonts w:ascii="Arial" w:cs="Arial" w:eastAsia="Arial" w:hAnsi="Arial"/>
          <w:sz w:val="18"/>
          <w:szCs w:val="18"/>
          <w:color w:val="000000"/>
        </w:rPr>
        <w:t>money market funds.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Liquidity and Capital Resources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Sources of Liquidity</w:t>
      </w:r>
    </w:p>
    <w:p>
      <w:pPr>
        <w:spacing w:after="0" w:line="25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1E1E1E"/>
        </w:rPr>
        <w:t>We have not yet commercialized any products and do not expect to generate revenue from the sales of any product candidates for at least several years. Unrestricted cash and cash equivalents totaled $473.1 million and $549.9 million as of March 31, 2023 and December 31, 2022, respectively.</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1E1E1E"/>
        </w:rPr>
        <w:t xml:space="preserve">We have incurred operating losses and experienced negative operating cash flows and we anticipate that the Company will continue to incur losses for at least the foreseeable future. Our net loss was $65.3 million and $56.0 million during the </w:t>
      </w:r>
      <w:r>
        <w:rPr>
          <w:rFonts w:ascii="Arial" w:cs="Arial" w:eastAsia="Arial" w:hAnsi="Arial"/>
          <w:sz w:val="18"/>
          <w:szCs w:val="18"/>
          <w:color w:val="000000"/>
        </w:rPr>
        <w:t>three months ended March 31, 2023</w:t>
      </w:r>
      <w:r>
        <w:rPr>
          <w:rFonts w:ascii="Arial" w:cs="Arial" w:eastAsia="Arial" w:hAnsi="Arial"/>
          <w:sz w:val="18"/>
          <w:szCs w:val="18"/>
          <w:color w:val="1E1E1E"/>
        </w:rPr>
        <w:t xml:space="preserve"> and 2022, respectively. As of March 31, 2023 and December 31, 2022, we had an accumulated deficit of $704.9 million and $639.6 million, respectively.</w:t>
      </w:r>
    </w:p>
    <w:p>
      <w:pPr>
        <w:spacing w:after="0" w:line="20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1E1E1E"/>
        </w:rPr>
        <w:t xml:space="preserve">We have financed our operations through the private placements of preferred stock and Class A common stock issuances. As of March 31, 2023, we have received net proceeds of $448.9 million from the sale of preferred stock and $606.1 million from Class A common stock issuances. See Note 7, “Common Stock” to the </w:t>
      </w:r>
      <w:r>
        <w:rPr>
          <w:rFonts w:ascii="Arial" w:cs="Arial" w:eastAsia="Arial" w:hAnsi="Arial"/>
          <w:sz w:val="17"/>
          <w:szCs w:val="17"/>
          <w:color w:val="000000"/>
        </w:rPr>
        <w:t>Condensed</w:t>
      </w:r>
      <w:r>
        <w:rPr>
          <w:rFonts w:ascii="Arial" w:cs="Arial" w:eastAsia="Arial" w:hAnsi="Arial"/>
          <w:sz w:val="17"/>
          <w:szCs w:val="17"/>
          <w:color w:val="1E1E1E"/>
        </w:rPr>
        <w:t xml:space="preserve"> Consolidated Financial Statements for additional details on the Class A common stock issuances. Additionally, as of March 31, 2023, we have received proceeds of $180.0 million from our strategic partnerships. See Note 8, “Collaborative Development Contracts” to the </w:t>
      </w:r>
      <w:r>
        <w:rPr>
          <w:rFonts w:ascii="Arial" w:cs="Arial" w:eastAsia="Arial" w:hAnsi="Arial"/>
          <w:sz w:val="17"/>
          <w:szCs w:val="17"/>
          <w:color w:val="000000"/>
        </w:rPr>
        <w:t>Condensed</w:t>
      </w:r>
      <w:r>
        <w:rPr>
          <w:rFonts w:ascii="Arial" w:cs="Arial" w:eastAsia="Arial" w:hAnsi="Arial"/>
          <w:sz w:val="17"/>
          <w:szCs w:val="17"/>
          <w:color w:val="1E1E1E"/>
        </w:rPr>
        <w:t xml:space="preserve"> Consolidated Financial Statements for additional details on the collaborations.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The following table is a summary of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Statements of Cash Flows for each of the periods presented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Three months ended March 31,</w:t>
            </w:r>
          </w:p>
        </w:tc>
      </w:tr>
      <w:tr>
        <w:trPr>
          <w:trHeight w:val="228"/>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 operating activities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(73,316)</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77,388</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(5,340)</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143,304</w:t>
            </w:r>
          </w:p>
        </w:tc>
      </w:tr>
      <w:tr>
        <w:trPr>
          <w:trHeight w:val="230"/>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Operating Activities</w:t>
      </w:r>
    </w:p>
    <w:p>
      <w:pPr>
        <w:spacing w:after="0" w:line="25"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1E1E1E"/>
        </w:rPr>
        <w:t xml:space="preserve">Cash used by operating activities increased during the </w:t>
      </w:r>
      <w:r>
        <w:rPr>
          <w:rFonts w:ascii="Arial" w:cs="Arial" w:eastAsia="Arial" w:hAnsi="Arial"/>
          <w:sz w:val="18"/>
          <w:szCs w:val="18"/>
          <w:color w:val="000000"/>
        </w:rPr>
        <w:t>three months ended March 31, 2023 as a result of</w:t>
      </w:r>
      <w:r>
        <w:rPr>
          <w:rFonts w:ascii="Arial" w:cs="Arial" w:eastAsia="Arial" w:hAnsi="Arial"/>
          <w:sz w:val="18"/>
          <w:szCs w:val="18"/>
          <w:color w:val="1E1E1E"/>
        </w:rPr>
        <w:t xml:space="preserve"> an upfront payment of </w:t>
      </w:r>
      <w:r>
        <w:rPr>
          <w:rFonts w:ascii="Arial" w:cs="Arial" w:eastAsia="Arial" w:hAnsi="Arial"/>
          <w:sz w:val="18"/>
          <w:szCs w:val="18"/>
          <w:color w:val="000000"/>
        </w:rPr>
        <w:t>$150.0</w:t>
      </w:r>
      <w:r>
        <w:rPr>
          <w:rFonts w:ascii="Arial" w:cs="Arial" w:eastAsia="Arial" w:hAnsi="Arial"/>
          <w:sz w:val="18"/>
          <w:szCs w:val="18"/>
          <w:color w:val="1E1E1E"/>
        </w:rPr>
        <w:t xml:space="preserve"> </w:t>
      </w:r>
      <w:r>
        <w:rPr>
          <w:rFonts w:ascii="Arial" w:cs="Arial" w:eastAsia="Arial" w:hAnsi="Arial"/>
          <w:sz w:val="18"/>
          <w:szCs w:val="18"/>
          <w:color w:val="000000"/>
        </w:rPr>
        <w:t xml:space="preserve">million </w:t>
      </w:r>
      <w:r>
        <w:rPr>
          <w:rFonts w:ascii="Arial" w:cs="Arial" w:eastAsia="Arial" w:hAnsi="Arial"/>
          <w:sz w:val="18"/>
          <w:szCs w:val="18"/>
          <w:color w:val="1E1E1E"/>
        </w:rPr>
        <w:t>from our strategic partnership with Roche received during the three months ended March 31, 2022.</w:t>
      </w:r>
    </w:p>
    <w:p>
      <w:pPr>
        <w:spacing w:after="0" w:line="19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1E1E1E"/>
        </w:rPr>
        <w:t xml:space="preserve">Cash provided by operating activities during the three months ended March 31, 2022 included an upfront payment of payment of </w:t>
      </w:r>
      <w:r>
        <w:rPr>
          <w:rFonts w:ascii="Arial" w:cs="Arial" w:eastAsia="Arial" w:hAnsi="Arial"/>
          <w:sz w:val="18"/>
          <w:szCs w:val="18"/>
          <w:color w:val="000000"/>
        </w:rPr>
        <w:t>$150.0</w:t>
      </w:r>
      <w:r>
        <w:rPr>
          <w:rFonts w:ascii="Arial" w:cs="Arial" w:eastAsia="Arial" w:hAnsi="Arial"/>
          <w:sz w:val="18"/>
          <w:szCs w:val="18"/>
          <w:color w:val="1E1E1E"/>
        </w:rPr>
        <w:t xml:space="preserve"> </w:t>
      </w:r>
      <w:r>
        <w:rPr>
          <w:rFonts w:ascii="Arial" w:cs="Arial" w:eastAsia="Arial" w:hAnsi="Arial"/>
          <w:sz w:val="18"/>
          <w:szCs w:val="18"/>
          <w:color w:val="000000"/>
        </w:rPr>
        <w:t xml:space="preserve">million </w:t>
      </w:r>
      <w:r>
        <w:rPr>
          <w:rFonts w:ascii="Arial" w:cs="Arial" w:eastAsia="Arial" w:hAnsi="Arial"/>
          <w:sz w:val="18"/>
          <w:szCs w:val="18"/>
          <w:color w:val="1E1E1E"/>
        </w:rPr>
        <w:t>from our strategic partnership with Roche.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Investing Activities</w:t>
      </w:r>
    </w:p>
    <w:p>
      <w:pPr>
        <w:spacing w:after="0" w:line="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1E1E1E"/>
        </w:rPr>
        <w:t xml:space="preserve">Cash used by investing activities during the </w:t>
      </w:r>
      <w:r>
        <w:rPr>
          <w:rFonts w:ascii="Arial" w:cs="Arial" w:eastAsia="Arial" w:hAnsi="Arial"/>
          <w:sz w:val="18"/>
          <w:szCs w:val="18"/>
          <w:color w:val="000000"/>
        </w:rPr>
        <w:t>three months ended March 31, 2023</w:t>
      </w:r>
      <w:r>
        <w:rPr>
          <w:rFonts w:ascii="Arial" w:cs="Arial" w:eastAsia="Arial" w:hAnsi="Arial"/>
          <w:sz w:val="18"/>
          <w:szCs w:val="18"/>
          <w:color w:val="1E1E1E"/>
        </w:rPr>
        <w:t xml:space="preserve"> consisted primarily of property and equipment purchases of $5.2 million, which included $1.7 million for a project to upgrade the BioHive supercomputer and $2.3 million for lab equipment purchases. Cash provided by investing activities during the three months ended March 31, 2022 was driven by sales and maturities of investments $147.6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Financing Activities</w:t>
      </w:r>
    </w:p>
    <w:p>
      <w:pPr>
        <w:spacing w:after="0" w:line="25"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1E1E1E"/>
        </w:rPr>
        <w:t xml:space="preserve">Cash provided by financing activities during the </w:t>
      </w:r>
      <w:r>
        <w:rPr>
          <w:rFonts w:ascii="Arial" w:cs="Arial" w:eastAsia="Arial" w:hAnsi="Arial"/>
          <w:sz w:val="18"/>
          <w:szCs w:val="18"/>
          <w:color w:val="000000"/>
        </w:rPr>
        <w:t>three months ended March 31, 2023</w:t>
      </w:r>
      <w:r>
        <w:rPr>
          <w:rFonts w:ascii="Arial" w:cs="Arial" w:eastAsia="Arial" w:hAnsi="Arial"/>
          <w:sz w:val="18"/>
          <w:szCs w:val="18"/>
          <w:color w:val="1E1E1E"/>
        </w:rPr>
        <w:t xml:space="preserve"> and 2022 primarily included proceeds </w:t>
      </w:r>
      <w:r>
        <w:rPr>
          <w:rFonts w:ascii="Arial" w:cs="Arial" w:eastAsia="Arial" w:hAnsi="Arial"/>
          <w:sz w:val="18"/>
          <w:szCs w:val="18"/>
          <w:color w:val="000000"/>
        </w:rPr>
        <w:t>from equity</w:t>
      </w:r>
      <w:r>
        <w:rPr>
          <w:rFonts w:ascii="Arial" w:cs="Arial" w:eastAsia="Arial" w:hAnsi="Arial"/>
          <w:sz w:val="18"/>
          <w:szCs w:val="18"/>
          <w:color w:val="1E1E1E"/>
        </w:rPr>
        <w:t xml:space="preserve"> </w:t>
      </w:r>
      <w:r>
        <w:rPr>
          <w:rFonts w:ascii="Arial" w:cs="Arial" w:eastAsia="Arial" w:hAnsi="Arial"/>
          <w:sz w:val="18"/>
          <w:szCs w:val="18"/>
          <w:color w:val="000000"/>
        </w:rPr>
        <w:t xml:space="preserve">incentive plans of </w:t>
      </w:r>
      <w:r>
        <w:rPr>
          <w:rFonts w:ascii="Arial" w:cs="Arial" w:eastAsia="Arial" w:hAnsi="Arial"/>
          <w:sz w:val="18"/>
          <w:szCs w:val="18"/>
          <w:color w:val="1E1E1E"/>
        </w:rPr>
        <w:t>$1.9 million and $2.1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2022 Annual Report. There were no significant changes in the Company’s application of its critical accounting policies during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Recently Issued and Adopted Accounting Pronouncements</w:t>
      </w:r>
    </w:p>
    <w:p>
      <w:pPr>
        <w:spacing w:after="0" w:line="25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1E1E1E"/>
        </w:rPr>
        <w:t>See Note 2, “Basis of Presentation</w:t>
      </w:r>
      <w:r>
        <w:rPr>
          <w:rFonts w:ascii="Arial" w:cs="Arial" w:eastAsia="Arial" w:hAnsi="Arial"/>
          <w:sz w:val="18"/>
          <w:szCs w:val="18"/>
          <w:color w:val="000000"/>
        </w:rPr>
        <w:t>” in Item 1 of this Quarterly Report on Form 10-Q</w:t>
      </w:r>
      <w:r>
        <w:rPr>
          <w:rFonts w:ascii="Arial" w:cs="Arial" w:eastAsia="Arial" w:hAnsi="Arial"/>
          <w:sz w:val="18"/>
          <w:szCs w:val="18"/>
          <w:color w:val="1E1E1E"/>
        </w:rPr>
        <w:t xml:space="preserve"> for information regarding recently issued and adopted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are exposed to market risk related to changes in interest rates of our cash and cash equivalents. As of March 31, 2023, our cash and cash equivalents primarily consisted of money market funds. Our primary exposure to market risk is interest income sensitivity, which is affected by changes in U.S. interest rates. A hypothetical 100 basis point decrease in interest rates as of March 31, 2023</w:t>
      </w:r>
      <w:r>
        <w:rPr>
          <w:rFonts w:ascii="Arial" w:cs="Arial" w:eastAsia="Arial" w:hAnsi="Arial"/>
          <w:sz w:val="18"/>
          <w:szCs w:val="18"/>
          <w:color w:val="1E1E1E"/>
        </w:rPr>
        <w:t>,</w:t>
      </w:r>
      <w:r>
        <w:rPr>
          <w:rFonts w:ascii="Arial" w:cs="Arial" w:eastAsia="Arial" w:hAnsi="Arial"/>
          <w:sz w:val="18"/>
          <w:szCs w:val="18"/>
          <w:color w:val="auto"/>
        </w:rPr>
        <w:t xml:space="preserve"> would have an insignificant effect on net loss in the ensuring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employees and our operations are primarily located in the United States and Canada and our expenses are generally denominated in U.S.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not have had a material effect on our financial results during the three months ended March 31, 2023 and </w:t>
      </w:r>
      <w:r>
        <w:rPr>
          <w:rFonts w:ascii="Arial" w:cs="Arial" w:eastAsia="Arial" w:hAnsi="Arial"/>
          <w:sz w:val="18"/>
          <w:szCs w:val="18"/>
          <w:color w:val="1E1E1E"/>
        </w:rPr>
        <w:t>2022</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 and Market Volatility</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recent months, inflation has continued to increase significantly in the U.S. and overseas resulting in rising costs for transportation, wages, construction and other goods and services. Inflation and supply chain disruptions have increased our overall operating expenses. In addition, the capital and credit markets have been experiencing volatility and disruption, which has exerted downward pressure on stock prices and credit capacity. There is no assurance that such markets will be a source of future financing for Recursion, nor that other funding sources would be available or sufficient, particularly if current levels of market disruption and volatility continue or worsen. Although we do not believe that the above conditions have materially changed our overall financial position, if our costs continue to increase, we may not be able to fully offset those increased costs through reduced spending or additional financing efforts and failure to do so could harm our business,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2023, our disclosure controls and procedures were effective.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quarter ended March 31,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1. Legal Proceedings.</w:t>
      </w:r>
    </w:p>
    <w:p>
      <w:pPr>
        <w:spacing w:after="0" w:line="252"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do not believe that there have been any material changes to the risk factors previously disclosed in Part I, Item 1A. “Risk Factors” of our 2022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 Sales of Unregistered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three months ended March 31, 2023, we issued 8,000 shares of our Class A common stock to our employees, directors, advisors and consultants upon the exercise of stock options under our Key Personnel Incentive Stock Plan for aggregate consideration of less than one thousand dollars. The shares of Class A common stock issued upon the exercise of stock options were issued pursuant to written compensatory plans or arrangements with our employees, directors, advisors and consultants, in reliance on the exemption provided by Rule 701 promulgated under the Securities Act of 1933, as amended, or pursuant to Section 4(a)(2) of the Securities Act of 1933, as amended,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E1E1E"/>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44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4"/>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40" w:type="dxa"/>
            <w:vAlign w:val="bottom"/>
            <w:gridSpan w:val="13"/>
            <w:vMerge w:val="restart"/>
          </w:tcPr>
          <w:p>
            <w:pPr>
              <w:ind w:left="440"/>
              <w:spacing w:after="0"/>
              <w:rPr>
                <w:sz w:val="20"/>
                <w:szCs w:val="20"/>
                <w:color w:val="auto"/>
              </w:rPr>
            </w:pPr>
            <w:r>
              <w:rPr>
                <w:rFonts w:ascii="Arial" w:cs="Arial" w:eastAsia="Arial" w:hAnsi="Arial"/>
                <w:sz w:val="14"/>
                <w:szCs w:val="14"/>
                <w:b w:val="1"/>
                <w:bCs w:val="1"/>
                <w:color w:val="auto"/>
              </w:rPr>
              <w:t>Description</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860" w:type="dxa"/>
            <w:vAlign w:val="bottom"/>
            <w:vMerge w:val="continue"/>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13"/>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4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4780" w:type="dxa"/>
            <w:vAlign w:val="bottom"/>
            <w:gridSpan w:val="17"/>
          </w:tcPr>
          <w:p>
            <w:pPr>
              <w:spacing w:after="0" w:line="169" w:lineRule="exact"/>
              <w:rPr>
                <w:rFonts w:ascii="Arial" w:cs="Arial" w:eastAsia="Arial" w:hAnsi="Arial"/>
                <w:sz w:val="16"/>
                <w:szCs w:val="16"/>
                <w:color w:val="0000FF"/>
              </w:rPr>
            </w:pPr>
            <w:hyperlink r:id="rId46">
              <w:r>
                <w:rPr>
                  <w:rFonts w:ascii="Arial" w:cs="Arial" w:eastAsia="Arial" w:hAnsi="Arial"/>
                  <w:sz w:val="16"/>
                  <w:szCs w:val="16"/>
                  <w:color w:val="0000FF"/>
                </w:rPr>
                <w:t>Amended and Restated Certificate of Incorporation of Recursion</w:t>
              </w:r>
            </w:hyperlink>
          </w:p>
        </w:tc>
        <w:tc>
          <w:tcPr>
            <w:tcW w:w="72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20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86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440" w:type="dxa"/>
            <w:vAlign w:val="bottom"/>
          </w:tcPr>
          <w:p>
            <w:pPr>
              <w:jc w:val="center"/>
              <w:spacing w:after="0" w:line="169" w:lineRule="exact"/>
              <w:rPr>
                <w:sz w:val="20"/>
                <w:szCs w:val="20"/>
                <w:color w:val="auto"/>
              </w:rPr>
            </w:pPr>
            <w:r>
              <w:rPr>
                <w:rFonts w:ascii="Arial" w:cs="Arial" w:eastAsia="Arial" w:hAnsi="Arial"/>
                <w:sz w:val="16"/>
                <w:szCs w:val="16"/>
                <w:color w:val="auto"/>
              </w:rPr>
              <w:t>April 21,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0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46">
              <w:r>
                <w:rPr>
                  <w:rFonts w:ascii="Arial" w:cs="Arial" w:eastAsia="Arial" w:hAnsi="Arial"/>
                  <w:sz w:val="16"/>
                  <w:szCs w:val="16"/>
                  <w:color w:val="0000FF"/>
                </w:rPr>
                <w:t>Pharmaceuticals,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780" w:type="dxa"/>
            <w:vAlign w:val="bottom"/>
            <w:gridSpan w:val="17"/>
          </w:tcPr>
          <w:p>
            <w:pPr>
              <w:spacing w:after="0"/>
              <w:rPr>
                <w:rFonts w:ascii="Arial" w:cs="Arial" w:eastAsia="Arial" w:hAnsi="Arial"/>
                <w:sz w:val="16"/>
                <w:szCs w:val="16"/>
                <w:color w:val="0000FF"/>
              </w:rPr>
            </w:pPr>
            <w:hyperlink r:id="rId47">
              <w:r>
                <w:rPr>
                  <w:rFonts w:ascii="Arial" w:cs="Arial" w:eastAsia="Arial" w:hAnsi="Arial"/>
                  <w:sz w:val="16"/>
                  <w:szCs w:val="16"/>
                  <w:color w:val="0000FF"/>
                </w:rPr>
                <w:t>Amended and Restated Bylaws of Recursion Pharmaceuticals,</w:t>
              </w:r>
            </w:hyperlink>
          </w:p>
        </w:tc>
        <w:tc>
          <w:tcPr>
            <w:tcW w:w="72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44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0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47">
              <w:r>
                <w:rPr>
                  <w:rFonts w:ascii="Arial" w:cs="Arial" w:eastAsia="Arial" w:hAnsi="Arial"/>
                  <w:sz w:val="16"/>
                  <w:szCs w:val="16"/>
                  <w:color w:val="0000FF"/>
                </w:rPr>
                <w:t>Inc.</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780" w:type="dxa"/>
            <w:vAlign w:val="bottom"/>
            <w:gridSpan w:val="17"/>
          </w:tcPr>
          <w:p>
            <w:pPr>
              <w:spacing w:after="0"/>
              <w:rPr>
                <w:rFonts w:ascii="Arial" w:cs="Arial" w:eastAsia="Arial" w:hAnsi="Arial"/>
                <w:sz w:val="16"/>
                <w:szCs w:val="16"/>
                <w:color w:val="0000FF"/>
              </w:rPr>
            </w:pPr>
            <w:hyperlink r:id="rId48">
              <w:r>
                <w:rPr>
                  <w:rFonts w:ascii="Arial" w:cs="Arial" w:eastAsia="Arial" w:hAnsi="Arial"/>
                  <w:sz w:val="16"/>
                  <w:szCs w:val="16"/>
                  <w:color w:val="0000FF"/>
                </w:rPr>
                <w:t>Amended and Restated Investors’ Rights Agreement by and</w:t>
              </w:r>
            </w:hyperlink>
          </w:p>
        </w:tc>
        <w:tc>
          <w:tcPr>
            <w:tcW w:w="720" w:type="dxa"/>
            <w:vAlign w:val="bottom"/>
          </w:tcPr>
          <w:p>
            <w:pPr>
              <w:jc w:val="center"/>
              <w:spacing w:after="0"/>
              <w:rPr>
                <w:sz w:val="20"/>
                <w:szCs w:val="20"/>
                <w:color w:val="auto"/>
              </w:rPr>
            </w:pPr>
            <w:r>
              <w:rPr>
                <w:rFonts w:ascii="Arial" w:cs="Arial" w:eastAsia="Arial" w:hAnsi="Arial"/>
                <w:sz w:val="16"/>
                <w:szCs w:val="16"/>
                <w:color w:val="auto"/>
              </w:rPr>
              <w:t>S-1/A</w:t>
            </w:r>
          </w:p>
        </w:tc>
        <w:tc>
          <w:tcPr>
            <w:tcW w:w="120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44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2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48">
              <w:r>
                <w:rPr>
                  <w:rFonts w:ascii="Arial" w:cs="Arial" w:eastAsia="Arial" w:hAnsi="Arial"/>
                  <w:sz w:val="16"/>
                  <w:szCs w:val="16"/>
                  <w:color w:val="0000FF"/>
                </w:rPr>
                <w:t>among the Registrant and certain of its stockholders, dated</w:t>
              </w:r>
            </w:hyperlink>
          </w:p>
        </w:tc>
        <w:tc>
          <w:tcPr>
            <w:tcW w:w="10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24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48">
              <w:r>
                <w:rPr>
                  <w:rFonts w:ascii="Arial" w:cs="Arial" w:eastAsia="Arial" w:hAnsi="Arial"/>
                  <w:sz w:val="16"/>
                  <w:szCs w:val="16"/>
                  <w:color w:val="0000FF"/>
                </w:rPr>
                <w:t>September 1, 2020.</w:t>
              </w:r>
            </w:hyperlink>
          </w:p>
        </w:tc>
        <w:tc>
          <w:tcPr>
            <w:tcW w:w="180" w:type="dxa"/>
            <w:vAlign w:val="bottom"/>
            <w:gridSpan w:val="2"/>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780" w:type="dxa"/>
            <w:vAlign w:val="bottom"/>
            <w:gridSpan w:val="17"/>
          </w:tcPr>
          <w:p>
            <w:pPr>
              <w:spacing w:after="0"/>
              <w:rPr>
                <w:rFonts w:ascii="Arial" w:cs="Arial" w:eastAsia="Arial" w:hAnsi="Arial"/>
                <w:sz w:val="16"/>
                <w:szCs w:val="16"/>
                <w:color w:val="0000FF"/>
              </w:rPr>
            </w:pPr>
            <w:hyperlink r:id="rId49">
              <w:r>
                <w:rPr>
                  <w:rFonts w:ascii="Arial" w:cs="Arial" w:eastAsia="Arial" w:hAnsi="Arial"/>
                  <w:sz w:val="16"/>
                  <w:szCs w:val="16"/>
                  <w:color w:val="0000FF"/>
                </w:rPr>
                <w:t>Specimen Class A common stock certificate of the Registrant.</w:t>
              </w:r>
            </w:hyperlink>
          </w:p>
        </w:tc>
        <w:tc>
          <w:tcPr>
            <w:tcW w:w="720" w:type="dxa"/>
            <w:vAlign w:val="bottom"/>
          </w:tcPr>
          <w:p>
            <w:pPr>
              <w:jc w:val="center"/>
              <w:spacing w:after="0"/>
              <w:rPr>
                <w:sz w:val="20"/>
                <w:szCs w:val="20"/>
                <w:color w:val="auto"/>
              </w:rPr>
            </w:pPr>
            <w:r>
              <w:rPr>
                <w:rFonts w:ascii="Arial" w:cs="Arial" w:eastAsia="Arial" w:hAnsi="Arial"/>
                <w:sz w:val="16"/>
                <w:szCs w:val="16"/>
                <w:color w:val="auto"/>
              </w:rPr>
              <w:t>S-1/A</w:t>
            </w:r>
          </w:p>
        </w:tc>
        <w:tc>
          <w:tcPr>
            <w:tcW w:w="120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44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31.1</w:t>
            </w:r>
          </w:p>
        </w:tc>
        <w:tc>
          <w:tcPr>
            <w:tcW w:w="4780" w:type="dxa"/>
            <w:vAlign w:val="bottom"/>
            <w:gridSpan w:val="17"/>
          </w:tcPr>
          <w:p>
            <w:pPr>
              <w:spacing w:after="0"/>
              <w:rPr>
                <w:sz w:val="20"/>
                <w:szCs w:val="20"/>
                <w:color w:val="auto"/>
              </w:rPr>
            </w:pPr>
            <w:r>
              <w:rPr>
                <w:rFonts w:ascii="Arial" w:cs="Arial" w:eastAsia="Arial" w:hAnsi="Arial"/>
                <w:sz w:val="16"/>
                <w:szCs w:val="16"/>
                <w:color w:val="0000FF"/>
              </w:rPr>
              <w:t>Certification of Principal Executive Officer Pursuant to Rules 13a-</w:t>
            </w: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8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160" w:type="dxa"/>
            <w:vAlign w:val="bottom"/>
            <w:gridSpan w:val="6"/>
          </w:tcPr>
          <w:p>
            <w:pPr>
              <w:spacing w:after="0" w:line="142" w:lineRule="exact"/>
              <w:rPr>
                <w:sz w:val="20"/>
                <w:szCs w:val="20"/>
                <w:color w:val="auto"/>
              </w:rPr>
            </w:pPr>
            <w:r>
              <w:rPr>
                <w:rFonts w:ascii="Arial" w:cs="Arial" w:eastAsia="Arial" w:hAnsi="Arial"/>
                <w:sz w:val="16"/>
                <w:szCs w:val="16"/>
                <w:color w:val="0000FF"/>
              </w:rPr>
              <w:t>of</w:t>
            </w: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4"/>
              </w:rPr>
              <w:t>2002.</w:t>
            </w:r>
          </w:p>
        </w:tc>
        <w:tc>
          <w:tcPr>
            <w:tcW w:w="10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31.2</w:t>
            </w:r>
          </w:p>
        </w:tc>
        <w:tc>
          <w:tcPr>
            <w:tcW w:w="4780" w:type="dxa"/>
            <w:vAlign w:val="bottom"/>
            <w:gridSpan w:val="17"/>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4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160" w:type="dxa"/>
            <w:vAlign w:val="bottom"/>
            <w:gridSpan w:val="6"/>
          </w:tcPr>
          <w:p>
            <w:pPr>
              <w:spacing w:after="0" w:line="142" w:lineRule="exact"/>
              <w:rPr>
                <w:sz w:val="20"/>
                <w:szCs w:val="20"/>
                <w:color w:val="auto"/>
              </w:rPr>
            </w:pPr>
            <w:r>
              <w:rPr>
                <w:rFonts w:ascii="Arial" w:cs="Arial" w:eastAsia="Arial" w:hAnsi="Arial"/>
                <w:sz w:val="16"/>
                <w:szCs w:val="16"/>
                <w:color w:val="0000FF"/>
              </w:rPr>
              <w:t>of</w:t>
            </w: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4"/>
              </w:rPr>
              <w:t>2002.</w:t>
            </w:r>
          </w:p>
        </w:tc>
        <w:tc>
          <w:tcPr>
            <w:tcW w:w="10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6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32.1*</w:t>
            </w:r>
          </w:p>
        </w:tc>
        <w:tc>
          <w:tcPr>
            <w:tcW w:w="4780" w:type="dxa"/>
            <w:vAlign w:val="bottom"/>
            <w:gridSpan w:val="17"/>
          </w:tcPr>
          <w:p>
            <w:pPr>
              <w:spacing w:after="0"/>
              <w:rPr>
                <w:sz w:val="20"/>
                <w:szCs w:val="20"/>
                <w:color w:val="auto"/>
              </w:rPr>
            </w:pPr>
            <w:r>
              <w:rPr>
                <w:rFonts w:ascii="Arial" w:cs="Arial" w:eastAsia="Arial" w:hAnsi="Arial"/>
                <w:sz w:val="16"/>
                <w:szCs w:val="16"/>
                <w:color w:val="0000FF"/>
              </w:rPr>
              <w:t>Certification of Principal Executive Officer and Principal Financial</w:t>
            </w: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tcBorders>
              <w:top w:val="single" w:sz="8" w:color="0000FF"/>
              <w:bottom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Officer Pursuant to 18 U.S.C. Section 1350, as Adopted Pursuant</w:t>
            </w:r>
          </w:p>
        </w:tc>
        <w:tc>
          <w:tcPr>
            <w:tcW w:w="40" w:type="dxa"/>
            <w:vAlign w:val="bottom"/>
            <w:tcBorders>
              <w:bottom w:val="single" w:sz="8" w:color="0000FF"/>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700" w:type="dxa"/>
            <w:vAlign w:val="bottom"/>
            <w:gridSpan w:val="15"/>
          </w:tcPr>
          <w:p>
            <w:pPr>
              <w:spacing w:after="0" w:line="142" w:lineRule="exact"/>
              <w:rPr>
                <w:sz w:val="20"/>
                <w:szCs w:val="20"/>
                <w:color w:val="auto"/>
              </w:rPr>
            </w:pPr>
            <w:r>
              <w:rPr>
                <w:rFonts w:ascii="Arial" w:cs="Arial" w:eastAsia="Arial" w:hAnsi="Arial"/>
                <w:sz w:val="16"/>
                <w:szCs w:val="16"/>
                <w:color w:val="0000FF"/>
              </w:rPr>
              <w:t>to Section 906 of the Sarbanes-Oxley Act of 2002.</w:t>
            </w:r>
          </w:p>
        </w:tc>
        <w:tc>
          <w:tcPr>
            <w:tcW w:w="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120" w:type="dxa"/>
            <w:vAlign w:val="bottom"/>
          </w:tcPr>
          <w:p>
            <w:pPr>
              <w:jc w:val="center"/>
              <w:spacing w:after="0"/>
              <w:rPr>
                <w:sz w:val="20"/>
                <w:szCs w:val="20"/>
                <w:color w:val="auto"/>
              </w:rPr>
            </w:pPr>
            <w:r>
              <w:rPr>
                <w:rFonts w:ascii="Arial" w:cs="Arial" w:eastAsia="Arial" w:hAnsi="Arial"/>
                <w:sz w:val="16"/>
                <w:szCs w:val="16"/>
                <w:color w:val="auto"/>
              </w:rPr>
              <w:t>101.INS</w:t>
            </w:r>
          </w:p>
        </w:tc>
        <w:tc>
          <w:tcPr>
            <w:tcW w:w="360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auto"/>
              </w:rPr>
              <w:t>XBRL Instance Document</w:t>
            </w:r>
          </w:p>
        </w:tc>
        <w:tc>
          <w:tcPr>
            <w:tcW w:w="1180" w:type="dxa"/>
            <w:vAlign w:val="bottom"/>
            <w:gridSpan w:val="12"/>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101.SCH</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Schema Document</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101.CAL</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101.DEF</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101.LAB</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Label Linkbase Document</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w w:val="99"/>
              </w:rPr>
              <w:t>101.PRE</w:t>
            </w:r>
          </w:p>
        </w:tc>
        <w:tc>
          <w:tcPr>
            <w:tcW w:w="4780" w:type="dxa"/>
            <w:vAlign w:val="bottom"/>
            <w:gridSpan w:val="17"/>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4"/>
        </w:trPr>
        <w:tc>
          <w:tcPr>
            <w:tcW w:w="1120" w:type="dxa"/>
            <w:vAlign w:val="bottom"/>
          </w:tcPr>
          <w:p>
            <w:pPr>
              <w:jc w:val="center"/>
              <w:spacing w:after="0" w:line="164" w:lineRule="exact"/>
              <w:rPr>
                <w:sz w:val="20"/>
                <w:szCs w:val="20"/>
                <w:color w:val="auto"/>
              </w:rPr>
            </w:pPr>
            <w:r>
              <w:rPr>
                <w:rFonts w:ascii="Arial" w:cs="Arial" w:eastAsia="Arial" w:hAnsi="Arial"/>
                <w:sz w:val="16"/>
                <w:szCs w:val="16"/>
                <w:color w:val="auto"/>
                <w:w w:val="97"/>
              </w:rPr>
              <w:t>104</w:t>
            </w:r>
          </w:p>
        </w:tc>
        <w:tc>
          <w:tcPr>
            <w:tcW w:w="4780" w:type="dxa"/>
            <w:vAlign w:val="bottom"/>
            <w:gridSpan w:val="17"/>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jc w:val="center"/>
              <w:spacing w:after="0" w:line="164"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780" w:type="dxa"/>
            <w:vAlign w:val="bottom"/>
            <w:gridSpan w:val="17"/>
          </w:tcPr>
          <w:p>
            <w:pPr>
              <w:spacing w:after="0"/>
              <w:rPr>
                <w:sz w:val="20"/>
                <w:szCs w:val="20"/>
                <w:color w:val="auto"/>
              </w:rPr>
            </w:pPr>
            <w:r>
              <w:rPr>
                <w:rFonts w:ascii="Arial" w:cs="Arial" w:eastAsia="Arial" w:hAnsi="Arial"/>
                <w:sz w:val="16"/>
                <w:szCs w:val="16"/>
                <w:color w:val="auto"/>
              </w:rPr>
              <w:t>contained in Exhibit 101)</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120" w:right="360" w:hanging="600"/>
        <w:spacing w:after="0" w:line="221"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346" w:lineRule="exact"/>
        <w:rPr>
          <w:sz w:val="20"/>
          <w:szCs w:val="20"/>
          <w:color w:val="auto"/>
        </w:rPr>
      </w:pPr>
    </w:p>
    <w:p>
      <w:pPr>
        <w:ind w:right="260"/>
        <w:spacing w:after="0" w:line="285" w:lineRule="auto"/>
        <w:rPr>
          <w:sz w:val="20"/>
          <w:szCs w:val="20"/>
          <w:color w:val="auto"/>
        </w:rPr>
      </w:pPr>
      <w:r>
        <w:rPr>
          <w:rFonts w:ascii="Arial" w:cs="Arial" w:eastAsia="Arial" w:hAnsi="Arial"/>
          <w:sz w:val="14"/>
          <w:szCs w:val="14"/>
          <w:color w:val="auto"/>
        </w:rPr>
        <w:t>Certification of Principal Executive Officer Pursuant to Rules 13a-14(a) and 15d-14(a) under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on May 8, 2023.</w:t>
      </w:r>
    </w:p>
    <w:p>
      <w:pPr>
        <w:spacing w:after="0" w:line="1" w:lineRule="exact"/>
        <w:rPr>
          <w:sz w:val="20"/>
          <w:szCs w:val="20"/>
          <w:color w:val="auto"/>
        </w:rPr>
      </w:pPr>
    </w:p>
    <w:tbl>
      <w:tblPr>
        <w:tblLayout w:type="fixed"/>
        <w:tblInd w:w="624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RECURSION PHARMACEUTICALS, INC.</w:t>
            </w:r>
          </w:p>
        </w:tc>
      </w:tr>
      <w:tr>
        <w:trPr>
          <w:trHeight w:val="531"/>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By:</w:t>
            </w:r>
          </w:p>
        </w:tc>
        <w:tc>
          <w:tcPr>
            <w:tcW w:w="4420" w:type="dxa"/>
            <w:vAlign w:val="bottom"/>
          </w:tcPr>
          <w:p>
            <w:pPr>
              <w:jc w:val="right"/>
              <w:spacing w:after="0"/>
              <w:rPr>
                <w:sz w:val="20"/>
                <w:szCs w:val="20"/>
                <w:color w:val="auto"/>
              </w:rPr>
            </w:pPr>
            <w:r>
              <w:rPr>
                <w:rFonts w:ascii="Arial" w:cs="Arial" w:eastAsia="Arial" w:hAnsi="Arial"/>
                <w:sz w:val="18"/>
                <w:szCs w:val="18"/>
                <w:color w:val="auto"/>
              </w:rPr>
              <w:t>/s/ Christopher Gibson</w:t>
            </w:r>
          </w:p>
        </w:tc>
      </w:tr>
      <w:tr>
        <w:trPr>
          <w:trHeight w:val="245"/>
        </w:trPr>
        <w:tc>
          <w:tcPr>
            <w:tcW w:w="4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Christopher Gibson</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(Principal Executive Officer)</w:t>
            </w:r>
          </w:p>
        </w:tc>
      </w:tr>
      <w:tr>
        <w:trPr>
          <w:trHeight w:val="536"/>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Michael Secora</w:t>
            </w:r>
          </w:p>
        </w:tc>
      </w:tr>
      <w:tr>
        <w:trPr>
          <w:trHeight w:val="241"/>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Michael Secora</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ectPr>
          <w:pgSz w:w="11900" w:h="16838" w:orient="portrait"/>
          <w:cols w:equalWidth="0" w:num="1">
            <w:col w:w="11240"/>
          </w:cols>
          <w:pgMar w:left="320" w:top="14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Date: May 8, 2023</w:t>
      </w:r>
    </w:p>
    <w:p>
      <w:pPr>
        <w:sectPr>
          <w:pgSz w:w="11900" w:h="16838" w:orient="portrait"/>
          <w:cols w:equalWidth="0" w:num="1">
            <w:col w:w="10139"/>
          </w:cols>
          <w:pgMar w:left="320" w:top="1417"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Michael Secora, certify that:</w:t>
      </w:r>
    </w:p>
    <w:p>
      <w:pPr>
        <w:spacing w:after="0" w:line="252"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ectPr>
          <w:pgSz w:w="11900" w:h="16838" w:orient="portrait"/>
          <w:cols w:equalWidth="0" w:num="1">
            <w:col w:w="11240"/>
          </w:cols>
          <w:pgMar w:left="320" w:top="141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Date: May 8, 2023</w:t>
      </w:r>
    </w:p>
    <w:p>
      <w:pPr>
        <w:sectPr>
          <w:pgSz w:w="11900" w:h="16838" w:orient="portrait"/>
          <w:cols w:equalWidth="0" w:num="1">
            <w:col w:w="10139"/>
          </w:cols>
          <w:pgMar w:left="320" w:top="1417" w:right="1440" w:bottom="1440" w:gutter="0" w:footer="0" w:header="0"/>
        </w:sectPr>
      </w:pPr>
    </w:p>
    <w:bookmarkStart w:id="40" w:name="page41"/>
    <w:bookmarkEnd w:id="40"/>
    <w:p>
      <w:pPr>
        <w:ind w:left="10240"/>
        <w:spacing w:after="0"/>
        <w:rPr>
          <w:sz w:val="20"/>
          <w:szCs w:val="20"/>
          <w:color w:val="auto"/>
        </w:rPr>
      </w:pPr>
      <w:r>
        <w:rPr>
          <w:rFonts w:ascii="Arial" w:cs="Arial" w:eastAsia="Arial" w:hAnsi="Arial"/>
          <w:sz w:val="17"/>
          <w:szCs w:val="17"/>
          <w:b w:val="1"/>
          <w:bCs w:val="1"/>
          <w:color w:val="auto"/>
        </w:rPr>
        <w:t>Exhibit 32.1</w:t>
      </w:r>
    </w:p>
    <w:p>
      <w:pPr>
        <w:spacing w:after="0" w:line="264"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March 31, 2023 as filed with the Securities and Exchange Commission on the date hereof (the “Report”), The undersigned certify, pursuant to 18 U.S.C. Section 1350, as adopted pursuant to Section 906 of the Sarbanes-Oxley Act of 2002, that:</w:t>
      </w:r>
    </w:p>
    <w:p>
      <w:pPr>
        <w:spacing w:after="0" w:line="198"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87"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May 8, 2023</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0" Type="http://schemas.openxmlformats.org/officeDocument/2006/relationships/image" Target="media/image39.png"/><Relationship Id="rId46" Type="http://schemas.openxmlformats.org/officeDocument/2006/relationships/hyperlink" Target="https://www.sec.gov/Archives/edgar/data/0001601830/000119312521123764/d149444dex31.htm" TargetMode="External"/><Relationship Id="rId47" Type="http://schemas.openxmlformats.org/officeDocument/2006/relationships/hyperlink" Target="https://www.sec.gov/Archives/edgar/data/0001601830/000119312521123764/d149444dex32.htm" TargetMode="External"/><Relationship Id="rId48" Type="http://schemas.openxmlformats.org/officeDocument/2006/relationships/hyperlink" Target="https://www.sec.gov/Archives/edgar/data/0001601830/000119312521089610/d89478dex41.htm" TargetMode="External"/><Relationship Id="rId49" Type="http://schemas.openxmlformats.org/officeDocument/2006/relationships/hyperlink" Target="https://www.sec.gov/Archives/edgar/data/0001601830/000119312521089610/d8947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2023-05-08T07:27:07Z</dcterms:created>
  <dcterms:modified xsi:type="dcterms:W3CDTF">2023-05-08T07:27:07Z</dcterms:modified>
</cp:coreProperties>
</file>