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7047230" cy="87033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8703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57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Gibson Christopher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RECURSION PHARMACEUTICALS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 S. RIO GRANDE STREET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84101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0" w:type="dxa"/>
            <w:vAlign w:val="bottom"/>
            <w:gridSpan w:val="5"/>
          </w:tcPr>
          <w:p>
            <w:pPr>
              <w:spacing w:after="0" w:line="216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RECURSION PHARMACEUTICALS, INC. </w:t>
              </w:r>
            </w:hyperlink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perscript"/>
              </w:rPr>
              <w:t>(Check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perscript"/>
              </w:rPr>
              <w:t>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[</w:t>
            </w:r>
          </w:p>
        </w:tc>
        <w:tc>
          <w:tcPr>
            <w:tcW w:w="35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RXRX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3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57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C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40,000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923,735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40,000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3.08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883,735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00"/>
                <w:w w:val="81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1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1"/>
              </w:rPr>
              <w:t>(3)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C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40,000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05/22/2026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4,303,334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386,000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LAHWRAN-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 LLC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388,000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LAHWRAN-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 LLC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by Gibson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(6)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(7)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7.25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02/03/2035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1,050,567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10.09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02/09/2034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666,898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(9)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8.55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02/01/2033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813,600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(10)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11.4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02/04/2032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399,002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11.4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02/04/2022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02/04/2032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5,436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80"/>
          </w:cols>
          <w:pgMar w:left="460" w:top="216" w:right="359" w:bottom="57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280670</wp:posOffset>
            </wp:positionH>
            <wp:positionV relativeFrom="page">
              <wp:posOffset>88900</wp:posOffset>
            </wp:positionV>
            <wp:extent cx="7047230" cy="20720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2072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2.48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12/30/2030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282,500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40" w:hanging="120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is pursuant to a Rule 10b5-1 trading plan adopted by the Reporting Person on May 12, 2025.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80"/>
        <w:spacing w:after="0" w:line="250" w:lineRule="auto"/>
        <w:tabs>
          <w:tab w:leader="none" w:pos="14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automatic conversion of Class B Common Stock into Class A Common Stock in connection with a sale of the shares by the Reporting Person. Each share of Class B Common Stock is convertible into one share of Class A Common Stock.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20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share of Class B Common Stock is convertible into one share of Class A Common Stock at the option of the holder and has no expiration date.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20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are held by LAHWRAN-3 LLC, of which the Reporting Person is a member and a manager.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20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are held by LAHWRAN-4 LLC, of which the Reporting Person is a member and a manager.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20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are held by the Gibson Family Trust, of which the Reporting Person serves as Trustee.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20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vests as to one forty-eighth (1/48th) of the shares subject to the option on March 1, 2025, and one forty-eighth (1/48th) of the shares subject to the option will vest each month thereafter.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560"/>
        <w:spacing w:after="0" w:line="250" w:lineRule="auto"/>
        <w:tabs>
          <w:tab w:leader="none" w:pos="14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vests as to one forty-eighth (1/48th) of the original 666,898 shares subject to the option on March 1, 2024, and one forty-eighth (1/48th) of the shares subject to the option will vest each month thereafter.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20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vests as to one forty-eighth (1/48th) of the shares subject to the option on March 1, 2023, and one forty-eighth (1/48th) of the shares subject to the option will vest each month thereafter.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360"/>
        <w:spacing w:after="0" w:line="250" w:lineRule="auto"/>
        <w:tabs>
          <w:tab w:leader="none" w:pos="211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option, originally for 416,350 shares, vested as to one forty-eighth (1/48th) of the shares subject to the option on March 1, 2022, and one forty-eighth (1/48th) of the shares subject to the option will vest each month thereafter.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340"/>
        <w:spacing w:after="0" w:line="250" w:lineRule="auto"/>
        <w:tabs>
          <w:tab w:leader="none" w:pos="206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option, originally for 1,500,000 shares, vested as to one forty-eighth (1/48th) of the shares subject to the option on January 31, 2021, and one forty-eighth (1/48th) of the shares subject to the option shall vest each month thereafter.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1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/s/Jonathan Golightly, attorney-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05/26/2026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4171950</wp:posOffset>
            </wp:positionH>
            <wp:positionV relativeFrom="paragraph">
              <wp:posOffset>-26035</wp:posOffset>
            </wp:positionV>
            <wp:extent cx="13258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4171950</wp:posOffset>
            </wp:positionH>
            <wp:positionV relativeFrom="paragraph">
              <wp:posOffset>-21590</wp:posOffset>
            </wp:positionV>
            <wp:extent cx="2736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6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5569585</wp:posOffset>
            </wp:positionH>
            <wp:positionV relativeFrom="paragraph">
              <wp:posOffset>-86360</wp:posOffset>
            </wp:positionV>
            <wp:extent cx="47815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20" w:right="3680"/>
        <w:spacing w:after="0" w:line="331" w:lineRule="auto"/>
        <w:tabs>
          <w:tab w:leader="none" w:pos="15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40"/>
      </w:cols>
      <w:pgMar w:left="480" w:top="190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56369" TargetMode="External"/><Relationship Id="rId14" Type="http://schemas.openxmlformats.org/officeDocument/2006/relationships/hyperlink" Target="http://www.sec.gov/cgi-bin/browse-edgar?action=getcompany&amp;CIK=000160183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2026-05-27T15:31:57Z</dcterms:created>
  <dcterms:modified xsi:type="dcterms:W3CDTF">2026-05-27T15:31:57Z</dcterms:modified>
</cp:coreProperties>
</file>