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1E1E1E"/>
        </w:rPr>
        <w:t>UNITED STATES</w:t>
      </w:r>
    </w:p>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SECURITIES AND EXCHANGE COMMISSION</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Washington, D.C. 20549</w:t>
      </w:r>
    </w:p>
    <w:p>
      <w:pPr>
        <w:spacing w:after="0" w:line="29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FORM 10-Q</w:t>
      </w:r>
    </w:p>
    <w:p>
      <w:pPr>
        <w:spacing w:after="0" w:line="276" w:lineRule="exact"/>
        <w:rPr>
          <w:sz w:val="24"/>
          <w:szCs w:val="24"/>
          <w:color w:val="auto"/>
        </w:rPr>
      </w:pPr>
    </w:p>
    <w:p>
      <w:pPr>
        <w:ind w:left="20"/>
        <w:spacing w:after="0"/>
        <w:rPr>
          <w:sz w:val="20"/>
          <w:szCs w:val="20"/>
          <w:color w:val="auto"/>
        </w:rPr>
      </w:pPr>
      <w:r>
        <w:rPr>
          <w:rFonts w:ascii="Arial" w:cs="Arial" w:eastAsia="Arial" w:hAnsi="Arial"/>
          <w:sz w:val="16"/>
          <w:szCs w:val="16"/>
          <w:color w:val="1E1E1E"/>
        </w:rPr>
        <w:t>(Mark One)</w:t>
      </w:r>
    </w:p>
    <w:p>
      <w:pPr>
        <w:spacing w:after="0" w:line="5" w:lineRule="exact"/>
        <w:rPr>
          <w:sz w:val="24"/>
          <w:szCs w:val="24"/>
          <w:color w:val="auto"/>
        </w:rPr>
      </w:pPr>
    </w:p>
    <w:p>
      <w:pPr>
        <w:ind w:left="20" w:right="380" w:firstLine="346"/>
        <w:spacing w:after="0" w:line="251" w:lineRule="auto"/>
        <w:tabs>
          <w:tab w:leader="none" w:pos="56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QUARTERLY REPORT PURSUANT TO SECTION 13 OR 15(d) OF THE SECURITIES EXCHANGE ACT OF 1934 </w:t>
      </w:r>
      <w:r>
        <w:rPr>
          <w:rFonts w:ascii="Arial" w:cs="Arial" w:eastAsia="Arial" w:hAnsi="Arial"/>
          <w:sz w:val="16"/>
          <w:szCs w:val="16"/>
          <w:color w:val="1E1E1E"/>
        </w:rPr>
        <w:t>For the quarterly period ended September 30, 2022</w:t>
      </w:r>
    </w:p>
    <w:p>
      <w:pPr>
        <w:jc w:val="center"/>
        <w:ind w:right="20"/>
        <w:spacing w:after="0"/>
        <w:rPr>
          <w:sz w:val="20"/>
          <w:szCs w:val="20"/>
          <w:color w:val="auto"/>
        </w:rPr>
      </w:pPr>
      <w:r>
        <w:rPr>
          <w:rFonts w:ascii="Arial" w:cs="Arial" w:eastAsia="Arial" w:hAnsi="Arial"/>
          <w:sz w:val="16"/>
          <w:szCs w:val="16"/>
          <w:b w:val="1"/>
          <w:bCs w:val="1"/>
          <w:color w:val="1E1E1E"/>
        </w:rPr>
        <w:t>or</w:t>
      </w:r>
    </w:p>
    <w:p>
      <w:pPr>
        <w:spacing w:after="0" w:line="6" w:lineRule="exact"/>
        <w:rPr>
          <w:sz w:val="24"/>
          <w:szCs w:val="24"/>
          <w:color w:val="auto"/>
        </w:rPr>
      </w:pPr>
    </w:p>
    <w:p>
      <w:pPr>
        <w:ind w:left="20" w:right="360" w:firstLine="370"/>
        <w:spacing w:after="0" w:line="298" w:lineRule="auto"/>
        <w:tabs>
          <w:tab w:leader="none" w:pos="592"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TRANSITION REPORT PURSUANT TO SECTION 13 OR 15(d) OF THE SECURITIES EXCHANGE ACT OF 1934 </w:t>
      </w:r>
      <w:r>
        <w:rPr>
          <w:rFonts w:ascii="Arial" w:cs="Arial" w:eastAsia="Arial" w:hAnsi="Arial"/>
          <w:sz w:val="16"/>
          <w:szCs w:val="16"/>
          <w:color w:val="1E1E1E"/>
        </w:rPr>
        <w:t>For the transition period from to</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Commission File Number: 001-40323</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RECURSION PHARMACEUTICALS, INC.</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(Exact name of registrant as specified in its charter)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Delaware 46-4099738</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(State or other jurisdiction of incorporation or organization) (I.R.S. Employer Identification No.)</w:t>
      </w:r>
    </w:p>
    <w:p>
      <w:pPr>
        <w:spacing w:after="0" w:line="28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41 S Rio Grande Street</w:t>
      </w:r>
    </w:p>
    <w:p>
      <w:pPr>
        <w:jc w:val="center"/>
        <w:ind w:right="20"/>
        <w:spacing w:after="0" w:line="211" w:lineRule="auto"/>
        <w:rPr>
          <w:sz w:val="20"/>
          <w:szCs w:val="20"/>
          <w:color w:val="auto"/>
        </w:rPr>
      </w:pPr>
      <w:r>
        <w:rPr>
          <w:rFonts w:ascii="Arial" w:cs="Arial" w:eastAsia="Arial" w:hAnsi="Arial"/>
          <w:sz w:val="16"/>
          <w:szCs w:val="16"/>
          <w:b w:val="1"/>
          <w:bCs w:val="1"/>
          <w:color w:val="auto"/>
        </w:rPr>
        <w:t>Salt Lake City, UT 84101</w:t>
      </w:r>
    </w:p>
    <w:p>
      <w:pPr>
        <w:jc w:val="center"/>
        <w:ind w:right="20"/>
        <w:spacing w:after="0" w:line="211" w:lineRule="auto"/>
        <w:rPr>
          <w:sz w:val="20"/>
          <w:szCs w:val="20"/>
          <w:color w:val="auto"/>
        </w:rPr>
      </w:pPr>
      <w:r>
        <w:rPr>
          <w:rFonts w:ascii="Arial" w:cs="Arial" w:eastAsia="Arial" w:hAnsi="Arial"/>
          <w:sz w:val="16"/>
          <w:szCs w:val="16"/>
          <w:b w:val="1"/>
          <w:bCs w:val="1"/>
          <w:color w:val="auto"/>
        </w:rPr>
        <w:t>(Address of principal executive offices) (Zip code)</w:t>
      </w:r>
    </w:p>
    <w:p>
      <w:pPr>
        <w:jc w:val="center"/>
        <w:ind w:right="20"/>
        <w:spacing w:after="0" w:line="211" w:lineRule="auto"/>
        <w:rPr>
          <w:sz w:val="20"/>
          <w:szCs w:val="20"/>
          <w:color w:val="auto"/>
        </w:rPr>
      </w:pPr>
      <w:r>
        <w:rPr>
          <w:rFonts w:ascii="Arial" w:cs="Arial" w:eastAsia="Arial" w:hAnsi="Arial"/>
          <w:sz w:val="16"/>
          <w:szCs w:val="16"/>
          <w:b w:val="1"/>
          <w:bCs w:val="1"/>
          <w:color w:val="auto"/>
        </w:rPr>
        <w:t>(385) 269 - 0203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3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5"/>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par value $0.00001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RXRX</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07" w:lineRule="exact"/>
        <w:rPr>
          <w:sz w:val="24"/>
          <w:szCs w:val="24"/>
          <w:color w:val="auto"/>
        </w:rPr>
      </w:pPr>
    </w:p>
    <w:p>
      <w:pPr>
        <w:ind w:left="20" w:right="80"/>
        <w:spacing w:after="0" w:line="21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left="20" w:right="220"/>
        <w:spacing w:after="0" w:line="21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jc w:val="both"/>
        <w:ind w:left="20" w:right="200"/>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60"/>
          </w:cols>
          <w:pgMar w:left="1320" w:top="1087" w:right="1319" w:bottom="1440" w:gutter="0" w:footer="0" w:header="0"/>
        </w:sectPr>
      </w:pPr>
    </w:p>
    <w:p>
      <w:pPr>
        <w:spacing w:after="0" w:line="164"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Non-accelerated filer </w:t>
      </w:r>
      <w:r>
        <w:rPr>
          <w:rFonts w:ascii="Wingdings" w:cs="Wingdings" w:eastAsia="Wingdings" w:hAnsi="Wingdings"/>
          <w:sz w:val="16"/>
          <w:szCs w:val="16"/>
          <w:b w:val="1"/>
          <w:bCs w:val="1"/>
          <w:color w:val="auto"/>
        </w:rPr>
        <w:t>x</w:t>
      </w:r>
    </w:p>
    <w:p>
      <w:pPr>
        <w:spacing w:after="0" w:line="47" w:lineRule="exact"/>
        <w:rPr>
          <w:sz w:val="24"/>
          <w:szCs w:val="24"/>
          <w:color w:val="auto"/>
        </w:rPr>
      </w:pPr>
    </w:p>
    <w:p>
      <w:pPr>
        <w:sectPr>
          <w:pgSz w:w="11900" w:h="16838" w:orient="portrait"/>
          <w:cols w:equalWidth="0" w:num="3">
            <w:col w:w="1620" w:space="300"/>
            <w:col w:w="4580" w:space="720"/>
            <w:col w:w="2040"/>
          </w:cols>
          <w:pgMar w:left="1320" w:top="1087" w:right="1319" w:bottom="1440" w:gutter="0" w:footer="0" w:header="0"/>
          <w:type w:val="continuous"/>
        </w:sectPr>
      </w:pPr>
    </w:p>
    <w:p>
      <w:pPr>
        <w:spacing w:after="0" w:line="26" w:lineRule="exact"/>
        <w:rPr>
          <w:sz w:val="24"/>
          <w:szCs w:val="24"/>
          <w:color w:val="auto"/>
        </w:rPr>
      </w:pPr>
    </w:p>
    <w:p>
      <w:pPr>
        <w:ind w:left="2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3">
            <w:col w:w="1200" w:space="720"/>
            <w:col w:w="4140" w:space="720"/>
            <w:col w:w="2480"/>
          </w:cols>
          <w:pgMar w:left="1320" w:top="1087" w:right="1319" w:bottom="1440" w:gutter="0" w:footer="0" w:header="0"/>
          <w:type w:val="continuous"/>
        </w:sectPr>
      </w:pPr>
    </w:p>
    <w:p>
      <w:pPr>
        <w:ind w:left="6800"/>
        <w:spacing w:after="0"/>
        <w:rPr>
          <w:sz w:val="20"/>
          <w:szCs w:val="20"/>
          <w:color w:val="auto"/>
        </w:rPr>
      </w:pPr>
      <w:r>
        <w:rPr>
          <w:rFonts w:ascii="Arial" w:cs="Arial" w:eastAsia="Arial" w:hAnsi="Arial"/>
          <w:sz w:val="16"/>
          <w:szCs w:val="16"/>
          <w:color w:val="auto"/>
        </w:rPr>
        <w:t xml:space="preserve">Emerging growth company </w:t>
      </w:r>
      <w:r>
        <w:rPr>
          <w:rFonts w:ascii="Wingdings" w:cs="Wingdings" w:eastAsia="Wingdings" w:hAnsi="Wingdings"/>
          <w:sz w:val="16"/>
          <w:szCs w:val="16"/>
          <w:b w:val="1"/>
          <w:bCs w:val="1"/>
          <w:color w:val="auto"/>
        </w:rPr>
        <w:t>x</w:t>
      </w:r>
    </w:p>
    <w:p>
      <w:pPr>
        <w:sectPr>
          <w:pgSz w:w="11900" w:h="16838" w:orient="portrait"/>
          <w:cols w:equalWidth="0" w:num="1">
            <w:col w:w="9260"/>
          </w:cols>
          <w:pgMar w:left="1320" w:top="1087" w:right="1319" w:bottom="1440" w:gutter="0" w:footer="0" w:header="0"/>
          <w:type w:val="continuous"/>
        </w:sectPr>
      </w:pPr>
    </w:p>
    <w:p>
      <w:pPr>
        <w:spacing w:after="0" w:line="397" w:lineRule="exact"/>
        <w:rPr>
          <w:sz w:val="24"/>
          <w:szCs w:val="24"/>
          <w:color w:val="auto"/>
        </w:rPr>
      </w:pPr>
    </w:p>
    <w:p>
      <w:pPr>
        <w:ind w:left="20" w:right="80"/>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37" w:lineRule="exact"/>
        <w:rPr>
          <w:sz w:val="24"/>
          <w:szCs w:val="24"/>
          <w:color w:val="auto"/>
        </w:rPr>
      </w:pPr>
    </w:p>
    <w:p>
      <w:pPr>
        <w:ind w:left="2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56" w:lineRule="exact"/>
        <w:rPr>
          <w:sz w:val="24"/>
          <w:szCs w:val="24"/>
          <w:color w:val="auto"/>
        </w:rPr>
      </w:pPr>
    </w:p>
    <w:p>
      <w:pPr>
        <w:ind w:left="20" w:right="480"/>
        <w:spacing w:after="0" w:line="251" w:lineRule="auto"/>
        <w:rPr>
          <w:sz w:val="20"/>
          <w:szCs w:val="20"/>
          <w:color w:val="auto"/>
        </w:rPr>
      </w:pPr>
      <w:r>
        <w:rPr>
          <w:rFonts w:ascii="Arial" w:cs="Arial" w:eastAsia="Arial" w:hAnsi="Arial"/>
          <w:sz w:val="16"/>
          <w:szCs w:val="16"/>
          <w:color w:val="auto"/>
        </w:rPr>
        <w:t>As of October 31, 2022, there were 181,694,536 and 7,861,209 of the registrant’s Class A and B common stock, par value $0.00001 per share,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-641985</wp:posOffset>
            </wp:positionH>
            <wp:positionV relativeFrom="paragraph">
              <wp:posOffset>797560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0"/>
          </w:cols>
          <w:pgMar w:left="1320" w:top="1087"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1E1E1E"/>
        </w:rPr>
        <w:t>TABLE OF CONTENTS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Page</w:t>
            </w:r>
          </w:p>
        </w:tc>
      </w:tr>
      <w:tr>
        <w:trPr>
          <w:trHeight w:val="223"/>
        </w:trPr>
        <w:tc>
          <w:tcPr>
            <w:tcW w:w="460" w:type="dxa"/>
            <w:vAlign w:val="bottom"/>
          </w:tcPr>
          <w:p>
            <w:pPr>
              <w:spacing w:after="0"/>
              <w:rPr>
                <w:sz w:val="20"/>
                <w:szCs w:val="20"/>
                <w:color w:val="auto"/>
              </w:rPr>
            </w:pPr>
            <w:r>
              <w:rPr>
                <w:rFonts w:ascii="Arial" w:cs="Arial" w:eastAsia="Arial" w:hAnsi="Arial"/>
                <w:sz w:val="18"/>
                <w:szCs w:val="18"/>
                <w:b w:val="1"/>
                <w:bCs w:val="1"/>
                <w:color w:val="0000EE"/>
                <w:w w:val="97"/>
              </w:rPr>
              <w:t>Part I</w:t>
            </w:r>
          </w:p>
        </w:tc>
        <w:tc>
          <w:tcPr>
            <w:tcW w:w="960" w:type="dxa"/>
            <w:vAlign w:val="bottom"/>
            <w:gridSpan w:val="2"/>
          </w:tcPr>
          <w:p>
            <w:pPr>
              <w:spacing w:after="0"/>
              <w:rPr>
                <w:sz w:val="19"/>
                <w:szCs w:val="19"/>
                <w:color w:val="auto"/>
              </w:rPr>
            </w:pPr>
          </w:p>
        </w:tc>
        <w:tc>
          <w:tcPr>
            <w:tcW w:w="9240" w:type="dxa"/>
            <w:vAlign w:val="bottom"/>
            <w:gridSpan w:val="10"/>
          </w:tcPr>
          <w:p>
            <w:pPr>
              <w:spacing w:after="0"/>
              <w:rPr>
                <w:sz w:val="20"/>
                <w:szCs w:val="20"/>
                <w:color w:val="auto"/>
              </w:rPr>
            </w:pPr>
            <w:r>
              <w:rPr>
                <w:rFonts w:ascii="Arial" w:cs="Arial" w:eastAsia="Arial" w:hAnsi="Arial"/>
                <w:sz w:val="18"/>
                <w:szCs w:val="18"/>
                <w:b w:val="1"/>
                <w:bCs w:val="1"/>
                <w:color w:val="0000FF"/>
              </w:rPr>
              <w:t>Financial Information</w:t>
            </w:r>
          </w:p>
        </w:tc>
        <w:tc>
          <w:tcPr>
            <w:tcW w:w="220" w:type="dxa"/>
            <w:vAlign w:val="bottom"/>
            <w:gridSpan w:val="2"/>
          </w:tcPr>
          <w:p>
            <w:pPr>
              <w:jc w:val="center"/>
              <w:ind w:left="36"/>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10"/>
          </w:tcPr>
          <w:p>
            <w:pPr>
              <w:spacing w:after="0"/>
              <w:rPr>
                <w:sz w:val="20"/>
                <w:szCs w:val="20"/>
                <w:color w:val="auto"/>
              </w:rPr>
            </w:pPr>
            <w:r>
              <w:rPr>
                <w:rFonts w:ascii="Arial" w:cs="Arial" w:eastAsia="Arial" w:hAnsi="Arial"/>
                <w:sz w:val="18"/>
                <w:szCs w:val="18"/>
                <w:color w:val="0000FF"/>
              </w:rPr>
              <w:t>Financial Statements (unaudited)</w:t>
            </w:r>
          </w:p>
        </w:tc>
        <w:tc>
          <w:tcPr>
            <w:tcW w:w="220" w:type="dxa"/>
            <w:vAlign w:val="bottom"/>
            <w:gridSpan w:val="2"/>
          </w:tcPr>
          <w:p>
            <w:pPr>
              <w:jc w:val="center"/>
              <w:ind w:left="36"/>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8"/>
                <w:szCs w:val="18"/>
                <w:color w:val="auto"/>
              </w:rPr>
            </w:pP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9"/>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22</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7"/>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36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30</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5"/>
          </w:tcPr>
          <w:p>
            <w:pPr>
              <w:spacing w:after="0"/>
              <w:rPr>
                <w:sz w:val="20"/>
                <w:szCs w:val="20"/>
                <w:color w:val="auto"/>
              </w:rPr>
            </w:pPr>
            <w:r>
              <w:rPr>
                <w:rFonts w:ascii="Arial" w:cs="Arial" w:eastAsia="Arial" w:hAnsi="Arial"/>
                <w:sz w:val="18"/>
                <w:szCs w:val="18"/>
                <w:color w:val="0000EE"/>
                <w:w w:val="99"/>
              </w:rPr>
              <w:t>Controls and Procedures</w:t>
            </w:r>
          </w:p>
        </w:tc>
        <w:tc>
          <w:tcPr>
            <w:tcW w:w="2720" w:type="dxa"/>
            <w:vAlign w:val="bottom"/>
            <w:gridSpan w:val="2"/>
          </w:tcPr>
          <w:p>
            <w:pPr>
              <w:spacing w:after="0"/>
              <w:rPr>
                <w:sz w:val="18"/>
                <w:szCs w:val="18"/>
                <w:color w:val="auto"/>
              </w:rPr>
            </w:pPr>
          </w:p>
        </w:tc>
        <w:tc>
          <w:tcPr>
            <w:tcW w:w="45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30</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b w:val="1"/>
                <w:bCs w:val="1"/>
                <w:color w:val="0000EE"/>
              </w:rPr>
              <w:t>Part II</w:t>
            </w:r>
          </w:p>
        </w:tc>
        <w:tc>
          <w:tcPr>
            <w:tcW w:w="2000" w:type="dxa"/>
            <w:vAlign w:val="bottom"/>
            <w:gridSpan w:val="5"/>
          </w:tcPr>
          <w:p>
            <w:pPr>
              <w:spacing w:after="0"/>
              <w:rPr>
                <w:sz w:val="20"/>
                <w:szCs w:val="20"/>
                <w:color w:val="auto"/>
              </w:rPr>
            </w:pPr>
            <w:r>
              <w:rPr>
                <w:rFonts w:ascii="Arial" w:cs="Arial" w:eastAsia="Arial" w:hAnsi="Arial"/>
                <w:sz w:val="18"/>
                <w:szCs w:val="18"/>
                <w:b w:val="1"/>
                <w:bCs w:val="1"/>
                <w:color w:val="0000FF"/>
              </w:rPr>
              <w:t>Other Information</w:t>
            </w:r>
          </w:p>
        </w:tc>
        <w:tc>
          <w:tcPr>
            <w:tcW w:w="72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31</w:t>
            </w: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360" w:type="dxa"/>
            <w:vAlign w:val="bottom"/>
            <w:tcBorders>
              <w:left w:val="single" w:sz="8" w:color="0000FF"/>
            </w:tcBorders>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3"/>
          </w:tcPr>
          <w:p>
            <w:pPr>
              <w:spacing w:after="0"/>
              <w:rPr>
                <w:sz w:val="20"/>
                <w:szCs w:val="20"/>
                <w:color w:val="auto"/>
              </w:rPr>
            </w:pPr>
            <w:r>
              <w:rPr>
                <w:rFonts w:ascii="Arial" w:cs="Arial" w:eastAsia="Arial" w:hAnsi="Arial"/>
                <w:sz w:val="18"/>
                <w:szCs w:val="18"/>
                <w:color w:val="0000FF"/>
                <w:w w:val="97"/>
              </w:rPr>
              <w:t>Legal Proceedings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31</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3"/>
          </w:tcPr>
          <w:p>
            <w:pPr>
              <w:spacing w:after="0"/>
              <w:rPr>
                <w:sz w:val="20"/>
                <w:szCs w:val="20"/>
                <w:color w:val="auto"/>
              </w:rPr>
            </w:pPr>
            <w:r>
              <w:rPr>
                <w:rFonts w:ascii="Arial" w:cs="Arial" w:eastAsia="Arial" w:hAnsi="Arial"/>
                <w:sz w:val="18"/>
                <w:szCs w:val="18"/>
                <w:color w:val="0000FF"/>
              </w:rPr>
              <w:t>Risk Factors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31</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920" w:type="dxa"/>
            <w:vAlign w:val="bottom"/>
            <w:tcBorders>
              <w:left w:val="single" w:sz="8" w:color="0000FF"/>
            </w:tcBorders>
            <w:gridSpan w:val="6"/>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8"/>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32</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4220" w:type="dxa"/>
            <w:vAlign w:val="bottom"/>
            <w:gridSpan w:val="7"/>
          </w:tcPr>
          <w:p>
            <w:pPr>
              <w:spacing w:after="0"/>
              <w:rPr>
                <w:sz w:val="18"/>
                <w:szCs w:val="18"/>
                <w:color w:val="auto"/>
              </w:rPr>
            </w:pP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33</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300" w:type="dxa"/>
            <w:vAlign w:val="bottom"/>
            <w:gridSpan w:val="8"/>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0000EE"/>
                <w:w w:val="96"/>
              </w:rPr>
              <w:t>Signatures</w:t>
            </w:r>
          </w:p>
        </w:tc>
        <w:tc>
          <w:tcPr>
            <w:tcW w:w="830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34</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Quarterly Report on Form 10-Q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w:t>
      </w:r>
    </w:p>
    <w:p>
      <w:pPr>
        <w:spacing w:after="0" w:line="209" w:lineRule="exact"/>
        <w:rPr>
          <w:sz w:val="20"/>
          <w:szCs w:val="20"/>
          <w:color w:val="auto"/>
        </w:rPr>
      </w:pPr>
    </w:p>
    <w:p>
      <w:pPr>
        <w:jc w:val="both"/>
        <w:ind w:left="340" w:hanging="332"/>
        <w:spacing w:after="0" w:line="25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results and cost of research and development programs, current and future preclinical and clinical studies, including statements regarding the design of, and the timing of initiation and completion of, studies and related preparatory work, as well as the period during which the results of the studies will become available;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drug candidates, and other positive results;</w:t>
      </w:r>
    </w:p>
    <w:p>
      <w:pPr>
        <w:spacing w:after="0" w:line="9" w:lineRule="exact"/>
        <w:rPr>
          <w:rFonts w:ascii="Arial" w:cs="Arial" w:eastAsia="Arial" w:hAnsi="Arial"/>
          <w:sz w:val="18"/>
          <w:szCs w:val="18"/>
          <w:color w:val="auto"/>
        </w:rPr>
      </w:pPr>
    </w:p>
    <w:p>
      <w:pPr>
        <w:ind w:left="340" w:right="26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collaborators to continue research and development activities relating to our development candidates and investigational medicines;</w:t>
      </w:r>
    </w:p>
    <w:p>
      <w:pPr>
        <w:ind w:left="340" w:right="28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investigational medicines and any other approved product;</w:t>
      </w:r>
    </w:p>
    <w:p>
      <w:pPr>
        <w:ind w:left="340" w:right="66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domestic and foreign regulatory filings and approvals, including our ability to maintain any such approvals;</w:t>
      </w:r>
    </w:p>
    <w:p>
      <w:pPr>
        <w:ind w:left="340" w:right="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 opportunity for our drug candidates, including our estimates of the number of patients who suffer from the diseases we are targeting;</w:t>
      </w:r>
    </w:p>
    <w:p>
      <w:pPr>
        <w:ind w:left="340" w:right="3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viable new drug candidates for clinical development and the rate at which we expect to identify such candidates, whether through an inferential approach or otherwise;</w:t>
      </w:r>
    </w:p>
    <w:p>
      <w:pPr>
        <w:ind w:left="340" w:right="40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the assets that will drive the most value for us are those that we will identify in the future using our datasets and tools;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advance our current drug candidates and programs into, and successfully complete, clinical studies;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reduce the time or cost or increase the likelihood of success of our research and development relative to the traditional drug discovery paradigm;</w:t>
      </w:r>
    </w:p>
    <w:p>
      <w:pPr>
        <w:ind w:left="340" w:right="6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and the rate of improvement in, our infrastructure, datasets, biology, technology tools and drug discovery platform, and our ability to realize benefits from such improvements;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performance and benefits of our BioHive-1 supercomputer;</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a return on our investment of resources and cash in our drug discovery collaborations;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like a technology company and to add more programs to our pipeline each year;</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in a highly competitive market;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drug candidates, if approved, including the geographic areas of focus and sales strategy;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drug candidates in combination with other drugs;</w:t>
      </w:r>
    </w:p>
    <w:p>
      <w:pPr>
        <w:spacing w:after="0" w:line="9" w:lineRule="exact"/>
        <w:rPr>
          <w:rFonts w:ascii="Arial" w:cs="Arial" w:eastAsia="Arial" w:hAnsi="Arial"/>
          <w:sz w:val="18"/>
          <w:szCs w:val="18"/>
          <w:color w:val="auto"/>
        </w:rPr>
      </w:pPr>
    </w:p>
    <w:p>
      <w:pPr>
        <w:ind w:left="340" w:right="2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drug candidates, if approved, and other drug candidates we may develop;</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approaches that are or may become available;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 and the timing of their enrollment;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drug candidates;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further development of our drug candidates, including additional indications we may pursue;</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w:t>
      </w:r>
    </w:p>
    <w:p>
      <w:pPr>
        <w:spacing w:after="0" w:line="1" w:lineRule="exact"/>
        <w:rPr>
          <w:rFonts w:ascii="Arial" w:cs="Arial" w:eastAsia="Arial" w:hAnsi="Arial"/>
          <w:sz w:val="18"/>
          <w:szCs w:val="18"/>
          <w:color w:val="auto"/>
        </w:rPr>
      </w:pPr>
    </w:p>
    <w:p>
      <w:pPr>
        <w:ind w:left="340" w:right="6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any intellectual property disputes and our ability to defend against claims of infringement, misappropriation, or other violations of intellectual property rights;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new technological developments;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third-party open source software and cloud-based infrastructure, on which we are dependent;</w:t>
      </w:r>
    </w:p>
    <w:p>
      <w:pPr>
        <w:spacing w:after="0" w:line="2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insurance policies and the scope of their coverage;</w:t>
      </w:r>
    </w:p>
    <w:p>
      <w:pPr>
        <w:spacing w:after="0" w:line="9" w:lineRule="exact"/>
        <w:rPr>
          <w:rFonts w:ascii="Arial" w:cs="Arial" w:eastAsia="Arial" w:hAnsi="Arial"/>
          <w:sz w:val="18"/>
          <w:szCs w:val="18"/>
          <w:color w:val="auto"/>
        </w:rPr>
      </w:pPr>
    </w:p>
    <w:p>
      <w:pPr>
        <w:ind w:left="340" w:right="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w:t>
      </w:r>
    </w:p>
    <w:p>
      <w:pPr>
        <w:spacing w:after="0" w:line="1" w:lineRule="exact"/>
        <w:rPr>
          <w:rFonts w:ascii="Arial" w:cs="Arial" w:eastAsia="Arial" w:hAnsi="Arial"/>
          <w:sz w:val="18"/>
          <w:szCs w:val="18"/>
          <w:color w:val="auto"/>
        </w:rPr>
      </w:pPr>
    </w:p>
    <w:p>
      <w:pPr>
        <w:ind w:left="340" w:right="40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drug candidates, and for the manufacture of our drug candidates for preclinical studies and clinical trials;</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current drug candidates and other drug candidates we may develop, if approved;</w:t>
      </w:r>
    </w:p>
    <w:p>
      <w:pPr>
        <w:spacing w:after="0" w:line="9" w:lineRule="exact"/>
        <w:rPr>
          <w:rFonts w:ascii="Arial" w:cs="Arial" w:eastAsia="Arial" w:hAnsi="Arial"/>
          <w:sz w:val="18"/>
          <w:szCs w:val="18"/>
          <w:color w:val="auto"/>
        </w:rPr>
      </w:pPr>
    </w:p>
    <w:p>
      <w:pPr>
        <w:ind w:left="340" w:right="106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collaboration, licensing or other arrangements required for the research, development and commercialization of our platform and drug candidates.</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 for additional financing;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 w:lineRule="exact"/>
        <w:rPr>
          <w:rFonts w:ascii="Arial" w:cs="Arial" w:eastAsia="Arial" w:hAnsi="Arial"/>
          <w:sz w:val="18"/>
          <w:szCs w:val="18"/>
          <w:color w:val="auto"/>
        </w:rPr>
      </w:pPr>
    </w:p>
    <w:p>
      <w:pPr>
        <w:ind w:left="340" w:right="3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and cash equivalents will be sufficient to fund our future operating expenses and capital expenditure requirements;</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substantial additional funding;</w:t>
      </w:r>
    </w:p>
    <w:p>
      <w:pPr>
        <w:spacing w:after="0" w:line="9" w:lineRule="exact"/>
        <w:rPr>
          <w:rFonts w:ascii="Arial" w:cs="Arial" w:eastAsia="Arial" w:hAnsi="Arial"/>
          <w:sz w:val="18"/>
          <w:szCs w:val="18"/>
          <w:color w:val="auto"/>
        </w:rPr>
      </w:pPr>
    </w:p>
    <w:p>
      <w:pPr>
        <w:ind w:left="340" w:right="18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current and future laws and regulations, and our ability to comply with all regulations that we are, or may become, subject to;</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current or future litigation, which may arise during the ordinary course of business and be costly to defend;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net proceeds from our initial public offering;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the section titled “Risk Factors.”</w:t>
      </w:r>
    </w:p>
    <w:p>
      <w:pPr>
        <w:spacing w:after="0" w:line="2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1E1E1E"/>
        </w:rPr>
        <w:t>Condensed Consolidated Balance Sheets (unaudited)</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i w:val="1"/>
          <w:iCs w:val="1"/>
          <w:color w:val="1E1E1E"/>
        </w:rPr>
        <w:t>(in thousands, except share and per share amounts)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8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224"/>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5"/>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285,116</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1,552</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11,635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9,056</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231,446</w:t>
            </w: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13,247</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7,514</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481,618</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534,718</w:t>
            </w:r>
          </w:p>
        </w:tc>
      </w:tr>
      <w:tr>
        <w:trPr>
          <w:trHeight w:val="148"/>
        </w:trPr>
        <w:tc>
          <w:tcPr>
            <w:tcW w:w="8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non-current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85,777</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64,725</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33,726</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1,457</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1,385</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610,345</w:t>
            </w:r>
          </w:p>
        </w:tc>
      </w:tr>
      <w:tr>
        <w:trPr>
          <w:trHeight w:val="20"/>
        </w:trPr>
        <w:tc>
          <w:tcPr>
            <w:tcW w:w="8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26,757</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32,333</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revenue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46,753</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Lease incentive obligation</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83,036</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46,658</w:t>
            </w:r>
          </w:p>
        </w:tc>
      </w:tr>
      <w:tr>
        <w:trPr>
          <w:trHeight w:val="148"/>
        </w:trPr>
        <w:tc>
          <w:tcPr>
            <w:tcW w:w="8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Unearned revenue, non-current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93,909</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6,667</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non-current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45,993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Lease incentive obligation, non-current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9,339</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223,499</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67,407</w:t>
            </w:r>
          </w:p>
        </w:tc>
      </w:tr>
      <w:tr>
        <w:trPr>
          <w:trHeight w:val="148"/>
        </w:trPr>
        <w:tc>
          <w:tcPr>
            <w:tcW w:w="8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bl>
    <w:p>
      <w:pPr>
        <w:ind w:left="140"/>
        <w:spacing w:after="0"/>
        <w:rPr>
          <w:sz w:val="20"/>
          <w:szCs w:val="20"/>
          <w:color w:val="auto"/>
        </w:rPr>
      </w:pPr>
      <w:r>
        <w:rPr>
          <w:rFonts w:ascii="Arial" w:cs="Arial" w:eastAsia="Arial" w:hAnsi="Arial"/>
          <w:sz w:val="18"/>
          <w:szCs w:val="18"/>
          <w:color w:val="auto"/>
        </w:rPr>
        <w:t>Commitments and contingencies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93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754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ectPr>
          <w:pgSz w:w="11900" w:h="16838" w:orient="portrait"/>
          <w:cols w:equalWidth="0" w:num="1">
            <w:col w:w="11240"/>
          </w:cols>
          <w:pgMar w:left="320" w:top="121" w:right="339" w:bottom="959" w:gutter="0" w:footer="0" w:header="0"/>
        </w:sectPr>
      </w:pPr>
    </w:p>
    <w:p>
      <w:pPr>
        <w:spacing w:after="0" w:line="40" w:lineRule="exact"/>
        <w:rPr>
          <w:sz w:val="20"/>
          <w:szCs w:val="20"/>
          <w:color w:val="auto"/>
        </w:rPr>
      </w:pPr>
    </w:p>
    <w:p>
      <w:pPr>
        <w:ind w:left="360" w:right="240" w:hanging="215"/>
        <w:spacing w:after="0" w:line="258" w:lineRule="auto"/>
        <w:rPr>
          <w:sz w:val="20"/>
          <w:szCs w:val="20"/>
          <w:color w:val="auto"/>
        </w:rPr>
      </w:pPr>
      <w:r>
        <w:rPr>
          <w:rFonts w:ascii="Arial" w:cs="Arial" w:eastAsia="Arial" w:hAnsi="Arial"/>
          <w:sz w:val="18"/>
          <w:szCs w:val="18"/>
          <w:color w:val="auto"/>
        </w:rPr>
        <w:t>Common stock, $0.00001 par value; 2,000,000,000 shares (Class A 1,989,032,117 and Class B 10,967,883) authorized as of September 30, 2022 and December 31, 2021; 174,072,906 shares (Class A 166,187,697 and Class B 7,885,209) and 170,272,462 shares (Class A 160,906,245 and Class B 9,366,217) issued and outstanding as of September 30, 2022 and December 31, 2021, respectively</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deficit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0"/>
        <w:spacing w:after="0"/>
        <w:tabs>
          <w:tab w:leader="none" w:pos="19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2</w:t>
      </w:r>
    </w:p>
    <w:p>
      <w:pPr>
        <w:spacing w:after="0" w:line="32" w:lineRule="exact"/>
        <w:rPr>
          <w:sz w:val="20"/>
          <w:szCs w:val="20"/>
          <w:color w:val="auto"/>
        </w:rPr>
      </w:pPr>
    </w:p>
    <w:p>
      <w:pPr>
        <w:ind w:left="80"/>
        <w:spacing w:after="0"/>
        <w:tabs>
          <w:tab w:leader="none" w:pos="1400" w:val="left"/>
        </w:tabs>
        <w:rPr>
          <w:sz w:val="20"/>
          <w:szCs w:val="20"/>
          <w:color w:val="auto"/>
        </w:rPr>
      </w:pPr>
      <w:r>
        <w:rPr>
          <w:rFonts w:ascii="Arial" w:cs="Arial" w:eastAsia="Arial" w:hAnsi="Arial"/>
          <w:sz w:val="18"/>
          <w:szCs w:val="18"/>
          <w:color w:val="auto"/>
        </w:rPr>
        <w:t>970,096</w:t>
      </w:r>
      <w:r>
        <w:rPr>
          <w:sz w:val="20"/>
          <w:szCs w:val="20"/>
          <w:color w:val="auto"/>
        </w:rPr>
        <w:tab/>
      </w:r>
      <w:r>
        <w:rPr>
          <w:rFonts w:ascii="Arial" w:cs="Arial" w:eastAsia="Arial" w:hAnsi="Arial"/>
          <w:sz w:val="18"/>
          <w:szCs w:val="18"/>
          <w:color w:val="auto"/>
        </w:rPr>
        <w:t>943,142</w:t>
      </w:r>
    </w:p>
    <w:p>
      <w:pPr>
        <w:spacing w:after="0" w:line="2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(582,064)</w:t>
      </w:r>
      <w:r>
        <w:rPr>
          <w:sz w:val="20"/>
          <w:szCs w:val="20"/>
          <w:color w:val="auto"/>
        </w:rPr>
        <w:tab/>
      </w:r>
      <w:r>
        <w:rPr>
          <w:rFonts w:ascii="Arial" w:cs="Arial" w:eastAsia="Arial" w:hAnsi="Arial"/>
          <w:sz w:val="18"/>
          <w:szCs w:val="18"/>
          <w:color w:val="auto"/>
        </w:rPr>
        <w:t>(400,080)</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(126)</w:t>
      </w:r>
    </w:p>
    <w:p>
      <w:pPr>
        <w:spacing w:after="0" w:line="17" w:lineRule="exact"/>
        <w:rPr>
          <w:sz w:val="20"/>
          <w:szCs w:val="20"/>
          <w:color w:val="auto"/>
        </w:rPr>
      </w:pPr>
    </w:p>
    <w:p>
      <w:pPr>
        <w:sectPr>
          <w:pgSz w:w="11900" w:h="16838" w:orient="portrait"/>
          <w:cols w:equalWidth="0" w:num="2">
            <w:col w:w="8380" w:space="720"/>
            <w:col w:w="2140"/>
          </w:cols>
          <w:pgMar w:left="320" w:top="121" w:right="339" w:bottom="959"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0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28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388,034</w:t>
            </w: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542,938</w:t>
            </w:r>
          </w:p>
        </w:tc>
      </w:tr>
      <w:tr>
        <w:trPr>
          <w:trHeight w:val="149"/>
        </w:trPr>
        <w:tc>
          <w:tcPr>
            <w:tcW w:w="606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248"/>
        </w:trPr>
        <w:tc>
          <w:tcPr>
            <w:tcW w:w="6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2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611,533</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610,345</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40"/>
          </w:cols>
          <w:pgMar w:left="320" w:top="121" w:right="339" w:bottom="95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959"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1960" w:type="dxa"/>
            <w:vAlign w:val="bottom"/>
          </w:tcPr>
          <w:p>
            <w:pPr>
              <w:spacing w:after="0"/>
              <w:rPr>
                <w:sz w:val="24"/>
                <w:szCs w:val="24"/>
                <w:color w:val="auto"/>
              </w:rPr>
            </w:pPr>
          </w:p>
        </w:tc>
        <w:tc>
          <w:tcPr>
            <w:tcW w:w="480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1E1E1E"/>
                <w:w w:val="99"/>
              </w:rPr>
              <w:t>Recursion Pharmaceuticals, Inc.</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8340" w:type="dxa"/>
            <w:vAlign w:val="bottom"/>
            <w:gridSpan w:val="9"/>
          </w:tcPr>
          <w:p>
            <w:pPr>
              <w:jc w:val="center"/>
              <w:ind w:left="250"/>
              <w:spacing w:after="0"/>
              <w:rPr>
                <w:sz w:val="20"/>
                <w:szCs w:val="20"/>
                <w:color w:val="auto"/>
              </w:rPr>
            </w:pPr>
            <w:r>
              <w:rPr>
                <w:rFonts w:ascii="Arial" w:cs="Arial" w:eastAsia="Arial" w:hAnsi="Arial"/>
                <w:sz w:val="18"/>
                <w:szCs w:val="18"/>
                <w:b w:val="1"/>
                <w:bCs w:val="1"/>
                <w:color w:val="1E1E1E"/>
                <w:w w:val="99"/>
              </w:rPr>
              <w:t>Condensed Consolidated Statements of Operations (unaudited)</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800" w:type="dxa"/>
            <w:vAlign w:val="bottom"/>
            <w:gridSpan w:val="6"/>
          </w:tcPr>
          <w:p>
            <w:pPr>
              <w:jc w:val="center"/>
              <w:ind w:right="40"/>
              <w:spacing w:after="0"/>
              <w:rPr>
                <w:sz w:val="20"/>
                <w:szCs w:val="20"/>
                <w:color w:val="auto"/>
              </w:rPr>
            </w:pPr>
            <w:r>
              <w:rPr>
                <w:rFonts w:ascii="Arial" w:cs="Arial" w:eastAsia="Arial" w:hAnsi="Arial"/>
                <w:sz w:val="18"/>
                <w:szCs w:val="18"/>
                <w:b w:val="1"/>
                <w:bCs w:val="1"/>
                <w:i w:val="1"/>
                <w:iCs w:val="1"/>
                <w:color w:val="1E1E1E"/>
              </w:rPr>
              <w:t>(in thousands, except share and per share amounts)</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4"/>
                <w:szCs w:val="24"/>
                <w:color w:val="auto"/>
              </w:rPr>
            </w:pPr>
          </w:p>
        </w:tc>
        <w:tc>
          <w:tcPr>
            <w:tcW w:w="30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12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revenue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26,005</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Grant revenue</w:t>
            </w: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13,160</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26,167</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140"/>
              <w:spacing w:after="0"/>
              <w:rPr>
                <w:sz w:val="20"/>
                <w:szCs w:val="20"/>
                <w:color w:val="auto"/>
              </w:rPr>
            </w:pPr>
            <w:r>
              <w:rPr>
                <w:rFonts w:ascii="Arial" w:cs="Arial" w:eastAsia="Arial" w:hAnsi="Arial"/>
                <w:sz w:val="18"/>
                <w:szCs w:val="18"/>
                <w:color w:val="auto"/>
              </w:rPr>
              <w:t>Cost of revenue</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15,409</w:t>
            </w:r>
          </w:p>
        </w:tc>
        <w:tc>
          <w:tcPr>
            <w:tcW w:w="3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37,435</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40,836</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33,246</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111,716</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86,979</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19,488</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15,690</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61,761</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38,481</w:t>
            </w:r>
          </w:p>
        </w:tc>
        <w:tc>
          <w:tcPr>
            <w:tcW w:w="0" w:type="dxa"/>
            <w:vAlign w:val="bottom"/>
          </w:tcPr>
          <w:p>
            <w:pPr>
              <w:spacing w:after="0"/>
              <w:rPr>
                <w:sz w:val="1"/>
                <w:szCs w:val="1"/>
                <w:color w:val="auto"/>
              </w:rPr>
            </w:pPr>
          </w:p>
        </w:tc>
      </w:tr>
      <w:tr>
        <w:trPr>
          <w:trHeight w:val="22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costs and expenses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75,733</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48,936</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210,912</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125,460</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auto"/>
            </w:tcBorders>
            <w:gridSpan w:val="2"/>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(62,573)</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(46,402)</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(184,745)</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(117,815)</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income (loss), net</w:t>
            </w: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(47,428)</w:t>
            </w:r>
          </w:p>
        </w:tc>
        <w:tc>
          <w:tcPr>
            <w:tcW w:w="2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(181,984)</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(121,546)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auto"/>
            </w:tcBorders>
            <w:gridSpan w:val="2"/>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1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00" w:type="dxa"/>
            <w:vAlign w:val="bottom"/>
            <w:gridSpan w:val="4"/>
          </w:tcPr>
          <w:p>
            <w:pPr>
              <w:ind w:left="20"/>
              <w:spacing w:after="0" w:line="169" w:lineRule="exact"/>
              <w:rPr>
                <w:sz w:val="20"/>
                <w:szCs w:val="20"/>
                <w:color w:val="auto"/>
              </w:rPr>
            </w:pPr>
            <w:r>
              <w:rPr>
                <w:rFonts w:ascii="Arial" w:cs="Arial" w:eastAsia="Arial" w:hAnsi="Arial"/>
                <w:sz w:val="18"/>
                <w:szCs w:val="18"/>
                <w:b w:val="1"/>
                <w:bCs w:val="1"/>
                <w:color w:val="auto"/>
              </w:rPr>
              <w:t>Net loss per share of Class A and B common stock,</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(0.35)</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basic and diluted</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00" w:type="dxa"/>
            <w:vAlign w:val="bottom"/>
            <w:gridSpan w:val="4"/>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Weighted-average shares (Class A and B)</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173,435,970</w:t>
            </w:r>
          </w:p>
        </w:tc>
        <w:tc>
          <w:tcPr>
            <w:tcW w:w="3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168,533,550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172,122,974</w:t>
            </w:r>
          </w:p>
        </w:tc>
        <w:tc>
          <w:tcPr>
            <w:tcW w:w="3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110,513,231</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basic and diluted</w:t>
            </w:r>
          </w:p>
        </w:tc>
        <w:tc>
          <w:tcPr>
            <w:tcW w:w="12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4"/>
          </w:tcPr>
          <w:p>
            <w:pPr>
              <w:jc w:val="center"/>
              <w:ind w:right="780"/>
              <w:spacing w:after="0"/>
              <w:rPr>
                <w:sz w:val="20"/>
                <w:szCs w:val="20"/>
                <w:color w:val="auto"/>
              </w:rPr>
            </w:pPr>
            <w:r>
              <w:rPr>
                <w:rFonts w:ascii="Arial" w:cs="Arial" w:eastAsia="Arial" w:hAnsi="Arial"/>
                <w:sz w:val="18"/>
                <w:szCs w:val="18"/>
                <w:b w:val="1"/>
                <w:bCs w:val="1"/>
                <w:color w:val="1E1E1E"/>
                <w:w w:val="99"/>
              </w:rPr>
              <w:t>Recursion Pharmaceuticals, Inc.</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8140" w:type="dxa"/>
            <w:vAlign w:val="bottom"/>
            <w:gridSpan w:val="8"/>
          </w:tcPr>
          <w:p>
            <w:pPr>
              <w:jc w:val="center"/>
              <w:ind w:left="450"/>
              <w:spacing w:after="0"/>
              <w:rPr>
                <w:sz w:val="20"/>
                <w:szCs w:val="20"/>
                <w:color w:val="auto"/>
              </w:rPr>
            </w:pPr>
            <w:r>
              <w:rPr>
                <w:rFonts w:ascii="Arial" w:cs="Arial" w:eastAsia="Arial" w:hAnsi="Arial"/>
                <w:sz w:val="18"/>
                <w:szCs w:val="18"/>
                <w:b w:val="1"/>
                <w:bCs w:val="1"/>
                <w:color w:val="1E1E1E"/>
              </w:rPr>
              <w:t>Condensed Consolidated Statements of Comprehensive Loss (unaudited)</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2"/>
          </w:tcPr>
          <w:p>
            <w:pPr>
              <w:jc w:val="center"/>
              <w:ind w:left="570"/>
              <w:spacing w:after="0"/>
              <w:rPr>
                <w:sz w:val="20"/>
                <w:szCs w:val="20"/>
                <w:color w:val="auto"/>
              </w:rPr>
            </w:pPr>
            <w:r>
              <w:rPr>
                <w:rFonts w:ascii="Arial" w:cs="Arial" w:eastAsia="Arial" w:hAnsi="Arial"/>
                <w:sz w:val="18"/>
                <w:szCs w:val="18"/>
                <w:b w:val="1"/>
                <w:bCs w:val="1"/>
                <w:i w:val="1"/>
                <w:iCs w:val="1"/>
                <w:color w:val="1E1E1E"/>
                <w:w w:val="99"/>
              </w:rPr>
              <w:t>(in thousands)</w:t>
            </w: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2"/>
        </w:trPr>
        <w:tc>
          <w:tcPr>
            <w:tcW w:w="1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4"/>
                <w:szCs w:val="24"/>
                <w:color w:val="auto"/>
              </w:rPr>
            </w:pPr>
          </w:p>
        </w:tc>
        <w:tc>
          <w:tcPr>
            <w:tcW w:w="31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1280" w:type="dxa"/>
            <w:vAlign w:val="bottom"/>
            <w:tcBorders>
              <w:bottom w:val="single" w:sz="8" w:color="CCEEFF"/>
            </w:tcBorders>
          </w:tcPr>
          <w:p>
            <w:pPr>
              <w:spacing w:after="0"/>
              <w:rPr>
                <w:sz w:val="22"/>
                <w:szCs w:val="22"/>
                <w:color w:val="auto"/>
              </w:rPr>
            </w:pPr>
          </w:p>
        </w:tc>
        <w:tc>
          <w:tcPr>
            <w:tcW w:w="28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(60,445)</w:t>
            </w: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(47,428)</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(181,984)</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(121,546)</w:t>
            </w:r>
          </w:p>
        </w:tc>
        <w:tc>
          <w:tcPr>
            <w:tcW w:w="0" w:type="dxa"/>
            <w:vAlign w:val="bottom"/>
          </w:tcPr>
          <w:p>
            <w:pPr>
              <w:spacing w:after="0"/>
              <w:rPr>
                <w:sz w:val="1"/>
                <w:szCs w:val="1"/>
                <w:color w:val="auto"/>
              </w:rPr>
            </w:pPr>
          </w:p>
        </w:tc>
      </w:tr>
      <w:tr>
        <w:trPr>
          <w:trHeight w:val="270"/>
        </w:trPr>
        <w:tc>
          <w:tcPr>
            <w:tcW w:w="410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gain on investments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4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Net realized loss on investments reclassified into</w:t>
            </w:r>
          </w:p>
        </w:tc>
        <w:tc>
          <w:tcPr>
            <w:tcW w:w="12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5"/>
                <w:szCs w:val="15"/>
                <w:color w:val="auto"/>
              </w:rPr>
            </w:pPr>
          </w:p>
        </w:tc>
        <w:tc>
          <w:tcPr>
            <w:tcW w:w="14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(60,248)</w:t>
            </w: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(47,426)</w:t>
            </w: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(181,858)</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(121,544)</w:t>
            </w:r>
          </w:p>
        </w:tc>
        <w:tc>
          <w:tcPr>
            <w:tcW w:w="0" w:type="dxa"/>
            <w:vAlign w:val="bottom"/>
          </w:tcPr>
          <w:p>
            <w:pPr>
              <w:spacing w:after="0"/>
              <w:rPr>
                <w:sz w:val="1"/>
                <w:szCs w:val="1"/>
                <w:color w:val="auto"/>
              </w:rPr>
            </w:pPr>
          </w:p>
        </w:tc>
      </w:tr>
      <w:tr>
        <w:trPr>
          <w:trHeight w:val="21"/>
        </w:trPr>
        <w:tc>
          <w:tcPr>
            <w:tcW w:w="12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140"/>
          </w:cols>
          <w:pgMar w:left="320" w:top="10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E1E1E"/>
        </w:rPr>
        <w:t>Condensed Consolidated Statements of Convertible Preferred Stock and Stockholders’ Equity (Deficit)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1E1E1E"/>
        </w:rPr>
        <w:t>(in thousands, except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84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840" w:type="dxa"/>
            <w:vAlign w:val="bottom"/>
          </w:tcPr>
          <w:p>
            <w:pPr>
              <w:spacing w:after="0"/>
              <w:rPr>
                <w:sz w:val="13"/>
                <w:szCs w:val="13"/>
                <w:color w:val="auto"/>
              </w:rPr>
            </w:pPr>
          </w:p>
        </w:tc>
        <w:tc>
          <w:tcPr>
            <w:tcW w:w="216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Convertible Preferred Stock</w:t>
            </w:r>
          </w:p>
        </w:tc>
        <w:tc>
          <w:tcPr>
            <w:tcW w:w="260" w:type="dxa"/>
            <w:vAlign w:val="bottom"/>
          </w:tcPr>
          <w:p>
            <w:pPr>
              <w:spacing w:after="0"/>
              <w:rPr>
                <w:sz w:val="13"/>
                <w:szCs w:val="13"/>
                <w:color w:val="auto"/>
              </w:rPr>
            </w:pPr>
          </w:p>
        </w:tc>
        <w:tc>
          <w:tcPr>
            <w:tcW w:w="1980" w:type="dxa"/>
            <w:vAlign w:val="bottom"/>
            <w:gridSpan w:val="3"/>
          </w:tcPr>
          <w:p>
            <w:pPr>
              <w:jc w:val="right"/>
              <w:ind w:right="400"/>
              <w:spacing w:after="0" w:line="158" w:lineRule="exact"/>
              <w:rPr>
                <w:sz w:val="20"/>
                <w:szCs w:val="20"/>
                <w:color w:val="auto"/>
              </w:rPr>
            </w:pPr>
            <w:r>
              <w:rPr>
                <w:rFonts w:ascii="Arial" w:cs="Arial" w:eastAsia="Arial" w:hAnsi="Arial"/>
                <w:sz w:val="14"/>
                <w:szCs w:val="14"/>
                <w:b w:val="1"/>
                <w:bCs w:val="1"/>
                <w:color w:val="auto"/>
              </w:rPr>
              <w:t>(Class A and B)</w:t>
            </w: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3"/>
                <w:szCs w:val="13"/>
                <w:color w:val="auto"/>
              </w:rPr>
            </w:pPr>
          </w:p>
        </w:tc>
        <w:tc>
          <w:tcPr>
            <w:tcW w:w="116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79"/>
        </w:trPr>
        <w:tc>
          <w:tcPr>
            <w:tcW w:w="184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jc w:val="center"/>
              <w:ind w:right="25"/>
              <w:spacing w:after="0" w:line="79" w:lineRule="exact"/>
              <w:rPr>
                <w:sz w:val="20"/>
                <w:szCs w:val="20"/>
                <w:color w:val="auto"/>
              </w:rPr>
            </w:pPr>
            <w:r>
              <w:rPr>
                <w:rFonts w:ascii="Arial" w:cs="Arial" w:eastAsia="Arial" w:hAnsi="Arial"/>
                <w:sz w:val="9"/>
                <w:szCs w:val="9"/>
                <w:b w:val="1"/>
                <w:bCs w:val="1"/>
                <w:color w:val="auto"/>
              </w:rPr>
              <w:t>Paid-in-</w:t>
            </w:r>
          </w:p>
        </w:tc>
        <w:tc>
          <w:tcPr>
            <w:tcW w:w="1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Shares</w:t>
            </w:r>
          </w:p>
        </w:tc>
        <w:tc>
          <w:tcPr>
            <w:tcW w:w="12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Deficit</w:t>
            </w: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78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6"/>
                <w:szCs w:val="16"/>
                <w:b w:val="1"/>
                <w:bCs w:val="1"/>
                <w:color w:val="auto"/>
              </w:rPr>
              <w:t>Balance as of June 30,</w:t>
            </w:r>
          </w:p>
        </w:tc>
        <w:tc>
          <w:tcPr>
            <w:tcW w:w="1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2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172,815,409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959,393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(521,619)</w:t>
            </w:r>
          </w:p>
        </w:tc>
        <w:tc>
          <w:tcPr>
            <w:tcW w:w="5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437,579</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2022</w:t>
            </w:r>
          </w:p>
        </w:tc>
        <w:tc>
          <w:tcPr>
            <w:tcW w:w="9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60" w:type="dxa"/>
            <w:vAlign w:val="bottom"/>
            <w:tcBorders>
              <w:right w:val="single" w:sz="8" w:color="auto"/>
            </w:tcBorders>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(60,445)</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(60,445)</w:t>
            </w:r>
          </w:p>
        </w:tc>
        <w:tc>
          <w:tcPr>
            <w:tcW w:w="0" w:type="dxa"/>
            <w:vAlign w:val="bottom"/>
          </w:tcPr>
          <w:p>
            <w:pPr>
              <w:spacing w:after="0"/>
              <w:rPr>
                <w:sz w:val="1"/>
                <w:szCs w:val="1"/>
                <w:color w:val="auto"/>
              </w:rPr>
            </w:pPr>
          </w:p>
        </w:tc>
      </w:tr>
      <w:tr>
        <w:trPr>
          <w:trHeight w:val="163"/>
        </w:trPr>
        <w:tc>
          <w:tcPr>
            <w:tcW w:w="278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Other comprehensive</w:t>
            </w:r>
          </w:p>
        </w:tc>
        <w:tc>
          <w:tcPr>
            <w:tcW w:w="1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w:t>
            </w:r>
          </w:p>
        </w:tc>
        <w:tc>
          <w:tcPr>
            <w:tcW w:w="1220" w:type="dxa"/>
            <w:vAlign w:val="bottom"/>
            <w:vMerge w:val="continue"/>
            <w:shd w:val="clear" w:color="auto" w:fill="CCEEFF"/>
          </w:tcPr>
          <w:p>
            <w:pPr>
              <w:spacing w:after="0"/>
              <w:rPr>
                <w:sz w:val="18"/>
                <w:szCs w:val="18"/>
                <w:color w:val="auto"/>
              </w:rPr>
            </w:pPr>
          </w:p>
        </w:tc>
        <w:tc>
          <w:tcPr>
            <w:tcW w:w="260" w:type="dxa"/>
            <w:vAlign w:val="bottom"/>
            <w:tcBorders>
              <w:right w:val="single" w:sz="8" w:color="auto"/>
            </w:tcBorders>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Stock option exercises</w:t>
            </w:r>
          </w:p>
        </w:tc>
        <w:tc>
          <w:tcPr>
            <w:tcW w:w="12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1,257,497</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1,794</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1,794</w:t>
            </w:r>
          </w:p>
        </w:tc>
        <w:tc>
          <w:tcPr>
            <w:tcW w:w="0" w:type="dxa"/>
            <w:vAlign w:val="bottom"/>
          </w:tcPr>
          <w:p>
            <w:pPr>
              <w:spacing w:after="0"/>
              <w:rPr>
                <w:sz w:val="1"/>
                <w:szCs w:val="1"/>
                <w:color w:val="auto"/>
              </w:rPr>
            </w:pPr>
          </w:p>
        </w:tc>
      </w:tr>
      <w:tr>
        <w:trPr>
          <w:trHeight w:val="215"/>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and other</w:t>
            </w:r>
          </w:p>
        </w:tc>
        <w:tc>
          <w:tcPr>
            <w:tcW w:w="1220" w:type="dxa"/>
            <w:vAlign w:val="bottom"/>
            <w:vMerge w:val="continue"/>
          </w:tcPr>
          <w:p>
            <w:pPr>
              <w:spacing w:after="0"/>
              <w:rPr>
                <w:sz w:val="18"/>
                <w:szCs w:val="18"/>
                <w:color w:val="auto"/>
              </w:rPr>
            </w:pPr>
          </w:p>
        </w:tc>
        <w:tc>
          <w:tcPr>
            <w:tcW w:w="260" w:type="dxa"/>
            <w:vAlign w:val="bottom"/>
            <w:tcBorders>
              <w:right w:val="single" w:sz="8" w:color="auto"/>
            </w:tcBorders>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78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Stock-based</w:t>
            </w:r>
          </w:p>
        </w:tc>
        <w:tc>
          <w:tcPr>
            <w:tcW w:w="1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8,909</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8,909</w:t>
            </w:r>
          </w:p>
        </w:tc>
        <w:tc>
          <w:tcPr>
            <w:tcW w:w="0" w:type="dxa"/>
            <w:vAlign w:val="bottom"/>
          </w:tcPr>
          <w:p>
            <w:pPr>
              <w:spacing w:after="0"/>
              <w:rPr>
                <w:sz w:val="1"/>
                <w:szCs w:val="1"/>
                <w:color w:val="auto"/>
              </w:rPr>
            </w:pPr>
          </w:p>
        </w:tc>
      </w:tr>
      <w:tr>
        <w:trPr>
          <w:trHeight w:val="215"/>
        </w:trPr>
        <w:tc>
          <w:tcPr>
            <w:tcW w:w="27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780" w:type="dxa"/>
            <w:vAlign w:val="bottom"/>
            <w:gridSpan w:val="2"/>
          </w:tcPr>
          <w:p>
            <w:pPr>
              <w:ind w:left="20"/>
              <w:spacing w:after="0" w:line="156" w:lineRule="exact"/>
              <w:rPr>
                <w:sz w:val="20"/>
                <w:szCs w:val="20"/>
                <w:color w:val="auto"/>
              </w:rPr>
            </w:pPr>
            <w:r>
              <w:rPr>
                <w:rFonts w:ascii="Arial" w:cs="Arial" w:eastAsia="Arial" w:hAnsi="Arial"/>
                <w:sz w:val="16"/>
                <w:szCs w:val="16"/>
                <w:b w:val="1"/>
                <w:bCs w:val="1"/>
                <w:color w:val="auto"/>
              </w:rPr>
              <w:t>Balance as of</w:t>
            </w:r>
          </w:p>
        </w:tc>
        <w:tc>
          <w:tcPr>
            <w:tcW w:w="1220" w:type="dxa"/>
            <w:vAlign w:val="bottom"/>
            <w:vMerge w:val="restart"/>
          </w:tcPr>
          <w:p>
            <w:pPr>
              <w:ind w:left="80"/>
              <w:spacing w:after="0"/>
              <w:rPr>
                <w:sz w:val="20"/>
                <w:szCs w:val="20"/>
                <w:color w:val="auto"/>
              </w:rPr>
            </w:pPr>
            <w:r>
              <w:rPr>
                <w:rFonts w:ascii="Arial" w:cs="Arial" w:eastAsia="Arial" w:hAnsi="Arial"/>
                <w:sz w:val="16"/>
                <w:szCs w:val="16"/>
                <w:color w:val="auto"/>
              </w:rPr>
              <w:t>— $</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174,072,906</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970,096</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(582,064)</w:t>
            </w:r>
          </w:p>
        </w:tc>
        <w:tc>
          <w:tcPr>
            <w:tcW w:w="5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 $</w:t>
            </w: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388,034</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September 30, 2022</w:t>
            </w:r>
          </w:p>
        </w:tc>
        <w:tc>
          <w:tcPr>
            <w:tcW w:w="12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right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9"/>
        </w:trPr>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84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21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Convertible Preferred Stock</w:t>
            </w:r>
          </w:p>
        </w:tc>
        <w:tc>
          <w:tcPr>
            <w:tcW w:w="260" w:type="dxa"/>
            <w:vAlign w:val="bottom"/>
          </w:tcPr>
          <w:p>
            <w:pPr>
              <w:spacing w:after="0"/>
              <w:rPr>
                <w:sz w:val="14"/>
                <w:szCs w:val="14"/>
                <w:color w:val="auto"/>
              </w:rPr>
            </w:pPr>
          </w:p>
        </w:tc>
        <w:tc>
          <w:tcPr>
            <w:tcW w:w="19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(Class A and B)</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4"/>
                <w:szCs w:val="14"/>
                <w:color w:val="auto"/>
              </w:rPr>
            </w:pPr>
          </w:p>
        </w:tc>
        <w:tc>
          <w:tcPr>
            <w:tcW w:w="116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6"/>
        </w:trPr>
        <w:tc>
          <w:tcPr>
            <w:tcW w:w="184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jc w:val="center"/>
              <w:ind w:right="25"/>
              <w:spacing w:after="0" w:line="66" w:lineRule="exact"/>
              <w:rPr>
                <w:sz w:val="20"/>
                <w:szCs w:val="20"/>
                <w:color w:val="auto"/>
              </w:rPr>
            </w:pPr>
            <w:r>
              <w:rPr>
                <w:rFonts w:ascii="Arial" w:cs="Arial" w:eastAsia="Arial" w:hAnsi="Arial"/>
                <w:sz w:val="7"/>
                <w:szCs w:val="7"/>
                <w:b w:val="1"/>
                <w:bCs w:val="1"/>
                <w:color w:val="auto"/>
              </w:rPr>
              <w:t>Paid-in-</w:t>
            </w: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Shares</w:t>
            </w:r>
          </w:p>
        </w:tc>
        <w:tc>
          <w:tcPr>
            <w:tcW w:w="12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Deficit</w:t>
            </w: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7"/>
        </w:trPr>
        <w:tc>
          <w:tcPr>
            <w:tcW w:w="27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rPr>
              <w:t>Balance as of</w:t>
            </w:r>
          </w:p>
        </w:tc>
        <w:tc>
          <w:tcPr>
            <w:tcW w:w="1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2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170,272,462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943,142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(400,080)</w:t>
            </w:r>
          </w:p>
        </w:tc>
        <w:tc>
          <w:tcPr>
            <w:tcW w:w="5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542,938</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1220" w:type="dxa"/>
            <w:vAlign w:val="bottom"/>
            <w:vMerge w:val="continue"/>
            <w:shd w:val="clear" w:color="auto" w:fill="CCEEFF"/>
          </w:tcPr>
          <w:p>
            <w:pPr>
              <w:spacing w:after="0"/>
              <w:rPr>
                <w:sz w:val="18"/>
                <w:szCs w:val="18"/>
                <w:color w:val="auto"/>
              </w:rPr>
            </w:pPr>
          </w:p>
        </w:tc>
        <w:tc>
          <w:tcPr>
            <w:tcW w:w="260" w:type="dxa"/>
            <w:vAlign w:val="bottom"/>
            <w:tcBorders>
              <w:right w:val="single" w:sz="8" w:color="auto"/>
            </w:tcBorders>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(181,984)</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(181,984)</w:t>
            </w:r>
          </w:p>
        </w:tc>
        <w:tc>
          <w:tcPr>
            <w:tcW w:w="0" w:type="dxa"/>
            <w:vAlign w:val="bottom"/>
          </w:tcPr>
          <w:p>
            <w:pPr>
              <w:spacing w:after="0"/>
              <w:rPr>
                <w:sz w:val="1"/>
                <w:szCs w:val="1"/>
                <w:color w:val="auto"/>
              </w:rPr>
            </w:pPr>
          </w:p>
        </w:tc>
      </w:tr>
      <w:tr>
        <w:trPr>
          <w:trHeight w:val="163"/>
        </w:trPr>
        <w:tc>
          <w:tcPr>
            <w:tcW w:w="278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Other comprehensive</w:t>
            </w:r>
          </w:p>
        </w:tc>
        <w:tc>
          <w:tcPr>
            <w:tcW w:w="1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w:t>
            </w:r>
          </w:p>
        </w:tc>
        <w:tc>
          <w:tcPr>
            <w:tcW w:w="1220" w:type="dxa"/>
            <w:vAlign w:val="bottom"/>
            <w:vMerge w:val="continue"/>
            <w:shd w:val="clear" w:color="auto" w:fill="CCEEFF"/>
          </w:tcPr>
          <w:p>
            <w:pPr>
              <w:spacing w:after="0"/>
              <w:rPr>
                <w:sz w:val="18"/>
                <w:szCs w:val="18"/>
                <w:color w:val="auto"/>
              </w:rPr>
            </w:pPr>
          </w:p>
        </w:tc>
        <w:tc>
          <w:tcPr>
            <w:tcW w:w="260" w:type="dxa"/>
            <w:vAlign w:val="bottom"/>
            <w:tcBorders>
              <w:right w:val="single" w:sz="8" w:color="auto"/>
            </w:tcBorders>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Stock option exercises</w:t>
            </w:r>
          </w:p>
        </w:tc>
        <w:tc>
          <w:tcPr>
            <w:tcW w:w="12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3,800,444</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6,740</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6,740</w:t>
            </w:r>
          </w:p>
        </w:tc>
        <w:tc>
          <w:tcPr>
            <w:tcW w:w="0" w:type="dxa"/>
            <w:vAlign w:val="bottom"/>
          </w:tcPr>
          <w:p>
            <w:pPr>
              <w:spacing w:after="0"/>
              <w:rPr>
                <w:sz w:val="1"/>
                <w:szCs w:val="1"/>
                <w:color w:val="auto"/>
              </w:rPr>
            </w:pPr>
          </w:p>
        </w:tc>
      </w:tr>
      <w:tr>
        <w:trPr>
          <w:trHeight w:val="215"/>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and other</w:t>
            </w:r>
          </w:p>
        </w:tc>
        <w:tc>
          <w:tcPr>
            <w:tcW w:w="1220" w:type="dxa"/>
            <w:vAlign w:val="bottom"/>
            <w:vMerge w:val="continue"/>
          </w:tcPr>
          <w:p>
            <w:pPr>
              <w:spacing w:after="0"/>
              <w:rPr>
                <w:sz w:val="18"/>
                <w:szCs w:val="18"/>
                <w:color w:val="auto"/>
              </w:rPr>
            </w:pPr>
          </w:p>
        </w:tc>
        <w:tc>
          <w:tcPr>
            <w:tcW w:w="260" w:type="dxa"/>
            <w:vAlign w:val="bottom"/>
            <w:tcBorders>
              <w:right w:val="single" w:sz="8" w:color="auto"/>
            </w:tcBorders>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78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Stock-based</w:t>
            </w:r>
          </w:p>
        </w:tc>
        <w:tc>
          <w:tcPr>
            <w:tcW w:w="1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20,214</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20,214</w:t>
            </w:r>
          </w:p>
        </w:tc>
        <w:tc>
          <w:tcPr>
            <w:tcW w:w="0" w:type="dxa"/>
            <w:vAlign w:val="bottom"/>
          </w:tcPr>
          <w:p>
            <w:pPr>
              <w:spacing w:after="0"/>
              <w:rPr>
                <w:sz w:val="1"/>
                <w:szCs w:val="1"/>
                <w:color w:val="auto"/>
              </w:rPr>
            </w:pPr>
          </w:p>
        </w:tc>
      </w:tr>
      <w:tr>
        <w:trPr>
          <w:trHeight w:val="215"/>
        </w:trPr>
        <w:tc>
          <w:tcPr>
            <w:tcW w:w="27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780" w:type="dxa"/>
            <w:vAlign w:val="bottom"/>
            <w:gridSpan w:val="2"/>
          </w:tcPr>
          <w:p>
            <w:pPr>
              <w:ind w:left="20"/>
              <w:spacing w:after="0" w:line="156" w:lineRule="exact"/>
              <w:rPr>
                <w:sz w:val="20"/>
                <w:szCs w:val="20"/>
                <w:color w:val="auto"/>
              </w:rPr>
            </w:pPr>
            <w:r>
              <w:rPr>
                <w:rFonts w:ascii="Arial" w:cs="Arial" w:eastAsia="Arial" w:hAnsi="Arial"/>
                <w:sz w:val="16"/>
                <w:szCs w:val="16"/>
                <w:b w:val="1"/>
                <w:bCs w:val="1"/>
                <w:color w:val="auto"/>
              </w:rPr>
              <w:t>Balance as of</w:t>
            </w:r>
          </w:p>
        </w:tc>
        <w:tc>
          <w:tcPr>
            <w:tcW w:w="1220" w:type="dxa"/>
            <w:vAlign w:val="bottom"/>
            <w:vMerge w:val="restart"/>
          </w:tcPr>
          <w:p>
            <w:pPr>
              <w:ind w:left="80"/>
              <w:spacing w:after="0"/>
              <w:rPr>
                <w:sz w:val="20"/>
                <w:szCs w:val="20"/>
                <w:color w:val="auto"/>
              </w:rPr>
            </w:pPr>
            <w:r>
              <w:rPr>
                <w:rFonts w:ascii="Arial" w:cs="Arial" w:eastAsia="Arial" w:hAnsi="Arial"/>
                <w:sz w:val="16"/>
                <w:szCs w:val="16"/>
                <w:color w:val="auto"/>
              </w:rPr>
              <w:t>— $</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174,072,906</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970,096</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(582,064)</w:t>
            </w:r>
          </w:p>
        </w:tc>
        <w:tc>
          <w:tcPr>
            <w:tcW w:w="5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 $</w:t>
            </w: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388,034</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September 30, 2022</w:t>
            </w:r>
          </w:p>
        </w:tc>
        <w:tc>
          <w:tcPr>
            <w:tcW w:w="12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right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E1E1E"/>
        </w:rPr>
        <w:t>Condensed Consolidated Statements of Convertible Preferred Stock and Stockholders’ Equity (Deficit)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1E1E1E"/>
        </w:rPr>
        <w:t>(in thousands, except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9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84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2420" w:type="dxa"/>
            <w:vAlign w:val="bottom"/>
            <w:gridSpan w:val="2"/>
            <w:vMerge w:val="restart"/>
          </w:tcPr>
          <w:p>
            <w:pPr>
              <w:ind w:left="240"/>
              <w:spacing w:after="0" w:line="158" w:lineRule="exact"/>
              <w:rPr>
                <w:sz w:val="20"/>
                <w:szCs w:val="20"/>
                <w:color w:val="auto"/>
              </w:rPr>
            </w:pPr>
            <w:r>
              <w:rPr>
                <w:rFonts w:ascii="Arial" w:cs="Arial" w:eastAsia="Arial" w:hAnsi="Arial"/>
                <w:sz w:val="14"/>
                <w:szCs w:val="14"/>
                <w:b w:val="1"/>
                <w:bCs w:val="1"/>
                <w:color w:val="auto"/>
              </w:rPr>
              <w:t>Convertible Preferred Stock</w:t>
            </w:r>
          </w:p>
        </w:tc>
        <w:tc>
          <w:tcPr>
            <w:tcW w:w="1980" w:type="dxa"/>
            <w:vAlign w:val="bottom"/>
            <w:gridSpan w:val="3"/>
            <w:vMerge w:val="restart"/>
          </w:tcPr>
          <w:p>
            <w:pPr>
              <w:jc w:val="right"/>
              <w:ind w:right="400"/>
              <w:spacing w:after="0" w:line="158" w:lineRule="exact"/>
              <w:rPr>
                <w:sz w:val="20"/>
                <w:szCs w:val="20"/>
                <w:color w:val="auto"/>
              </w:rPr>
            </w:pPr>
            <w:r>
              <w:rPr>
                <w:rFonts w:ascii="Arial" w:cs="Arial" w:eastAsia="Arial" w:hAnsi="Arial"/>
                <w:sz w:val="14"/>
                <w:szCs w:val="14"/>
                <w:b w:val="1"/>
                <w:bCs w:val="1"/>
                <w:color w:val="auto"/>
              </w:rPr>
              <w:t>(Class A and B)</w:t>
            </w: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1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77"/>
        </w:trPr>
        <w:tc>
          <w:tcPr>
            <w:tcW w:w="1840" w:type="dxa"/>
            <w:vAlign w:val="bottom"/>
          </w:tcPr>
          <w:p>
            <w:pPr>
              <w:spacing w:after="0"/>
              <w:rPr>
                <w:sz w:val="6"/>
                <w:szCs w:val="6"/>
                <w:color w:val="auto"/>
              </w:rPr>
            </w:pPr>
          </w:p>
        </w:tc>
        <w:tc>
          <w:tcPr>
            <w:tcW w:w="2420" w:type="dxa"/>
            <w:vAlign w:val="bottom"/>
            <w:gridSpan w:val="2"/>
            <w:vMerge w:val="continue"/>
          </w:tcPr>
          <w:p>
            <w:pPr>
              <w:spacing w:after="0"/>
              <w:rPr>
                <w:sz w:val="6"/>
                <w:szCs w:val="6"/>
                <w:color w:val="auto"/>
              </w:rPr>
            </w:pPr>
          </w:p>
        </w:tc>
        <w:tc>
          <w:tcPr>
            <w:tcW w:w="19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vMerge w:val="restart"/>
          </w:tcPr>
          <w:p>
            <w:pPr>
              <w:jc w:val="center"/>
              <w:ind w:right="41"/>
              <w:spacing w:after="0" w:line="156"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84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jc w:val="center"/>
              <w:ind w:right="25"/>
              <w:spacing w:after="0" w:line="79" w:lineRule="exact"/>
              <w:rPr>
                <w:sz w:val="20"/>
                <w:szCs w:val="20"/>
                <w:color w:val="auto"/>
              </w:rPr>
            </w:pPr>
            <w:r>
              <w:rPr>
                <w:rFonts w:ascii="Arial" w:cs="Arial" w:eastAsia="Arial" w:hAnsi="Arial"/>
                <w:sz w:val="9"/>
                <w:szCs w:val="9"/>
                <w:b w:val="1"/>
                <w:bCs w:val="1"/>
                <w:color w:val="auto"/>
              </w:rPr>
              <w:t>Paid-in-</w:t>
            </w:r>
          </w:p>
        </w:tc>
        <w:tc>
          <w:tcPr>
            <w:tcW w:w="1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8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Shares</w:t>
            </w:r>
          </w:p>
        </w:tc>
        <w:tc>
          <w:tcPr>
            <w:tcW w:w="960" w:type="dxa"/>
            <w:vAlign w:val="bottom"/>
            <w:tcBorders>
              <w:bottom w:val="single" w:sz="8" w:color="auto"/>
              <w:right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1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income</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b w:val="1"/>
                <w:bCs w:val="1"/>
                <w:color w:val="auto"/>
              </w:rPr>
              <w:t>Balance as of June 30,</w:t>
            </w:r>
          </w:p>
        </w:tc>
        <w:tc>
          <w:tcPr>
            <w:tcW w:w="1460" w:type="dxa"/>
            <w:vAlign w:val="bottom"/>
            <w:vMerge w:val="restart"/>
            <w:shd w:val="clear" w:color="auto" w:fill="CCEEFF"/>
          </w:tcPr>
          <w:p>
            <w:pPr>
              <w:ind w:left="1020"/>
              <w:spacing w:after="0"/>
              <w:rPr>
                <w:sz w:val="20"/>
                <w:szCs w:val="20"/>
                <w:color w:val="auto"/>
              </w:rPr>
            </w:pPr>
            <w:r>
              <w:rPr>
                <w:rFonts w:ascii="Arial" w:cs="Arial" w:eastAsia="Arial" w:hAnsi="Arial"/>
                <w:sz w:val="16"/>
                <w:szCs w:val="16"/>
                <w:color w:val="auto"/>
              </w:rPr>
              <w:t>— $</w:t>
            </w:r>
          </w:p>
        </w:tc>
        <w:tc>
          <w:tcPr>
            <w:tcW w:w="960" w:type="dxa"/>
            <w:vAlign w:val="bottom"/>
            <w:tcBorders>
              <w:right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168,425,907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930,431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(287,719)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642,714</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2021</w:t>
            </w:r>
          </w:p>
        </w:tc>
        <w:tc>
          <w:tcPr>
            <w:tcW w:w="1460" w:type="dxa"/>
            <w:vAlign w:val="bottom"/>
            <w:vMerge w:val="continue"/>
            <w:shd w:val="clear" w:color="auto" w:fill="CCEEFF"/>
          </w:tcPr>
          <w:p>
            <w:pPr>
              <w:spacing w:after="0"/>
              <w:rPr>
                <w:sz w:val="18"/>
                <w:szCs w:val="18"/>
                <w:color w:val="auto"/>
              </w:rPr>
            </w:pPr>
          </w:p>
        </w:tc>
        <w:tc>
          <w:tcPr>
            <w:tcW w:w="960" w:type="dxa"/>
            <w:vAlign w:val="bottom"/>
            <w:tcBorders>
              <w:right w:val="single" w:sz="8" w:color="auto"/>
            </w:tcBorders>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60" w:type="dxa"/>
            <w:vAlign w:val="bottom"/>
          </w:tcPr>
          <w:p>
            <w:pPr>
              <w:ind w:left="102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(47,428)</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(47,428)</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Other comprehensive</w:t>
            </w:r>
          </w:p>
        </w:tc>
        <w:tc>
          <w:tcPr>
            <w:tcW w:w="1460" w:type="dxa"/>
            <w:vAlign w:val="bottom"/>
            <w:vMerge w:val="restart"/>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w:t>
            </w:r>
          </w:p>
        </w:tc>
        <w:tc>
          <w:tcPr>
            <w:tcW w:w="1460" w:type="dxa"/>
            <w:vAlign w:val="bottom"/>
            <w:vMerge w:val="continue"/>
            <w:shd w:val="clear" w:color="auto" w:fill="CCEEFF"/>
          </w:tcPr>
          <w:p>
            <w:pPr>
              <w:spacing w:after="0"/>
              <w:rPr>
                <w:sz w:val="18"/>
                <w:szCs w:val="18"/>
                <w:color w:val="auto"/>
              </w:rPr>
            </w:pPr>
          </w:p>
        </w:tc>
        <w:tc>
          <w:tcPr>
            <w:tcW w:w="960" w:type="dxa"/>
            <w:vAlign w:val="bottom"/>
            <w:tcBorders>
              <w:right w:val="single" w:sz="8" w:color="auto"/>
            </w:tcBorders>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Arial" w:cs="Arial" w:eastAsia="Arial" w:hAnsi="Arial"/>
                <w:sz w:val="16"/>
                <w:szCs w:val="16"/>
                <w:color w:val="auto"/>
              </w:rPr>
              <w:t>Stock option exercises</w:t>
            </w:r>
          </w:p>
        </w:tc>
        <w:tc>
          <w:tcPr>
            <w:tcW w:w="1460" w:type="dxa"/>
            <w:vAlign w:val="bottom"/>
            <w:vMerge w:val="restart"/>
          </w:tcPr>
          <w:p>
            <w:pPr>
              <w:ind w:left="102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209,052</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382</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5"/>
        </w:trPr>
        <w:tc>
          <w:tcPr>
            <w:tcW w:w="1840" w:type="dxa"/>
            <w:vAlign w:val="bottom"/>
          </w:tcPr>
          <w:p>
            <w:pPr>
              <w:ind w:left="20"/>
              <w:spacing w:after="0"/>
              <w:rPr>
                <w:sz w:val="20"/>
                <w:szCs w:val="20"/>
                <w:color w:val="auto"/>
              </w:rPr>
            </w:pPr>
            <w:r>
              <w:rPr>
                <w:rFonts w:ascii="Arial" w:cs="Arial" w:eastAsia="Arial" w:hAnsi="Arial"/>
                <w:sz w:val="16"/>
                <w:szCs w:val="16"/>
                <w:color w:val="auto"/>
              </w:rPr>
              <w:t>and other</w:t>
            </w:r>
          </w:p>
        </w:tc>
        <w:tc>
          <w:tcPr>
            <w:tcW w:w="1460" w:type="dxa"/>
            <w:vAlign w:val="bottom"/>
            <w:vMerge w:val="continue"/>
          </w:tcPr>
          <w:p>
            <w:pPr>
              <w:spacing w:after="0"/>
              <w:rPr>
                <w:sz w:val="18"/>
                <w:szCs w:val="18"/>
                <w:color w:val="auto"/>
              </w:rPr>
            </w:pPr>
          </w:p>
        </w:tc>
        <w:tc>
          <w:tcPr>
            <w:tcW w:w="960" w:type="dxa"/>
            <w:vAlign w:val="bottom"/>
            <w:tcBorders>
              <w:right w:val="single" w:sz="8" w:color="auto"/>
            </w:tcBorders>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Stock-based</w:t>
            </w:r>
          </w:p>
        </w:tc>
        <w:tc>
          <w:tcPr>
            <w:tcW w:w="1460" w:type="dxa"/>
            <w:vAlign w:val="bottom"/>
            <w:vMerge w:val="restart"/>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3,362</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3,362</w:t>
            </w:r>
          </w:p>
        </w:tc>
        <w:tc>
          <w:tcPr>
            <w:tcW w:w="0" w:type="dxa"/>
            <w:vAlign w:val="bottom"/>
          </w:tcPr>
          <w:p>
            <w:pPr>
              <w:spacing w:after="0"/>
              <w:rPr>
                <w:sz w:val="1"/>
                <w:szCs w:val="1"/>
                <w:color w:val="auto"/>
              </w:rPr>
            </w:pPr>
          </w:p>
        </w:tc>
      </w:tr>
      <w:tr>
        <w:trPr>
          <w:trHeight w:val="215"/>
        </w:trPr>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84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Balance as of</w:t>
            </w:r>
          </w:p>
        </w:tc>
        <w:tc>
          <w:tcPr>
            <w:tcW w:w="1460" w:type="dxa"/>
            <w:vAlign w:val="bottom"/>
            <w:vMerge w:val="restart"/>
          </w:tcPr>
          <w:p>
            <w:pPr>
              <w:ind w:left="1020"/>
              <w:spacing w:after="0"/>
              <w:rPr>
                <w:sz w:val="20"/>
                <w:szCs w:val="20"/>
                <w:color w:val="auto"/>
              </w:rPr>
            </w:pPr>
            <w:r>
              <w:rPr>
                <w:rFonts w:ascii="Arial" w:cs="Arial" w:eastAsia="Arial" w:hAnsi="Arial"/>
                <w:sz w:val="16"/>
                <w:szCs w:val="16"/>
                <w:color w:val="auto"/>
              </w:rPr>
              <w:t>— $</w:t>
            </w:r>
          </w:p>
        </w:tc>
        <w:tc>
          <w:tcPr>
            <w:tcW w:w="960" w:type="dxa"/>
            <w:vAlign w:val="bottom"/>
            <w:tcBorders>
              <w:right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168,634,959</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934,175</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(335,147)</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color w:val="auto"/>
              </w:rPr>
              <w:t>599,032</w:t>
            </w:r>
          </w:p>
        </w:tc>
        <w:tc>
          <w:tcPr>
            <w:tcW w:w="0" w:type="dxa"/>
            <w:vAlign w:val="bottom"/>
          </w:tcPr>
          <w:p>
            <w:pPr>
              <w:spacing w:after="0"/>
              <w:rPr>
                <w:sz w:val="1"/>
                <w:szCs w:val="1"/>
                <w:color w:val="auto"/>
              </w:rPr>
            </w:pPr>
          </w:p>
        </w:tc>
      </w:tr>
      <w:tr>
        <w:trPr>
          <w:trHeight w:val="216"/>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2021</w:t>
            </w:r>
          </w:p>
        </w:tc>
        <w:tc>
          <w:tcPr>
            <w:tcW w:w="14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right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9"/>
        </w:trPr>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84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24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Convertible Preferred Stock</w:t>
            </w:r>
          </w:p>
        </w:tc>
        <w:tc>
          <w:tcPr>
            <w:tcW w:w="19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(Class A and B)</w:t>
            </w: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840" w:type="dxa"/>
            <w:vAlign w:val="bottom"/>
          </w:tcPr>
          <w:p>
            <w:pPr>
              <w:spacing w:after="0"/>
              <w:rPr>
                <w:sz w:val="7"/>
                <w:szCs w:val="7"/>
                <w:color w:val="auto"/>
              </w:rPr>
            </w:pPr>
          </w:p>
        </w:tc>
        <w:tc>
          <w:tcPr>
            <w:tcW w:w="2420" w:type="dxa"/>
            <w:vAlign w:val="bottom"/>
            <w:gridSpan w:val="2"/>
            <w:vMerge w:val="continue"/>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vMerge w:val="restart"/>
          </w:tcPr>
          <w:p>
            <w:pPr>
              <w:jc w:val="center"/>
              <w:ind w:right="61"/>
              <w:spacing w:after="0" w:line="156"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7"/>
                <w:szCs w:val="7"/>
                <w:color w:val="auto"/>
              </w:rPr>
            </w:pPr>
          </w:p>
        </w:tc>
        <w:tc>
          <w:tcPr>
            <w:tcW w:w="1260" w:type="dxa"/>
            <w:vAlign w:val="bottom"/>
            <w:vMerge w:val="restart"/>
          </w:tcPr>
          <w:p>
            <w:pPr>
              <w:jc w:val="center"/>
              <w:ind w:right="41"/>
              <w:spacing w:after="0" w:line="156"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7"/>
                <w:szCs w:val="7"/>
                <w:color w:val="auto"/>
              </w:rPr>
            </w:pPr>
          </w:p>
        </w:tc>
        <w:tc>
          <w:tcPr>
            <w:tcW w:w="1180" w:type="dxa"/>
            <w:vAlign w:val="bottom"/>
            <w:vMerge w:val="restart"/>
          </w:tcPr>
          <w:p>
            <w:pPr>
              <w:jc w:val="center"/>
              <w:ind w:right="61"/>
              <w:spacing w:after="0" w:line="156"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6"/>
        </w:trPr>
        <w:tc>
          <w:tcPr>
            <w:tcW w:w="1840" w:type="dxa"/>
            <w:vAlign w:val="bottom"/>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jc w:val="center"/>
              <w:ind w:right="25"/>
              <w:spacing w:after="0" w:line="66" w:lineRule="exact"/>
              <w:rPr>
                <w:sz w:val="20"/>
                <w:szCs w:val="20"/>
                <w:color w:val="auto"/>
              </w:rPr>
            </w:pPr>
            <w:r>
              <w:rPr>
                <w:rFonts w:ascii="Arial" w:cs="Arial" w:eastAsia="Arial" w:hAnsi="Arial"/>
                <w:sz w:val="7"/>
                <w:szCs w:val="7"/>
                <w:b w:val="1"/>
                <w:bCs w:val="1"/>
                <w:color w:val="auto"/>
              </w:rPr>
              <w:t>Paid-in-</w:t>
            </w: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Shares</w:t>
            </w:r>
          </w:p>
        </w:tc>
        <w:tc>
          <w:tcPr>
            <w:tcW w:w="960" w:type="dxa"/>
            <w:vAlign w:val="bottom"/>
            <w:tcBorders>
              <w:bottom w:val="single" w:sz="8" w:color="auto"/>
              <w:right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1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income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57"/>
        </w:trPr>
        <w:tc>
          <w:tcPr>
            <w:tcW w:w="18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rPr>
              <w:t>Balance as of</w:t>
            </w:r>
          </w:p>
        </w:tc>
        <w:tc>
          <w:tcPr>
            <w:tcW w:w="146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112,088,065 $</w:t>
            </w:r>
          </w:p>
        </w:tc>
        <w:tc>
          <w:tcPr>
            <w:tcW w:w="960" w:type="dxa"/>
            <w:vAlign w:val="bottom"/>
            <w:tcBorders>
              <w:right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448,312</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22,314,685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7,312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(213,601)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(206,289)</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460" w:type="dxa"/>
            <w:vAlign w:val="bottom"/>
            <w:vMerge w:val="continue"/>
            <w:shd w:val="clear" w:color="auto" w:fill="CCEEFF"/>
          </w:tcPr>
          <w:p>
            <w:pPr>
              <w:spacing w:after="0"/>
              <w:rPr>
                <w:sz w:val="18"/>
                <w:szCs w:val="18"/>
                <w:color w:val="auto"/>
              </w:rPr>
            </w:pPr>
          </w:p>
        </w:tc>
        <w:tc>
          <w:tcPr>
            <w:tcW w:w="960" w:type="dxa"/>
            <w:vAlign w:val="bottom"/>
            <w:tcBorders>
              <w:right w:val="single" w:sz="8" w:color="auto"/>
            </w:tcBorders>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60" w:type="dxa"/>
            <w:vAlign w:val="bottom"/>
          </w:tcPr>
          <w:p>
            <w:pPr>
              <w:ind w:left="10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(121,546)</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(121,546)</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Other comprehensive</w:t>
            </w:r>
          </w:p>
        </w:tc>
        <w:tc>
          <w:tcPr>
            <w:tcW w:w="1460" w:type="dxa"/>
            <w:vAlign w:val="bottom"/>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w:t>
            </w:r>
          </w:p>
        </w:tc>
        <w:tc>
          <w:tcPr>
            <w:tcW w:w="1460" w:type="dxa"/>
            <w:vAlign w:val="bottom"/>
            <w:vMerge w:val="continue"/>
            <w:shd w:val="clear" w:color="auto" w:fill="CCEEFF"/>
          </w:tcPr>
          <w:p>
            <w:pPr>
              <w:spacing w:after="0"/>
              <w:rPr>
                <w:sz w:val="18"/>
                <w:szCs w:val="18"/>
                <w:color w:val="auto"/>
              </w:rPr>
            </w:pPr>
          </w:p>
        </w:tc>
        <w:tc>
          <w:tcPr>
            <w:tcW w:w="960" w:type="dxa"/>
            <w:vAlign w:val="bottom"/>
            <w:tcBorders>
              <w:right w:val="single" w:sz="8" w:color="auto"/>
            </w:tcBorders>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Arial" w:cs="Arial" w:eastAsia="Arial" w:hAnsi="Arial"/>
                <w:sz w:val="16"/>
                <w:szCs w:val="16"/>
                <w:color w:val="auto"/>
              </w:rPr>
              <w:t>Common stock issuance</w:t>
            </w:r>
          </w:p>
        </w:tc>
        <w:tc>
          <w:tcPr>
            <w:tcW w:w="14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Arial" w:cs="Arial" w:eastAsia="Arial" w:hAnsi="Arial"/>
                <w:sz w:val="16"/>
                <w:szCs w:val="16"/>
                <w:color w:val="auto"/>
              </w:rPr>
              <w:t>for initial public offering,</w:t>
            </w:r>
          </w:p>
        </w:tc>
        <w:tc>
          <w:tcPr>
            <w:tcW w:w="1460" w:type="dxa"/>
            <w:vAlign w:val="bottom"/>
            <w:vMerge w:val="restart"/>
          </w:tcPr>
          <w:p>
            <w:pPr>
              <w:ind w:left="10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27,878,787</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462,353</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color w:val="auto"/>
              </w:rPr>
              <w:t>462,354</w:t>
            </w:r>
          </w:p>
        </w:tc>
        <w:tc>
          <w:tcPr>
            <w:tcW w:w="0" w:type="dxa"/>
            <w:vAlign w:val="bottom"/>
          </w:tcPr>
          <w:p>
            <w:pPr>
              <w:spacing w:after="0"/>
              <w:rPr>
                <w:sz w:val="1"/>
                <w:szCs w:val="1"/>
                <w:color w:val="auto"/>
              </w:rPr>
            </w:pPr>
          </w:p>
        </w:tc>
      </w:tr>
      <w:tr>
        <w:trPr>
          <w:trHeight w:val="215"/>
        </w:trPr>
        <w:tc>
          <w:tcPr>
            <w:tcW w:w="1840" w:type="dxa"/>
            <w:vAlign w:val="bottom"/>
          </w:tcPr>
          <w:p>
            <w:pPr>
              <w:ind w:left="20"/>
              <w:spacing w:after="0"/>
              <w:rPr>
                <w:sz w:val="20"/>
                <w:szCs w:val="20"/>
                <w:color w:val="auto"/>
              </w:rPr>
            </w:pPr>
            <w:r>
              <w:rPr>
                <w:rFonts w:ascii="Arial" w:cs="Arial" w:eastAsia="Arial" w:hAnsi="Arial"/>
                <w:sz w:val="16"/>
                <w:szCs w:val="16"/>
                <w:color w:val="auto"/>
              </w:rPr>
              <w:t>net of issuance costs</w:t>
            </w:r>
          </w:p>
        </w:tc>
        <w:tc>
          <w:tcPr>
            <w:tcW w:w="1460" w:type="dxa"/>
            <w:vAlign w:val="bottom"/>
            <w:vMerge w:val="continue"/>
          </w:tcPr>
          <w:p>
            <w:pPr>
              <w:spacing w:after="0"/>
              <w:rPr>
                <w:sz w:val="18"/>
                <w:szCs w:val="18"/>
                <w:color w:val="auto"/>
              </w:rPr>
            </w:pPr>
          </w:p>
        </w:tc>
        <w:tc>
          <w:tcPr>
            <w:tcW w:w="960" w:type="dxa"/>
            <w:vAlign w:val="bottom"/>
            <w:tcBorders>
              <w:right w:val="single" w:sz="8" w:color="auto"/>
            </w:tcBorders>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Conversion of preferred</w:t>
            </w:r>
          </w:p>
        </w:tc>
        <w:tc>
          <w:tcPr>
            <w:tcW w:w="146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(112,088,065)</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(448,312)</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115,598,018</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448,311</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448,312</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to common stock</w:t>
            </w:r>
          </w:p>
        </w:tc>
        <w:tc>
          <w:tcPr>
            <w:tcW w:w="1460" w:type="dxa"/>
            <w:vAlign w:val="bottom"/>
            <w:vMerge w:val="continue"/>
            <w:shd w:val="clear" w:color="auto" w:fill="CCEEFF"/>
          </w:tcPr>
          <w:p>
            <w:pPr>
              <w:spacing w:after="0"/>
              <w:rPr>
                <w:sz w:val="18"/>
                <w:szCs w:val="18"/>
                <w:color w:val="auto"/>
              </w:rPr>
            </w:pPr>
          </w:p>
        </w:tc>
        <w:tc>
          <w:tcPr>
            <w:tcW w:w="960" w:type="dxa"/>
            <w:vAlign w:val="bottom"/>
            <w:tcBorders>
              <w:right w:val="single" w:sz="8" w:color="auto"/>
            </w:tcBorders>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40" w:type="dxa"/>
            <w:vAlign w:val="bottom"/>
          </w:tcPr>
          <w:p>
            <w:pPr>
              <w:ind w:left="20"/>
              <w:spacing w:after="0"/>
              <w:rPr>
                <w:sz w:val="20"/>
                <w:szCs w:val="20"/>
                <w:color w:val="auto"/>
              </w:rPr>
            </w:pPr>
            <w:r>
              <w:rPr>
                <w:rFonts w:ascii="Arial" w:cs="Arial" w:eastAsia="Arial" w:hAnsi="Arial"/>
                <w:sz w:val="16"/>
                <w:szCs w:val="16"/>
                <w:color w:val="auto"/>
              </w:rPr>
              <w:t>Stock warrant exercises</w:t>
            </w:r>
          </w:p>
        </w:tc>
        <w:tc>
          <w:tcPr>
            <w:tcW w:w="1460" w:type="dxa"/>
            <w:vAlign w:val="bottom"/>
          </w:tcPr>
          <w:p>
            <w:pPr>
              <w:ind w:left="10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129,963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2,340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2,340</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Stock option exercises</w:t>
            </w:r>
          </w:p>
        </w:tc>
        <w:tc>
          <w:tcPr>
            <w:tcW w:w="1460" w:type="dxa"/>
            <w:vAlign w:val="bottom"/>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2,713,506</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3,359</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3,359</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other</w:t>
            </w:r>
          </w:p>
        </w:tc>
        <w:tc>
          <w:tcPr>
            <w:tcW w:w="1460" w:type="dxa"/>
            <w:vAlign w:val="bottom"/>
            <w:vMerge w:val="continue"/>
            <w:shd w:val="clear" w:color="auto" w:fill="CCEEFF"/>
          </w:tcPr>
          <w:p>
            <w:pPr>
              <w:spacing w:after="0"/>
              <w:rPr>
                <w:sz w:val="18"/>
                <w:szCs w:val="18"/>
                <w:color w:val="auto"/>
              </w:rPr>
            </w:pPr>
          </w:p>
        </w:tc>
        <w:tc>
          <w:tcPr>
            <w:tcW w:w="960" w:type="dxa"/>
            <w:vAlign w:val="bottom"/>
            <w:tcBorders>
              <w:right w:val="single" w:sz="8" w:color="auto"/>
            </w:tcBorders>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Arial" w:cs="Arial" w:eastAsia="Arial" w:hAnsi="Arial"/>
                <w:sz w:val="16"/>
                <w:szCs w:val="16"/>
                <w:color w:val="auto"/>
              </w:rPr>
              <w:t>Stock-based</w:t>
            </w:r>
          </w:p>
        </w:tc>
        <w:tc>
          <w:tcPr>
            <w:tcW w:w="1460" w:type="dxa"/>
            <w:vAlign w:val="bottom"/>
            <w:vMerge w:val="restart"/>
          </w:tcPr>
          <w:p>
            <w:pPr>
              <w:ind w:left="10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10,500</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color w:val="auto"/>
              </w:rPr>
              <w:t>10,500</w:t>
            </w:r>
          </w:p>
        </w:tc>
        <w:tc>
          <w:tcPr>
            <w:tcW w:w="0" w:type="dxa"/>
            <w:vAlign w:val="bottom"/>
          </w:tcPr>
          <w:p>
            <w:pPr>
              <w:spacing w:after="0"/>
              <w:rPr>
                <w:sz w:val="1"/>
                <w:szCs w:val="1"/>
                <w:color w:val="auto"/>
              </w:rPr>
            </w:pPr>
          </w:p>
        </w:tc>
      </w:tr>
      <w:tr>
        <w:trPr>
          <w:trHeight w:val="215"/>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compensation</w:t>
            </w:r>
          </w:p>
        </w:tc>
        <w:tc>
          <w:tcPr>
            <w:tcW w:w="14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right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b w:val="1"/>
                <w:bCs w:val="1"/>
                <w:color w:val="auto"/>
              </w:rPr>
              <w:t>Balance as of</w:t>
            </w:r>
          </w:p>
        </w:tc>
        <w:tc>
          <w:tcPr>
            <w:tcW w:w="1460" w:type="dxa"/>
            <w:vAlign w:val="bottom"/>
            <w:vMerge w:val="restart"/>
            <w:shd w:val="clear" w:color="auto" w:fill="CCEEFF"/>
          </w:tcPr>
          <w:p>
            <w:pPr>
              <w:ind w:left="1040"/>
              <w:spacing w:after="0"/>
              <w:rPr>
                <w:sz w:val="20"/>
                <w:szCs w:val="20"/>
                <w:color w:val="auto"/>
              </w:rPr>
            </w:pPr>
            <w:r>
              <w:rPr>
                <w:rFonts w:ascii="Arial" w:cs="Arial" w:eastAsia="Arial" w:hAnsi="Arial"/>
                <w:sz w:val="16"/>
                <w:szCs w:val="16"/>
                <w:color w:val="auto"/>
              </w:rPr>
              <w:t>— $</w:t>
            </w:r>
          </w:p>
        </w:tc>
        <w:tc>
          <w:tcPr>
            <w:tcW w:w="960" w:type="dxa"/>
            <w:vAlign w:val="bottom"/>
            <w:tcBorders>
              <w:right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168,634,959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934,175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(335,147)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599,032</w:t>
            </w:r>
          </w:p>
        </w:tc>
        <w:tc>
          <w:tcPr>
            <w:tcW w:w="0" w:type="dxa"/>
            <w:vAlign w:val="bottom"/>
          </w:tcPr>
          <w:p>
            <w:pPr>
              <w:spacing w:after="0"/>
              <w:rPr>
                <w:sz w:val="1"/>
                <w:szCs w:val="1"/>
                <w:color w:val="auto"/>
              </w:rPr>
            </w:pPr>
          </w:p>
        </w:tc>
      </w:tr>
      <w:tr>
        <w:trPr>
          <w:trHeight w:val="236"/>
        </w:trPr>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2021</w:t>
            </w: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6240" w:type="dxa"/>
            <w:vAlign w:val="bottom"/>
          </w:tcPr>
          <w:p>
            <w:pPr>
              <w:jc w:val="center"/>
              <w:ind w:left="2350"/>
              <w:spacing w:after="0"/>
              <w:rPr>
                <w:sz w:val="20"/>
                <w:szCs w:val="20"/>
                <w:color w:val="auto"/>
              </w:rPr>
            </w:pPr>
            <w:r>
              <w:rPr>
                <w:rFonts w:ascii="Arial" w:cs="Arial" w:eastAsia="Arial" w:hAnsi="Arial"/>
                <w:sz w:val="18"/>
                <w:szCs w:val="18"/>
                <w:b w:val="1"/>
                <w:bCs w:val="1"/>
                <w:color w:val="1E1E1E"/>
                <w:w w:val="99"/>
              </w:rPr>
              <w:t>Recursion Pharmaceuticals, Inc.</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81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1E1E1E"/>
                <w:w w:val="99"/>
              </w:rPr>
              <w:t>Condensed Consolidated Statements of Cash Flows (unaudited)</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6240" w:type="dxa"/>
            <w:vAlign w:val="bottom"/>
          </w:tcPr>
          <w:p>
            <w:pPr>
              <w:jc w:val="center"/>
              <w:ind w:left="2350"/>
              <w:spacing w:after="0"/>
              <w:rPr>
                <w:sz w:val="20"/>
                <w:szCs w:val="20"/>
                <w:color w:val="auto"/>
              </w:rPr>
            </w:pPr>
            <w:r>
              <w:rPr>
                <w:rFonts w:ascii="Arial" w:cs="Arial" w:eastAsia="Arial" w:hAnsi="Arial"/>
                <w:sz w:val="18"/>
                <w:szCs w:val="18"/>
                <w:b w:val="1"/>
                <w:bCs w:val="1"/>
                <w:i w:val="1"/>
                <w:iCs w:val="1"/>
                <w:color w:val="1E1E1E"/>
                <w:w w:val="99"/>
              </w:rPr>
              <w:t>(in thousands)</w:t>
            </w: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0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55"/>
        </w:trPr>
        <w:tc>
          <w:tcPr>
            <w:tcW w:w="128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80" w:type="dxa"/>
            <w:vAlign w:val="bottom"/>
            <w:tcBorders>
              <w:bottom w:val="single" w:sz="8" w:color="auto"/>
            </w:tcBorders>
          </w:tcPr>
          <w:p>
            <w:pPr>
              <w:spacing w:after="0"/>
              <w:rPr>
                <w:sz w:val="22"/>
                <w:szCs w:val="22"/>
                <w:color w:val="auto"/>
              </w:rPr>
            </w:pPr>
          </w:p>
        </w:tc>
        <w:tc>
          <w:tcPr>
            <w:tcW w:w="62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(181,984)</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(121,546)</w:t>
            </w:r>
          </w:p>
        </w:tc>
        <w:tc>
          <w:tcPr>
            <w:tcW w:w="0" w:type="dxa"/>
            <w:vAlign w:val="bottom"/>
          </w:tcPr>
          <w:p>
            <w:pPr>
              <w:spacing w:after="0"/>
              <w:rPr>
                <w:sz w:val="1"/>
                <w:szCs w:val="1"/>
                <w:color w:val="auto"/>
              </w:rPr>
            </w:pP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20,214</w:t>
            </w: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10,501</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Fixed asset impairment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Lease expense</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5,747</w:t>
            </w: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29"/>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377</w:t>
            </w: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Other receivables and assets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(5,574)</w:t>
            </w: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(6,746)</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Unearned revenue</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123,995</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9"/>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1,072</w:t>
            </w: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development expense</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30"/>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Accrued expenses, deferred rent and other current liabilities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(12,740)</w:t>
            </w: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11,123</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6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(38,776)</w:t>
            </w: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(97,456)</w:t>
            </w:r>
          </w:p>
        </w:tc>
        <w:tc>
          <w:tcPr>
            <w:tcW w:w="0" w:type="dxa"/>
            <w:vAlign w:val="bottom"/>
          </w:tcPr>
          <w:p>
            <w:pPr>
              <w:spacing w:after="0"/>
              <w:rPr>
                <w:sz w:val="1"/>
                <w:szCs w:val="1"/>
                <w:color w:val="auto"/>
              </w:rPr>
            </w:pPr>
          </w:p>
        </w:tc>
      </w:tr>
      <w:tr>
        <w:trPr>
          <w:trHeight w:val="148"/>
        </w:trPr>
        <w:tc>
          <w:tcPr>
            <w:tcW w:w="7520" w:type="dxa"/>
            <w:vAlign w:val="bottom"/>
            <w:gridSpan w:val="2"/>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(29,080)</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(35,334)</w:t>
            </w: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Purchase of an intangible asset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w:t>
            </w: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Purchases of investments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(184,167)</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Sales and maturities of investments</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230,608</w:t>
            </w: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201,228</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(219,501)</w:t>
            </w:r>
          </w:p>
        </w:tc>
        <w:tc>
          <w:tcPr>
            <w:tcW w:w="0" w:type="dxa"/>
            <w:vAlign w:val="bottom"/>
          </w:tcPr>
          <w:p>
            <w:pPr>
              <w:spacing w:after="0"/>
              <w:rPr>
                <w:sz w:val="1"/>
                <w:szCs w:val="1"/>
                <w:color w:val="auto"/>
              </w:rPr>
            </w:pPr>
          </w:p>
        </w:tc>
      </w:tr>
      <w:tr>
        <w:trPr>
          <w:trHeight w:val="148"/>
        </w:trPr>
        <w:tc>
          <w:tcPr>
            <w:tcW w:w="752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Proceeds from initial public offering of common stock, net of issuance costs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462,901</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equity incentive plans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Repayment of long-term debt</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(12,777)</w:t>
            </w:r>
          </w:p>
        </w:tc>
        <w:tc>
          <w:tcPr>
            <w:tcW w:w="0" w:type="dxa"/>
            <w:vAlign w:val="bottom"/>
          </w:tcPr>
          <w:p>
            <w:pPr>
              <w:spacing w:after="0"/>
              <w:rPr>
                <w:sz w:val="1"/>
                <w:szCs w:val="1"/>
                <w:color w:val="auto"/>
              </w:rPr>
            </w:pPr>
          </w:p>
        </w:tc>
      </w:tr>
      <w:tr>
        <w:trPr>
          <w:trHeight w:val="22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454,744</w:t>
            </w:r>
          </w:p>
        </w:tc>
        <w:tc>
          <w:tcPr>
            <w:tcW w:w="0" w:type="dxa"/>
            <w:vAlign w:val="bottom"/>
          </w:tcPr>
          <w:p>
            <w:pPr>
              <w:spacing w:after="0"/>
              <w:rPr>
                <w:sz w:val="1"/>
                <w:szCs w:val="1"/>
                <w:color w:val="auto"/>
              </w:rPr>
            </w:pPr>
          </w:p>
        </w:tc>
      </w:tr>
      <w:tr>
        <w:trPr>
          <w:trHeight w:val="148"/>
        </w:trPr>
        <w:tc>
          <w:tcPr>
            <w:tcW w:w="75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420" w:type="dxa"/>
            <w:vAlign w:val="bottom"/>
            <w:shd w:val="clear" w:color="auto" w:fill="CCEEFF"/>
          </w:tcPr>
          <w:p>
            <w:pPr>
              <w:spacing w:after="0"/>
              <w:rPr>
                <w:sz w:val="21"/>
                <w:szCs w:val="2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169,541</w:t>
            </w:r>
          </w:p>
        </w:tc>
        <w:tc>
          <w:tcPr>
            <w:tcW w:w="680" w:type="dxa"/>
            <w:vAlign w:val="bottom"/>
            <w:shd w:val="clear" w:color="auto" w:fill="CCEEFF"/>
          </w:tcPr>
          <w:p>
            <w:pPr>
              <w:spacing w:after="0"/>
              <w:rPr>
                <w:sz w:val="21"/>
                <w:szCs w:val="2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137,787</w:t>
            </w:r>
          </w:p>
        </w:tc>
        <w:tc>
          <w:tcPr>
            <w:tcW w:w="0" w:type="dxa"/>
            <w:vAlign w:val="bottom"/>
          </w:tcPr>
          <w:p>
            <w:pPr>
              <w:spacing w:after="0"/>
              <w:rPr>
                <w:sz w:val="1"/>
                <w:szCs w:val="1"/>
                <w:color w:val="auto"/>
              </w:rPr>
            </w:pPr>
          </w:p>
        </w:tc>
      </w:tr>
      <w:tr>
        <w:trPr>
          <w:trHeight w:val="69"/>
        </w:trPr>
        <w:tc>
          <w:tcPr>
            <w:tcW w:w="1280" w:type="dxa"/>
            <w:vAlign w:val="bottom"/>
            <w:shd w:val="clear" w:color="auto" w:fill="CCEEFF"/>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295,349</w:t>
            </w: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267,167</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464,890</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404,954</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auto"/>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280" w:type="dxa"/>
            <w:vAlign w:val="bottom"/>
          </w:tcPr>
          <w:p>
            <w:pPr>
              <w:spacing w:after="0"/>
              <w:rPr>
                <w:sz w:val="8"/>
                <w:szCs w:val="8"/>
                <w:color w:val="auto"/>
              </w:rPr>
            </w:pPr>
          </w:p>
        </w:tc>
        <w:tc>
          <w:tcPr>
            <w:tcW w:w="6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Conversion of preferred stock to common stock</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120" w:type="dxa"/>
            <w:vAlign w:val="bottom"/>
            <w:gridSpan w:val="2"/>
          </w:tcPr>
          <w:p>
            <w:pPr>
              <w:jc w:val="right"/>
              <w:ind w:right="47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448,312</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property and equipment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Deferred issuance costs recorded in equity</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Right-of-use asset additions and modifications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752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schedule of cash flow information</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Cash paid for interest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 paid for operating leases</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6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Recursion Pharmaceuticals, Inc. (Recursion, the Company, we or our) was originally formed as a limited liability</w:t>
      </w:r>
    </w:p>
    <w:p>
      <w:pPr>
        <w:spacing w:after="0" w:line="27"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color w:val="auto"/>
        </w:rPr>
        <w:t>company on November 4, 2013 under the name Recursion Pharmaceuticals, LLC. In September 2016, the Company converted to a Delaware corporation and changed its name to Recursion Pharmaceuticals, Inc.</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Recursion is a biotechnology company that combines automation, artificial intelligence, machine learning, in vivo validation capabilities and a highly cross-functional team to discover novel medicines that expand our collective understanding of biology. Recursion’s rich, relatable database of biological images generated in-house on the Company’s robotics platform enables advanced machine learning approaches to reveal drug candidates, mechanisms of action, novel chemistry and potential toxicity with the eventual goal of decoding biology and advancing new therapeutics that radically improve people’s lives.</w:t>
      </w: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September 30, 2022, the Company had an accumulated deficit of $582.1 million.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with its subsidiaries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Company has funded its operations to date primarily through the issuance of convertible preferred stock and the issuance of Class A common stock in an Initial Public Offering (IPO), which was completed in April 2021 (see Note 8, “Common Stock” for additional details). Additionally, we have received payments of $180.0 million from our strategic partnerships. Recursion will likely be required to raise additional capital. As of September 30, 2022, the Company did not have any unconditional outstanding commitments for additional funding. See Note 14, “Subsequent Events” for details of a Stock Purchase Agreement for a private placement (the “Private Placement”) with certain qualified institutional buyers and institutional accredited investors that closed subsequent to September 30, 2022. If the Company is unable to access</w:t>
      </w:r>
    </w:p>
    <w:p>
      <w:pPr>
        <w:spacing w:after="0" w:line="2"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additional funds when needed, it may not be able to continue the development of its products or the Company could be required to delay, scale back or abandon some or all of its development programs and other operations. The Company’s ability to access capital when needed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is not assured and, if not achieved on a timely basis, could materially harm its business, financial condition and results of operations.</w:t>
      </w:r>
    </w:p>
    <w:p>
      <w:pPr>
        <w:spacing w:after="0" w:line="23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Company believes that the Company’s existing cash and cash equivalents will be sufficient to fund the Company’s operating expenses and capital expenditures for at least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U.S. Securities and Exchange Commission (SEC). Accordingly, certain information and footnote disclosures normally included in annual financial statements prepared in accordance with generally accepted accounting principles in the United States (U.S. GAAP) have been condensed or omitted. These unaudited interim condensed consolidated financial statements should be read in conjunction with the Company’s audited consolidated financial statements and notes for the year ended December 31, 2021.</w:t>
      </w:r>
    </w:p>
    <w:p>
      <w:pPr>
        <w:spacing w:after="0" w:line="20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April 2021, the Company completed a</w:t>
      </w:r>
      <w:r>
        <w:rPr>
          <w:rFonts w:ascii="Arial" w:cs="Arial" w:eastAsia="Arial" w:hAnsi="Arial"/>
          <w:sz w:val="18"/>
          <w:szCs w:val="18"/>
          <w:color w:val="auto"/>
        </w:rPr>
        <w:t xml:space="preserve"> 1.5-for-1 forward stock split of common and convertible preferred stock. All shares presented within these </w:t>
      </w:r>
      <w:r>
        <w:rPr>
          <w:rFonts w:ascii="Arial" w:cs="Arial" w:eastAsia="Arial" w:hAnsi="Arial"/>
          <w:sz w:val="18"/>
          <w:szCs w:val="18"/>
          <w:color w:val="1E1E1E"/>
        </w:rPr>
        <w:t>condensed</w:t>
      </w:r>
      <w:r>
        <w:rPr>
          <w:rFonts w:ascii="Arial" w:cs="Arial" w:eastAsia="Arial" w:hAnsi="Arial"/>
          <w:sz w:val="18"/>
          <w:szCs w:val="18"/>
          <w:color w:val="auto"/>
        </w:rPr>
        <w:t xml:space="preserve"> consolidated financial statements were adjusted to reflect the forward stock split for all periods presented. See Note 8, “Common Stock” for additional details.</w:t>
      </w:r>
    </w:p>
    <w:p>
      <w:pPr>
        <w:spacing w:after="0" w:line="19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April 2021</w:t>
      </w:r>
      <w:r>
        <w:rPr>
          <w:rFonts w:ascii="Arial" w:cs="Arial" w:eastAsia="Arial" w:hAnsi="Arial"/>
          <w:sz w:val="18"/>
          <w:szCs w:val="18"/>
          <w:color w:val="auto"/>
        </w:rPr>
        <w:t>, the Company’s Board of Directors authorized two classes of common stock, Class A and Class B. Certain shares of Class A were exchanged for Class B on a one-for-one basis. The creation and issuance of the</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Class B common stock did not affect the loss per share for the Class A or Class B shares for any period. The Company presented the net loss per share amounts as if the authorization and exchange occurred as of the start of the 2021 reporting period. All share amounts presented prior to the authorization are referred to as Class A common stock. </w:t>
      </w:r>
      <w:r>
        <w:rPr>
          <w:rFonts w:ascii="Arial" w:cs="Arial" w:eastAsia="Arial" w:hAnsi="Arial"/>
          <w:sz w:val="18"/>
          <w:szCs w:val="18"/>
          <w:color w:val="1E1E1E"/>
        </w:rPr>
        <w:t>See Note 8, “Common Stock” for additional details.</w:t>
      </w:r>
    </w:p>
    <w:p>
      <w:pPr>
        <w:spacing w:after="0" w:line="1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1E1E1E"/>
        </w:rPr>
        <w:t>It is management’s opinion that these condensed consolidated financial statements include all normal and recurring adjustments necessary for a fair presentation of the Company’s financial statements. Revenue and net loss for any interim period are not necessarily indicative of future or annual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5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an emerging growth company (EGC), as defined by the Jumpstart Our Business Startups Act of 2012 (the JOBS Act). The JOBS Act exempts EGCs from being required to comply with new or revised financial accounting standards until private companies are required to comply. Recursion has elected to use the extended transition period for new or revised financial accounting standards, although the Company may adopt certain new or revised accounting standards early. This may make comparisons of the Company’s financial statements with other public companies difficult because of the potential differences in accounting standards used.</w:t>
      </w:r>
    </w:p>
    <w:p>
      <w:pPr>
        <w:spacing w:after="0" w:line="20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Recursion may remain an EGC until the earlier of (1) December 31, 2026; (2) December 31 of the year in which we (a) become a “large accelerated filer;” or (b) have annual gross revenues of $1.07 billion or more; or (3) the date on which we have issued more than $1.0 billion of non-convertible debt over a three-year period. The Company expects to be an EGC until December 31,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January 1, 2022, Recursion adopted Accounting Standards Update (ASU) No. 2016-02, Leases (Topic 842). Under Topic 842, lessees are required to recognize a right-of-use asset and a lease liability on the balance sheet for all leases with terms greater than 12 months. The guidance also expanded the disclosure requirements of lease arrangements. The Company adopted Topic 842 using the modified retrospective method. Recursion elected the following practical expedients when assessing the transition impact: i) not to reassess whether any expired or existing contracts as of the adoption date are or contain leases; ii) not to reassess the lease classification for any expired or existing leases as of the adoption date; and iii) not to reassess initial direct costs for any existing leases as of the adoption date.</w:t>
      </w:r>
    </w:p>
    <w:p>
      <w:pPr>
        <w:spacing w:after="0" w:line="20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Results for reporting periods beginning after December 31, 2021 are presented in accordance with the standard, while results for prior periods are not adjusted and continue to be reported in accordance with Recursion’s historical accounting. The January 1, 2022 adjustment to record lease right-of-use assets and lease liabilities was $32.9 million and $47.8 million, respectively. The impact to the condensed consolidated statements of income and cash flows was insignificant.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900" w:type="dxa"/>
            <w:vAlign w:val="bottom"/>
          </w:tcPr>
          <w:p>
            <w:pPr>
              <w:spacing w:after="0"/>
              <w:rPr>
                <w:sz w:val="20"/>
                <w:szCs w:val="20"/>
                <w:color w:val="auto"/>
              </w:rPr>
            </w:pPr>
            <w:r>
              <w:rPr>
                <w:rFonts w:ascii="Arial" w:cs="Arial" w:eastAsia="Arial" w:hAnsi="Arial"/>
                <w:sz w:val="18"/>
                <w:szCs w:val="18"/>
                <w:b w:val="1"/>
                <w:bCs w:val="1"/>
                <w:color w:val="auto"/>
              </w:rPr>
              <w:t>Note 3.  Supplemental Financial Information</w:t>
            </w:r>
          </w:p>
        </w:tc>
        <w:tc>
          <w:tcPr>
            <w:tcW w:w="2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59"/>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82"/>
        </w:trPr>
        <w:tc>
          <w:tcPr>
            <w:tcW w:w="5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8"/>
              </w:rPr>
              <w:t>33,076</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14,175</w:t>
            </w:r>
          </w:p>
        </w:tc>
        <w:tc>
          <w:tcPr>
            <w:tcW w:w="180" w:type="dxa"/>
            <w:vAlign w:val="bottom"/>
          </w:tcPr>
          <w:p>
            <w:pPr>
              <w:spacing w:after="0"/>
              <w:rPr>
                <w:sz w:val="19"/>
                <w:szCs w:val="19"/>
                <w:color w:val="auto"/>
              </w:rPr>
            </w:pPr>
          </w:p>
        </w:tc>
        <w:tc>
          <w:tcPr>
            <w:tcW w:w="1480" w:type="dxa"/>
            <w:vAlign w:val="bottom"/>
          </w:tcPr>
          <w:p>
            <w:pPr>
              <w:jc w:val="center"/>
              <w:ind w:left="690"/>
              <w:spacing w:after="0"/>
              <w:rPr>
                <w:sz w:val="20"/>
                <w:szCs w:val="20"/>
                <w:color w:val="auto"/>
              </w:rPr>
            </w:pPr>
            <w:r>
              <w:rPr>
                <w:rFonts w:ascii="Arial" w:cs="Arial" w:eastAsia="Arial" w:hAnsi="Arial"/>
                <w:sz w:val="18"/>
                <w:szCs w:val="18"/>
                <w:color w:val="auto"/>
                <w:w w:val="98"/>
              </w:rPr>
              <w:t>13,936</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2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20,005</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8"/>
              </w:rPr>
              <w:t>20,005</w:t>
            </w:r>
          </w:p>
        </w:tc>
      </w:tr>
      <w:tr>
        <w:trPr>
          <w:trHeight w:val="23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Construction in progress</w:t>
            </w:r>
          </w:p>
        </w:tc>
        <w:tc>
          <w:tcPr>
            <w:tcW w:w="2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35,957</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8"/>
              </w:rPr>
              <w:t>16,445</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112,829</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8"/>
              </w:rPr>
              <w:t>83,462</w:t>
            </w:r>
          </w:p>
        </w:tc>
      </w:tr>
      <w:tr>
        <w:trPr>
          <w:trHeight w:val="23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(27,052)</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rPr>
              <w:t>(18,737)</w:t>
            </w:r>
          </w:p>
        </w:tc>
      </w:tr>
      <w:tr>
        <w:trPr>
          <w:trHeight w:val="248"/>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8"/>
              </w:rPr>
              <w:t>64,725</w:t>
            </w:r>
          </w:p>
        </w:tc>
      </w:tr>
      <w:tr>
        <w:trPr>
          <w:trHeight w:val="20"/>
        </w:trPr>
        <w:tc>
          <w:tcPr>
            <w:tcW w:w="59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Depreciation expense on property and equipment was $2.9 million and $ 8.3 million during the three and nine months ended September 30, 2022, </w:t>
      </w:r>
      <w:r>
        <w:rPr>
          <w:rFonts w:ascii="Arial" w:cs="Arial" w:eastAsia="Arial" w:hAnsi="Arial"/>
          <w:sz w:val="18"/>
          <w:szCs w:val="18"/>
          <w:color w:val="1E1E1E"/>
        </w:rPr>
        <w:t>respectively, and</w:t>
      </w:r>
      <w:r>
        <w:rPr>
          <w:rFonts w:ascii="Arial" w:cs="Arial" w:eastAsia="Arial" w:hAnsi="Arial"/>
          <w:sz w:val="18"/>
          <w:szCs w:val="18"/>
          <w:color w:val="auto"/>
        </w:rPr>
        <w:t xml:space="preserve"> $2.5 million </w:t>
      </w:r>
      <w:r>
        <w:rPr>
          <w:rFonts w:ascii="Arial" w:cs="Arial" w:eastAsia="Arial" w:hAnsi="Arial"/>
          <w:sz w:val="18"/>
          <w:szCs w:val="18"/>
          <w:color w:val="1E1E1E"/>
        </w:rPr>
        <w:t>and</w:t>
      </w:r>
      <w:r>
        <w:rPr>
          <w:rFonts w:ascii="Arial" w:cs="Arial" w:eastAsia="Arial" w:hAnsi="Arial"/>
          <w:sz w:val="18"/>
          <w:szCs w:val="18"/>
          <w:color w:val="auto"/>
        </w:rPr>
        <w:t xml:space="preserve"> $6.3 million </w:t>
      </w:r>
      <w:r>
        <w:rPr>
          <w:rFonts w:ascii="Arial" w:cs="Arial" w:eastAsia="Arial" w:hAnsi="Arial"/>
          <w:sz w:val="18"/>
          <w:szCs w:val="18"/>
          <w:color w:val="1E1E1E"/>
        </w:rPr>
        <w:t>during the three and</w:t>
      </w:r>
      <w:r>
        <w:rPr>
          <w:rFonts w:ascii="Arial" w:cs="Arial" w:eastAsia="Arial" w:hAnsi="Arial"/>
          <w:sz w:val="18"/>
          <w:szCs w:val="18"/>
          <w:color w:val="auto"/>
        </w:rPr>
        <w:t xml:space="preserve"> nine months ended September 30, 2021, respectively</w:t>
      </w:r>
      <w:r>
        <w:rPr>
          <w:rFonts w:ascii="Arial" w:cs="Arial" w:eastAsia="Arial" w:hAnsi="Arial"/>
          <w:sz w:val="18"/>
          <w:szCs w:val="18"/>
          <w:color w:val="1E1E1E"/>
        </w:rPr>
        <w:t>. The</w:t>
      </w:r>
      <w:r>
        <w:rPr>
          <w:rFonts w:ascii="Arial" w:cs="Arial" w:eastAsia="Arial" w:hAnsi="Arial"/>
          <w:sz w:val="18"/>
          <w:szCs w:val="18"/>
          <w:color w:val="auto"/>
        </w:rPr>
        <w:t xml:space="preserve"> </w:t>
      </w:r>
      <w:r>
        <w:rPr>
          <w:rFonts w:ascii="Arial" w:cs="Arial" w:eastAsia="Arial" w:hAnsi="Arial"/>
          <w:sz w:val="18"/>
          <w:szCs w:val="18"/>
          <w:color w:val="1E1E1E"/>
        </w:rPr>
        <w:t xml:space="preserve">Company recorded an impairment of </w:t>
      </w:r>
      <w:r>
        <w:rPr>
          <w:rFonts w:ascii="Arial" w:cs="Arial" w:eastAsia="Arial" w:hAnsi="Arial"/>
          <w:sz w:val="18"/>
          <w:szCs w:val="18"/>
          <w:color w:val="000000"/>
        </w:rPr>
        <w:t>$2.8 million</w:t>
      </w:r>
      <w:r>
        <w:rPr>
          <w:rFonts w:ascii="Arial" w:cs="Arial" w:eastAsia="Arial" w:hAnsi="Arial"/>
          <w:sz w:val="18"/>
          <w:szCs w:val="18"/>
          <w:color w:val="1E1E1E"/>
        </w:rPr>
        <w:t xml:space="preserve"> during the </w:t>
      </w:r>
      <w:r>
        <w:rPr>
          <w:rFonts w:ascii="Arial" w:cs="Arial" w:eastAsia="Arial" w:hAnsi="Arial"/>
          <w:sz w:val="18"/>
          <w:szCs w:val="18"/>
          <w:color w:val="000000"/>
        </w:rPr>
        <w:t>nine months ended September 30, 2022</w:t>
      </w:r>
      <w:r>
        <w:rPr>
          <w:rFonts w:ascii="Arial" w:cs="Arial" w:eastAsia="Arial" w:hAnsi="Arial"/>
          <w:sz w:val="18"/>
          <w:szCs w:val="18"/>
          <w:color w:val="1E1E1E"/>
        </w:rPr>
        <w:t xml:space="preserve"> related to a construction project for leasehold improvements as the Company no longer intended to use them. The impairment was recorded in “General and Administrative” in the Condensed Consolidated Statements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1E1E1E"/>
        </w:rPr>
        <w:t>The construction in progress balance primarily relates to leasehold improvements under construction for several leased locations.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2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82"/>
        </w:trPr>
        <w:tc>
          <w:tcPr>
            <w:tcW w:w="5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11,738</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Accrued development expenses</w:t>
            </w:r>
          </w:p>
        </w:tc>
        <w:tc>
          <w:tcPr>
            <w:tcW w:w="2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6,546</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4,682</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early discovery expenses</w:t>
            </w:r>
          </w:p>
        </w:tc>
        <w:tc>
          <w:tcPr>
            <w:tcW w:w="2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Accrued construction</w:t>
            </w:r>
          </w:p>
        </w:tc>
        <w:tc>
          <w:tcPr>
            <w:tcW w:w="2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1,889</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4,665</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2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29"/>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other expenses</w:t>
            </w:r>
          </w:p>
        </w:tc>
        <w:tc>
          <w:tcPr>
            <w:tcW w:w="2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7,341</w:t>
            </w:r>
          </w:p>
        </w:tc>
      </w:tr>
      <w:tr>
        <w:trPr>
          <w:trHeight w:val="248"/>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expense and other liabilities</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32,333</w:t>
            </w:r>
          </w:p>
        </w:tc>
      </w:tr>
      <w:tr>
        <w:trPr>
          <w:trHeight w:val="20"/>
        </w:trPr>
        <w:tc>
          <w:tcPr>
            <w:tcW w:w="566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25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 2018, the Company borrowed $992 thousand, which was available as part of a lease agreement for use on tenant improvements. Under the terms of the lease, the note will be repaid over a 10-year period at an 8% interest rate.</w:t>
      </w:r>
    </w:p>
    <w:p>
      <w:pPr>
        <w:spacing w:after="0" w:line="18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September 2019, the Company entered into a lending agreement with Midcap Financial Trust (Midcap) and the other lenders party thereto (the Midcap loan agreement) for borrowing $11.9 million. In July 2021, the Company paid the balance due under the Midcap loan agreement. The total amount paid was $12.7 million</w:t>
      </w:r>
      <w:r>
        <w:rPr>
          <w:rFonts w:ascii="Arial" w:cs="Arial" w:eastAsia="Arial" w:hAnsi="Arial"/>
          <w:sz w:val="18"/>
          <w:szCs w:val="18"/>
          <w:color w:val="1E1E1E"/>
        </w:rPr>
        <w:t>. The Company recorded an early extinguishment loss of</w:t>
      </w:r>
      <w:r>
        <w:rPr>
          <w:rFonts w:ascii="Arial" w:cs="Arial" w:eastAsia="Arial" w:hAnsi="Arial"/>
          <w:sz w:val="18"/>
          <w:szCs w:val="18"/>
          <w:color w:val="auto"/>
        </w:rPr>
        <w:t xml:space="preserve"> $996 thousand</w:t>
      </w:r>
      <w:r>
        <w:rPr>
          <w:rFonts w:ascii="Arial" w:cs="Arial" w:eastAsia="Arial" w:hAnsi="Arial"/>
          <w:sz w:val="18"/>
          <w:szCs w:val="18"/>
          <w:color w:val="1E1E1E"/>
        </w:rPr>
        <w:t>, which was included in</w:t>
      </w:r>
      <w:r>
        <w:rPr>
          <w:rFonts w:ascii="Arial" w:cs="Arial" w:eastAsia="Arial" w:hAnsi="Arial"/>
          <w:sz w:val="18"/>
          <w:szCs w:val="18"/>
          <w:color w:val="auto"/>
        </w:rPr>
        <w:t xml:space="preserve"> </w:t>
      </w:r>
      <w:r>
        <w:rPr>
          <w:rFonts w:ascii="Arial" w:cs="Arial" w:eastAsia="Arial" w:hAnsi="Arial"/>
          <w:sz w:val="18"/>
          <w:szCs w:val="18"/>
          <w:color w:val="1E1E1E"/>
        </w:rPr>
        <w:t>“Other income (loss), net” on the Condensed Consolidated Statements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Interest Income (Expense), net</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434"/>
        </w:trPr>
        <w:tc>
          <w:tcPr>
            <w:tcW w:w="4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99"/>
              </w:rPr>
              <w:t>Three months ended</w:t>
            </w:r>
          </w:p>
        </w:tc>
        <w:tc>
          <w:tcPr>
            <w:tcW w:w="360" w:type="dxa"/>
            <w:vAlign w:val="bottom"/>
          </w:tcPr>
          <w:p>
            <w:pPr>
              <w:spacing w:after="0"/>
              <w:rPr>
                <w:sz w:val="24"/>
                <w:szCs w:val="24"/>
                <w:color w:val="auto"/>
              </w:rPr>
            </w:pPr>
          </w:p>
        </w:tc>
        <w:tc>
          <w:tcPr>
            <w:tcW w:w="288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8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Pr>
          <w:p>
            <w:pPr>
              <w:spacing w:after="0"/>
              <w:rPr>
                <w:sz w:val="21"/>
                <w:szCs w:val="21"/>
                <w:color w:val="auto"/>
              </w:rPr>
            </w:pPr>
          </w:p>
        </w:tc>
      </w:tr>
      <w:tr>
        <w:trPr>
          <w:trHeight w:val="22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r>
      <w:tr>
        <w:trPr>
          <w:trHeight w:val="22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48"/>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6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r>
      <w:tr>
        <w:trPr>
          <w:trHeight w:val="20"/>
        </w:trPr>
        <w:tc>
          <w:tcPr>
            <w:tcW w:w="4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and nine months ended September 30, 2022, interest income primarily related to the investment portfolio. See Note 4, “Investments” for additional details on the investment portfolio. For the three and nine months ended September 30, 2021, interest expense primarily related to changes in fair value of the Series A and B warrants (see Note 10, “Stock-based Compensation” for additional details on the warrants). The Company also had expenses for the Midcap loan and tenant improvement allowance notes. Interest expense was included in “Other income (loss), net” on the Condensed Consolidated Statements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5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In August 2021, the Company invested cash in an investment portfolio. The primary objectives of the investment portfolio are to preserve principal, maintain prudent levels of liquidity and obtain investment returns. Recursion’s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investment policy limits investments to certain types of debt and money market instruments issued by institutions with investment-grade credit ratings and places restrictions on maturities and concentration by asset class and issuer.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investment portfolio by type of security: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2"/>
          </w:tcPr>
          <w:p>
            <w:pPr>
              <w:jc w:val="center"/>
              <w:ind w:right="96"/>
              <w:spacing w:after="0"/>
              <w:rPr>
                <w:sz w:val="20"/>
                <w:szCs w:val="20"/>
                <w:color w:val="auto"/>
              </w:rPr>
            </w:pPr>
            <w:r>
              <w:rPr>
                <w:rFonts w:ascii="Arial" w:cs="Arial" w:eastAsia="Arial" w:hAnsi="Arial"/>
                <w:sz w:val="14"/>
                <w:szCs w:val="14"/>
                <w:b w:val="1"/>
                <w:bCs w:val="1"/>
                <w:color w:val="auto"/>
              </w:rPr>
              <w:t>September 30, 2022</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1160" w:type="dxa"/>
            <w:vAlign w:val="bottom"/>
          </w:tcPr>
          <w:p>
            <w:pPr>
              <w:jc w:val="center"/>
              <w:ind w:right="136"/>
              <w:spacing w:after="0" w:line="147"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1580" w:type="dxa"/>
            <w:vAlign w:val="bottom"/>
          </w:tcPr>
          <w:p>
            <w:pPr>
              <w:jc w:val="center"/>
              <w:ind w:right="258"/>
              <w:spacing w:after="0" w:line="147" w:lineRule="exact"/>
              <w:rPr>
                <w:sz w:val="20"/>
                <w:szCs w:val="20"/>
                <w:color w:val="auto"/>
              </w:rPr>
            </w:pPr>
            <w:r>
              <w:rPr>
                <w:rFonts w:ascii="Arial" w:cs="Arial" w:eastAsia="Arial" w:hAnsi="Arial"/>
                <w:sz w:val="14"/>
                <w:szCs w:val="14"/>
                <w:b w:val="1"/>
                <w:bCs w:val="1"/>
                <w:color w:val="auto"/>
              </w:rPr>
              <w:t>Gross unrealized</w:t>
            </w:r>
          </w:p>
        </w:tc>
        <w:tc>
          <w:tcPr>
            <w:tcW w:w="1420" w:type="dxa"/>
            <w:vAlign w:val="bottom"/>
          </w:tcPr>
          <w:p>
            <w:pPr>
              <w:jc w:val="center"/>
              <w:ind w:right="96"/>
              <w:spacing w:after="0" w:line="147"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Pr>
          <w:p>
            <w:pPr>
              <w:spacing w:after="0"/>
              <w:rPr>
                <w:sz w:val="12"/>
                <w:szCs w:val="12"/>
                <w:color w:val="auto"/>
              </w:rPr>
            </w:pPr>
          </w:p>
        </w:tc>
        <w:tc>
          <w:tcPr>
            <w:tcW w:w="1140" w:type="dxa"/>
            <w:vAlign w:val="bottom"/>
          </w:tcPr>
          <w:p>
            <w:pPr>
              <w:jc w:val="center"/>
              <w:ind w:right="236"/>
              <w:spacing w:after="0" w:line="147"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5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gains</w:t>
            </w:r>
          </w:p>
        </w:tc>
        <w:tc>
          <w:tcPr>
            <w:tcW w:w="14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losses</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values</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72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401,847</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 $</w:t>
            </w:r>
          </w:p>
        </w:tc>
        <w:tc>
          <w:tcPr>
            <w:tcW w:w="17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401,847</w:t>
            </w:r>
          </w:p>
        </w:tc>
        <w:tc>
          <w:tcPr>
            <w:tcW w:w="0" w:type="dxa"/>
            <w:vAlign w:val="bottom"/>
          </w:tcPr>
          <w:p>
            <w:pPr>
              <w:spacing w:after="0"/>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5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center"/>
              <w:ind w:right="96"/>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1160" w:type="dxa"/>
            <w:vAlign w:val="bottom"/>
          </w:tcPr>
          <w:p>
            <w:pPr>
              <w:jc w:val="center"/>
              <w:ind w:right="136"/>
              <w:spacing w:after="0" w:line="143"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1580" w:type="dxa"/>
            <w:vAlign w:val="bottom"/>
          </w:tcPr>
          <w:p>
            <w:pPr>
              <w:jc w:val="center"/>
              <w:ind w:right="258"/>
              <w:spacing w:after="0" w:line="143" w:lineRule="exact"/>
              <w:rPr>
                <w:sz w:val="20"/>
                <w:szCs w:val="20"/>
                <w:color w:val="auto"/>
              </w:rPr>
            </w:pPr>
            <w:r>
              <w:rPr>
                <w:rFonts w:ascii="Arial" w:cs="Arial" w:eastAsia="Arial" w:hAnsi="Arial"/>
                <w:sz w:val="14"/>
                <w:szCs w:val="14"/>
                <w:b w:val="1"/>
                <w:bCs w:val="1"/>
                <w:color w:val="auto"/>
              </w:rPr>
              <w:t>Gross unrealized</w:t>
            </w:r>
          </w:p>
        </w:tc>
        <w:tc>
          <w:tcPr>
            <w:tcW w:w="1420" w:type="dxa"/>
            <w:vAlign w:val="bottom"/>
          </w:tcPr>
          <w:p>
            <w:pPr>
              <w:jc w:val="center"/>
              <w:ind w:right="96"/>
              <w:spacing w:after="0" w:line="143"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Pr>
          <w:p>
            <w:pPr>
              <w:spacing w:after="0"/>
              <w:rPr>
                <w:sz w:val="12"/>
                <w:szCs w:val="12"/>
                <w:color w:val="auto"/>
              </w:rPr>
            </w:pPr>
          </w:p>
        </w:tc>
        <w:tc>
          <w:tcPr>
            <w:tcW w:w="1140" w:type="dxa"/>
            <w:vAlign w:val="bottom"/>
          </w:tcPr>
          <w:p>
            <w:pPr>
              <w:jc w:val="center"/>
              <w:ind w:right="236"/>
              <w:spacing w:after="0" w:line="14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gains</w:t>
            </w:r>
          </w:p>
        </w:tc>
        <w:tc>
          <w:tcPr>
            <w:tcW w:w="14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losses</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values</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155,731</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U.S. government debt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19,960</w:t>
            </w:r>
          </w:p>
        </w:tc>
        <w:tc>
          <w:tcPr>
            <w:tcW w:w="200" w:type="dxa"/>
            <w:vAlign w:val="bottom"/>
          </w:tcPr>
          <w:p>
            <w:pPr>
              <w:spacing w:after="0"/>
              <w:rPr>
                <w:sz w:val="19"/>
                <w:szCs w:val="19"/>
                <w:color w:val="auto"/>
              </w:rPr>
            </w:pPr>
          </w:p>
        </w:tc>
        <w:tc>
          <w:tcPr>
            <w:tcW w:w="1580" w:type="dxa"/>
            <w:vAlign w:val="bottom"/>
          </w:tcPr>
          <w:p>
            <w:pPr>
              <w:ind w:left="1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19,927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61,451</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21,450</w:t>
            </w:r>
          </w:p>
        </w:tc>
        <w:tc>
          <w:tcPr>
            <w:tcW w:w="200" w:type="dxa"/>
            <w:vAlign w:val="bottom"/>
          </w:tcPr>
          <w:p>
            <w:pPr>
              <w:spacing w:after="0"/>
              <w:rPr>
                <w:sz w:val="19"/>
                <w:szCs w:val="19"/>
                <w:color w:val="auto"/>
              </w:rPr>
            </w:pPr>
          </w:p>
        </w:tc>
        <w:tc>
          <w:tcPr>
            <w:tcW w:w="1580" w:type="dxa"/>
            <w:vAlign w:val="bottom"/>
          </w:tcPr>
          <w:p>
            <w:pPr>
              <w:ind w:left="1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21,440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140,911</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140,902</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3 $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399,377</w:t>
            </w:r>
          </w:p>
        </w:tc>
        <w:tc>
          <w:tcPr>
            <w:tcW w:w="0" w:type="dxa"/>
            <w:vAlign w:val="bottom"/>
          </w:tcPr>
          <w:p>
            <w:pPr>
              <w:spacing w:after="0"/>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 summarizes the classification of the Company’s available-for-sale investments on the Condensed 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September 30, 2022</w:t>
            </w:r>
          </w:p>
        </w:tc>
        <w:tc>
          <w:tcPr>
            <w:tcW w:w="3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401,847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167,931</w:t>
            </w:r>
          </w:p>
        </w:tc>
      </w:tr>
      <w:tr>
        <w:trPr>
          <w:trHeight w:val="230"/>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Investments</w:t>
            </w:r>
          </w:p>
        </w:tc>
        <w:tc>
          <w:tcPr>
            <w:tcW w:w="23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231,446</w:t>
            </w:r>
          </w:p>
        </w:tc>
      </w:tr>
      <w:tr>
        <w:trPr>
          <w:trHeight w:val="248"/>
        </w:trPr>
        <w:tc>
          <w:tcPr>
            <w:tcW w:w="4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401,847</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399,377</w:t>
            </w:r>
          </w:p>
        </w:tc>
      </w:tr>
      <w:tr>
        <w:trPr>
          <w:trHeight w:val="20"/>
        </w:trPr>
        <w:tc>
          <w:tcPr>
            <w:tcW w:w="43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As of September 30, 2022, the Company did not have any available-for-sale investments outstanding. As of December 31, 2021, all of the Company’s available-for-sale investments mature in one year or less.</w:t>
      </w:r>
    </w:p>
    <w:p>
      <w:pPr>
        <w:spacing w:after="0" w:line="18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There were no significant realized or unrealized losses during the three and nine months ended September 30, 2022 and 2021. No impairments were recorded during the three and nine months ended September 30, 2022 and 2021. Realized gains and losses on interest-bearing securities are recorded in “Other income (loss), net,” in the Condensed Consolidated Statements of Income.</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tab/>
        <w:t>Leases</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The Company has entered into various long-term real estate leases primarily related to office, research and development and operating activities. The Company has elected to utilize the package of practical expedients under the transition guidance of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which allows Recursion to not reassess whether any existing contract contains a lease, the classification of any existing leases and initial direct costs for any existing leases. The Company’s leases have remaining terms from 1 to 10 years and some of those leases include options that provide Recursion with the ability to extend the lease term for five years. Such options are included in the lease term when it is reasonably certain that the option will be exercised.</w:t>
      </w:r>
    </w:p>
    <w:p>
      <w:pPr>
        <w:spacing w:after="0" w:line="20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Certain leases include provisions for variable lease payments which are based on, but not limited to, maintenance, insurance, taxes and usage-based amounts. Recursion will recognize these costs as they are incurred. The Company has also elected to apply the practical expedient for short-term leases whereby Recursion does not recognize a lease liability and right-of-use asset for leases with a term of less than 12 months. The Company has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also elected to not separate consideration in the contract between lease and non-lease components of a contract that contains a lease.</w:t>
      </w:r>
    </w:p>
    <w:p>
      <w:pPr>
        <w:spacing w:after="0" w:line="252"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Recursion classifies leases as operating or finance at the lease commencement date. All outstanding leases are operating leases. Certain leases have free rent periods or escalating rent payment provisions. The Company recognizes lease cost on a straight-line basis over the term of the lease.</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Lease liabilities and right-of-use assets are calculated and recognized at the lease commencement date based on the present value of minimum lease payments over the lease term. The incremental borrowing rate is equal to the rate of interest that Recursion would have to pay to borrow on a collateralized basis over a similar term in an amount equal to the lease payments in a similar economic environment. For operating leases that commenced prior to the Company’s adoption of Topic 842, Recursion measured the lease liabilities and right-of-use assets using the incremental borrowing rate as of January 1, 2022.</w:t>
      </w:r>
    </w:p>
    <w:p>
      <w:pPr>
        <w:spacing w:after="0" w:line="20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the nine months ended September 30, 2022, Recursion entered into several lease modifications resulting in a decrease to the right-of-use assets and lease liabilities of $2.7 million and $2.8 million, respectively. The modifications resulted in an insignificant impact to the Condensed Consolidated Statements of Operations.</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February 2021, the Company entered into a lease agreement for laboratory and office space with approximately 51,869 square feet (the “Industry Lease”). This lease was separated into multiple lease components based on the intended use of the portions of the space. The right of use asset is expected to begin in the first quarter of 2023. The Industry Lease term is five years with a five-year renewal option. The lease includes provisions for escalating rent payments and a tenant improvement allowance of up to $2.1 million. Total fixed lease payments are expected to be approximately $7.6 million with additional variable expenses, including building and amenity expenses. The Company did not control the space or any of the assets being constructed as of September 30, 2022 and therefore no right of use asset or lease liability was recorded on the Condensed Consolidated Balance Sheet as of September 30, 2022.</w:t>
      </w:r>
    </w:p>
    <w:p>
      <w:pPr>
        <w:spacing w:after="0" w:line="21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May 2022, the Company entered into a lease agreement for laboratory and office space in Toronto, Ontario with approximately 26,320 square feet (the “Toronto Lease”). This lease was separated into multiple lease components based on the intended use of the portions of the space. For some of those components, the right of use began May 2022 when the control of the assets were obtained. The right of use asset for the remaining lease component is expected to begin in the second quarter of 2023. The Toronto Lease terms for each component are ten years with a five-year renewal option. The Toronto Lease includes provisions for escalating rent payments and a tenant improvement allowance of up to $1.5 million. Total fixed payments are expected to be approximately $10.8 million with additional variable expenses, including building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60" w:type="dxa"/>
            <w:vAlign w:val="bottom"/>
          </w:tcPr>
          <w:p>
            <w:pPr>
              <w:spacing w:after="0"/>
              <w:rPr>
                <w:sz w:val="20"/>
                <w:szCs w:val="20"/>
                <w:color w:val="auto"/>
              </w:rPr>
            </w:pPr>
            <w:r>
              <w:rPr>
                <w:rFonts w:ascii="Arial" w:cs="Arial" w:eastAsia="Arial" w:hAnsi="Arial"/>
                <w:sz w:val="18"/>
                <w:szCs w:val="18"/>
                <w:color w:val="auto"/>
              </w:rPr>
              <w:t>The components of the lease cost are as follows:</w:t>
            </w:r>
          </w:p>
        </w:tc>
        <w:tc>
          <w:tcPr>
            <w:tcW w:w="9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42"/>
        </w:trPr>
        <w:tc>
          <w:tcPr>
            <w:tcW w:w="5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80" w:type="dxa"/>
            <w:vAlign w:val="bottom"/>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080" w:type="dxa"/>
            <w:vAlign w:val="bottom"/>
          </w:tcPr>
          <w:p>
            <w:pPr>
              <w:jc w:val="right"/>
              <w:ind w:right="23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September 30, 2022</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r>
      <w:tr>
        <w:trPr>
          <w:trHeight w:val="23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Variable lease cost</w:t>
            </w:r>
          </w:p>
        </w:tc>
        <w:tc>
          <w:tcPr>
            <w:tcW w:w="9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r>
      <w:tr>
        <w:trPr>
          <w:trHeight w:val="248"/>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cost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6,573</w:t>
            </w:r>
          </w:p>
        </w:tc>
      </w:tr>
      <w:tr>
        <w:trPr>
          <w:trHeight w:val="20"/>
        </w:trPr>
        <w:tc>
          <w:tcPr>
            <w:tcW w:w="58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r>
        <w:trPr>
          <w:trHeight w:val="531"/>
        </w:trPr>
        <w:tc>
          <w:tcPr>
            <w:tcW w:w="5860" w:type="dxa"/>
            <w:vAlign w:val="bottom"/>
          </w:tcPr>
          <w:p>
            <w:pPr>
              <w:spacing w:after="0"/>
              <w:rPr>
                <w:sz w:val="20"/>
                <w:szCs w:val="20"/>
                <w:color w:val="auto"/>
              </w:rPr>
            </w:pPr>
            <w:r>
              <w:rPr>
                <w:rFonts w:ascii="Arial" w:cs="Arial" w:eastAsia="Arial" w:hAnsi="Arial"/>
                <w:sz w:val="18"/>
                <w:szCs w:val="18"/>
                <w:color w:val="auto"/>
              </w:rPr>
              <w:t>Lease term and discount rates as of September 30, 2022 were:</w:t>
            </w:r>
          </w:p>
        </w:tc>
        <w:tc>
          <w:tcPr>
            <w:tcW w:w="9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68"/>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9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9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ind w:left="1600"/>
              <w:spacing w:after="0"/>
              <w:rPr>
                <w:sz w:val="20"/>
                <w:szCs w:val="20"/>
                <w:color w:val="auto"/>
              </w:rPr>
            </w:pPr>
            <w:r>
              <w:rPr>
                <w:rFonts w:ascii="Arial" w:cs="Arial" w:eastAsia="Arial" w:hAnsi="Arial"/>
                <w:sz w:val="18"/>
                <w:szCs w:val="18"/>
                <w:color w:val="auto"/>
              </w:rPr>
              <w:t>7.8</w:t>
            </w:r>
          </w:p>
        </w:tc>
      </w:tr>
      <w:tr>
        <w:trPr>
          <w:trHeight w:val="229"/>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9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ind w:left="1600"/>
              <w:spacing w:after="0"/>
              <w:rPr>
                <w:sz w:val="20"/>
                <w:szCs w:val="20"/>
                <w:color w:val="auto"/>
              </w:rPr>
            </w:pPr>
            <w:r>
              <w:rPr>
                <w:rFonts w:ascii="Arial" w:cs="Arial" w:eastAsia="Arial" w:hAnsi="Arial"/>
                <w:sz w:val="18"/>
                <w:szCs w:val="18"/>
                <w:color w:val="auto"/>
                <w:w w:val="99"/>
              </w:rPr>
              <w:t>7.3 %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835"/>
        </w:trPr>
        <w:tc>
          <w:tcPr>
            <w:tcW w:w="722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as of September 30, 2022 were:</w:t>
            </w:r>
          </w:p>
        </w:tc>
        <w:tc>
          <w:tcPr>
            <w:tcW w:w="19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29"/>
        </w:trPr>
        <w:tc>
          <w:tcPr>
            <w:tcW w:w="7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Operating leases</w:t>
            </w:r>
          </w:p>
        </w:tc>
      </w:tr>
      <w:tr>
        <w:trPr>
          <w:trHeight w:val="22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1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2023</w:t>
            </w:r>
          </w:p>
        </w:tc>
        <w:tc>
          <w:tcPr>
            <w:tcW w:w="59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9,490</w:t>
            </w: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9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2025</w:t>
            </w:r>
          </w:p>
        </w:tc>
        <w:tc>
          <w:tcPr>
            <w:tcW w:w="59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8,612</w:t>
            </w: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9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r>
      <w:tr>
        <w:trPr>
          <w:trHeight w:val="229"/>
        </w:trPr>
        <w:tc>
          <w:tcPr>
            <w:tcW w:w="7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Thereafter</w:t>
            </w:r>
          </w:p>
        </w:tc>
        <w:tc>
          <w:tcPr>
            <w:tcW w:w="19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32,963</w:t>
            </w:r>
          </w:p>
        </w:tc>
      </w:tr>
      <w:tr>
        <w:trPr>
          <w:trHeight w:val="223"/>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9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70,524</w:t>
            </w:r>
          </w:p>
        </w:tc>
      </w:tr>
      <w:tr>
        <w:trPr>
          <w:trHeight w:val="229"/>
        </w:trPr>
        <w:tc>
          <w:tcPr>
            <w:tcW w:w="7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19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(18,990)</w:t>
            </w:r>
          </w:p>
        </w:tc>
      </w:tr>
      <w:tr>
        <w:trPr>
          <w:trHeight w:val="248"/>
        </w:trPr>
        <w:tc>
          <w:tcPr>
            <w:tcW w:w="7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51,534</w:t>
            </w:r>
          </w:p>
        </w:tc>
      </w:tr>
      <w:tr>
        <w:trPr>
          <w:trHeight w:val="20"/>
        </w:trPr>
        <w:tc>
          <w:tcPr>
            <w:tcW w:w="1280" w:type="dxa"/>
            <w:vAlign w:val="bottom"/>
            <w:tcBorders>
              <w:top w:val="single" w:sz="8" w:color="CCEEFF"/>
              <w:bottom w:val="single" w:sz="8" w:color="auto"/>
            </w:tcBorders>
          </w:tcPr>
          <w:p>
            <w:pPr>
              <w:spacing w:after="0" w:line="20" w:lineRule="exact"/>
              <w:rPr>
                <w:sz w:val="1"/>
                <w:szCs w:val="1"/>
                <w:color w:val="auto"/>
              </w:rPr>
            </w:pPr>
          </w:p>
        </w:tc>
        <w:tc>
          <w:tcPr>
            <w:tcW w:w="59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Prior to adoption of ASC 842, future minimum lease payments as of December 31, 2021, as disclosed in our 2021 Annual Report, were: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2023</w:t>
            </w:r>
          </w:p>
        </w:tc>
        <w:tc>
          <w:tcPr>
            <w:tcW w:w="4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7,053</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2025</w:t>
            </w:r>
          </w:p>
        </w:tc>
        <w:tc>
          <w:tcPr>
            <w:tcW w:w="4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7,513</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w:t>
            </w:r>
          </w:p>
        </w:tc>
      </w:tr>
      <w:tr>
        <w:trPr>
          <w:trHeight w:val="229"/>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26,448</w:t>
            </w:r>
          </w:p>
        </w:tc>
      </w:tr>
      <w:tr>
        <w:trPr>
          <w:trHeight w:val="248"/>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minimum payments</w:t>
            </w:r>
          </w:p>
        </w:tc>
        <w:tc>
          <w:tcPr>
            <w:tcW w:w="4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60,055</w:t>
            </w:r>
          </w:p>
        </w:tc>
      </w:tr>
      <w:tr>
        <w:trPr>
          <w:trHeight w:val="20"/>
        </w:trPr>
        <w:tc>
          <w:tcPr>
            <w:tcW w:w="5960" w:type="dxa"/>
            <w:vAlign w:val="bottom"/>
            <w:tcBorders>
              <w:top w:val="single" w:sz="8" w:color="CCEEFF"/>
              <w:bottom w:val="single" w:sz="8" w:color="auto"/>
            </w:tcBorders>
          </w:tcPr>
          <w:p>
            <w:pPr>
              <w:spacing w:after="0" w:line="20" w:lineRule="exact"/>
              <w:rPr>
                <w:sz w:val="1"/>
                <w:szCs w:val="1"/>
                <w:color w:val="auto"/>
              </w:rPr>
            </w:pPr>
          </w:p>
        </w:tc>
        <w:tc>
          <w:tcPr>
            <w:tcW w:w="4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Total rent expense was $1.7 million and $4.4 million during the three and nine months ended September 30, 2021, respectively.</w:t>
      </w:r>
    </w:p>
    <w:p>
      <w:pPr>
        <w:spacing w:after="0" w:line="25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6.</w:t>
        <w:tab/>
        <w:t>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0"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There were no changes to the carrying amount of goodwill during the three and nine months ended September 30, 2022 and 2021. No goodwill impairment was recorded during the three and nine months ended September 30, 2022 and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20" w:type="dxa"/>
            <w:vAlign w:val="bottom"/>
          </w:tcPr>
          <w:p>
            <w:pPr>
              <w:jc w:val="right"/>
              <w:ind w:right="77"/>
              <w:spacing w:after="0" w:line="147"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180" w:type="dxa"/>
            <w:vAlign w:val="bottom"/>
          </w:tcPr>
          <w:p>
            <w:pPr>
              <w:jc w:val="right"/>
              <w:ind w:right="137"/>
              <w:spacing w:after="0" w:line="147"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4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1240" w:type="dxa"/>
            <w:vAlign w:val="bottom"/>
          </w:tcPr>
          <w:p>
            <w:pPr>
              <w:jc w:val="right"/>
              <w:ind w:right="97"/>
              <w:spacing w:after="0" w:line="147" w:lineRule="exact"/>
              <w:rPr>
                <w:sz w:val="20"/>
                <w:szCs w:val="20"/>
                <w:color w:val="auto"/>
              </w:rPr>
            </w:pPr>
            <w:r>
              <w:rPr>
                <w:rFonts w:ascii="Arial" w:cs="Arial" w:eastAsia="Arial" w:hAnsi="Arial"/>
                <w:sz w:val="14"/>
                <w:szCs w:val="14"/>
                <w:b w:val="1"/>
                <w:bCs w:val="1"/>
                <w:color w:val="auto"/>
              </w:rPr>
              <w:t>Gross carrying</w:t>
            </w:r>
          </w:p>
        </w:tc>
        <w:tc>
          <w:tcPr>
            <w:tcW w:w="240" w:type="dxa"/>
            <w:vAlign w:val="bottom"/>
          </w:tcPr>
          <w:p>
            <w:pPr>
              <w:spacing w:after="0"/>
              <w:rPr>
                <w:sz w:val="12"/>
                <w:szCs w:val="12"/>
                <w:color w:val="auto"/>
              </w:rPr>
            </w:pPr>
          </w:p>
        </w:tc>
        <w:tc>
          <w:tcPr>
            <w:tcW w:w="1300" w:type="dxa"/>
            <w:vAlign w:val="bottom"/>
          </w:tcPr>
          <w:p>
            <w:pPr>
              <w:jc w:val="center"/>
              <w:ind w:right="117"/>
              <w:spacing w:after="0" w:line="147"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220" w:type="dxa"/>
            <w:vAlign w:val="bottom"/>
          </w:tcPr>
          <w:p>
            <w:pPr>
              <w:jc w:val="right"/>
              <w:ind w:right="217"/>
              <w:spacing w:after="0" w:line="147"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5"/>
        </w:trPr>
        <w:tc>
          <w:tcPr>
            <w:tcW w:w="24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line="183" w:lineRule="exact"/>
              <w:rPr>
                <w:sz w:val="20"/>
                <w:szCs w:val="20"/>
                <w:color w:val="auto"/>
              </w:rPr>
            </w:pPr>
            <w:r>
              <w:rPr>
                <w:rFonts w:ascii="Arial" w:cs="Arial" w:eastAsia="Arial" w:hAnsi="Arial"/>
                <w:sz w:val="18"/>
                <w:szCs w:val="18"/>
                <w:color w:val="auto"/>
              </w:rPr>
              <w:t>Indefinite-lived intangible</w:t>
            </w: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2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35"/>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asset</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300"/>
        <w:spacing w:after="0" w:line="318" w:lineRule="auto"/>
        <w:rPr>
          <w:sz w:val="20"/>
          <w:szCs w:val="20"/>
          <w:color w:val="auto"/>
        </w:rPr>
      </w:pPr>
      <w:r>
        <w:rPr>
          <w:rFonts w:ascii="Arial" w:cs="Arial" w:eastAsia="Arial" w:hAnsi="Arial"/>
          <w:sz w:val="17"/>
          <w:szCs w:val="17"/>
          <w:color w:val="auto"/>
        </w:rPr>
        <w:t>Amortization expense was $76 thousand and $228 thousand during the three and nine months ended September 30, 2022 and 2021, respectively. Amortization expense was included in research and development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indefinite-lived intangible asset represents the Recursion domain name that the Company purchased. No indefinite-lived intangible asset impairment charges were recorded during the three and nine months ended September 30, 2022 and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Contract Obligations</w:t>
      </w:r>
    </w:p>
    <w:p>
      <w:pPr>
        <w:spacing w:after="0" w:line="250"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1E1E1E"/>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on notice and are cancellable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Indemnification</w:t>
      </w:r>
    </w:p>
    <w:p>
      <w:pPr>
        <w:spacing w:after="0" w:line="2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1E1E1E"/>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This is intended to limit the Company’s exposure and enable it to recover a portion of any amounts it pays under its indemnification obligations. The Company had no liabilities recorded for these agreements as of September 30, 2022 and December 31, 2021, as no amounts are probable or estimable.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Employee Agreements</w:t>
      </w:r>
    </w:p>
    <w:p>
      <w:pPr>
        <w:spacing w:after="0" w:line="250" w:lineRule="exact"/>
        <w:rPr>
          <w:sz w:val="20"/>
          <w:szCs w:val="20"/>
          <w:color w:val="auto"/>
        </w:rPr>
      </w:pPr>
    </w:p>
    <w:p>
      <w:pPr>
        <w:jc w:val="both"/>
        <w:ind w:right="20"/>
        <w:spacing w:after="0" w:line="318" w:lineRule="auto"/>
        <w:rPr>
          <w:sz w:val="20"/>
          <w:szCs w:val="20"/>
          <w:color w:val="auto"/>
        </w:rPr>
      </w:pPr>
      <w:r>
        <w:rPr>
          <w:rFonts w:ascii="Arial" w:cs="Arial" w:eastAsia="Arial" w:hAnsi="Arial"/>
          <w:sz w:val="17"/>
          <w:szCs w:val="17"/>
          <w:color w:val="1E1E1E"/>
        </w:rPr>
        <w:t>The Company has signed employment agreements with certain key employees pursuant to which, if their employment is terminated following a change of control of the Company, the employees are entitled to receive certain benefits, including accelerated vesting of equity incentives.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Legal Matters</w:t>
      </w:r>
    </w:p>
    <w:p>
      <w:pPr>
        <w:spacing w:after="0" w:line="250"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1E1E1E"/>
        </w:rPr>
        <w:t>The Company is not currently a party to any material litigation or other material legal proceedings. The Company may, from time to time, be involved in various legal proceedings arising in the normal course of business. An unfavorable resolution of any such matter could materially affect the Company’s future financial position, results of operations or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Each share of Class A common stock entitles the holder to one vote per share and each share of Class B common stock entitles the holder to 10 votes per share on all matters submitted to a vote of the Company’s stockholders. Common stockholders are entitled to receive dividends, as may be declared by the Company’s Board of Directors. As of September 30, 2022 and December 31, 2021, no dividends had been declared.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Initial Public Offering</w:t>
      </w:r>
    </w:p>
    <w:p>
      <w:pPr>
        <w:spacing w:after="0" w:line="25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1E1E1E"/>
        </w:rPr>
        <w:t>On April 20, 2021, the Company closed its IPO and issued 27,878,787 shares of its Class A common stock at a price of $18.00 per share for net proceeds of $462.4 million, after deducting underwriting discounts and commissions of $35.1 million and other offering costs of $4.3 million. In connection with the IPO, all shares of convertible preferred stock converted into 115,598,018 shares of Class A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Stock Split</w:t>
      </w:r>
    </w:p>
    <w:p>
      <w:pPr>
        <w:spacing w:after="0" w:line="2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April 2021</w:t>
      </w:r>
      <w:r>
        <w:rPr>
          <w:rFonts w:ascii="Arial" w:cs="Arial" w:eastAsia="Arial" w:hAnsi="Arial"/>
          <w:sz w:val="18"/>
          <w:szCs w:val="18"/>
          <w:color w:val="auto"/>
        </w:rPr>
        <w:t xml:space="preserve">, the Board of Directors approved a 1.5-for-1 forward stock split of the Company’s common and convertible preferred stock. Each shareholder of record on </w:t>
      </w:r>
      <w:r>
        <w:rPr>
          <w:rFonts w:ascii="Arial" w:cs="Arial" w:eastAsia="Arial" w:hAnsi="Arial"/>
          <w:sz w:val="18"/>
          <w:szCs w:val="18"/>
          <w:color w:val="1E1E1E"/>
        </w:rPr>
        <w:t>April 9, 2021</w:t>
      </w:r>
      <w:r>
        <w:rPr>
          <w:rFonts w:ascii="Arial" w:cs="Arial" w:eastAsia="Arial" w:hAnsi="Arial"/>
          <w:sz w:val="18"/>
          <w:szCs w:val="18"/>
          <w:color w:val="auto"/>
        </w:rPr>
        <w:t xml:space="preserve"> received 1.5 shares for each then-held share. The split proportionally increased the authorized shares and did not change the par values of the Company’s stock. The split affected all stockholders uniformly and did not affect any stockholder's ownership percentage of the Company's shares of common stock. All shares and per share amounts presented within these Condensed Consolidated Financial Statements were adjusted to reflect the forward stock split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B Common Shares Authorization</w:t>
      </w:r>
    </w:p>
    <w:p>
      <w:pPr>
        <w:spacing w:after="0" w:line="25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April 2021</w:t>
      </w:r>
      <w:r>
        <w:rPr>
          <w:rFonts w:ascii="Arial" w:cs="Arial" w:eastAsia="Arial" w:hAnsi="Arial"/>
          <w:sz w:val="18"/>
          <w:szCs w:val="18"/>
          <w:color w:val="auto"/>
        </w:rPr>
        <w:t>,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w:t>
      </w:r>
    </w:p>
    <w:p>
      <w:pPr>
        <w:spacing w:after="0" w:line="2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Class B common stock is held by Christopher Gibson, Ph.D., the Company’s Chief Executive Officer (CEO), or his affiliates. As of September 30, 2022, Dr. Gibson and his affiliates held outstanding shares of Class B common stock representing approximately 32% of the voting power of the Company’s outstanding shares. This voting power may increase over time as Dr. Gibson vests in and exercises equity awards outstanding. If all the exchangeable equity awards held by Dr. Gibson had been fully vested, exercised and exchanged for shares of Class B common stock as of September 30, 2022, Dr. Gibson and his affiliates would hold approximately 35% of the voting power of the Company’s outstanding shares. As a result, Dr. Gibson will be able to significantly influence any action requiring the approval of Recursion stockholders, including the election of the Board of Directors; the adoption of amendments to the Company’s certificate of incorporation and bylaws; and the approval of any merger, consolidation, sale of all or substantially all of the Company’s assets, or other major corporate transaction.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Note 9. Collaborative Development Contracts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Genentech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December 2021, Recursion entered into a collaboration and license agreement with Roche and Genentech (collectively referred to as Roche). Recursion is constructing, using the Company’s imaging technology and proprietary machine-learning algorithms, unique maps of the inferred relationships amongst perturbation phenotypes in a given cellular context with the goal to discover and develop therapeutic small molecule programs in a gastrointestinal cancer indication and in key areas of neuroscience. Roche and Recursion will collaborate to select certain novel inferences with respect to small molecules or targets generated from the Phenomaps for further validation and optimization as collaboration programs. Roche and Recursion may also combine sequencing datasets from Roche with Recursion’s Phenomaps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2022, Recursion received a $150.0 million non-refundable upfront payment from the Company’s collaboration with Roche.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Recursion is eligible for additional milestone payments based on performance progress of the collaboration. Each of the Phenomaps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requested by Roche and created by Recursion may be subject to either an initiation fee, acceptance fee or both. Such fees could exceed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 million for 16 accepted Phenomaps. In addition, for a period of time after Roche’s acceptance of certain Phenomaps, Roche will have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option to obtain, subject to payment of an exercise fee, rights to use outside the collaboration the raw images generated in the course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creating those Phenomaps. If Roche exercises its external use option for all 12 eligible Phenomaps, Roche’s associated exercise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 to Recursion could exceed $250.0 million. Under the collaboration, Roche may initiate up to 40 programs, each of which,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successfully developed and commercialized, could yield more than $300.0 million in development, commercialization and net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milestones for Recursion, as well as tiered royalties on net revenue.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agreement represents a transaction with a customer and therefore will be accounted for in accordance with ASC 606. Recursion has determined that it has three performance obligations, one related to gastrointestinal cancer and two in neuroscience. These performance obligations are for performing research and development services for Roche to identify targets and medicines.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 Company has determined the transaction price to be $150.0 million, comprised of the upfront payment. Recursion will fully constrain the amounts of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transaction price was allocated to the performance obligations based on the estimated relative stand-alone selling price of each performance obligation as determined using an expected cost plus margin approach.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length of time required, service hours performed by Company employees and materials costs. A significant change in these estimates could have a material effect on the timing and amount of revenue recognized in future periods. Recursion has estimated the completion of the performance obligations by 2025.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AG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August 2020, the Company entered into a Research Collaboration and Option Agreement (the Bayer Agreement) with Bayer AG (Bayer) for a five-year term pursuant to which the Company and Bayer may initiate approximately 10 research projects related to fibrosis across multiple organ systems, including the lung, liver and heart. Under the agreement, the Company contributed compounds from its proprietary library and Bayer contributed compounds from its proprietary library and will contribute scientific expertise throughout the collaboration. Under each research project, the Company will work with Bayer to identify potential candidates for development. Under the agreement, Bayer has the first option for licenses to potential candidates.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October 2020, the Company received a $30.0 million non-refundable upfront payment. Each such license could potentially result in option exercise fees and development and commercial milestone payments payable to the Company, with an aggregate value of up to approximately $100.0 million (for an option on a lead series) or up to approximately $120.0 million (for an option on a development candidate), as well as tiered royalties for each such license, ranging from low- to mid-single digit percentages of sales, depending on commercial success.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determined that it has one performance obligation under the agreement, which is to perform research and development services for Bayer. Recursion determined the transaction price to be $30.0 million, comprised of the upfront payment. The Company allocated the amount to the single performance obligation. The Company is recognizing revenue over time by measuring progress towards completion of the performance obligation. This method of recognizing revenue requires the Company to make estimates of the total time to provide the services required under the performance obligation. A significant change in these estimates could have a material effect on the timing and amount of revenue recognized in future periods. For the nine months ended September 30, 2021, cost of revenue for this agreement was insignificant and was included within “Research and development” in the Condensed Consolidated Statement of Operations. Recursion has estimated the completion of the performance obligation by 2023.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Revenue Disclosures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Recursion recognized $13.1 million and $26.0 million of operating revenue during the three and nine months ended September 30, 2022, respectively, of which $2.5 million and $7.5 million were included in the unearned revenue balance as of December 31, 2021. All revenue recognized during the three and nine months ended September 30, 2021 was included in the unearned revenue balance as of December 31, 2020. Revenue recognized was from upfront payments received at the inception of the related contracts, which decreased the initial unearned revenue recognized. Unearned revenue of $ 150.0 million was recorded on the Condensed Consolidated Balance Sheet during the nine months ended September 30, 2022 related to the upfront payment from the Roche collaboration. As of September 30, 2022, the Company had $6.5 million of costs incurred to fulfill a contract on its Condensed Consolidated Balance Sheet within “Other 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Unearned revenue was classified as short-term and long-term on the Condensed Consolidated Balance Sheets based on the Company’s estimate of revenue that will be recognized during the next twelve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5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April 2021, the Board of Directors and the stockholders of the Company adopted the 2021 Equity Incentive Plan (the 2021 Plan). Under the 2021 Plan, 16,186,000 shares of Class A common stock were reserved. Additionally, shares were reserved for all outstanding awards under the previous 2016 Plan. The Company may grant stock options, restricted stock units (RSUs), stock appreciation rights, restricted stock awards and other forms of stock-based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15,161,662 shares of Class A common stock were available for grant.</w:t>
      </w:r>
    </w:p>
    <w:p>
      <w:pPr>
        <w:spacing w:after="0" w:line="25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presents the classification of stock-based compensation expense for stock options and RSUs for employees and non-employees within the Condensed Consolidated Statements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6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304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1"/>
                <w:szCs w:val="21"/>
                <w:color w:val="auto"/>
              </w:rPr>
            </w:pPr>
          </w:p>
        </w:tc>
      </w:tr>
      <w:tr>
        <w:trPr>
          <w:trHeight w:val="223"/>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3,674</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7,404</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2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10,534</w:t>
            </w: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w:t>
            </w:r>
          </w:p>
        </w:tc>
      </w:tr>
      <w:tr>
        <w:trPr>
          <w:trHeight w:val="223"/>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8,653</w:t>
            </w:r>
          </w:p>
        </w:tc>
        <w:tc>
          <w:tcPr>
            <w:tcW w:w="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19,498</w:t>
            </w:r>
          </w:p>
        </w:tc>
        <w:tc>
          <w:tcPr>
            <w:tcW w:w="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9,771</w:t>
            </w:r>
          </w:p>
        </w:tc>
      </w:tr>
      <w:tr>
        <w:trPr>
          <w:trHeight w:val="21"/>
        </w:trPr>
        <w:tc>
          <w:tcPr>
            <w:tcW w:w="4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Stock options generally vest over four years and expire no later than 10 years from the date of grant. The following table summarizes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Recursion’s stock option activity during the nine months ended September 30, 2022: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36"/>
              <w:spacing w:after="0"/>
              <w:rPr>
                <w:sz w:val="20"/>
                <w:szCs w:val="20"/>
                <w:color w:val="auto"/>
              </w:rPr>
            </w:pPr>
            <w:r>
              <w:rPr>
                <w:rFonts w:ascii="Arial" w:cs="Arial" w:eastAsia="Arial" w:hAnsi="Arial"/>
                <w:sz w:val="14"/>
                <w:szCs w:val="14"/>
                <w:b w:val="1"/>
                <w:bCs w:val="1"/>
                <w:color w:val="auto"/>
              </w:rPr>
              <w:t>Weighted-average</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154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thousands except share data)</w:t>
            </w:r>
          </w:p>
        </w:tc>
        <w:tc>
          <w:tcPr>
            <w:tcW w:w="19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4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9"/>
              </w:rPr>
              <w:t>exercise</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contractual life (in</w:t>
            </w: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8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price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19,191,714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260,867</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2,483,336</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11.10</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(1,435,146)</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(3,063,033)</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21,904</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2022</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17,176,871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113,301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Exercisable as of September 30, 2022</w:t>
            </w:r>
          </w:p>
        </w:tc>
        <w:tc>
          <w:tcPr>
            <w:tcW w:w="1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8,769,773</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3.36</w:t>
            </w:r>
          </w:p>
        </w:tc>
        <w:tc>
          <w:tcPr>
            <w:tcW w:w="2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w:t>
            </w:r>
          </w:p>
        </w:tc>
        <w:tc>
          <w:tcPr>
            <w:tcW w:w="360" w:type="dxa"/>
            <w:vAlign w:val="bottom"/>
            <w:tcBorders>
              <w:bottom w:val="single" w:sz="8" w:color="auto"/>
            </w:tcBorders>
          </w:tcPr>
          <w:p>
            <w:pPr>
              <w:jc w:val="right"/>
              <w:ind w:right="155"/>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69,776</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fair value of options granted to employees is calculated on the grant date using the Black-Scholes option valuation model. The weighted-average grant-date fair values of stock options granted during the nine months ended September 30, 2022 and 2021 were $6.57 and $6.41,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calculate the grant-date fair value of stock options:</w:t>
      </w:r>
    </w:p>
    <w:p>
      <w:pPr>
        <w:spacing w:after="0" w:line="29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r>
      <w:tr>
        <w:trPr>
          <w:trHeight w:val="22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1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6.2</w:t>
            </w: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6.2</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63 %</w:t>
            </w:r>
          </w:p>
        </w:tc>
        <w:tc>
          <w:tcPr>
            <w:tcW w:w="182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1.9 %</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As of September 30, 2022, $ 32.8 million of unrecognized compensation cost related to stock options is expected to be recognized as expense over approximately the next three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5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April 2021, Recursion redesigned certain aspects of its long-term incentive program. As a result, equity awards granted to employees since the redesign generally consist of a combination of stock options and RSUs. RSUs awarded to employees pursuant to the 2021 Plan generally vest over four years. The weighted-average grant-date fair value of RSUs generally is determined based on the number of units granted and the quoted price of Recursion’s common stock on the date of grant.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RSU activity during the nine months ended September 30,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374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Stock units</w:t>
            </w:r>
          </w:p>
        </w:tc>
        <w:tc>
          <w:tcPr>
            <w:tcW w:w="2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478,136</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Granted</w:t>
            </w:r>
          </w:p>
        </w:tc>
        <w:tc>
          <w:tcPr>
            <w:tcW w:w="3740" w:type="dxa"/>
            <w:vAlign w:val="bottom"/>
          </w:tcPr>
          <w:p>
            <w:pPr>
              <w:jc w:val="right"/>
              <w:spacing w:after="0"/>
              <w:rPr>
                <w:sz w:val="20"/>
                <w:szCs w:val="20"/>
                <w:color w:val="auto"/>
              </w:rPr>
            </w:pPr>
            <w:r>
              <w:rPr>
                <w:rFonts w:ascii="Arial" w:cs="Arial" w:eastAsia="Arial" w:hAnsi="Arial"/>
                <w:sz w:val="18"/>
                <w:szCs w:val="18"/>
                <w:color w:val="auto"/>
              </w:rPr>
              <w:t>7,300,841</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(476,567)</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3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(323,970)</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2022</w:t>
            </w:r>
          </w:p>
        </w:tc>
        <w:tc>
          <w:tcPr>
            <w:tcW w:w="3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6,978,440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37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60"/>
        <w:spacing w:after="0" w:line="318" w:lineRule="auto"/>
        <w:rPr>
          <w:sz w:val="20"/>
          <w:szCs w:val="20"/>
          <w:color w:val="auto"/>
        </w:rPr>
      </w:pPr>
      <w:r>
        <w:rPr>
          <w:rFonts w:ascii="Arial" w:cs="Arial" w:eastAsia="Arial" w:hAnsi="Arial"/>
          <w:sz w:val="17"/>
          <w:szCs w:val="17"/>
          <w:color w:val="auto"/>
        </w:rPr>
        <w:t>The fair market value of RSUs vested was $5.6 million during the nine months ended September 30, 2022. As of September 30, 2022, $51.2 million of unrecognized compensation cost related to RSUs is expected to be recognized as expense over approximately the next four years.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2016, the Company issued fully vested warrants to purchase 84,486 shares of Series A Preferred Stock (First Series A warrant) at a purchase price of $0.71 per share. In May 2017, the Company drew on additional borrowing capacity, which required the Company to issue additional fully vested warrants to purchase for 28,161 shares of Series A Preferred Stock at a purchase price of $ 0.71 per share (Second Series A warrant and together with the First Series A warrant, the Series A warrants). These Series A warrants were exercised in April 2021.</w:t>
      </w:r>
    </w:p>
    <w:p>
      <w:pPr>
        <w:spacing w:after="0" w:line="20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July 2018, the Company drew on additional borrowing capacity pursuant to an amended agreement. This required the Company to issue fully vested warrants to purchase 25,762 shares of Series B Preferred Stock (Series B warrants) at a purchase price of $2.79 per share. These Series B warrants were exercised in April 2021.</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FASB has issued accounting guidance on the classification of freestanding warrants and other similar instruments for shares that are redeemable (either puttable or mandatorily redeemable). The guidance requires liability classification for certain warrants that are exercisable into convertible preferred stock. The initial fair values of the Series A and B warrants were recorded as debt issuance costs, which resulted in a reduction in the carrying value of the debt and subsequent accretion. The Company remeasured the Series A and B warrants on each Condensed Consolidated Balance Sheet date. The change in valuation was recorded in the Condensed Consolidated Statements of Operations in “Other income (loss), net.” The liability was recorded to equity upon the exercise of the Series A and B warrants.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Company’s Series A and B warrant liability balance during the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9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3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Increase in fair value of warrants</w:t>
            </w:r>
          </w:p>
        </w:tc>
        <w:tc>
          <w:tcPr>
            <w:tcW w:w="39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2,215</w:t>
            </w:r>
          </w:p>
        </w:tc>
      </w:tr>
      <w:tr>
        <w:trPr>
          <w:trHeight w:val="230"/>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Recorded in equity upon exercise</w:t>
            </w:r>
          </w:p>
        </w:tc>
        <w:tc>
          <w:tcPr>
            <w:tcW w:w="39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r>
      <w:tr>
        <w:trPr>
          <w:trHeight w:val="22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September 30, 2021</w:t>
            </w:r>
          </w:p>
        </w:tc>
        <w:tc>
          <w:tcPr>
            <w:tcW w:w="3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did not record any income tax expense during the three and nine months ended September 30, 2022 and 2021. The Company has historically incurred operating losses and maintains a full valuation allowance against its net deferred tax assets. Foreign taxes were insignificant during the three and nine months ended September 30, 2022 and 2021.</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Net operating losses (NOLs) and tax credit carryforwards are subject to review and possible adjustment by the Internal Revenue Service (“IRS”) and may become subject to annual limitation due to ownership changes that have occurred previously or that could occur in the future under Section 382 of the Internal Revenue Code, as amended and similar state provisions.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the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21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files income tax returns in the United States, Canada, Utah, California and Massachusetts. The Company is not currently under examination in any of these jurisdictions. The Company is subject to income tax examinations on all federal returns since the 2018 tax return.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Note 12. Net Loss Per Share</w:t>
      </w:r>
    </w:p>
    <w:p>
      <w:pPr>
        <w:spacing w:after="0" w:line="2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For the three and nine months ended September 30, 2022 and 2021, Recursion calculated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RSUs and other contingently issuable shares. For periods presented in which the Company reports a net loss, all potentially dilutive shares are anti-dilutive and as such are excluded from the calculation. </w:t>
      </w:r>
      <w:r>
        <w:rPr>
          <w:rFonts w:ascii="Arial" w:cs="Arial" w:eastAsia="Arial" w:hAnsi="Arial"/>
          <w:sz w:val="18"/>
          <w:szCs w:val="18"/>
          <w:color w:val="1E1E1E"/>
        </w:rPr>
        <w:t>For the three and</w:t>
      </w:r>
      <w:r>
        <w:rPr>
          <w:rFonts w:ascii="Arial" w:cs="Arial" w:eastAsia="Arial" w:hAnsi="Arial"/>
          <w:sz w:val="18"/>
          <w:szCs w:val="18"/>
          <w:color w:val="auto"/>
        </w:rPr>
        <w:t xml:space="preserve"> nine months ended September 30, 2022 and 2021</w:t>
      </w:r>
      <w:r>
        <w:rPr>
          <w:rFonts w:ascii="Arial" w:cs="Arial" w:eastAsia="Arial" w:hAnsi="Arial"/>
          <w:sz w:val="18"/>
          <w:szCs w:val="18"/>
          <w:color w:val="1E1E1E"/>
        </w:rPr>
        <w:t>, the Company reported a net loss and therefore basic</w:t>
      </w:r>
      <w:r>
        <w:rPr>
          <w:rFonts w:ascii="Arial" w:cs="Arial" w:eastAsia="Arial" w:hAnsi="Arial"/>
          <w:sz w:val="18"/>
          <w:szCs w:val="18"/>
          <w:color w:val="auto"/>
        </w:rPr>
        <w:t xml:space="preserve"> </w:t>
      </w:r>
      <w:r>
        <w:rPr>
          <w:rFonts w:ascii="Arial" w:cs="Arial" w:eastAsia="Arial" w:hAnsi="Arial"/>
          <w:sz w:val="18"/>
          <w:szCs w:val="18"/>
          <w:color w:val="1E1E1E"/>
        </w:rPr>
        <w:t>and diluted loss per share are the same.</w:t>
      </w:r>
    </w:p>
    <w:p>
      <w:pPr>
        <w:spacing w:after="0" w:line="2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rights, including the liquidation and dividend rights, of the holders of the Company’s Class A and Class B common stock are identical, except with respect to voting. As a result, the undistributed earnings for each period are allocated based on the contractual participation rights of the Class A and Class B common shares as if the earnings for the period had been distributed. As the liquidation and dividend rights are identical, the undistributed earnings are allocated on a proportionate basis and the resulting amount per share for Class A and Class B common stock was the same during the three and nine months ended September 30, 2022 and 2021.</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basic and diluted net loss per share of Class A and Class B common stock:</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9"/>
                <w:szCs w:val="19"/>
                <w:color w:val="auto"/>
              </w:rPr>
            </w:pPr>
          </w:p>
        </w:tc>
        <w:tc>
          <w:tcPr>
            <w:tcW w:w="266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9"/>
              </w:rPr>
              <w:t>September 30, 2022</w:t>
            </w:r>
          </w:p>
        </w:tc>
        <w:tc>
          <w:tcPr>
            <w:tcW w:w="240" w:type="dxa"/>
            <w:vAlign w:val="bottom"/>
          </w:tcPr>
          <w:p>
            <w:pPr>
              <w:spacing w:after="0"/>
              <w:rPr>
                <w:sz w:val="20"/>
                <w:szCs w:val="20"/>
                <w:color w:val="auto"/>
              </w:rPr>
            </w:pPr>
          </w:p>
        </w:tc>
        <w:tc>
          <w:tcPr>
            <w:tcW w:w="266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September 30, 2022</w:t>
            </w:r>
          </w:p>
        </w:tc>
      </w:tr>
      <w:tr>
        <w:trPr>
          <w:trHeight w:val="223"/>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amount)</w:t>
            </w: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A</w:t>
            </w: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B</w:t>
            </w:r>
          </w:p>
        </w:tc>
        <w:tc>
          <w:tcPr>
            <w:tcW w:w="2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A</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B</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Allocation of undistributed earnings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(173,167)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165,518,152</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7,917,818</w:t>
            </w:r>
          </w:p>
        </w:tc>
        <w:tc>
          <w:tcPr>
            <w:tcW w:w="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163,783,626</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8,339,348</w:t>
            </w:r>
          </w:p>
        </w:tc>
      </w:tr>
      <w:tr>
        <w:trPr>
          <w:trHeight w:val="223"/>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1"/>
        </w:trPr>
        <w:tc>
          <w:tcPr>
            <w:tcW w:w="5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4"/>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6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5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September 30, 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September 30, 2021</w:t>
            </w:r>
          </w:p>
        </w:tc>
      </w:tr>
      <w:tr>
        <w:trPr>
          <w:trHeight w:val="277"/>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(in thousands, </w:t>
            </w:r>
            <w:r>
              <w:rPr>
                <w:rFonts w:ascii="Arial" w:cs="Arial" w:eastAsia="Arial" w:hAnsi="Arial"/>
                <w:sz w:val="14"/>
                <w:szCs w:val="14"/>
                <w:b w:val="1"/>
                <w:bCs w:val="1"/>
                <w:color w:val="1E1E1E"/>
              </w:rPr>
              <w:t>except share amounts</w:t>
            </w: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Class A</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Class B</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A</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B</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Allocation of undistributed earnings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159,065,667</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9,467,883</w:t>
            </w:r>
          </w:p>
        </w:tc>
        <w:tc>
          <w:tcPr>
            <w:tcW w:w="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101,045,348</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9,467,883</w:t>
            </w:r>
          </w:p>
        </w:tc>
      </w:tr>
      <w:tr>
        <w:trPr>
          <w:trHeight w:val="223"/>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1E1E1E"/>
        </w:rPr>
        <w:t>The Company excluded the following potential common shares from the computation of diluted net loss per share for the periods indicated because including them would have had an anti-dilutive effect: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60" w:type="dxa"/>
            <w:vAlign w:val="bottom"/>
          </w:tcPr>
          <w:p>
            <w:pPr>
              <w:spacing w:after="0"/>
              <w:rPr>
                <w:sz w:val="19"/>
                <w:szCs w:val="19"/>
                <w:color w:val="auto"/>
              </w:rPr>
            </w:pPr>
          </w:p>
        </w:tc>
        <w:tc>
          <w:tcPr>
            <w:tcW w:w="45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Three months ended September 30,</w:t>
            </w:r>
          </w:p>
        </w:tc>
        <w:tc>
          <w:tcPr>
            <w:tcW w:w="3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Nine months ended September 30,</w:t>
            </w:r>
          </w:p>
        </w:tc>
      </w:tr>
      <w:tr>
        <w:trPr>
          <w:trHeight w:val="235"/>
        </w:trPr>
        <w:tc>
          <w:tcPr>
            <w:tcW w:w="33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2022</w:t>
            </w: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2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2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46,324,206</w:t>
            </w:r>
          </w:p>
        </w:tc>
      </w:tr>
      <w:tr>
        <w:trPr>
          <w:trHeight w:val="256"/>
        </w:trPr>
        <w:tc>
          <w:tcPr>
            <w:tcW w:w="336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2980" w:type="dxa"/>
            <w:vAlign w:val="bottom"/>
          </w:tcPr>
          <w:p>
            <w:pPr>
              <w:jc w:val="right"/>
              <w:ind w:right="250"/>
              <w:spacing w:after="0"/>
              <w:rPr>
                <w:sz w:val="20"/>
                <w:szCs w:val="20"/>
                <w:color w:val="auto"/>
              </w:rPr>
            </w:pPr>
            <w:r>
              <w:rPr>
                <w:rFonts w:ascii="Arial" w:cs="Arial" w:eastAsia="Arial" w:hAnsi="Arial"/>
                <w:sz w:val="18"/>
                <w:szCs w:val="18"/>
                <w:color w:val="auto"/>
              </w:rPr>
              <w:t>12,570,320</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16,801,940</w:t>
            </w: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10,849,853</w:t>
            </w:r>
          </w:p>
        </w:tc>
        <w:tc>
          <w:tcPr>
            <w:tcW w:w="1360" w:type="dxa"/>
            <w:vAlign w:val="bottom"/>
          </w:tcPr>
          <w:p>
            <w:pPr>
              <w:jc w:val="right"/>
              <w:spacing w:after="0"/>
              <w:rPr>
                <w:sz w:val="20"/>
                <w:szCs w:val="20"/>
                <w:color w:val="auto"/>
              </w:rPr>
            </w:pPr>
            <w:r>
              <w:rPr>
                <w:rFonts w:ascii="Arial" w:cs="Arial" w:eastAsia="Arial" w:hAnsi="Arial"/>
                <w:sz w:val="18"/>
                <w:szCs w:val="18"/>
                <w:color w:val="auto"/>
              </w:rPr>
              <w:t>15,511,538</w:t>
            </w:r>
          </w:p>
        </w:tc>
      </w:tr>
      <w:tr>
        <w:trPr>
          <w:trHeight w:val="230"/>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29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163,958</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180,479</w:t>
            </w:r>
          </w:p>
        </w:tc>
      </w:tr>
      <w:tr>
        <w:trPr>
          <w:trHeight w:val="223"/>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12,570,320</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16,965,898</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10,849,853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62,016,223</w:t>
            </w: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consists of the following three levels:</w:t>
      </w:r>
    </w:p>
    <w:p>
      <w:pPr>
        <w:spacing w:after="0" w:line="252" w:lineRule="exact"/>
        <w:rPr>
          <w:sz w:val="20"/>
          <w:szCs w:val="20"/>
          <w:color w:val="auto"/>
        </w:rPr>
      </w:pPr>
    </w:p>
    <w:p>
      <w:pPr>
        <w:ind w:left="660" w:right="32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that the company has the ability to access;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1"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19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Company is required to maintain a cash balance in a collateralized account to secure the Company’s credit cards. Additionally, the Company holds restricted cash related to an outstanding letter of credit issued by J.P. Morgan, which was obtained to secure certain Company obligations relating to tenant improvements.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assets and liabilities that are measured at fair value on a recurring basis: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Basis of fair value measurement</w:t>
            </w:r>
          </w:p>
        </w:tc>
      </w:tr>
      <w:tr>
        <w:trPr>
          <w:trHeight w:val="20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September 30, 2022</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3</w:t>
            </w:r>
          </w:p>
        </w:tc>
      </w:tr>
      <w:tr>
        <w:trPr>
          <w:trHeight w:val="218"/>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5"/>
        </w:trPr>
        <w:tc>
          <w:tcPr>
            <w:tcW w:w="35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401,847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401,847</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w:t>
            </w:r>
          </w:p>
        </w:tc>
        <w:tc>
          <w:tcPr>
            <w:tcW w:w="17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10,244</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10,244</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48"/>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412,091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412,091</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35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gridSpan w:val="4"/>
          </w:tcPr>
          <w:p>
            <w:pPr>
              <w:spacing w:after="0" w:line="20" w:lineRule="exact"/>
              <w:rPr>
                <w:sz w:val="1"/>
                <w:szCs w:val="1"/>
                <w:color w:val="auto"/>
              </w:rPr>
            </w:pPr>
          </w:p>
        </w:tc>
      </w:tr>
      <w:tr>
        <w:trPr>
          <w:trHeight w:val="311"/>
        </w:trPr>
        <w:tc>
          <w:tcPr>
            <w:tcW w:w="3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Basis of fair value measurement</w:t>
            </w:r>
          </w:p>
        </w:tc>
      </w:tr>
      <w:tr>
        <w:trPr>
          <w:trHeight w:val="21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December 31, 2021</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3</w:t>
            </w:r>
          </w:p>
        </w:tc>
      </w:tr>
      <w:tr>
        <w:trPr>
          <w:trHeight w:val="218"/>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5"/>
        </w:trPr>
        <w:tc>
          <w:tcPr>
            <w:tcW w:w="35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7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12,000</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12,000</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7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200</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7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10,233</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10,233</w:t>
            </w:r>
          </w:p>
        </w:tc>
        <w:tc>
          <w:tcPr>
            <w:tcW w:w="280" w:type="dxa"/>
            <w:vAlign w:val="bottom"/>
          </w:tcPr>
          <w:p>
            <w:pPr>
              <w:spacing w:after="0"/>
              <w:rPr>
                <w:sz w:val="19"/>
                <w:szCs w:val="19"/>
                <w:color w:val="auto"/>
              </w:rPr>
            </w:pP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7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3580" w:type="dxa"/>
            <w:vAlign w:val="bottom"/>
          </w:tcPr>
          <w:p>
            <w:pPr>
              <w:ind w:left="240"/>
              <w:spacing w:after="0"/>
              <w:rPr>
                <w:sz w:val="20"/>
                <w:szCs w:val="20"/>
                <w:color w:val="auto"/>
              </w:rPr>
            </w:pPr>
            <w:r>
              <w:rPr>
                <w:rFonts w:ascii="Arial" w:cs="Arial" w:eastAsia="Arial" w:hAnsi="Arial"/>
                <w:sz w:val="18"/>
                <w:szCs w:val="18"/>
                <w:color w:val="auto"/>
              </w:rPr>
              <w:t>U.S. government debt</w:t>
            </w:r>
          </w:p>
        </w:tc>
        <w:tc>
          <w:tcPr>
            <w:tcW w:w="17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19,927</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19,927</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7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61,177</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61,177</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17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21,440</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21,440</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7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128,902</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128,902</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3"/>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409,610</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165,964</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243,646 $</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addition to the financial instruments that are recognized at fair value on the Condensed Consolidated Balance Sheet, the Company has certain financial instruments that are recognized at amortized cost or some basis other than fair value. The carrying amount of these instruments are considered to be representative of their approximate fair values.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financial instruments that are not measured at fair value: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4"/>
          </w:tcPr>
          <w:p>
            <w:pPr>
              <w:ind w:left="1320"/>
              <w:spacing w:after="0"/>
              <w:rPr>
                <w:sz w:val="20"/>
                <w:szCs w:val="20"/>
                <w:color w:val="auto"/>
              </w:rPr>
            </w:pPr>
            <w:r>
              <w:rPr>
                <w:rFonts w:ascii="Arial" w:cs="Arial" w:eastAsia="Arial" w:hAnsi="Arial"/>
                <w:sz w:val="16"/>
                <w:szCs w:val="16"/>
                <w:b w:val="1"/>
                <w:bCs w:val="1"/>
                <w:color w:val="auto"/>
              </w:rPr>
              <w:t>Book values</w:t>
            </w:r>
          </w:p>
        </w:tc>
        <w:tc>
          <w:tcPr>
            <w:tcW w:w="180" w:type="dxa"/>
            <w:vAlign w:val="bottom"/>
          </w:tcPr>
          <w:p>
            <w:pPr>
              <w:spacing w:after="0"/>
              <w:rPr>
                <w:sz w:val="18"/>
                <w:szCs w:val="18"/>
                <w:color w:val="auto"/>
              </w:rPr>
            </w:pPr>
          </w:p>
        </w:tc>
        <w:tc>
          <w:tcPr>
            <w:tcW w:w="3780" w:type="dxa"/>
            <w:vAlign w:val="bottom"/>
            <w:gridSpan w:val="3"/>
          </w:tcPr>
          <w:p>
            <w:pPr>
              <w:jc w:val="right"/>
              <w:ind w:right="1472"/>
              <w:spacing w:after="0"/>
              <w:rPr>
                <w:sz w:val="20"/>
                <w:szCs w:val="20"/>
                <w:color w:val="auto"/>
              </w:rPr>
            </w:pPr>
            <w:r>
              <w:rPr>
                <w:rFonts w:ascii="Arial" w:cs="Arial" w:eastAsia="Arial" w:hAnsi="Arial"/>
                <w:sz w:val="16"/>
                <w:szCs w:val="16"/>
                <w:b w:val="1"/>
                <w:bCs w:val="1"/>
                <w:color w:val="auto"/>
              </w:rPr>
              <w:t>Fair values</w:t>
            </w:r>
          </w:p>
        </w:tc>
      </w:tr>
      <w:tr>
        <w:trPr>
          <w:trHeight w:val="20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2021</w:t>
            </w:r>
          </w:p>
        </w:tc>
        <w:tc>
          <w:tcPr>
            <w:tcW w:w="26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2021</w:t>
            </w: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notes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Notes payable, net of current portion</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r>
      <w:tr>
        <w:trPr>
          <w:trHeight w:val="248"/>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3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On October 27, 2022, Recursion closed on a Stock Purchase Agreement for a Private Placement with certain qualified institutional buyers and institutional accredited investors, pursuant to which the Company sold an aggregate of 15,336,734 shares of the Company’s Class A shares at a purchase price of $9.80 per share for gross proceeds of approximately $150.3 million, before deducting placement agent fees and other expenses. As of the time of the closing of the Private Placement, the shares issued were not registered under the Securities Act of 1933, as amended. In connection with the Private Placement, the Company and the purchasers entered into a Registration Rights Agreement providing for the registration for resale of the shares. On October 28, 2022,</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Recursion filed a prospectus supplement, registering the shares issued in the Private Placement for resale. The Company has agreed to use commercially reasonable efforts to keep the registration statement continuously effective until such date that all Registrable Securities (as such term is defined in the Registration Rights Agreement) covered by the registration statement or prospectus supplement have been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2. Management’s Discussion and Analysis of Financial Condition and Results of Operations.</w:t>
      </w:r>
    </w:p>
    <w:p>
      <w:pPr>
        <w:spacing w:after="0" w:line="25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1E1E1E"/>
        </w:rPr>
        <w:t xml:space="preserve">The following is a discussion and analysis of the financial condition of </w:t>
      </w:r>
      <w:r>
        <w:rPr>
          <w:rFonts w:ascii="Arial" w:cs="Arial" w:eastAsia="Arial" w:hAnsi="Arial"/>
          <w:sz w:val="18"/>
          <w:szCs w:val="18"/>
          <w:i w:val="1"/>
          <w:iCs w:val="1"/>
          <w:color w:val="000000"/>
        </w:rPr>
        <w:t>Recursion Pharmaceuticals, Inc. (Recursion, the Company, we, us or</w:t>
      </w:r>
      <w:r>
        <w:rPr>
          <w:rFonts w:ascii="Arial" w:cs="Arial" w:eastAsia="Arial" w:hAnsi="Arial"/>
          <w:sz w:val="18"/>
          <w:szCs w:val="18"/>
          <w:i w:val="1"/>
          <w:iCs w:val="1"/>
          <w:color w:val="1E1E1E"/>
        </w:rPr>
        <w:t xml:space="preserve"> </w:t>
      </w:r>
      <w:r>
        <w:rPr>
          <w:rFonts w:ascii="Arial" w:cs="Arial" w:eastAsia="Arial" w:hAnsi="Arial"/>
          <w:sz w:val="18"/>
          <w:szCs w:val="18"/>
          <w:i w:val="1"/>
          <w:iCs w:val="1"/>
          <w:color w:val="000000"/>
        </w:rPr>
        <w:t xml:space="preserve">our) </w:t>
      </w:r>
      <w:r>
        <w:rPr>
          <w:rFonts w:ascii="Arial" w:cs="Arial" w:eastAsia="Arial" w:hAnsi="Arial"/>
          <w:sz w:val="18"/>
          <w:szCs w:val="18"/>
          <w:i w:val="1"/>
          <w:iCs w:val="1"/>
          <w:color w:val="1E1E1E"/>
        </w:rPr>
        <w:t>and the results of our operations. This commentary should be read in conjunction with the unaudited Condensed Consolidated Financial</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1E1E1E"/>
        </w:rPr>
        <w:t>Statements and accompanying notes appearing in Item 1, “Financial Statements,” the Company’s audited consolidated financial statements and accompanying notes and "Management's Discussion and Analysis of Financial Condition and Results of Operations" included in the Annual Report on Form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"Note About Forward-Looking Statements" in this Quarterly Report on Form 10-Q. You should review the disclosure under the heading "Risk Factors" in our Annual Report on Form 10-K and in this Form 10-Q for a discussion of important factors that could cause our actual results to differ materially from those anticipated in these forward-looking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Overview</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1E1E1E"/>
        </w:rPr>
        <w:t>We are a clinical-stage biotechnology company industrializing drug discovery by decoding biology. Central to our mission is the Recursion Operating System (OS), a platform built across diverse technologies that enables us to map and navigate trillions of biological and chemical relationships within one of the world’s largest proprietary biological and chemical datasets, the Recursion Data Universe. Scaled ‘wet-lab’ biology and chemistry tools are organized into an iterative loop with ‘dry-lab’ computational tools to rapidly translate map-based hypotheses into validated insights and novel chemistry, unconstrained by published literature or human bias. Our focus on novel technologies spanning target discovery through translation, as well as our ability to rapidly iterate between wet lab and dry lab in-house and at scale, differentiates us from other companies in our space. Further, our balanced team of life scientists and computational and technical experts creates an environment where empirical data, statistical rigor and creative thinking are brought to bear on our decisions. To date, we have leveraged our Recursion OS to enable three value drivers: i) an expansive pipeline of internally-developed programs, including several clinical-stage assets, focused on genetically-driven rare diseases and oncology with significant unmet need and market opportunities, in some cases expected to be in excess of $1.0 billion in annual sales; ii) strategic partnerships with leading biopharma companies to map and navigate intractable areas of biology, including fibrosis with Bayer and neuroscience with Roche and Genentech, to identify novel targets and translate potential new medicines to resource-heavy clinical development overseen by our partners; and iii) Induction Labs, a growth engine created to explore new extensions of the Recursion OS both within and beyond therapeutics. We are a biotechnology company scaling more like a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-8255</wp:posOffset>
            </wp:positionV>
            <wp:extent cx="3429000" cy="2314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Recursion finished the third quarter of 2022 with a portfolio of clinical stage, preclinical and discovery programs and continued scaling the total number of phenomic experiments to over 163 million, the size of its proprietary data universe to approximately 19 petabytes and the number of biological and chemical relationships to over 2.9 trillion. Data have been generated on the Recursion OS across 47 human cell types, an in-house chemical library of over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1.5 million compounds and an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library of 12 billion small molecules, by a growing team of approximately 500 Recursionauts that is balanced between life scientists and computational and technical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126365</wp:posOffset>
            </wp:positionV>
            <wp:extent cx="5863590" cy="3291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Business Highlights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Pipeline</w:t>
      </w:r>
    </w:p>
    <w:p>
      <w:pPr>
        <w:spacing w:after="0" w:line="264" w:lineRule="exact"/>
        <w:rPr>
          <w:sz w:val="20"/>
          <w:szCs w:val="20"/>
          <w:color w:val="auto"/>
        </w:rPr>
      </w:pPr>
    </w:p>
    <w:p>
      <w:pPr>
        <w:ind w:left="660" w:right="100" w:hanging="328"/>
        <w:spacing w:after="0" w:line="250"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Cerebral Cavernous Malformation (CCM) (REC-994): </w:t>
      </w:r>
      <w:r>
        <w:rPr>
          <w:rFonts w:ascii="Arial" w:cs="Arial" w:eastAsia="Arial" w:hAnsi="Arial"/>
          <w:sz w:val="18"/>
          <w:szCs w:val="18"/>
          <w:color w:val="auto"/>
        </w:rPr>
        <w:t>In March 2022, we announced the initiation of our Phase 2 SYCAMORE</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 which is a double-blind, placebo-controlled safety, tolerability and exploratory efficacy study of this drug candidate in 60 participants with CCM. At this time, we continue to actively enroll participants.</w:t>
      </w:r>
    </w:p>
    <w:p>
      <w:pPr>
        <w:ind w:left="660" w:right="260" w:hanging="328"/>
        <w:spacing w:after="0" w:line="252"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Neurofibromatosis Type 2 (NF2) (REC-2282): </w:t>
      </w:r>
      <w:r>
        <w:rPr>
          <w:rFonts w:ascii="Arial" w:cs="Arial" w:eastAsia="Arial" w:hAnsi="Arial"/>
          <w:sz w:val="18"/>
          <w:szCs w:val="18"/>
          <w:color w:val="auto"/>
        </w:rPr>
        <w:t>In June 2022, we announced the initiation of our Phase 2/3 POPLAR clinical trial,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is a parallel group, two stage, randomized, multicenter study of this drug candidate in approximately 90 participants with progressive </w:t>
      </w:r>
      <w:r>
        <w:rPr>
          <w:rFonts w:ascii="Arial" w:cs="Arial" w:eastAsia="Arial" w:hAnsi="Arial"/>
          <w:sz w:val="18"/>
          <w:szCs w:val="18"/>
          <w:i w:val="1"/>
          <w:iCs w:val="1"/>
          <w:color w:val="auto"/>
        </w:rPr>
        <w:t>NF2</w:t>
      </w:r>
      <w:r>
        <w:rPr>
          <w:rFonts w:ascii="Arial" w:cs="Arial" w:eastAsia="Arial" w:hAnsi="Arial"/>
          <w:sz w:val="18"/>
          <w:szCs w:val="18"/>
          <w:color w:val="auto"/>
        </w:rPr>
        <w:t>-mutated meningiomas. At this time, we continue to actively enroll participants.</w:t>
      </w:r>
    </w:p>
    <w:p>
      <w:pPr>
        <w:spacing w:after="0" w:line="16" w:lineRule="exact"/>
        <w:rPr>
          <w:rFonts w:ascii="Arial" w:cs="Arial" w:eastAsia="Arial" w:hAnsi="Arial"/>
          <w:sz w:val="20"/>
          <w:szCs w:val="20"/>
          <w:b w:val="1"/>
          <w:bCs w:val="1"/>
          <w:color w:val="auto"/>
        </w:rPr>
      </w:pPr>
    </w:p>
    <w:p>
      <w:pPr>
        <w:ind w:left="660" w:hanging="328"/>
        <w:spacing w:after="0" w:line="248"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 xml:space="preserve">Familial Adenomatous Polyposis (FAP) (REC-4881): </w:t>
      </w:r>
      <w:r>
        <w:rPr>
          <w:rFonts w:ascii="Arial" w:cs="Arial" w:eastAsia="Arial" w:hAnsi="Arial"/>
          <w:sz w:val="18"/>
          <w:szCs w:val="18"/>
          <w:color w:val="auto"/>
        </w:rPr>
        <w:t>In September 2022, we announced the initiation of our Phase 2 TUPELO</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 which is a multicenter, randomized, double-blind, placebo-controlled two-part clinical trial to evaluate efficacy, safety, and pharmacokinetics of REC-4881 in patients with FAP.</w:t>
      </w:r>
    </w:p>
    <w:p>
      <w:pPr>
        <w:ind w:left="660" w:right="300" w:hanging="328"/>
        <w:spacing w:after="0" w:line="25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AXIN1/APC Mutant Cancers (REC-4881): </w:t>
      </w:r>
      <w:r>
        <w:rPr>
          <w:rFonts w:ascii="Arial" w:cs="Arial" w:eastAsia="Arial" w:hAnsi="Arial"/>
          <w:sz w:val="18"/>
          <w:szCs w:val="18"/>
          <w:color w:val="auto"/>
        </w:rPr>
        <w:t>Subsequent to the nine months ended September 30, 2022, in October 2022, we</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the nomination of REC-4881 for the potential treatment of AXIN1/APC mutant cancers with an initial focus on hepatocellular carcinoma and ovarian cancer. We have prioritized resources to accelerate planning to initiate a Phase 2 trial. The advancement of this program highlights our intent to focus our internal pipeline on oncology and oncology-like opportunities.</w:t>
      </w:r>
    </w:p>
    <w:p>
      <w:pPr>
        <w:spacing w:after="0" w:line="2" w:lineRule="exact"/>
        <w:rPr>
          <w:rFonts w:ascii="Arial" w:cs="Arial" w:eastAsia="Arial" w:hAnsi="Arial"/>
          <w:sz w:val="18"/>
          <w:szCs w:val="18"/>
          <w:color w:val="auto"/>
        </w:rPr>
      </w:pPr>
    </w:p>
    <w:p>
      <w:pPr>
        <w:ind w:left="660" w:right="40" w:hanging="328"/>
        <w:spacing w:after="0" w:line="249" w:lineRule="auto"/>
        <w:tabs>
          <w:tab w:leader="none" w:pos="648" w:val="left"/>
        </w:tabs>
        <w:numPr>
          <w:ilvl w:val="0"/>
          <w:numId w:val="7"/>
        </w:numPr>
        <w:rPr>
          <w:rFonts w:ascii="Arial" w:cs="Arial" w:eastAsia="Arial" w:hAnsi="Arial"/>
          <w:sz w:val="20"/>
          <w:szCs w:val="20"/>
          <w:b w:val="1"/>
          <w:bCs w:val="1"/>
          <w:i w:val="1"/>
          <w:iCs w:val="1"/>
          <w:color w:val="auto"/>
        </w:rPr>
      </w:pPr>
      <w:r>
        <w:rPr>
          <w:rFonts w:ascii="Arial" w:cs="Arial" w:eastAsia="Arial" w:hAnsi="Arial"/>
          <w:sz w:val="18"/>
          <w:szCs w:val="18"/>
          <w:b w:val="1"/>
          <w:bCs w:val="1"/>
          <w:i w:val="1"/>
          <w:iCs w:val="1"/>
          <w:color w:val="auto"/>
        </w:rPr>
        <w:t xml:space="preserve">Clostridium difficile </w:t>
      </w:r>
      <w:r>
        <w:rPr>
          <w:rFonts w:ascii="Arial" w:cs="Arial" w:eastAsia="Arial" w:hAnsi="Arial"/>
          <w:sz w:val="18"/>
          <w:szCs w:val="18"/>
          <w:b w:val="1"/>
          <w:bCs w:val="1"/>
          <w:color w:val="auto"/>
        </w:rPr>
        <w:t>Colitis (REC-3964):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2022, we announced the initiation of our Phase 1 clinical trial, which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first-in-human protocol evaluating single and multiple doses of REC-3964 in healthy volunteers and will assess the safety, tolerability and pharmacokinetic profile of REC-3964.</w:t>
      </w:r>
    </w:p>
    <w:p>
      <w:pPr>
        <w:spacing w:after="0" w:line="2" w:lineRule="exact"/>
        <w:rPr>
          <w:rFonts w:ascii="Arial" w:cs="Arial" w:eastAsia="Arial" w:hAnsi="Arial"/>
          <w:sz w:val="20"/>
          <w:szCs w:val="20"/>
          <w:b w:val="1"/>
          <w:bCs w:val="1"/>
          <w:i w:val="1"/>
          <w:iCs w:val="1"/>
          <w:color w:val="auto"/>
        </w:rPr>
      </w:pPr>
    </w:p>
    <w:p>
      <w:pPr>
        <w:ind w:left="660" w:hanging="328"/>
        <w:spacing w:after="0" w:line="25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GM2 Gangliosidosis (REC-3599): </w:t>
      </w:r>
      <w:r>
        <w:rPr>
          <w:rFonts w:ascii="Arial" w:cs="Arial" w:eastAsia="Arial" w:hAnsi="Arial"/>
          <w:sz w:val="18"/>
          <w:szCs w:val="18"/>
          <w:color w:val="auto"/>
        </w:rPr>
        <w:t>Due to the advancement of our program in AXIN1/APC mutant cancers and the increasing</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oncology programs moving towards the clinic, we deprioritized our GM2 gangliosidosis program and redirected resources. We will make efforts to work with patient foundations to transfer relevant scientific knowledge.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Transformational Collaborations</w:t>
      </w:r>
    </w:p>
    <w:p>
      <w:pPr>
        <w:spacing w:after="0" w:line="25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continue to advance efforts to potentially discover new therapeutics with our strategic partners in the areas of fibrotic disease (Bayer) as well as neuroscience and a single indication in gastrointestinal oncology (Roche and Genentech).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Recursion OS</w:t>
      </w:r>
    </w:p>
    <w:p>
      <w:pPr>
        <w:spacing w:after="0" w:line="264" w:lineRule="exact"/>
        <w:rPr>
          <w:sz w:val="20"/>
          <w:szCs w:val="20"/>
          <w:color w:val="auto"/>
        </w:rPr>
      </w:pPr>
    </w:p>
    <w:p>
      <w:pPr>
        <w:ind w:left="660" w:right="120" w:hanging="328"/>
        <w:spacing w:after="0" w:line="253"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b w:val="1"/>
          <w:bCs w:val="1"/>
          <w:color w:val="auto"/>
        </w:rPr>
        <w:t xml:space="preserve">Transcriptomics and Industrialized Validation: </w:t>
      </w:r>
      <w:r>
        <w:rPr>
          <w:rFonts w:ascii="Arial" w:cs="Arial" w:eastAsia="Arial" w:hAnsi="Arial"/>
          <w:sz w:val="18"/>
          <w:szCs w:val="18"/>
          <w:color w:val="auto"/>
        </w:rPr>
        <w:t>We continue to build out our scaled transcriptomics platform which has now been</w:t>
      </w:r>
      <w:r>
        <w:rPr>
          <w:rFonts w:ascii="Arial" w:cs="Arial" w:eastAsia="Arial" w:hAnsi="Arial"/>
          <w:sz w:val="18"/>
          <w:szCs w:val="18"/>
          <w:b w:val="1"/>
          <w:bCs w:val="1"/>
          <w:color w:val="auto"/>
        </w:rPr>
        <w:t xml:space="preserve"> </w:t>
      </w:r>
      <w:r>
        <w:rPr>
          <w:rFonts w:ascii="Arial" w:cs="Arial" w:eastAsia="Arial" w:hAnsi="Arial"/>
          <w:sz w:val="18"/>
          <w:szCs w:val="18"/>
          <w:color w:val="auto"/>
        </w:rPr>
        <w:t>adopted into the research operating plans of the majority of Recursion’s active programs in order to drive validation, lead selection, and optimization. We are developing an end-to-end industrialized validation process in order to translate phenomic and transcriptomic insights from our maps of biology and chemistry.</w:t>
      </w:r>
    </w:p>
    <w:p>
      <w:pPr>
        <w:spacing w:after="0" w:line="3" w:lineRule="exact"/>
        <w:rPr>
          <w:rFonts w:ascii="Arial" w:cs="Arial" w:eastAsia="Arial" w:hAnsi="Arial"/>
          <w:sz w:val="20"/>
          <w:szCs w:val="20"/>
          <w:color w:val="auto"/>
        </w:rPr>
      </w:pPr>
    </w:p>
    <w:p>
      <w:pPr>
        <w:ind w:left="660" w:right="40" w:hanging="328"/>
        <w:spacing w:after="0" w:line="247"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b w:val="1"/>
          <w:bCs w:val="1"/>
          <w:color w:val="auto"/>
        </w:rPr>
        <w:t xml:space="preserve">InVivomics and Digital Tolerability: </w:t>
      </w:r>
      <w:r>
        <w:rPr>
          <w:rFonts w:ascii="Arial" w:cs="Arial" w:eastAsia="Arial" w:hAnsi="Arial"/>
          <w:sz w:val="18"/>
          <w:szCs w:val="18"/>
          <w:color w:val="auto"/>
        </w:rPr>
        <w:t>Digital tolerability is a novel in vivo method for analytical dose selection and interpretation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initiating efficacy studies. By the end of the year, we are planning to have 100% of new chemical entities evaluated using digital tolerability before starting any long-term efficacy studies in animals. Furthermore, we continue to increase the dimensionality of digital biomarker signals measured in our preclinical in vivo studies.</w:t>
      </w:r>
    </w:p>
    <w:p>
      <w:pPr>
        <w:spacing w:after="0" w:line="1" w:lineRule="exact"/>
        <w:rPr>
          <w:rFonts w:ascii="Arial" w:cs="Arial" w:eastAsia="Arial" w:hAnsi="Arial"/>
          <w:sz w:val="20"/>
          <w:szCs w:val="20"/>
          <w:color w:val="auto"/>
        </w:rPr>
      </w:pPr>
    </w:p>
    <w:p>
      <w:pPr>
        <w:ind w:left="660" w:hanging="328"/>
        <w:spacing w:after="0" w:line="253"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b w:val="1"/>
          <w:bCs w:val="1"/>
          <w:color w:val="auto"/>
        </w:rPr>
        <w:t xml:space="preserve">Chemical Technology and Machine Learning: </w:t>
      </w:r>
      <w:r>
        <w:rPr>
          <w:rFonts w:ascii="Arial" w:cs="Arial" w:eastAsia="Arial" w:hAnsi="Arial"/>
          <w:sz w:val="18"/>
          <w:szCs w:val="18"/>
          <w:color w:val="auto"/>
        </w:rPr>
        <w:t>We have completed the design of the remaining core component modules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automated chemical microsynthesis platform. We envision advanced machine learning approaches as guiding experiment design and drug candidate selection while exploring new ways of building maps of biology and chemistry in order to improve our ability to predict treatments and understand causal mechanisms. Likewise, in the third quarter, we began an initiative in molecular modeling to use predictive and generative methods to drive chemistry optimization.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Corporate Updates</w:t>
      </w:r>
    </w:p>
    <w:p>
      <w:pPr>
        <w:spacing w:after="0" w:line="277" w:lineRule="exact"/>
        <w:rPr>
          <w:sz w:val="20"/>
          <w:szCs w:val="20"/>
          <w:color w:val="auto"/>
        </w:rPr>
      </w:pPr>
    </w:p>
    <w:p>
      <w:pPr>
        <w:jc w:val="both"/>
        <w:ind w:left="660" w:right="40" w:hanging="328"/>
        <w:spacing w:after="0" w:line="229" w:lineRule="auto"/>
        <w:tabs>
          <w:tab w:leader="none" w:pos="655" w:val="left"/>
        </w:tabs>
        <w:numPr>
          <w:ilvl w:val="0"/>
          <w:numId w:val="9"/>
        </w:numPr>
        <w:rPr>
          <w:rFonts w:ascii="Times New Roman" w:cs="Times New Roman" w:eastAsia="Times New Roman" w:hAnsi="Times New Roman"/>
          <w:sz w:val="22"/>
          <w:szCs w:val="22"/>
          <w:color w:val="1E1E1E"/>
        </w:rPr>
      </w:pPr>
      <w:r>
        <w:rPr>
          <w:rFonts w:ascii="Arial" w:cs="Arial" w:eastAsia="Arial" w:hAnsi="Arial"/>
          <w:sz w:val="18"/>
          <w:szCs w:val="18"/>
          <w:b w:val="1"/>
          <w:bCs w:val="1"/>
          <w:color w:val="auto"/>
        </w:rPr>
        <w:t xml:space="preserve">Private Placement Offering: </w:t>
      </w:r>
      <w:r>
        <w:rPr>
          <w:rFonts w:ascii="Arial" w:cs="Arial" w:eastAsia="Arial" w:hAnsi="Arial"/>
          <w:sz w:val="18"/>
          <w:szCs w:val="18"/>
          <w:color w:val="auto"/>
        </w:rPr>
        <w:t>On</w:t>
      </w:r>
      <w:r>
        <w:rPr>
          <w:rFonts w:ascii="Arial" w:cs="Arial" w:eastAsia="Arial" w:hAnsi="Arial"/>
          <w:sz w:val="18"/>
          <w:szCs w:val="18"/>
          <w:b w:val="1"/>
          <w:bCs w:val="1"/>
          <w:color w:val="auto"/>
        </w:rPr>
        <w:t xml:space="preserve"> </w:t>
      </w:r>
      <w:r>
        <w:rPr>
          <w:rFonts w:ascii="Arial" w:cs="Arial" w:eastAsia="Arial" w:hAnsi="Arial"/>
          <w:sz w:val="18"/>
          <w:szCs w:val="18"/>
          <w:color w:val="1E1E1E"/>
        </w:rPr>
        <w:t>October 27, 2022</w:t>
      </w:r>
      <w:r>
        <w:rPr>
          <w:rFonts w:ascii="Arial" w:cs="Arial" w:eastAsia="Arial" w:hAnsi="Arial"/>
          <w:sz w:val="18"/>
          <w:szCs w:val="18"/>
          <w:color w:val="auto"/>
        </w:rPr>
        <w:t>, we completed a Private Placement of common stock, raising gross proceeds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approximately $150.3 million, before deducting placement agent fees and other expenses. See Note 14, “Subsequent Events” </w:t>
      </w:r>
      <w:r>
        <w:rPr>
          <w:rFonts w:ascii="Arial" w:cs="Arial" w:eastAsia="Arial" w:hAnsi="Arial"/>
          <w:sz w:val="18"/>
          <w:szCs w:val="18"/>
          <w:color w:val="1E1E1E"/>
        </w:rPr>
        <w:t>to the</w:t>
      </w:r>
      <w:r>
        <w:rPr>
          <w:rFonts w:ascii="Arial" w:cs="Arial" w:eastAsia="Arial" w:hAnsi="Arial"/>
          <w:sz w:val="18"/>
          <w:szCs w:val="18"/>
          <w:color w:val="auto"/>
        </w:rPr>
        <w:t xml:space="preserve"> </w:t>
      </w:r>
      <w:r>
        <w:rPr>
          <w:rFonts w:ascii="Arial" w:cs="Arial" w:eastAsia="Arial" w:hAnsi="Arial"/>
          <w:sz w:val="18"/>
          <w:szCs w:val="18"/>
          <w:color w:val="1E1E1E"/>
        </w:rPr>
        <w:t xml:space="preserve">Condensed Consolidated Financial Statements </w:t>
      </w:r>
      <w:r>
        <w:rPr>
          <w:rFonts w:ascii="Arial" w:cs="Arial" w:eastAsia="Arial" w:hAnsi="Arial"/>
          <w:sz w:val="18"/>
          <w:szCs w:val="18"/>
          <w:color w:val="000000"/>
        </w:rPr>
        <w:t>for additional details.</w:t>
      </w:r>
    </w:p>
    <w:p>
      <w:pPr>
        <w:spacing w:after="0" w:line="2" w:lineRule="exact"/>
        <w:rPr>
          <w:rFonts w:ascii="Times New Roman" w:cs="Times New Roman" w:eastAsia="Times New Roman" w:hAnsi="Times New Roman"/>
          <w:sz w:val="22"/>
          <w:szCs w:val="22"/>
          <w:color w:val="1E1E1E"/>
        </w:rPr>
      </w:pPr>
    </w:p>
    <w:p>
      <w:pPr>
        <w:ind w:left="660" w:right="300" w:hanging="328"/>
        <w:spacing w:after="0" w:line="258" w:lineRule="auto"/>
        <w:tabs>
          <w:tab w:leader="none" w:pos="65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ESG Reporting: </w:t>
      </w:r>
      <w:r>
        <w:rPr>
          <w:rFonts w:ascii="Arial" w:cs="Arial" w:eastAsia="Arial" w:hAnsi="Arial"/>
          <w:sz w:val="18"/>
          <w:szCs w:val="18"/>
          <w:color w:val="auto"/>
        </w:rPr>
        <w:t>In August 2022, we announced receiving a Prime Rating for ESG performance from the industry-renowned</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Institutional Shareholder Services (ISS). A Prime Rating is awarded to companies with ESG performance above a sector-specific threshold and is assessed by ISS using an "absolute best in class" methodology.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Operations</w:t>
      </w:r>
    </w:p>
    <w:p>
      <w:pPr>
        <w:spacing w:after="0" w:line="23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were incorporated in November 2013. On April 20, 2021, we closed our Initial Public Offering (IPO) and issued 27,878,787 shares of Class A common stock at a price of $18.00 per share, raising gross and net proceeds of $501.8 million and $462.4 million, respectively. Prior</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to our IPO, we had raised approximately $448.9 million in equity financing from investors in addition to $30.0 million in an upfront payment from our collaboration with Bayer AG (Bayer). In December 2021, we announced a collaboration with Roche and received an upfront payment of $150.0 million in January 2022. See Note 9, “Collaborative Development Contracts” to the Condensed Consolidated Financial Statements for additional information. On October 27, 2022, Recursion completed a Private Placement, pursuant to which the Company sold an aggregate of 15,336,734 Class A shares at a purchase price of $9.80 per share for gross proceeds of approximately $150.3 million, before deducting placement agent fees and other expenses. See Note 14, “Subsequent Events” to the Condensed Conso</w:t>
      </w:r>
      <w:r>
        <w:rPr>
          <w:rFonts w:ascii="Arial" w:cs="Arial" w:eastAsia="Arial" w:hAnsi="Arial"/>
          <w:sz w:val="18"/>
          <w:szCs w:val="18"/>
          <w:color w:val="1E1E1E"/>
        </w:rPr>
        <w:t>lidated Financial</w:t>
      </w:r>
      <w:r>
        <w:rPr>
          <w:rFonts w:ascii="Arial" w:cs="Arial" w:eastAsia="Arial" w:hAnsi="Arial"/>
          <w:sz w:val="18"/>
          <w:szCs w:val="18"/>
          <w:color w:val="auto"/>
        </w:rPr>
        <w:t xml:space="preserve"> </w:t>
      </w:r>
      <w:r>
        <w:rPr>
          <w:rFonts w:ascii="Arial" w:cs="Arial" w:eastAsia="Arial" w:hAnsi="Arial"/>
          <w:sz w:val="18"/>
          <w:szCs w:val="18"/>
          <w:color w:val="1E1E1E"/>
        </w:rPr>
        <w:t xml:space="preserve">Statements </w:t>
      </w:r>
      <w:r>
        <w:rPr>
          <w:rFonts w:ascii="Arial" w:cs="Arial" w:eastAsia="Arial" w:hAnsi="Arial"/>
          <w:sz w:val="18"/>
          <w:szCs w:val="18"/>
          <w:color w:val="000000"/>
        </w:rPr>
        <w:t>for additional details.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use the capital we have raised to fund operations and investing activities across platform research operations, drug discovery, clinical development, digital and other infrastructure, creation of our portfolio of intellectual property and administrative support. We do not have any products approved for commercial sale and have not generated any revenues from product sales. </w:t>
      </w:r>
      <w:r>
        <w:rPr>
          <w:rFonts w:ascii="Arial" w:cs="Arial" w:eastAsia="Arial" w:hAnsi="Arial"/>
          <w:sz w:val="18"/>
          <w:szCs w:val="18"/>
          <w:color w:val="1E1E1E"/>
        </w:rPr>
        <w:t>We had unrestricted cash and cash</w:t>
      </w:r>
      <w:r>
        <w:rPr>
          <w:rFonts w:ascii="Arial" w:cs="Arial" w:eastAsia="Arial" w:hAnsi="Arial"/>
          <w:sz w:val="18"/>
          <w:szCs w:val="18"/>
          <w:color w:val="auto"/>
        </w:rPr>
        <w:t xml:space="preserve"> </w:t>
      </w:r>
      <w:r>
        <w:rPr>
          <w:rFonts w:ascii="Arial" w:cs="Arial" w:eastAsia="Arial" w:hAnsi="Arial"/>
          <w:sz w:val="18"/>
          <w:szCs w:val="18"/>
          <w:color w:val="1E1E1E"/>
        </w:rPr>
        <w:t xml:space="preserve">equivalents of $ 454.6 million as of September 30, 2022. </w:t>
      </w:r>
      <w:r>
        <w:rPr>
          <w:rFonts w:ascii="Arial" w:cs="Arial" w:eastAsia="Arial" w:hAnsi="Arial"/>
          <w:sz w:val="18"/>
          <w:szCs w:val="18"/>
          <w:color w:val="000000"/>
        </w:rPr>
        <w:t>Based on our current operating plan, we believe that our cash and cash equivalents</w:t>
      </w:r>
      <w:r>
        <w:rPr>
          <w:rFonts w:ascii="Arial" w:cs="Arial" w:eastAsia="Arial" w:hAnsi="Arial"/>
          <w:sz w:val="18"/>
          <w:szCs w:val="18"/>
          <w:color w:val="1E1E1E"/>
        </w:rPr>
        <w:t xml:space="preserve"> </w:t>
      </w:r>
      <w:r>
        <w:rPr>
          <w:rFonts w:ascii="Arial" w:cs="Arial" w:eastAsia="Arial" w:hAnsi="Arial"/>
          <w:sz w:val="18"/>
          <w:szCs w:val="18"/>
          <w:color w:val="000000"/>
        </w:rPr>
        <w:t>will be sufficient to fund our operations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1E1E1E"/>
        </w:rPr>
        <w:t xml:space="preserve">Since inception, we have incurred significant operating losses. Our net losses were $60.4 million and $ 182.0 million during the three and </w:t>
      </w:r>
      <w:r>
        <w:rPr>
          <w:rFonts w:ascii="Arial" w:cs="Arial" w:eastAsia="Arial" w:hAnsi="Arial"/>
          <w:sz w:val="18"/>
          <w:szCs w:val="18"/>
          <w:color w:val="000000"/>
        </w:rPr>
        <w:t>nine</w:t>
      </w:r>
      <w:r>
        <w:rPr>
          <w:rFonts w:ascii="Arial" w:cs="Arial" w:eastAsia="Arial" w:hAnsi="Arial"/>
          <w:sz w:val="18"/>
          <w:szCs w:val="18"/>
          <w:color w:val="1E1E1E"/>
        </w:rPr>
        <w:t xml:space="preserve"> </w:t>
      </w:r>
      <w:r>
        <w:rPr>
          <w:rFonts w:ascii="Arial" w:cs="Arial" w:eastAsia="Arial" w:hAnsi="Arial"/>
          <w:sz w:val="18"/>
          <w:szCs w:val="18"/>
          <w:color w:val="000000"/>
        </w:rPr>
        <w:t>months ended September 30, 2022</w:t>
      </w:r>
      <w:r>
        <w:rPr>
          <w:rFonts w:ascii="Arial" w:cs="Arial" w:eastAsia="Arial" w:hAnsi="Arial"/>
          <w:sz w:val="18"/>
          <w:szCs w:val="18"/>
          <w:color w:val="1E1E1E"/>
        </w:rPr>
        <w:t>, respectively. Our net losses were $47.4 million and $121.5 million during the three and</w:t>
      </w:r>
      <w:r>
        <w:rPr>
          <w:rFonts w:ascii="Arial" w:cs="Arial" w:eastAsia="Arial" w:hAnsi="Arial"/>
          <w:sz w:val="18"/>
          <w:szCs w:val="18"/>
          <w:color w:val="000000"/>
        </w:rPr>
        <w:t xml:space="preserve"> nine months ended September 30, 2021</w:t>
      </w:r>
      <w:r>
        <w:rPr>
          <w:rFonts w:ascii="Arial" w:cs="Arial" w:eastAsia="Arial" w:hAnsi="Arial"/>
          <w:sz w:val="18"/>
          <w:szCs w:val="18"/>
          <w:color w:val="1E1E1E"/>
        </w:rPr>
        <w:t>, respectively. As of September 30, 2022, our accumulated deficit was $582.1 million. We</w:t>
      </w:r>
      <w:r>
        <w:rPr>
          <w:rFonts w:ascii="Arial" w:cs="Arial" w:eastAsia="Arial" w:hAnsi="Arial"/>
          <w:sz w:val="18"/>
          <w:szCs w:val="18"/>
          <w:color w:val="000000"/>
        </w:rPr>
        <w:t xml:space="preserve"> anticipate that our </w:t>
      </w:r>
      <w:r>
        <w:rPr>
          <w:rFonts w:ascii="Arial" w:cs="Arial" w:eastAsia="Arial" w:hAnsi="Arial"/>
          <w:sz w:val="18"/>
          <w:szCs w:val="18"/>
          <w:color w:val="1E1E1E"/>
        </w:rPr>
        <w:t>expenses and operating losses will increase substantially over the foreseeable future. The expected increase in expenses will be driven in large part by our ongoing activities, if and as we: continue to advance our platform; continue preclinical development of our current and future product candidates and initiate additional preclinical studies; commence clinical studies of our current and future product candidates; establish our manufacturing capability, including developing our contract development and manufacturing relationships and building our internal manufacturing facilities; acquire and license technologies aligned with our platform; seek regulatory approval of our current and future product candidates; expand our operational, financial and management systems and increase personnel, including personnel to support our preclinical and clinical development, manufacturing and commercialization efforts; continue to develop, grow, perfect and defend our intellectual property portfolio; and incur additional legal, accounting, or other expenses in operating our business, including the additional costs associated with operating as a public company.</w:t>
      </w:r>
    </w:p>
    <w:p>
      <w:pPr>
        <w:spacing w:after="0" w:line="2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anticipate that we will need to raise additional financing in the future to fund our operations, including the potential commercialization of any approved product candidates. See Note 14, “Subsequent Events” </w:t>
      </w:r>
      <w:r>
        <w:rPr>
          <w:rFonts w:ascii="Arial" w:cs="Arial" w:eastAsia="Arial" w:hAnsi="Arial"/>
          <w:sz w:val="18"/>
          <w:szCs w:val="18"/>
          <w:color w:val="1E1E1E"/>
        </w:rPr>
        <w:t>to the Condensed Consolidated Financial Statements</w:t>
      </w:r>
      <w:r>
        <w:rPr>
          <w:rFonts w:ascii="Arial" w:cs="Arial" w:eastAsia="Arial" w:hAnsi="Arial"/>
          <w:sz w:val="18"/>
          <w:szCs w:val="18"/>
          <w:color w:val="auto"/>
        </w:rPr>
        <w:t xml:space="preserve"> for details on a Stock Purchase Agreement for a Private Placement with certain qualified institutional buyers and institutional accredited investors that closed subsequent to September 30, 2022.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Components of Operating Results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To date, our business has generated revenue from two sources: (i) operating revenue and (ii) grant revenue.</w:t>
      </w:r>
    </w:p>
    <w:p>
      <w:pPr>
        <w:spacing w:after="0" w:line="25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i w:val="1"/>
          <w:iCs w:val="1"/>
          <w:color w:val="1E1E1E"/>
        </w:rPr>
        <w:t>Operating Revenue</w:t>
      </w:r>
      <w:r>
        <w:rPr>
          <w:rFonts w:ascii="Arial" w:cs="Arial" w:eastAsia="Arial" w:hAnsi="Arial"/>
          <w:sz w:val="18"/>
          <w:szCs w:val="18"/>
          <w:color w:val="1E1E1E"/>
        </w:rPr>
        <w:t>—Operating revenue is generated through research and development agreements derived from strategic alliances. We</w:t>
      </w:r>
      <w:r>
        <w:rPr>
          <w:rFonts w:ascii="Arial" w:cs="Arial" w:eastAsia="Arial" w:hAnsi="Arial"/>
          <w:sz w:val="18"/>
          <w:szCs w:val="18"/>
          <w:i w:val="1"/>
          <w:iCs w:val="1"/>
          <w:color w:val="1E1E1E"/>
        </w:rPr>
        <w:t xml:space="preserve"> </w:t>
      </w:r>
      <w:r>
        <w:rPr>
          <w:rFonts w:ascii="Arial" w:cs="Arial" w:eastAsia="Arial" w:hAnsi="Arial"/>
          <w:sz w:val="18"/>
          <w:szCs w:val="18"/>
          <w:color w:val="1E1E1E"/>
        </w:rPr>
        <w:t>are entitled to receive variable consideration as certain milestones are achieved. The timing of revenue recognition is not directly correlated to the timing of cash receipts.</w:t>
      </w:r>
    </w:p>
    <w:p>
      <w:pPr>
        <w:spacing w:after="0" w:line="198"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i w:val="1"/>
          <w:iCs w:val="1"/>
          <w:color w:val="1E1E1E"/>
        </w:rPr>
        <w:t>Grant Revenue—</w:t>
      </w:r>
      <w:r>
        <w:rPr>
          <w:rFonts w:ascii="Arial" w:cs="Arial" w:eastAsia="Arial" w:hAnsi="Arial"/>
          <w:sz w:val="18"/>
          <w:szCs w:val="18"/>
          <w:color w:val="1E1E1E"/>
        </w:rPr>
        <w:t>We recognize grant revenue in the period in which the revenue is earned in accordance with the associated grant</w:t>
      </w:r>
      <w:r>
        <w:rPr>
          <w:rFonts w:ascii="Arial" w:cs="Arial" w:eastAsia="Arial" w:hAnsi="Arial"/>
          <w:sz w:val="18"/>
          <w:szCs w:val="18"/>
          <w:i w:val="1"/>
          <w:iCs w:val="1"/>
          <w:color w:val="1E1E1E"/>
        </w:rPr>
        <w:t xml:space="preserve"> </w:t>
      </w:r>
      <w:r>
        <w:rPr>
          <w:rFonts w:ascii="Arial" w:cs="Arial" w:eastAsia="Arial" w:hAnsi="Arial"/>
          <w:sz w:val="18"/>
          <w:szCs w:val="18"/>
          <w:color w:val="1E1E1E"/>
        </w:rPr>
        <w:t>agreement, which is the period in which corresponding reimbursable expenses under the grant agreement are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Cost of Revenue</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1E1E1E"/>
        </w:rPr>
        <w:t xml:space="preserve">Cost of revenue consists of the Company’s costs to </w:t>
      </w:r>
      <w:r>
        <w:rPr>
          <w:rFonts w:ascii="Arial" w:cs="Arial" w:eastAsia="Arial" w:hAnsi="Arial"/>
          <w:sz w:val="18"/>
          <w:szCs w:val="18"/>
          <w:color w:val="000000"/>
        </w:rPr>
        <w:t>provide services for drug discovery required under performance obligations with</w:t>
      </w:r>
      <w:r>
        <w:rPr>
          <w:rFonts w:ascii="Arial" w:cs="Arial" w:eastAsia="Arial" w:hAnsi="Arial"/>
          <w:sz w:val="18"/>
          <w:szCs w:val="18"/>
          <w:color w:val="1E1E1E"/>
        </w:rPr>
        <w:t xml:space="preserve"> </w:t>
      </w:r>
      <w:r>
        <w:rPr>
          <w:rFonts w:ascii="Arial" w:cs="Arial" w:eastAsia="Arial" w:hAnsi="Arial"/>
          <w:sz w:val="18"/>
          <w:szCs w:val="18"/>
          <w:color w:val="000000"/>
        </w:rPr>
        <w:t>partnership customers. These primarily include materials costs, service hours performed by our employees and depreciation of property and equipment.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Research and Development</w:t>
      </w:r>
    </w:p>
    <w:p>
      <w:pPr>
        <w:spacing w:after="0" w:line="25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1E1E1E"/>
        </w:rPr>
        <w:t>Research and development expenses account for a significant portion of our operating expenses. We recognize research and development expenses as they are incurred. Research and development expenses consist of costs incurred in performing activities including:</w:t>
      </w:r>
    </w:p>
    <w:p>
      <w:pPr>
        <w:spacing w:after="0" w:line="18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4"/>
          <w:szCs w:val="14"/>
          <w:color w:val="1E1E1E"/>
        </w:rPr>
      </w:pPr>
      <w:r>
        <w:rPr>
          <w:rFonts w:ascii="Arial" w:cs="Arial" w:eastAsia="Arial" w:hAnsi="Arial"/>
          <w:sz w:val="18"/>
          <w:szCs w:val="18"/>
          <w:color w:val="1E1E1E"/>
        </w:rPr>
        <w:t>costs to develop and operate our platform;</w:t>
      </w:r>
    </w:p>
    <w:p>
      <w:pPr>
        <w:spacing w:after="0" w:line="27" w:lineRule="exact"/>
        <w:rPr>
          <w:rFonts w:ascii="Arial" w:cs="Arial" w:eastAsia="Arial" w:hAnsi="Arial"/>
          <w:sz w:val="14"/>
          <w:szCs w:val="14"/>
          <w:color w:val="1E1E1E"/>
        </w:rPr>
      </w:pPr>
    </w:p>
    <w:p>
      <w:pPr>
        <w:ind w:left="980" w:hanging="324"/>
        <w:spacing w:after="0"/>
        <w:tabs>
          <w:tab w:leader="none" w:pos="980" w:val="left"/>
        </w:tabs>
        <w:numPr>
          <w:ilvl w:val="0"/>
          <w:numId w:val="10"/>
        </w:numPr>
        <w:rPr>
          <w:rFonts w:ascii="Arial" w:cs="Arial" w:eastAsia="Arial" w:hAnsi="Arial"/>
          <w:sz w:val="14"/>
          <w:szCs w:val="14"/>
          <w:color w:val="1E1E1E"/>
        </w:rPr>
      </w:pPr>
      <w:r>
        <w:rPr>
          <w:rFonts w:ascii="Arial" w:cs="Arial" w:eastAsia="Arial" w:hAnsi="Arial"/>
          <w:sz w:val="18"/>
          <w:szCs w:val="18"/>
          <w:color w:val="1E1E1E"/>
        </w:rPr>
        <w:t>costs of discovery efforts which may lead to development candidates, including research materials and external research;</w:t>
      </w:r>
    </w:p>
    <w:p>
      <w:pPr>
        <w:spacing w:after="0" w:line="9" w:lineRule="exact"/>
        <w:rPr>
          <w:rFonts w:ascii="Arial" w:cs="Arial" w:eastAsia="Arial" w:hAnsi="Arial"/>
          <w:sz w:val="14"/>
          <w:szCs w:val="14"/>
          <w:color w:val="1E1E1E"/>
        </w:rPr>
      </w:pPr>
    </w:p>
    <w:p>
      <w:pPr>
        <w:ind w:left="980" w:hanging="324"/>
        <w:spacing w:after="0"/>
        <w:tabs>
          <w:tab w:leader="none" w:pos="980" w:val="left"/>
        </w:tabs>
        <w:numPr>
          <w:ilvl w:val="0"/>
          <w:numId w:val="10"/>
        </w:numPr>
        <w:rPr>
          <w:rFonts w:ascii="Arial" w:cs="Arial" w:eastAsia="Arial" w:hAnsi="Arial"/>
          <w:sz w:val="14"/>
          <w:szCs w:val="14"/>
          <w:color w:val="1E1E1E"/>
        </w:rPr>
      </w:pPr>
      <w:r>
        <w:rPr>
          <w:rFonts w:ascii="Arial" w:cs="Arial" w:eastAsia="Arial" w:hAnsi="Arial"/>
          <w:sz w:val="18"/>
          <w:szCs w:val="18"/>
          <w:color w:val="1E1E1E"/>
        </w:rPr>
        <w:t>costs for clinical development of our investigational products;</w:t>
      </w:r>
    </w:p>
    <w:p>
      <w:pPr>
        <w:spacing w:after="0" w:line="9" w:lineRule="exact"/>
        <w:rPr>
          <w:rFonts w:ascii="Arial" w:cs="Arial" w:eastAsia="Arial" w:hAnsi="Arial"/>
          <w:sz w:val="14"/>
          <w:szCs w:val="14"/>
          <w:color w:val="1E1E1E"/>
        </w:rPr>
      </w:pPr>
    </w:p>
    <w:p>
      <w:pPr>
        <w:ind w:left="980" w:right="220" w:hanging="324"/>
        <w:spacing w:after="0" w:line="250" w:lineRule="auto"/>
        <w:tabs>
          <w:tab w:leader="none" w:pos="976" w:val="left"/>
        </w:tabs>
        <w:numPr>
          <w:ilvl w:val="0"/>
          <w:numId w:val="10"/>
        </w:numPr>
        <w:rPr>
          <w:rFonts w:ascii="Arial" w:cs="Arial" w:eastAsia="Arial" w:hAnsi="Arial"/>
          <w:sz w:val="14"/>
          <w:szCs w:val="14"/>
          <w:color w:val="1E1E1E"/>
        </w:rPr>
      </w:pPr>
      <w:r>
        <w:rPr>
          <w:rFonts w:ascii="Arial" w:cs="Arial" w:eastAsia="Arial" w:hAnsi="Arial"/>
          <w:sz w:val="18"/>
          <w:szCs w:val="18"/>
          <w:color w:val="1E1E1E"/>
        </w:rPr>
        <w:t>costs for materials and supplies associated with the manufacture of active pharmaceutical ingredients, investigational products for preclinical testing and clinical trials;</w:t>
      </w:r>
    </w:p>
    <w:p>
      <w:pPr>
        <w:ind w:left="980" w:right="400" w:hanging="324"/>
        <w:spacing w:after="0" w:line="250" w:lineRule="auto"/>
        <w:tabs>
          <w:tab w:leader="none" w:pos="976" w:val="left"/>
        </w:tabs>
        <w:numPr>
          <w:ilvl w:val="0"/>
          <w:numId w:val="10"/>
        </w:numPr>
        <w:rPr>
          <w:rFonts w:ascii="Arial" w:cs="Arial" w:eastAsia="Arial" w:hAnsi="Arial"/>
          <w:sz w:val="14"/>
          <w:szCs w:val="14"/>
          <w:color w:val="1E1E1E"/>
        </w:rPr>
      </w:pPr>
      <w:r>
        <w:rPr>
          <w:rFonts w:ascii="Arial" w:cs="Arial" w:eastAsia="Arial" w:hAnsi="Arial"/>
          <w:sz w:val="18"/>
          <w:szCs w:val="18"/>
          <w:color w:val="1E1E1E"/>
        </w:rPr>
        <w:t>personnel-related expenses, including salaries, benefits, bonuses and stock-based compensation for employees engaged in research and development functions;</w:t>
      </w:r>
    </w:p>
    <w:p>
      <w:pPr>
        <w:ind w:left="980" w:hanging="324"/>
        <w:spacing w:after="0"/>
        <w:tabs>
          <w:tab w:leader="none" w:pos="980" w:val="left"/>
        </w:tabs>
        <w:numPr>
          <w:ilvl w:val="0"/>
          <w:numId w:val="10"/>
        </w:numPr>
        <w:rPr>
          <w:rFonts w:ascii="Arial" w:cs="Arial" w:eastAsia="Arial" w:hAnsi="Arial"/>
          <w:sz w:val="14"/>
          <w:szCs w:val="14"/>
          <w:color w:val="1E1E1E"/>
        </w:rPr>
      </w:pPr>
      <w:r>
        <w:rPr>
          <w:rFonts w:ascii="Arial" w:cs="Arial" w:eastAsia="Arial" w:hAnsi="Arial"/>
          <w:sz w:val="18"/>
          <w:szCs w:val="18"/>
          <w:color w:val="1E1E1E"/>
        </w:rPr>
        <w:t>costs associated with operating our digital infrastructure;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80" w:right="420" w:hanging="324"/>
        <w:spacing w:after="0" w:line="287" w:lineRule="auto"/>
        <w:tabs>
          <w:tab w:leader="none" w:pos="976" w:val="left"/>
        </w:tabs>
        <w:numPr>
          <w:ilvl w:val="0"/>
          <w:numId w:val="11"/>
        </w:numPr>
        <w:rPr>
          <w:rFonts w:ascii="Arial" w:cs="Arial" w:eastAsia="Arial" w:hAnsi="Arial"/>
          <w:sz w:val="14"/>
          <w:szCs w:val="14"/>
          <w:color w:val="1E1E1E"/>
        </w:rPr>
      </w:pPr>
      <w:r>
        <w:rPr>
          <w:rFonts w:ascii="Arial" w:cs="Arial" w:eastAsia="Arial" w:hAnsi="Arial"/>
          <w:sz w:val="18"/>
          <w:szCs w:val="18"/>
          <w:color w:val="1E1E1E"/>
        </w:rPr>
        <w:t>other direct and allocated expenses incurred as a result of research and development activities, including those for facilities, depreciation, amortization and insurance.</w:t>
      </w:r>
    </w:p>
    <w:p>
      <w:pPr>
        <w:spacing w:after="0" w:line="18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1E1E1E"/>
        </w:rPr>
        <w:t>We monitor research and development expenses directly associated with our clinical assets at the program level to some degree, however, indirect costs associated with clinical development and the balance of our research and development expenses are not tracked at the program or candidate level.</w:t>
      </w:r>
    </w:p>
    <w:p>
      <w:pPr>
        <w:spacing w:after="0" w:line="198"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1E1E1E"/>
        </w:rPr>
        <w:t>We recognize expenses associated with third-party contracted services as they are incurred.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General and Administrative</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1E1E1E"/>
        </w:rPr>
        <w:t>We expense general and administrative costs as incurred. General and administrative expenses consist primarily of salaries; employee benefits; stock-based compensation; and outsourced labor for personnel in executive, finance, human resources, legal and other corporate administrative functions. General and administrative expenses also include legal fees for corporate and patent matters; professional fees for accounting, auditing, tax and administrative consulting services, insurance costs, facilities and depreciation expenses.</w:t>
      </w:r>
    </w:p>
    <w:p>
      <w:pPr>
        <w:spacing w:after="0" w:line="20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1E1E1E"/>
        </w:rPr>
        <w:t>We expect that our general and administrative expenses will increase in the future to support personnel in research and development and to support our operations as we increase our research and development activities and activities related to the potential commercialization of our drug candidates.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Other Income (Loss), Net</w:t>
      </w:r>
    </w:p>
    <w:p>
      <w:pPr>
        <w:spacing w:after="0" w:line="25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1E1E1E"/>
        </w:rPr>
        <w:t>Other income (loss), net consists of interest earned primarily from investments, interest expense incurred under our loan agreements and gains and losses from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5"/>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2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r>
      <w:tr>
        <w:trPr>
          <w:trHeight w:val="210"/>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13,053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10,553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18,505</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5"/>
        </w:trPr>
        <w:tc>
          <w:tcPr>
            <w:tcW w:w="32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74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12.1 %</w:t>
            </w: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13,160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10,627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7,645</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18,522</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57"/>
        </w:trPr>
        <w:tc>
          <w:tcPr>
            <w:tcW w:w="3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15,409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ind w:right="361"/>
              <w:spacing w:after="0"/>
              <w:rPr>
                <w:sz w:val="20"/>
                <w:szCs w:val="20"/>
                <w:color w:val="auto"/>
              </w:rPr>
            </w:pPr>
            <w:r>
              <w:rPr>
                <w:rFonts w:ascii="Arial" w:cs="Arial" w:eastAsia="Arial" w:hAnsi="Arial"/>
                <w:sz w:val="16"/>
                <w:szCs w:val="16"/>
                <w:color w:val="auto"/>
              </w:rPr>
              <w:t>15,409</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37,435</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ind w:right="361"/>
              <w:spacing w:after="0"/>
              <w:rPr>
                <w:sz w:val="20"/>
                <w:szCs w:val="20"/>
                <w:color w:val="auto"/>
              </w:rPr>
            </w:pPr>
            <w:r>
              <w:rPr>
                <w:rFonts w:ascii="Arial" w:cs="Arial" w:eastAsia="Arial" w:hAnsi="Arial"/>
                <w:sz w:val="16"/>
                <w:szCs w:val="16"/>
                <w:color w:val="auto"/>
              </w:rPr>
              <w:t>37,435</w:t>
            </w:r>
          </w:p>
        </w:tc>
        <w:tc>
          <w:tcPr>
            <w:tcW w:w="6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7"/>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40,836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33,246</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7,590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22.8 %</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111,716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86,979</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24,736</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28.4 %</w:t>
            </w:r>
          </w:p>
        </w:tc>
      </w:tr>
      <w:tr>
        <w:trPr>
          <w:trHeight w:val="215"/>
        </w:trPr>
        <w:tc>
          <w:tcPr>
            <w:tcW w:w="32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19,488</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15,690</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3,798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24.2 %</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61,761</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38,481</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23,280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60.5 %</w:t>
            </w: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costs and expenses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75,733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48,936</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26,797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54.8 %</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210,912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125,460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85,451</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68.1 %</w:t>
            </w:r>
          </w:p>
        </w:tc>
      </w:tr>
      <w:tr>
        <w:trPr>
          <w:trHeight w:val="257"/>
        </w:trPr>
        <w:tc>
          <w:tcPr>
            <w:tcW w:w="3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from operations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(62,573)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(16,170)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34.8 %</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(184,745)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(117,815)</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(66,929)</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56.8 %</w:t>
            </w:r>
          </w:p>
        </w:tc>
      </w:tr>
      <w:tr>
        <w:trPr>
          <w:trHeight w:val="215"/>
        </w:trPr>
        <w:tc>
          <w:tcPr>
            <w:tcW w:w="32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income (loss), net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2,128</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3,154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(3,731)</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6,492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35"/>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(60,445)</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(47,428)</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(13,016)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27.4 %</w:t>
            </w:r>
          </w:p>
        </w:tc>
        <w:tc>
          <w:tcPr>
            <w:tcW w:w="2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(181,984)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(121,546)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(60,437)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49.7 %</w:t>
            </w:r>
          </w:p>
        </w:tc>
      </w:tr>
      <w:tr>
        <w:trPr>
          <w:trHeight w:val="20"/>
        </w:trPr>
        <w:tc>
          <w:tcPr>
            <w:tcW w:w="3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1E1E1E"/>
        </w:rPr>
        <w:t>n/m = Not meaningful</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5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1E1E1E"/>
        </w:rPr>
        <w:t xml:space="preserve">Our financial performance during the three and </w:t>
      </w:r>
      <w:r>
        <w:rPr>
          <w:rFonts w:ascii="Arial" w:cs="Arial" w:eastAsia="Arial" w:hAnsi="Arial"/>
          <w:sz w:val="18"/>
          <w:szCs w:val="18"/>
          <w:color w:val="000000"/>
        </w:rPr>
        <w:t>nine months ended September 30, 2022 compared to the prior periods included; (i) a</w:t>
      </w:r>
      <w:r>
        <w:rPr>
          <w:rFonts w:ascii="Arial" w:cs="Arial" w:eastAsia="Arial" w:hAnsi="Arial"/>
          <w:sz w:val="18"/>
          <w:szCs w:val="18"/>
          <w:color w:val="1E1E1E"/>
        </w:rPr>
        <w:t xml:space="preserve"> </w:t>
      </w:r>
      <w:r>
        <w:rPr>
          <w:rFonts w:ascii="Arial" w:cs="Arial" w:eastAsia="Arial" w:hAnsi="Arial"/>
          <w:sz w:val="18"/>
          <w:szCs w:val="18"/>
          <w:color w:val="000000"/>
        </w:rPr>
        <w:t xml:space="preserve">decrease in platform research and development costs due to </w:t>
      </w:r>
      <w:r>
        <w:rPr>
          <w:rFonts w:ascii="Arial" w:cs="Arial" w:eastAsia="Arial" w:hAnsi="Arial"/>
          <w:sz w:val="18"/>
          <w:szCs w:val="18"/>
          <w:color w:val="1E1E1E"/>
        </w:rPr>
        <w:t>a reallocation of spending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1E1E1E"/>
        </w:rPr>
        <w:t>cost of revenue for our strategic partnerships; (ii) an increase in revenue recognized due to our strategic partnership with Roche; and (iii) the incurrence of cost of revenue due to our strategic partnerships. Additionally, our financial results reflected added funding to support our emerging early- and mid-stage pipeline assets and continued growth of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revenue: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281"/>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5"/>
        </w:trPr>
        <w:tc>
          <w:tcPr>
            <w:tcW w:w="3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r>
      <w:tr>
        <w:trPr>
          <w:trHeight w:val="228"/>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3"/>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r>
      <w:tr>
        <w:trPr>
          <w:trHeight w:val="210"/>
        </w:trPr>
        <w:tc>
          <w:tcPr>
            <w:tcW w:w="3140" w:type="dxa"/>
            <w:vAlign w:val="bottom"/>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7"/>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13,053</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10,553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26,005</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rPr>
              <w:t>18,505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5"/>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74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color w:val="auto"/>
              </w:rPr>
              <w:t>17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12.1 %</w:t>
            </w:r>
          </w:p>
        </w:tc>
      </w:tr>
      <w:tr>
        <w:trPr>
          <w:trHeight w:val="234"/>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13,160</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2,534</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10,627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26,167</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7,645</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43"/>
              <w:spacing w:after="0"/>
              <w:rPr>
                <w:sz w:val="20"/>
                <w:szCs w:val="20"/>
                <w:color w:val="auto"/>
              </w:rPr>
            </w:pPr>
            <w:r>
              <w:rPr>
                <w:rFonts w:ascii="Arial" w:cs="Arial" w:eastAsia="Arial" w:hAnsi="Arial"/>
                <w:sz w:val="16"/>
                <w:szCs w:val="16"/>
                <w:color w:val="auto"/>
              </w:rPr>
              <w:t>18,522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0"/>
        </w:trPr>
        <w:tc>
          <w:tcPr>
            <w:tcW w:w="3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nine months ended September 30, 2022</w:t>
      </w:r>
      <w:r>
        <w:rPr>
          <w:rFonts w:ascii="Arial" w:cs="Arial" w:eastAsia="Arial" w:hAnsi="Arial"/>
          <w:sz w:val="18"/>
          <w:szCs w:val="18"/>
          <w:color w:val="1E1E1E"/>
        </w:rPr>
        <w:t>, the increase in revenue compared to prior period was due to revenue recognized from our strategic partnership with Roche, which commenced in January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Cost of 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cost of revenue: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080" w:type="dxa"/>
            <w:vAlign w:val="bottom"/>
            <w:gridSpan w:val="2"/>
          </w:tcPr>
          <w:p>
            <w:pPr>
              <w:jc w:val="center"/>
              <w:ind w:right="144"/>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19"/>
        </w:trPr>
        <w:tc>
          <w:tcPr>
            <w:tcW w:w="3760" w:type="dxa"/>
            <w:vAlign w:val="bottom"/>
          </w:tcPr>
          <w:p>
            <w:pPr>
              <w:spacing w:after="0"/>
              <w:rPr>
                <w:sz w:val="19"/>
                <w:szCs w:val="19"/>
                <w:color w:val="auto"/>
              </w:rPr>
            </w:pPr>
          </w:p>
        </w:tc>
        <w:tc>
          <w:tcPr>
            <w:tcW w:w="2080" w:type="dxa"/>
            <w:vAlign w:val="bottom"/>
            <w:tcBorders>
              <w:bottom w:val="single" w:sz="8" w:color="auto"/>
            </w:tcBorders>
            <w:gridSpan w:val="2"/>
          </w:tcPr>
          <w:p>
            <w:pPr>
              <w:jc w:val="center"/>
              <w:ind w:right="144"/>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9"/>
                <w:szCs w:val="19"/>
                <w:color w:val="auto"/>
              </w:rPr>
            </w:pPr>
          </w:p>
        </w:tc>
      </w:tr>
      <w:tr>
        <w:trPr>
          <w:trHeight w:val="242"/>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14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2022</w:t>
            </w:r>
          </w:p>
        </w:tc>
        <w:tc>
          <w:tcPr>
            <w:tcW w:w="9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jc w:val="right"/>
              <w:ind w:right="665"/>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w:t>
            </w:r>
          </w:p>
        </w:tc>
      </w:tr>
      <w:tr>
        <w:trPr>
          <w:trHeight w:val="235"/>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w:t>
            </w:r>
          </w:p>
        </w:tc>
        <w:tc>
          <w:tcPr>
            <w:tcW w:w="11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   15,409 $</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6"/>
                <w:szCs w:val="16"/>
                <w:color w:val="auto"/>
              </w:rPr>
              <w:t>15,409</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6"/>
                <w:szCs w:val="16"/>
                <w:color w:val="auto"/>
              </w:rPr>
              <w:t>n/m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37,435</w:t>
            </w:r>
          </w:p>
        </w:tc>
        <w:tc>
          <w:tcPr>
            <w:tcW w:w="680" w:type="dxa"/>
            <w:vAlign w:val="bottom"/>
            <w:tcBorders>
              <w:bottom w:val="single" w:sz="8" w:color="auto"/>
            </w:tcBorders>
            <w:shd w:val="clear" w:color="auto" w:fill="CCEEFF"/>
          </w:tcPr>
          <w:p>
            <w:pPr>
              <w:jc w:val="right"/>
              <w:ind w:right="464"/>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6"/>
                <w:szCs w:val="16"/>
                <w:color w:val="auto"/>
              </w:rPr>
              <w:t>— $  37,435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
        </w:trPr>
        <w:tc>
          <w:tcPr>
            <w:tcW w:w="37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nine months ended September 30, 2022</w:t>
      </w:r>
      <w:r>
        <w:rPr>
          <w:rFonts w:ascii="Arial" w:cs="Arial" w:eastAsia="Arial" w:hAnsi="Arial"/>
          <w:sz w:val="18"/>
          <w:szCs w:val="18"/>
          <w:color w:val="1E1E1E"/>
        </w:rPr>
        <w:t xml:space="preserve">, the increase in cost of revenue compared to prior period was due to our strategic partnerships. </w:t>
      </w:r>
      <w:r>
        <w:rPr>
          <w:rFonts w:ascii="Arial" w:cs="Arial" w:eastAsia="Arial" w:hAnsi="Arial"/>
          <w:sz w:val="18"/>
          <w:szCs w:val="18"/>
          <w:color w:val="000000"/>
        </w:rPr>
        <w:t>For the three and nine months ended September 30, 2021, cost of revenue was insignificant and was included within</w:t>
      </w:r>
      <w:r>
        <w:rPr>
          <w:rFonts w:ascii="Arial" w:cs="Arial" w:eastAsia="Arial" w:hAnsi="Arial"/>
          <w:sz w:val="18"/>
          <w:szCs w:val="18"/>
          <w:color w:val="1E1E1E"/>
        </w:rPr>
        <w:t xml:space="preserve"> </w:t>
      </w:r>
      <w:r>
        <w:rPr>
          <w:rFonts w:ascii="Arial" w:cs="Arial" w:eastAsia="Arial" w:hAnsi="Arial"/>
          <w:sz w:val="18"/>
          <w:szCs w:val="18"/>
          <w:color w:val="000000"/>
        </w:rPr>
        <w:t>“Research and development” in the Condensed Consolidated Statement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Research and Development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research and development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5"/>
        </w:trPr>
        <w:tc>
          <w:tcPr>
            <w:tcW w:w="3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r>
      <w:tr>
        <w:trPr>
          <w:trHeight w:val="22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w:t>
            </w:r>
          </w:p>
        </w:tc>
      </w:tr>
      <w:tr>
        <w:trPr>
          <w:trHeight w:val="210"/>
        </w:trPr>
        <w:tc>
          <w:tcPr>
            <w:tcW w:w="334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Platform</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w w:val="98"/>
              </w:rPr>
              <w:t>(1,836)</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35,082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(7,706)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5"/>
        </w:trPr>
        <w:tc>
          <w:tcPr>
            <w:tcW w:w="3340" w:type="dxa"/>
            <w:vAlign w:val="bottom"/>
          </w:tcPr>
          <w:p>
            <w:pPr>
              <w:ind w:left="140"/>
              <w:spacing w:after="0"/>
              <w:rPr>
                <w:sz w:val="20"/>
                <w:szCs w:val="20"/>
                <w:color w:val="auto"/>
              </w:rPr>
            </w:pPr>
            <w:r>
              <w:rPr>
                <w:rFonts w:ascii="Arial" w:cs="Arial" w:eastAsia="Arial" w:hAnsi="Arial"/>
                <w:sz w:val="16"/>
                <w:szCs w:val="16"/>
                <w:color w:val="auto"/>
              </w:rPr>
              <w:t>Discovery</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12,119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10,302</w:t>
            </w:r>
          </w:p>
        </w:tc>
        <w:tc>
          <w:tcPr>
            <w:tcW w:w="260" w:type="dxa"/>
            <w:vAlign w:val="bottom"/>
          </w:tcPr>
          <w:p>
            <w:pPr>
              <w:spacing w:after="0"/>
              <w:rPr>
                <w:sz w:val="18"/>
                <w:szCs w:val="18"/>
                <w:color w:val="auto"/>
              </w:rPr>
            </w:pPr>
          </w:p>
        </w:tc>
        <w:tc>
          <w:tcPr>
            <w:tcW w:w="1060" w:type="dxa"/>
            <w:vAlign w:val="bottom"/>
          </w:tcPr>
          <w:p>
            <w:pPr>
              <w:jc w:val="center"/>
              <w:ind w:right="181"/>
              <w:spacing w:after="0"/>
              <w:rPr>
                <w:sz w:val="20"/>
                <w:szCs w:val="20"/>
                <w:color w:val="auto"/>
              </w:rPr>
            </w:pPr>
            <w:r>
              <w:rPr>
                <w:rFonts w:ascii="Arial" w:cs="Arial" w:eastAsia="Arial" w:hAnsi="Arial"/>
                <w:sz w:val="16"/>
                <w:szCs w:val="16"/>
                <w:color w:val="auto"/>
                <w:w w:val="99"/>
              </w:rPr>
              <w:t>1,817</w:t>
            </w:r>
          </w:p>
        </w:tc>
        <w:tc>
          <w:tcPr>
            <w:tcW w:w="640" w:type="dxa"/>
            <w:vAlign w:val="bottom"/>
          </w:tcPr>
          <w:p>
            <w:pPr>
              <w:jc w:val="right"/>
              <w:spacing w:after="0"/>
              <w:rPr>
                <w:sz w:val="20"/>
                <w:szCs w:val="20"/>
                <w:color w:val="auto"/>
              </w:rPr>
            </w:pPr>
            <w:r>
              <w:rPr>
                <w:rFonts w:ascii="Arial" w:cs="Arial" w:eastAsia="Arial" w:hAnsi="Arial"/>
                <w:sz w:val="16"/>
                <w:szCs w:val="16"/>
                <w:color w:val="auto"/>
              </w:rPr>
              <w:t>17.6 %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36,878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26,888</w:t>
            </w:r>
          </w:p>
        </w:tc>
        <w:tc>
          <w:tcPr>
            <w:tcW w:w="240" w:type="dxa"/>
            <w:vAlign w:val="bottom"/>
          </w:tcPr>
          <w:p>
            <w:pPr>
              <w:spacing w:after="0"/>
              <w:rPr>
                <w:sz w:val="18"/>
                <w:szCs w:val="18"/>
                <w:color w:val="auto"/>
              </w:rPr>
            </w:pPr>
          </w:p>
        </w:tc>
        <w:tc>
          <w:tcPr>
            <w:tcW w:w="1160" w:type="dxa"/>
            <w:vAlign w:val="bottom"/>
          </w:tcPr>
          <w:p>
            <w:pPr>
              <w:jc w:val="right"/>
              <w:ind w:right="461"/>
              <w:spacing w:after="0"/>
              <w:rPr>
                <w:sz w:val="20"/>
                <w:szCs w:val="20"/>
                <w:color w:val="auto"/>
              </w:rPr>
            </w:pPr>
            <w:r>
              <w:rPr>
                <w:rFonts w:ascii="Arial" w:cs="Arial" w:eastAsia="Arial" w:hAnsi="Arial"/>
                <w:sz w:val="16"/>
                <w:szCs w:val="16"/>
                <w:color w:val="auto"/>
              </w:rPr>
              <w:t>9,990</w:t>
            </w:r>
          </w:p>
        </w:tc>
        <w:tc>
          <w:tcPr>
            <w:tcW w:w="740" w:type="dxa"/>
            <w:vAlign w:val="bottom"/>
          </w:tcPr>
          <w:p>
            <w:pPr>
              <w:jc w:val="right"/>
              <w:spacing w:after="0"/>
              <w:rPr>
                <w:sz w:val="20"/>
                <w:szCs w:val="20"/>
                <w:color w:val="auto"/>
              </w:rPr>
            </w:pPr>
            <w:r>
              <w:rPr>
                <w:rFonts w:ascii="Arial" w:cs="Arial" w:eastAsia="Arial" w:hAnsi="Arial"/>
                <w:sz w:val="16"/>
                <w:szCs w:val="16"/>
                <w:color w:val="auto"/>
              </w:rPr>
              <w:t>37.2 %</w:t>
            </w:r>
          </w:p>
        </w:tc>
      </w:tr>
      <w:tr>
        <w:trPr>
          <w:trHeight w:val="217"/>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Clinical</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4,944</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181"/>
              <w:spacing w:after="0"/>
              <w:rPr>
                <w:sz w:val="20"/>
                <w:szCs w:val="20"/>
                <w:color w:val="auto"/>
              </w:rPr>
            </w:pPr>
            <w:r>
              <w:rPr>
                <w:rFonts w:ascii="Arial" w:cs="Arial" w:eastAsia="Arial" w:hAnsi="Arial"/>
                <w:sz w:val="16"/>
                <w:szCs w:val="16"/>
                <w:color w:val="auto"/>
                <w:w w:val="99"/>
              </w:rPr>
              <w:t>6,983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35,590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22,110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5"/>
        </w:trPr>
        <w:tc>
          <w:tcPr>
            <w:tcW w:w="3340" w:type="dxa"/>
            <w:vAlign w:val="bottom"/>
          </w:tcPr>
          <w:p>
            <w:pPr>
              <w:ind w:left="140"/>
              <w:spacing w:after="0"/>
              <w:rPr>
                <w:sz w:val="20"/>
                <w:szCs w:val="20"/>
                <w:color w:val="auto"/>
              </w:rPr>
            </w:pPr>
            <w:r>
              <w:rPr>
                <w:rFonts w:ascii="Arial" w:cs="Arial" w:eastAsia="Arial" w:hAnsi="Arial"/>
                <w:sz w:val="16"/>
                <w:szCs w:val="16"/>
                <w:color w:val="auto"/>
              </w:rPr>
              <w:t>Stock based compensation</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3,772</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1,386</w:t>
            </w:r>
          </w:p>
        </w:tc>
        <w:tc>
          <w:tcPr>
            <w:tcW w:w="260" w:type="dxa"/>
            <w:vAlign w:val="bottom"/>
          </w:tcPr>
          <w:p>
            <w:pPr>
              <w:spacing w:after="0"/>
              <w:rPr>
                <w:sz w:val="18"/>
                <w:szCs w:val="18"/>
                <w:color w:val="auto"/>
              </w:rPr>
            </w:pPr>
          </w:p>
        </w:tc>
        <w:tc>
          <w:tcPr>
            <w:tcW w:w="1060" w:type="dxa"/>
            <w:vAlign w:val="bottom"/>
          </w:tcPr>
          <w:p>
            <w:pPr>
              <w:jc w:val="center"/>
              <w:ind w:right="181"/>
              <w:spacing w:after="0"/>
              <w:rPr>
                <w:sz w:val="20"/>
                <w:szCs w:val="20"/>
                <w:color w:val="auto"/>
              </w:rPr>
            </w:pPr>
            <w:r>
              <w:rPr>
                <w:rFonts w:ascii="Arial" w:cs="Arial" w:eastAsia="Arial" w:hAnsi="Arial"/>
                <w:sz w:val="16"/>
                <w:szCs w:val="16"/>
                <w:color w:val="auto"/>
                <w:w w:val="99"/>
              </w:rPr>
              <w:t>2,386</w:t>
            </w:r>
          </w:p>
        </w:tc>
        <w:tc>
          <w:tcPr>
            <w:tcW w:w="640" w:type="dxa"/>
            <w:vAlign w:val="bottom"/>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7,702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3,157</w:t>
            </w:r>
          </w:p>
        </w:tc>
        <w:tc>
          <w:tcPr>
            <w:tcW w:w="240" w:type="dxa"/>
            <w:vAlign w:val="bottom"/>
          </w:tcPr>
          <w:p>
            <w:pPr>
              <w:spacing w:after="0"/>
              <w:rPr>
                <w:sz w:val="18"/>
                <w:szCs w:val="18"/>
                <w:color w:val="auto"/>
              </w:rPr>
            </w:pPr>
          </w:p>
        </w:tc>
        <w:tc>
          <w:tcPr>
            <w:tcW w:w="1160" w:type="dxa"/>
            <w:vAlign w:val="bottom"/>
          </w:tcPr>
          <w:p>
            <w:pPr>
              <w:jc w:val="right"/>
              <w:ind w:right="461"/>
              <w:spacing w:after="0"/>
              <w:rPr>
                <w:sz w:val="20"/>
                <w:szCs w:val="20"/>
                <w:color w:val="auto"/>
              </w:rPr>
            </w:pPr>
            <w:r>
              <w:rPr>
                <w:rFonts w:ascii="Arial" w:cs="Arial" w:eastAsia="Arial" w:hAnsi="Arial"/>
                <w:sz w:val="16"/>
                <w:szCs w:val="16"/>
                <w:color w:val="auto"/>
              </w:rPr>
              <w:t>4,545</w:t>
            </w:r>
          </w:p>
        </w:tc>
        <w:tc>
          <w:tcPr>
            <w:tcW w:w="74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6"/>
        </w:trPr>
        <w:tc>
          <w:tcPr>
            <w:tcW w:w="3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3,402</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center"/>
              <w:ind w:right="201"/>
              <w:spacing w:after="0"/>
              <w:rPr>
                <w:sz w:val="20"/>
                <w:szCs w:val="20"/>
                <w:color w:val="auto"/>
              </w:rPr>
            </w:pPr>
            <w:r>
              <w:rPr>
                <w:rFonts w:ascii="Arial" w:cs="Arial" w:eastAsia="Arial" w:hAnsi="Arial"/>
                <w:sz w:val="16"/>
                <w:szCs w:val="16"/>
                <w:color w:val="auto"/>
                <w:w w:val="98"/>
              </w:rPr>
              <w:t>(1,760)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8,372</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rPr>
              <w:t>(4,202)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r>
      <w:tr>
        <w:trPr>
          <w:trHeight w:val="210"/>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research and development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40,836</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33,246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center"/>
              <w:ind w:right="181"/>
              <w:spacing w:after="0"/>
              <w:rPr>
                <w:sz w:val="20"/>
                <w:szCs w:val="20"/>
                <w:color w:val="auto"/>
              </w:rPr>
            </w:pPr>
            <w:r>
              <w:rPr>
                <w:rFonts w:ascii="Arial" w:cs="Arial" w:eastAsia="Arial" w:hAnsi="Arial"/>
                <w:sz w:val="16"/>
                <w:szCs w:val="16"/>
                <w:color w:val="auto"/>
                <w:w w:val="99"/>
              </w:rPr>
              <w:t>7,590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22.8 %</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86,979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24,737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28.4 %</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1E1E1E"/>
        </w:rPr>
        <w:t>Significant components of research and development expense include the following allocated by development phase: Platform, which refers primarily to expenses related to screening of product candidates through hit identification; Discovery, which refers primarily to expenses related to hit identification through development of candidates; and Clinical, which refers primarily to expenses related to development of candidates and beyond.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nine months ended September 30, 2022</w:t>
      </w:r>
      <w:r>
        <w:rPr>
          <w:rFonts w:ascii="Arial" w:cs="Arial" w:eastAsia="Arial" w:hAnsi="Arial"/>
          <w:sz w:val="18"/>
          <w:szCs w:val="18"/>
          <w:color w:val="1E1E1E"/>
        </w:rPr>
        <w:t>, the increase in research and development expenses compared to prior period was primarily due to increased clinical costs as studies progressed. The Company initiated three Phase 2 or Phase 2/3 studies and one Phase 1 study in 2022. Additionally, discovery costs have increased driven by additional personnel as the Company continues to expand its capabilities in this area including in transcriptomics, invivomics, ADMET and DMPK. These increases were partially offset by a decrease in platform costs due to a reallocation of spending to cost of revenue for our strategic partnerships.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General and Administrative Expense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general and administrative expense: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jc w:val="center"/>
              <w:ind w:right="10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5"/>
        </w:trPr>
        <w:tc>
          <w:tcPr>
            <w:tcW w:w="3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center"/>
              <w:ind w:right="10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28"/>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45"/>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w:t>
            </w:r>
          </w:p>
        </w:tc>
      </w:tr>
      <w:tr>
        <w:trPr>
          <w:trHeight w:val="235"/>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general and administrative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19,488 $</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15,690</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3,798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24.2 %</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  61,761 $</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38,481</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6"/>
                <w:szCs w:val="16"/>
                <w:color w:val="auto"/>
              </w:rPr>
              <w:t>23,280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60.5 %</w:t>
            </w:r>
          </w:p>
        </w:tc>
      </w:tr>
      <w:tr>
        <w:trPr>
          <w:trHeight w:val="20"/>
        </w:trPr>
        <w:tc>
          <w:tcPr>
            <w:tcW w:w="3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nine months ended September 30, 2022</w:t>
      </w:r>
      <w:r>
        <w:rPr>
          <w:rFonts w:ascii="Arial" w:cs="Arial" w:eastAsia="Arial" w:hAnsi="Arial"/>
          <w:sz w:val="18"/>
          <w:szCs w:val="18"/>
          <w:color w:val="1E1E1E"/>
        </w:rPr>
        <w:t xml:space="preserve">, the increase in general and administrative expense compared to prior period was due to the growth in size of the Company’s operations including increased salaries and wages of $4.0 million and $12.4 million, respectively, a fixed asset write-down during the </w:t>
      </w:r>
      <w:r>
        <w:rPr>
          <w:rFonts w:ascii="Arial" w:cs="Arial" w:eastAsia="Arial" w:hAnsi="Arial"/>
          <w:sz w:val="18"/>
          <w:szCs w:val="18"/>
          <w:color w:val="000000"/>
        </w:rPr>
        <w:t>nine months ended September 30, 2022</w:t>
      </w:r>
      <w:r>
        <w:rPr>
          <w:rFonts w:ascii="Arial" w:cs="Arial" w:eastAsia="Arial" w:hAnsi="Arial"/>
          <w:sz w:val="18"/>
          <w:szCs w:val="18"/>
          <w:color w:val="1E1E1E"/>
        </w:rPr>
        <w:t xml:space="preserve"> of $ 2.8 million, increased rent expense during the three and </w:t>
      </w:r>
      <w:r>
        <w:rPr>
          <w:rFonts w:ascii="Arial" w:cs="Arial" w:eastAsia="Arial" w:hAnsi="Arial"/>
          <w:sz w:val="18"/>
          <w:szCs w:val="18"/>
          <w:color w:val="000000"/>
        </w:rPr>
        <w:t>nine</w:t>
      </w:r>
      <w:r>
        <w:rPr>
          <w:rFonts w:ascii="Arial" w:cs="Arial" w:eastAsia="Arial" w:hAnsi="Arial"/>
          <w:sz w:val="18"/>
          <w:szCs w:val="18"/>
          <w:color w:val="1E1E1E"/>
        </w:rPr>
        <w:t xml:space="preserve"> </w:t>
      </w:r>
      <w:r>
        <w:rPr>
          <w:rFonts w:ascii="Arial" w:cs="Arial" w:eastAsia="Arial" w:hAnsi="Arial"/>
          <w:sz w:val="18"/>
          <w:szCs w:val="18"/>
          <w:color w:val="000000"/>
        </w:rPr>
        <w:t xml:space="preserve">months ended September 30, 2022 </w:t>
      </w:r>
      <w:r>
        <w:rPr>
          <w:rFonts w:ascii="Arial" w:cs="Arial" w:eastAsia="Arial" w:hAnsi="Arial"/>
          <w:sz w:val="18"/>
          <w:szCs w:val="18"/>
          <w:color w:val="1E1E1E"/>
        </w:rPr>
        <w:t>of $0.4 million and $2.2 million, respectively, and increases in other administrative costs associated with</w:t>
      </w:r>
      <w:r>
        <w:rPr>
          <w:rFonts w:ascii="Arial" w:cs="Arial" w:eastAsia="Arial" w:hAnsi="Arial"/>
          <w:sz w:val="18"/>
          <w:szCs w:val="18"/>
          <w:color w:val="000000"/>
        </w:rPr>
        <w:t xml:space="preserve"> </w:t>
      </w:r>
      <w:r>
        <w:rPr>
          <w:rFonts w:ascii="Arial" w:cs="Arial" w:eastAsia="Arial" w:hAnsi="Arial"/>
          <w:sz w:val="18"/>
          <w:szCs w:val="18"/>
          <w:color w:val="1E1E1E"/>
        </w:rPr>
        <w:t>operating a public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Other Income (Loss),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other income (loss), net: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5"/>
        </w:trPr>
        <w:tc>
          <w:tcPr>
            <w:tcW w:w="2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r>
      <w:tr>
        <w:trPr>
          <w:trHeight w:val="229"/>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r>
      <w:tr>
        <w:trPr>
          <w:trHeight w:val="210"/>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207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2,929</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r>
      <w:tr>
        <w:trPr>
          <w:trHeight w:val="215"/>
        </w:trPr>
        <w:tc>
          <w:tcPr>
            <w:tcW w:w="29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1,833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w:t>
            </w:r>
          </w:p>
        </w:tc>
        <w:tc>
          <w:tcPr>
            <w:tcW w:w="280" w:type="dxa"/>
            <w:vAlign w:val="bottom"/>
          </w:tcPr>
          <w:p>
            <w:pPr>
              <w:spacing w:after="0"/>
              <w:rPr>
                <w:sz w:val="18"/>
                <w:szCs w:val="18"/>
                <w:color w:val="auto"/>
              </w:rPr>
            </w:pPr>
          </w:p>
        </w:tc>
        <w:tc>
          <w:tcPr>
            <w:tcW w:w="1020" w:type="dxa"/>
            <w:vAlign w:val="bottom"/>
          </w:tcPr>
          <w:p>
            <w:pPr>
              <w:jc w:val="right"/>
              <w:ind w:right="362"/>
              <w:spacing w:after="0"/>
              <w:rPr>
                <w:sz w:val="20"/>
                <w:szCs w:val="20"/>
                <w:color w:val="auto"/>
              </w:rPr>
            </w:pPr>
            <w:r>
              <w:rPr>
                <w:rFonts w:ascii="Arial" w:cs="Arial" w:eastAsia="Arial" w:hAnsi="Arial"/>
                <w:sz w:val="16"/>
                <w:szCs w:val="16"/>
                <w:color w:val="auto"/>
              </w:rPr>
              <w:t>1,783</w:t>
            </w:r>
          </w:p>
        </w:tc>
        <w:tc>
          <w:tcPr>
            <w:tcW w:w="700" w:type="dxa"/>
            <w:vAlign w:val="bottom"/>
          </w:tcPr>
          <w:p>
            <w:pPr>
              <w:jc w:val="right"/>
              <w:spacing w:after="0"/>
              <w:rPr>
                <w:sz w:val="20"/>
                <w:szCs w:val="20"/>
                <w:color w:val="auto"/>
              </w:rPr>
            </w:pPr>
            <w:r>
              <w:rPr>
                <w:rFonts w:ascii="Arial" w:cs="Arial" w:eastAsia="Arial" w:hAnsi="Arial"/>
                <w:sz w:val="16"/>
                <w:szCs w:val="16"/>
                <w:color w:val="auto"/>
              </w:rPr>
              <w:t>&gt;100%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2,572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w:t>
            </w:r>
          </w:p>
        </w:tc>
        <w:tc>
          <w:tcPr>
            <w:tcW w:w="280" w:type="dxa"/>
            <w:vAlign w:val="bottom"/>
          </w:tcPr>
          <w:p>
            <w:pPr>
              <w:spacing w:after="0"/>
              <w:rPr>
                <w:sz w:val="18"/>
                <w:szCs w:val="18"/>
                <w:color w:val="auto"/>
              </w:rPr>
            </w:pPr>
          </w:p>
        </w:tc>
        <w:tc>
          <w:tcPr>
            <w:tcW w:w="1100" w:type="dxa"/>
            <w:vAlign w:val="bottom"/>
          </w:tcPr>
          <w:p>
            <w:pPr>
              <w:jc w:val="right"/>
              <w:ind w:right="402"/>
              <w:spacing w:after="0"/>
              <w:rPr>
                <w:sz w:val="20"/>
                <w:szCs w:val="20"/>
                <w:color w:val="auto"/>
              </w:rPr>
            </w:pPr>
            <w:r>
              <w:rPr>
                <w:rFonts w:ascii="Arial" w:cs="Arial" w:eastAsia="Arial" w:hAnsi="Arial"/>
                <w:sz w:val="16"/>
                <w:szCs w:val="16"/>
                <w:color w:val="auto"/>
              </w:rPr>
              <w:t>2,478</w:t>
            </w:r>
          </w:p>
        </w:tc>
        <w:tc>
          <w:tcPr>
            <w:tcW w:w="74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7"/>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debt extinguishment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827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827</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5"/>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337</w:t>
            </w:r>
          </w:p>
        </w:tc>
        <w:tc>
          <w:tcPr>
            <w:tcW w:w="86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color w:val="auto"/>
              </w:rPr>
              <w:t>n/m</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258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35"/>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income (loss),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3,154</w:t>
            </w:r>
          </w:p>
        </w:tc>
        <w:tc>
          <w:tcPr>
            <w:tcW w:w="86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6"/>
                <w:szCs w:val="16"/>
                <w:color w:val="auto"/>
              </w:rPr>
              <w:t>n/m</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(3,731)</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rPr>
              <w:t>6,492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
        </w:trPr>
        <w:tc>
          <w:tcPr>
            <w:tcW w:w="2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nine months ended September 30, 2022</w:t>
      </w:r>
      <w:r>
        <w:rPr>
          <w:rFonts w:ascii="Arial" w:cs="Arial" w:eastAsia="Arial" w:hAnsi="Arial"/>
          <w:sz w:val="18"/>
          <w:szCs w:val="18"/>
          <w:color w:val="1E1E1E"/>
        </w:rPr>
        <w:t xml:space="preserve">, the </w:t>
      </w:r>
      <w:r>
        <w:rPr>
          <w:rFonts w:ascii="Arial" w:cs="Arial" w:eastAsia="Arial" w:hAnsi="Arial"/>
          <w:sz w:val="18"/>
          <w:szCs w:val="18"/>
          <w:color w:val="000000"/>
        </w:rPr>
        <w:t>increase in other income (loss), net</w:t>
      </w:r>
      <w:r>
        <w:rPr>
          <w:rFonts w:ascii="Arial" w:cs="Arial" w:eastAsia="Arial" w:hAnsi="Arial"/>
          <w:sz w:val="18"/>
          <w:szCs w:val="18"/>
          <w:color w:val="1E1E1E"/>
        </w:rPr>
        <w:t xml:space="preserve"> compared to the prior year was driven by </w:t>
      </w:r>
      <w:r>
        <w:rPr>
          <w:rFonts w:ascii="Arial" w:cs="Arial" w:eastAsia="Arial" w:hAnsi="Arial"/>
          <w:sz w:val="18"/>
          <w:szCs w:val="18"/>
          <w:color w:val="000000"/>
        </w:rPr>
        <w:t xml:space="preserve">a decrease in interest expense from the 2021 the Midcap loan settlement and an increase in interest income from our investment portfolio. </w:t>
      </w:r>
      <w:r>
        <w:rPr>
          <w:rFonts w:ascii="Arial" w:cs="Arial" w:eastAsia="Arial" w:hAnsi="Arial"/>
          <w:sz w:val="18"/>
          <w:szCs w:val="18"/>
          <w:color w:val="1E1E1E"/>
        </w:rPr>
        <w:t xml:space="preserve">See Note 3, “Supplemental </w:t>
      </w:r>
      <w:r>
        <w:rPr>
          <w:rFonts w:ascii="Arial" w:cs="Arial" w:eastAsia="Arial" w:hAnsi="Arial"/>
          <w:sz w:val="18"/>
          <w:szCs w:val="18"/>
          <w:color w:val="000000"/>
        </w:rPr>
        <w:t>Financial Information</w:t>
      </w:r>
      <w:r>
        <w:rPr>
          <w:rFonts w:ascii="Arial" w:cs="Arial" w:eastAsia="Arial" w:hAnsi="Arial"/>
          <w:sz w:val="18"/>
          <w:szCs w:val="18"/>
          <w:color w:val="1E1E1E"/>
        </w:rPr>
        <w:t xml:space="preserve">” to the Condensed Consolidated Financial Statements for additional details on the </w:t>
      </w:r>
      <w:r>
        <w:rPr>
          <w:rFonts w:ascii="Arial" w:cs="Arial" w:eastAsia="Arial" w:hAnsi="Arial"/>
          <w:sz w:val="18"/>
          <w:szCs w:val="18"/>
          <w:color w:val="000000"/>
        </w:rPr>
        <w:t>Midcap</w:t>
      </w:r>
      <w:r>
        <w:rPr>
          <w:rFonts w:ascii="Arial" w:cs="Arial" w:eastAsia="Arial" w:hAnsi="Arial"/>
          <w:sz w:val="18"/>
          <w:szCs w:val="18"/>
          <w:color w:val="1E1E1E"/>
        </w:rPr>
        <w:t xml:space="preserve"> </w:t>
      </w:r>
      <w:r>
        <w:rPr>
          <w:rFonts w:ascii="Arial" w:cs="Arial" w:eastAsia="Arial" w:hAnsi="Arial"/>
          <w:sz w:val="18"/>
          <w:szCs w:val="18"/>
          <w:color w:val="000000"/>
        </w:rPr>
        <w:t>loan agreement and see Note 4, “Investments” for additional details on the investment portfolio</w:t>
      </w:r>
      <w:r>
        <w:rPr>
          <w:rFonts w:ascii="Arial" w:cs="Arial" w:eastAsia="Arial" w:hAnsi="Arial"/>
          <w:sz w:val="18"/>
          <w:szCs w:val="18"/>
          <w:color w:val="1E1E1E"/>
        </w:rPr>
        <w: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Liquidity and Capital Resources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Sources of Liquidity</w:t>
      </w:r>
    </w:p>
    <w:p>
      <w:pPr>
        <w:spacing w:after="0" w:line="25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1E1E1E"/>
        </w:rPr>
        <w:t>We have not yet commercialized any products and do not expect to generate revenue from the sales of any product candidates for at least several years. Unrestricted cash, cash equivalents and investments totaled $454.6 million and $516.6 million as of September 30, 2022 and December 31, 2021, respectively.</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1E1E1E"/>
        </w:rPr>
        <w:t>We have incurred operating losses and experienced negative operating cash flows and we anticipate that the Company will continue to incur losses for at least the foreseeable future. Our net loss was $60.4 million and $182.0 million during the three and nine months ended September 30, 2022, respectively. Our net loss was $47.4 million and $ 121.5 million during the three and nine months ended September 30, 2021, respectively. As of September 30, 2022 and December 31, 2021, we had an accumulated deficit of $582.1 million and $400.1 million, respectively.</w:t>
      </w:r>
    </w:p>
    <w:p>
      <w:pPr>
        <w:spacing w:after="0" w:line="193"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1E1E1E"/>
        </w:rPr>
        <w:t>We have financed our operations through the private placements of preferred stock and an IPO. As of September 30, 2022, we have received proceeds of $448.9 million from the sale of preferred stock. We received net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1E1E1E"/>
        </w:rPr>
        <w:t>proceeds of $ 462.4 million from the IPO. See Note 8, “Common Stock” to the Condensed Consolidated Financial Statements for additional details on the IPO. Subsequent to September 30, 2022, on October 27, 2022, Recursion completed a Private Placement, pu</w:t>
      </w:r>
      <w:r>
        <w:rPr>
          <w:rFonts w:ascii="Arial" w:cs="Arial" w:eastAsia="Arial" w:hAnsi="Arial"/>
          <w:sz w:val="18"/>
          <w:szCs w:val="18"/>
          <w:color w:val="000000"/>
        </w:rPr>
        <w:t>rsuant to which</w:t>
      </w:r>
      <w:r>
        <w:rPr>
          <w:rFonts w:ascii="Arial" w:cs="Arial" w:eastAsia="Arial" w:hAnsi="Arial"/>
          <w:sz w:val="18"/>
          <w:szCs w:val="18"/>
          <w:color w:val="1E1E1E"/>
        </w:rPr>
        <w:t xml:space="preserve"> </w:t>
      </w:r>
      <w:r>
        <w:rPr>
          <w:rFonts w:ascii="Arial" w:cs="Arial" w:eastAsia="Arial" w:hAnsi="Arial"/>
          <w:sz w:val="18"/>
          <w:szCs w:val="18"/>
          <w:color w:val="000000"/>
        </w:rPr>
        <w:t xml:space="preserve">the Company sold an aggregate of </w:t>
      </w:r>
      <w:r>
        <w:rPr>
          <w:rFonts w:ascii="Arial" w:cs="Arial" w:eastAsia="Arial" w:hAnsi="Arial"/>
          <w:sz w:val="18"/>
          <w:szCs w:val="18"/>
          <w:color w:val="1E1E1E"/>
        </w:rPr>
        <w:t>15,336,734 Class A shares at a purchase price of $9.80 per share for gross proceeds of approximately</w:t>
      </w:r>
      <w:r>
        <w:rPr>
          <w:rFonts w:ascii="Arial" w:cs="Arial" w:eastAsia="Arial" w:hAnsi="Arial"/>
          <w:sz w:val="18"/>
          <w:szCs w:val="18"/>
          <w:color w:val="000000"/>
        </w:rPr>
        <w:t xml:space="preserve"> </w:t>
      </w:r>
      <w:r>
        <w:rPr>
          <w:rFonts w:ascii="Arial" w:cs="Arial" w:eastAsia="Arial" w:hAnsi="Arial"/>
          <w:sz w:val="18"/>
          <w:szCs w:val="18"/>
          <w:color w:val="1E1E1E"/>
        </w:rPr>
        <w:t xml:space="preserve">$150.3 million, </w:t>
      </w:r>
      <w:r>
        <w:rPr>
          <w:rFonts w:ascii="Arial" w:cs="Arial" w:eastAsia="Arial" w:hAnsi="Arial"/>
          <w:sz w:val="18"/>
          <w:szCs w:val="18"/>
          <w:color w:val="000000"/>
        </w:rPr>
        <w:t>before deducting placement agent fees and other expenses</w:t>
      </w:r>
      <w:r>
        <w:rPr>
          <w:rFonts w:ascii="Arial" w:cs="Arial" w:eastAsia="Arial" w:hAnsi="Arial"/>
          <w:sz w:val="18"/>
          <w:szCs w:val="18"/>
          <w:color w:val="1E1E1E"/>
        </w:rPr>
        <w:t xml:space="preserve">. </w:t>
      </w:r>
      <w:r>
        <w:rPr>
          <w:rFonts w:ascii="Arial" w:cs="Arial" w:eastAsia="Arial" w:hAnsi="Arial"/>
          <w:sz w:val="18"/>
          <w:szCs w:val="18"/>
          <w:color w:val="000000"/>
        </w:rPr>
        <w:t>See Note 14, “Subsequent Events”</w:t>
      </w:r>
      <w:r>
        <w:rPr>
          <w:rFonts w:ascii="Arial" w:cs="Arial" w:eastAsia="Arial" w:hAnsi="Arial"/>
          <w:sz w:val="18"/>
          <w:szCs w:val="18"/>
          <w:color w:val="1E1E1E"/>
        </w:rPr>
        <w:t xml:space="preserve"> to the Condensed Consolidated Financial Statements </w:t>
      </w:r>
      <w:r>
        <w:rPr>
          <w:rFonts w:ascii="Arial" w:cs="Arial" w:eastAsia="Arial" w:hAnsi="Arial"/>
          <w:sz w:val="18"/>
          <w:szCs w:val="18"/>
          <w:color w:val="000000"/>
        </w:rPr>
        <w:t>for additional details.</w:t>
      </w:r>
    </w:p>
    <w:p>
      <w:pPr>
        <w:spacing w:after="0" w:line="2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1E1E1E"/>
        </w:rPr>
        <w:t xml:space="preserve">In January 2022, we received an upfront payment of $150.0 million from our strategic partnership with Roche. In October 2020, we received a $30.0 million upfront payment from our strategic partnership with Bayer. See Note 9, “Collaborative Development Contracts” to the </w:t>
      </w:r>
      <w:r>
        <w:rPr>
          <w:rFonts w:ascii="Arial" w:cs="Arial" w:eastAsia="Arial" w:hAnsi="Arial"/>
          <w:sz w:val="18"/>
          <w:szCs w:val="18"/>
          <w:color w:val="000000"/>
        </w:rPr>
        <w:t xml:space="preserve">Condensed </w:t>
      </w:r>
      <w:r>
        <w:rPr>
          <w:rFonts w:ascii="Arial" w:cs="Arial" w:eastAsia="Arial" w:hAnsi="Arial"/>
          <w:sz w:val="18"/>
          <w:szCs w:val="18"/>
          <w:color w:val="1E1E1E"/>
        </w:rPr>
        <w:t>Consolidated Financial Statements for information on these collaborations.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Cash Flows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The following table is a summary of the </w:t>
      </w:r>
      <w:r>
        <w:rPr>
          <w:rFonts w:ascii="Arial" w:cs="Arial" w:eastAsia="Arial" w:hAnsi="Arial"/>
          <w:sz w:val="18"/>
          <w:szCs w:val="18"/>
          <w:color w:val="000000"/>
        </w:rPr>
        <w:t>Condensed</w:t>
      </w:r>
      <w:r>
        <w:rPr>
          <w:rFonts w:ascii="Arial" w:cs="Arial" w:eastAsia="Arial" w:hAnsi="Arial"/>
          <w:sz w:val="18"/>
          <w:szCs w:val="18"/>
          <w:color w:val="1E1E1E"/>
        </w:rPr>
        <w:t xml:space="preserve"> Consolidated Statements of Cash Flows:</w:t>
      </w:r>
    </w:p>
    <w:p>
      <w:pPr>
        <w:spacing w:after="0" w:line="306"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34925</wp:posOffset>
            </wp:positionV>
            <wp:extent cx="24174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r>
      <w:tr>
        <w:trPr>
          <w:trHeight w:val="224"/>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2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(38,776)</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(97,456)</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Cash provided by (used in) investing activities</w:t>
            </w:r>
          </w:p>
        </w:tc>
        <w:tc>
          <w:tcPr>
            <w:tcW w:w="2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201,228</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(219,501)</w:t>
            </w:r>
          </w:p>
        </w:tc>
      </w:tr>
      <w:tr>
        <w:trPr>
          <w:trHeight w:val="23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2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454,744</w:t>
            </w: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169,541</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137,787</w:t>
            </w: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Operating Activities</w:t>
      </w:r>
    </w:p>
    <w:p>
      <w:pPr>
        <w:spacing w:after="0" w:line="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1E1E1E"/>
        </w:rPr>
        <w:t xml:space="preserve">Cash used by operating activities decreased from the </w:t>
      </w:r>
      <w:r>
        <w:rPr>
          <w:rFonts w:ascii="Arial" w:cs="Arial" w:eastAsia="Arial" w:hAnsi="Arial"/>
          <w:sz w:val="18"/>
          <w:szCs w:val="18"/>
          <w:color w:val="000000"/>
        </w:rPr>
        <w:t>nine months ended September 30, 2021</w:t>
      </w:r>
      <w:r>
        <w:rPr>
          <w:rFonts w:ascii="Arial" w:cs="Arial" w:eastAsia="Arial" w:hAnsi="Arial"/>
          <w:sz w:val="18"/>
          <w:szCs w:val="18"/>
          <w:color w:val="1E1E1E"/>
        </w:rPr>
        <w:t xml:space="preserve"> as we received an upfront payment of $150.0 million from our strategic partnership with Roche. That cash inflow was offset by cash used for cost of revenue, research and development and general and administrative expenses. Cash used by operating activities increased from the nine months ended September 30, 2020 as a result of higher costs incurred for </w:t>
      </w:r>
      <w:r>
        <w:rPr>
          <w:rFonts w:ascii="Arial" w:cs="Arial" w:eastAsia="Arial" w:hAnsi="Arial"/>
          <w:sz w:val="18"/>
          <w:szCs w:val="18"/>
          <w:color w:val="000000"/>
        </w:rPr>
        <w:t>research and development and general and administrative expenses due to the Company’s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Investing Activities</w:t>
      </w:r>
    </w:p>
    <w:p>
      <w:pPr>
        <w:spacing w:after="0" w:line="2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1E1E1E"/>
        </w:rPr>
        <w:t xml:space="preserve">Cash provided by investing activities during the </w:t>
      </w:r>
      <w:r>
        <w:rPr>
          <w:rFonts w:ascii="Arial" w:cs="Arial" w:eastAsia="Arial" w:hAnsi="Arial"/>
          <w:sz w:val="18"/>
          <w:szCs w:val="18"/>
          <w:color w:val="000000"/>
        </w:rPr>
        <w:t>nine months ended September 30, 2022</w:t>
      </w:r>
      <w:r>
        <w:rPr>
          <w:rFonts w:ascii="Arial" w:cs="Arial" w:eastAsia="Arial" w:hAnsi="Arial"/>
          <w:sz w:val="18"/>
          <w:szCs w:val="18"/>
          <w:color w:val="1E1E1E"/>
        </w:rPr>
        <w:t xml:space="preserve"> was driven by sales and maturities of investments of $230.6 million, partially offset by purchases of property and equipment of $29.1 million.</w:t>
      </w:r>
    </w:p>
    <w:p>
      <w:pPr>
        <w:spacing w:after="0" w:line="1" w:lineRule="exact"/>
        <w:rPr>
          <w:sz w:val="20"/>
          <w:szCs w:val="20"/>
          <w:color w:val="auto"/>
        </w:rPr>
      </w:pPr>
    </w:p>
    <w:p>
      <w:pPr>
        <w:jc w:val="both"/>
        <w:ind w:right="780"/>
        <w:spacing w:after="0" w:line="258" w:lineRule="auto"/>
        <w:rPr>
          <w:sz w:val="20"/>
          <w:szCs w:val="20"/>
          <w:color w:val="auto"/>
        </w:rPr>
      </w:pPr>
      <w:r>
        <w:rPr>
          <w:rFonts w:ascii="Arial" w:cs="Arial" w:eastAsia="Arial" w:hAnsi="Arial"/>
          <w:sz w:val="18"/>
          <w:szCs w:val="18"/>
          <w:color w:val="1E1E1E"/>
        </w:rPr>
        <w:t xml:space="preserve">Cash used by investing activities during the </w:t>
      </w:r>
      <w:r>
        <w:rPr>
          <w:rFonts w:ascii="Arial" w:cs="Arial" w:eastAsia="Arial" w:hAnsi="Arial"/>
          <w:sz w:val="18"/>
          <w:szCs w:val="18"/>
          <w:color w:val="000000"/>
        </w:rPr>
        <w:t>nine months ended September 30, 2021</w:t>
      </w:r>
      <w:r>
        <w:rPr>
          <w:rFonts w:ascii="Arial" w:cs="Arial" w:eastAsia="Arial" w:hAnsi="Arial"/>
          <w:sz w:val="18"/>
          <w:szCs w:val="18"/>
          <w:color w:val="1E1E1E"/>
        </w:rPr>
        <w:t xml:space="preserve"> primarily consisted of investment purchases of $184.2 million and property and equipment purchases of $35.3 million, which included $17.9 million for the purchase of a Dell EMC supercomputer.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Financing Activities</w:t>
      </w:r>
    </w:p>
    <w:p>
      <w:pPr>
        <w:spacing w:after="0" w:line="2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1E1E1E"/>
        </w:rPr>
        <w:t xml:space="preserve">Cash provided by financing activities during the </w:t>
      </w:r>
      <w:r>
        <w:rPr>
          <w:rFonts w:ascii="Arial" w:cs="Arial" w:eastAsia="Arial" w:hAnsi="Arial"/>
          <w:sz w:val="18"/>
          <w:szCs w:val="18"/>
          <w:color w:val="000000"/>
        </w:rPr>
        <w:t>nine months ended September 30, 2022</w:t>
      </w:r>
      <w:r>
        <w:rPr>
          <w:rFonts w:ascii="Arial" w:cs="Arial" w:eastAsia="Arial" w:hAnsi="Arial"/>
          <w:sz w:val="18"/>
          <w:szCs w:val="18"/>
          <w:color w:val="1E1E1E"/>
        </w:rPr>
        <w:t xml:space="preserve"> primarily included proceeds </w:t>
      </w:r>
      <w:r>
        <w:rPr>
          <w:rFonts w:ascii="Arial" w:cs="Arial" w:eastAsia="Arial" w:hAnsi="Arial"/>
          <w:sz w:val="18"/>
          <w:szCs w:val="18"/>
          <w:color w:val="000000"/>
        </w:rPr>
        <w:t>from equity incentive</w:t>
      </w:r>
      <w:r>
        <w:rPr>
          <w:rFonts w:ascii="Arial" w:cs="Arial" w:eastAsia="Arial" w:hAnsi="Arial"/>
          <w:sz w:val="18"/>
          <w:szCs w:val="18"/>
          <w:color w:val="1E1E1E"/>
        </w:rPr>
        <w:t xml:space="preserve"> </w:t>
      </w:r>
      <w:r>
        <w:rPr>
          <w:rFonts w:ascii="Arial" w:cs="Arial" w:eastAsia="Arial" w:hAnsi="Arial"/>
          <w:sz w:val="18"/>
          <w:szCs w:val="18"/>
          <w:color w:val="000000"/>
        </w:rPr>
        <w:t xml:space="preserve">plans of </w:t>
      </w:r>
      <w:r>
        <w:rPr>
          <w:rFonts w:ascii="Arial" w:cs="Arial" w:eastAsia="Arial" w:hAnsi="Arial"/>
          <w:sz w:val="18"/>
          <w:szCs w:val="18"/>
          <w:color w:val="1E1E1E"/>
        </w:rPr>
        <w:t>$7.2 million. Cash provided by financing activities during the</w:t>
      </w:r>
      <w:r>
        <w:rPr>
          <w:rFonts w:ascii="Arial" w:cs="Arial" w:eastAsia="Arial" w:hAnsi="Arial"/>
          <w:sz w:val="18"/>
          <w:szCs w:val="18"/>
          <w:color w:val="000000"/>
        </w:rPr>
        <w:t xml:space="preserve"> nine months ended September 30, 2021 primarily included </w:t>
      </w:r>
      <w:r>
        <w:rPr>
          <w:rFonts w:ascii="Arial" w:cs="Arial" w:eastAsia="Arial" w:hAnsi="Arial"/>
          <w:sz w:val="18"/>
          <w:szCs w:val="18"/>
          <w:color w:val="1E1E1E"/>
        </w:rPr>
        <w:t>$462.4</w:t>
      </w:r>
      <w:r>
        <w:rPr>
          <w:rFonts w:ascii="Arial" w:cs="Arial" w:eastAsia="Arial" w:hAnsi="Arial"/>
          <w:sz w:val="18"/>
          <w:szCs w:val="18"/>
          <w:color w:val="000000"/>
        </w:rPr>
        <w:t xml:space="preserve"> </w:t>
      </w:r>
      <w:r>
        <w:rPr>
          <w:rFonts w:ascii="Arial" w:cs="Arial" w:eastAsia="Arial" w:hAnsi="Arial"/>
          <w:sz w:val="18"/>
          <w:szCs w:val="18"/>
          <w:color w:val="1E1E1E"/>
        </w:rPr>
        <w:t>million of net proceeds from the IPO. Financing cash flows also included an outflow of $12.7 million for the repayment of long-term debt on the Midcap loan.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summary of the Company’s significant accounting estimates and policies is included in Note 2, “Summary of Significant Accounting Policies” in our 2021 Annual Report. There were no significant changes in the Company’s application of its critical accounting policies during the nine months ended September 30,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Recently Issued and Adopted Accounting Pronouncements</w:t>
      </w:r>
    </w:p>
    <w:p>
      <w:pPr>
        <w:spacing w:after="0" w:line="25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1E1E1E"/>
        </w:rPr>
        <w:t>See Note 2, “Basis of Presentation</w:t>
      </w:r>
      <w:r>
        <w:rPr>
          <w:rFonts w:ascii="Arial" w:cs="Arial" w:eastAsia="Arial" w:hAnsi="Arial"/>
          <w:sz w:val="18"/>
          <w:szCs w:val="18"/>
          <w:color w:val="000000"/>
        </w:rPr>
        <w:t>” in Item 1 of this Quarterly Report on Form 10-Q</w:t>
      </w:r>
      <w:r>
        <w:rPr>
          <w:rFonts w:ascii="Arial" w:cs="Arial" w:eastAsia="Arial" w:hAnsi="Arial"/>
          <w:sz w:val="18"/>
          <w:szCs w:val="18"/>
          <w:color w:val="1E1E1E"/>
        </w:rPr>
        <w:t xml:space="preserve"> for information regarding recently issued and adopted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Emerging Growth Company</w:t>
      </w:r>
    </w:p>
    <w:p>
      <w:pPr>
        <w:spacing w:after="0" w:line="25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Company is an emerging growth company (EGC), as defined by the Jumpstart Our Business Startups Act of 2012 (the JOBS Act). The JOBS Act, among other things, exempts EGCs from compliance with new or revised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financial accounting standards until private companies are required to comply. Recursion has elected to use the extended transition period for new or revised financial accounting standards during the period in which we remain an EGC. However, the Company may adopt certain new or revised accounting standards earlier. This could make comparisons of the Company’s financial statements with other public companies difficult because of the potential differences in applicable accounting standards.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remain an EGC until December 31,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3.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 and Market Volatility</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recent months, inflation has continued to increase significantly in the U.S. and overseas resulting in rising costs for transportation, wages, construction and other goods and services. Inflation and supply chain disruptions have increased our overall operating expenses. In addition, the capital and credit markets have been experiencing volatility and disruption, which has exerted downward pressure on stock prices and credit capacity. There is no assurance that such markets will be a source of future financing for Recursion, nor that other funding sources would be available or sufficient, particularly if current levels of market disruption and volatility continue or worsen. Although we do not believe that the above conditions have materially changed our overall financial position, if our costs continue to increase, we may not be able to fully offset those increased costs through reduced spending or additional financing efforts and failure to do so could harm our business,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Securities Exchange Act of 1934, as amended (the Exchange Act) designed to ensure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report. Management recognizes that any controls and procedures, no matter how well designed and operated, can provide only reasonable assurance of achieving the desired control objectives as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September 30, 2022, our disclosure controls and procedures were effective.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quarter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1. Legal Proceedings.</w:t>
      </w:r>
    </w:p>
    <w:p>
      <w:pPr>
        <w:spacing w:after="0" w:line="25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 For more information pertaining to legal proceedings, see Part I, Item 1, Note 7, which is incorporated herein by reference.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Investing in our common stock involves a high degree of risk. For a detailed discussion of the risks that affect our business, please refer to the sections titled “Risk Factor Summary” and “Part I. Item 1A. Risk Factors” in our 2021 Form 10-K.</w:t>
      </w:r>
    </w:p>
    <w:p>
      <w:pPr>
        <w:spacing w:after="0" w:line="18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risk factors set forth below represent new risk factors or those containing changes to the similarly titled risk factor included in the sections titled “Part I. Item 1A. Risk Factors” of our 2021 Form 10-K and “Part II. Item 1A. Risk Factors” in our Quarterly Report on Form 10-Q filed with the SEC for the quarter ended June 30, 2022.</w:t>
      </w:r>
    </w:p>
    <w:p>
      <w:pPr>
        <w:spacing w:after="0" w:line="200" w:lineRule="exact"/>
        <w:rPr>
          <w:sz w:val="20"/>
          <w:szCs w:val="20"/>
          <w:color w:val="auto"/>
        </w:rPr>
      </w:pPr>
    </w:p>
    <w:p>
      <w:pPr>
        <w:ind w:right="320"/>
        <w:spacing w:after="0" w:line="294" w:lineRule="auto"/>
        <w:rPr>
          <w:sz w:val="20"/>
          <w:szCs w:val="20"/>
          <w:color w:val="auto"/>
        </w:rPr>
      </w:pPr>
      <w:r>
        <w:rPr>
          <w:rFonts w:ascii="Arial" w:cs="Arial" w:eastAsia="Arial" w:hAnsi="Arial"/>
          <w:sz w:val="18"/>
          <w:szCs w:val="18"/>
          <w:b w:val="1"/>
          <w:bCs w:val="1"/>
          <w:i w:val="1"/>
          <w:iCs w:val="1"/>
          <w:color w:val="1E1E1E"/>
        </w:rPr>
        <w:t>Healthcare legislative reform measures in the U.S. and abroad, such as changes in healthcare spending and policy, may have a material adverse effect on our business and results of operations.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operate in a highly regulated industry, and new laws and regulations, or new interpretations of laws and regulations by regulatory bodies or the courts, related to healthcare availability and the method of delivery of, or payment for, healthcare products and services could negatively impact our business. The U.S. and many foreign jurisdictions have enacted or proposed legislative and regulatory changes affecting the healthcare system that could impact our clinical trials; prevent or delay marketing approval of our current or future drug candidates; restrict or regulate potential post-approval activities; and/or affect our ability to profitably sell a product for which we obtain marketing approval. For any of our drug candidates that receive marketing approval, such laws and regulations could require, for example, (i) changes to our manufacturing arrangements; (ii) additions or modifications to product labeling; (iii) the recall or discontinuation of our products; and/or (iv) additional record-keeping and data-transfer requirements.</w:t>
      </w:r>
    </w:p>
    <w:p>
      <w:pPr>
        <w:spacing w:after="0" w:line="2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U.S. federal and state levels and abroad directed at increasing the availability of healthcare and containing or lowering healthcare costs. For example, the Affordable Care Act (ACA) substantially changed the way healthcare is financed by both governmental and private insurers in the U.S., and significantly impacted the pharmaceutical industry. Since the ACA was enacted, there continue to be changes to certain aspects of the law by Congress, Executive Order and court decisions.</w:t>
      </w:r>
    </w:p>
    <w:p>
      <w:pPr>
        <w:spacing w:after="0" w:line="20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There also have been U.S. Congressional inquiries and proposed federal and state legislation designed to, among other things, (i) bring more transparency to drug pricing, including that of specialty drugs; (ii) reduce the cost of prescription drugs under Medicare, which may result in a similar reduction in payments from private payors; (iii) review the relationship between pricing and manufacturer patient programs; and (iv) reform government program reimbursement methodologies for drugs. For example, the recently enacted federal Inflation Reduction Act (IRA) contains provisions that could have an adverse effect on our ability to generate revenue, attain profitability, or commercialize our product candidates if approved, as the statute includes provisions intended to reduce the cost of prescription drugs under Medicare. In addition to the direct impact of the IRA on federal drug reimbursement, the statute may also lead to similar reductions in payments from private payers. The continuing efforts of the government, insurance companies, managed care organizations and other payors of healthcare services to contain or reduce costs of healthcare and/or impose price controls may adversely affect:</w:t>
      </w:r>
    </w:p>
    <w:p>
      <w:pPr>
        <w:spacing w:after="0" w:line="208"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8"/>
          <w:szCs w:val="18"/>
          <w:color w:val="1E1E1E"/>
        </w:rPr>
        <w:t>he demand for our current or future drug candidates, if we obtain regulatory approval;</w:t>
      </w:r>
    </w:p>
    <w:p>
      <w:pPr>
        <w:spacing w:after="0" w:line="2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1E1E1E"/>
        </w:rPr>
      </w:pPr>
      <w:r>
        <w:rPr>
          <w:rFonts w:ascii="Arial" w:cs="Arial" w:eastAsia="Arial" w:hAnsi="Arial"/>
          <w:sz w:val="18"/>
          <w:szCs w:val="18"/>
          <w:color w:val="1E1E1E"/>
        </w:rPr>
        <w:t>our ability to set a price that we believe is fair for our products;</w:t>
      </w:r>
    </w:p>
    <w:p>
      <w:pPr>
        <w:spacing w:after="0" w:line="9" w:lineRule="exact"/>
        <w:rPr>
          <w:rFonts w:ascii="Arial" w:cs="Arial" w:eastAsia="Arial" w:hAnsi="Arial"/>
          <w:sz w:val="18"/>
          <w:szCs w:val="18"/>
          <w:color w:val="1E1E1E"/>
        </w:rPr>
      </w:pPr>
    </w:p>
    <w:p>
      <w:pPr>
        <w:ind w:left="980" w:hanging="324"/>
        <w:spacing w:after="0"/>
        <w:tabs>
          <w:tab w:leader="none" w:pos="980" w:val="left"/>
        </w:tabs>
        <w:numPr>
          <w:ilvl w:val="0"/>
          <w:numId w:val="12"/>
        </w:numPr>
        <w:rPr>
          <w:rFonts w:ascii="Arial" w:cs="Arial" w:eastAsia="Arial" w:hAnsi="Arial"/>
          <w:sz w:val="18"/>
          <w:szCs w:val="18"/>
          <w:color w:val="1E1E1E"/>
        </w:rPr>
      </w:pPr>
      <w:r>
        <w:rPr>
          <w:rFonts w:ascii="Arial" w:cs="Arial" w:eastAsia="Arial" w:hAnsi="Arial"/>
          <w:sz w:val="18"/>
          <w:szCs w:val="18"/>
          <w:color w:val="1E1E1E"/>
        </w:rPr>
        <w:t>our ability to obtain coverage and reimbursement approval for a product;</w:t>
      </w:r>
    </w:p>
    <w:p>
      <w:pPr>
        <w:spacing w:after="0" w:line="9" w:lineRule="exact"/>
        <w:rPr>
          <w:rFonts w:ascii="Arial" w:cs="Arial" w:eastAsia="Arial" w:hAnsi="Arial"/>
          <w:sz w:val="18"/>
          <w:szCs w:val="18"/>
          <w:color w:val="1E1E1E"/>
        </w:rPr>
      </w:pPr>
    </w:p>
    <w:p>
      <w:pPr>
        <w:ind w:left="980" w:hanging="324"/>
        <w:spacing w:after="0"/>
        <w:tabs>
          <w:tab w:leader="none" w:pos="980" w:val="left"/>
        </w:tabs>
        <w:numPr>
          <w:ilvl w:val="0"/>
          <w:numId w:val="12"/>
        </w:numPr>
        <w:rPr>
          <w:rFonts w:ascii="Arial" w:cs="Arial" w:eastAsia="Arial" w:hAnsi="Arial"/>
          <w:sz w:val="18"/>
          <w:szCs w:val="18"/>
          <w:color w:val="1E1E1E"/>
        </w:rPr>
      </w:pPr>
      <w:r>
        <w:rPr>
          <w:rFonts w:ascii="Arial" w:cs="Arial" w:eastAsia="Arial" w:hAnsi="Arial"/>
          <w:sz w:val="18"/>
          <w:szCs w:val="18"/>
          <w:color w:val="1E1E1E"/>
        </w:rPr>
        <w:t>our ability to generate revenue and achieve or maintain profitability;</w:t>
      </w:r>
    </w:p>
    <w:p>
      <w:pPr>
        <w:spacing w:after="0" w:line="9" w:lineRule="exact"/>
        <w:rPr>
          <w:rFonts w:ascii="Arial" w:cs="Arial" w:eastAsia="Arial" w:hAnsi="Arial"/>
          <w:sz w:val="18"/>
          <w:szCs w:val="18"/>
          <w:color w:val="1E1E1E"/>
        </w:rPr>
      </w:pPr>
    </w:p>
    <w:p>
      <w:pPr>
        <w:ind w:left="980" w:hanging="324"/>
        <w:spacing w:after="0"/>
        <w:tabs>
          <w:tab w:leader="none" w:pos="980" w:val="left"/>
        </w:tabs>
        <w:numPr>
          <w:ilvl w:val="0"/>
          <w:numId w:val="12"/>
        </w:numPr>
        <w:rPr>
          <w:rFonts w:ascii="Arial" w:cs="Arial" w:eastAsia="Arial" w:hAnsi="Arial"/>
          <w:sz w:val="18"/>
          <w:szCs w:val="18"/>
          <w:color w:val="1E1E1E"/>
        </w:rPr>
      </w:pPr>
      <w:r>
        <w:rPr>
          <w:rFonts w:ascii="Arial" w:cs="Arial" w:eastAsia="Arial" w:hAnsi="Arial"/>
          <w:sz w:val="18"/>
          <w:szCs w:val="18"/>
          <w:color w:val="1E1E1E"/>
        </w:rPr>
        <w:t>the level of taxes that we are required to pay; and</w:t>
      </w:r>
    </w:p>
    <w:p>
      <w:pPr>
        <w:spacing w:after="0" w:line="9" w:lineRule="exact"/>
        <w:rPr>
          <w:rFonts w:ascii="Arial" w:cs="Arial" w:eastAsia="Arial" w:hAnsi="Arial"/>
          <w:sz w:val="18"/>
          <w:szCs w:val="18"/>
          <w:color w:val="1E1E1E"/>
        </w:rPr>
      </w:pPr>
    </w:p>
    <w:p>
      <w:pPr>
        <w:ind w:left="980" w:hanging="324"/>
        <w:spacing w:after="0"/>
        <w:tabs>
          <w:tab w:leader="none" w:pos="980" w:val="left"/>
        </w:tabs>
        <w:numPr>
          <w:ilvl w:val="0"/>
          <w:numId w:val="12"/>
        </w:numPr>
        <w:rPr>
          <w:rFonts w:ascii="Arial" w:cs="Arial" w:eastAsia="Arial" w:hAnsi="Arial"/>
          <w:sz w:val="18"/>
          <w:szCs w:val="18"/>
          <w:color w:val="1E1E1E"/>
        </w:rPr>
      </w:pPr>
      <w:r>
        <w:rPr>
          <w:rFonts w:ascii="Arial" w:cs="Arial" w:eastAsia="Arial" w:hAnsi="Arial"/>
          <w:sz w:val="18"/>
          <w:szCs w:val="18"/>
          <w:color w:val="1E1E1E"/>
        </w:rPr>
        <w:t>the availability of capital.</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Any such legislative or other reform measures and changes in healthcare spending and policy could result in increased costs to us, reduced demand for our current or future drug candidates and additional pricing pressures, which could have a material adverse effect on our business, results of operations and prospects.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(a) Sales of Unregistered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Exercises</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nine months ended September 30, 2022, we issued 163,950 shares of our Class A common stock to our employees, directors, advisors and consultants upon the exercise of stock options under our Key Personnel Incentive Stock Plan for aggregate consideration of approximately $49 thousand. The shares of Class A common stock issued upon the exercise of stock options were issued pursuant to written compensatory plans or arrangements with our employees, directors, advisors and consultants, in reliance on the exemption provided by Rule 701 promulgated under the Securities Act of 1933, as amended, or pursuant to Section 4(a)(2) of the Securities Act of 1933, as amended,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E1E1E"/>
        </w:rPr>
        <w:t>Exhibit Index:</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44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144"/>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 number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40" w:type="dxa"/>
            <w:vAlign w:val="bottom"/>
            <w:gridSpan w:val="12"/>
            <w:vMerge w:val="restart"/>
          </w:tcPr>
          <w:p>
            <w:pPr>
              <w:ind w:left="440"/>
              <w:spacing w:after="0"/>
              <w:rPr>
                <w:sz w:val="20"/>
                <w:szCs w:val="20"/>
                <w:color w:val="auto"/>
              </w:rPr>
            </w:pPr>
            <w:r>
              <w:rPr>
                <w:rFonts w:ascii="Arial" w:cs="Arial" w:eastAsia="Arial" w:hAnsi="Arial"/>
                <w:sz w:val="14"/>
                <w:szCs w:val="14"/>
                <w:b w:val="1"/>
                <w:bCs w:val="1"/>
                <w:color w:val="auto"/>
              </w:rPr>
              <w:t>Description</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860" w:type="dxa"/>
            <w:vAlign w:val="bottom"/>
            <w:vMerge w:val="continue"/>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12"/>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4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4780" w:type="dxa"/>
            <w:vAlign w:val="bottom"/>
            <w:gridSpan w:val="16"/>
          </w:tcPr>
          <w:p>
            <w:pPr>
              <w:spacing w:after="0" w:line="169" w:lineRule="exact"/>
              <w:rPr>
                <w:rFonts w:ascii="Arial" w:cs="Arial" w:eastAsia="Arial" w:hAnsi="Arial"/>
                <w:sz w:val="16"/>
                <w:szCs w:val="16"/>
                <w:color w:val="0000FF"/>
              </w:rPr>
            </w:pPr>
            <w:hyperlink r:id="rId50">
              <w:r>
                <w:rPr>
                  <w:rFonts w:ascii="Arial" w:cs="Arial" w:eastAsia="Arial" w:hAnsi="Arial"/>
                  <w:sz w:val="16"/>
                  <w:szCs w:val="16"/>
                  <w:color w:val="0000FF"/>
                </w:rPr>
                <w:t>Amended and Restated Certificate of Incorporation of Recursion</w:t>
              </w:r>
            </w:hyperlink>
          </w:p>
        </w:tc>
        <w:tc>
          <w:tcPr>
            <w:tcW w:w="720" w:type="dxa"/>
            <w:vAlign w:val="bottom"/>
          </w:tcPr>
          <w:p>
            <w:pPr>
              <w:jc w:val="center"/>
              <w:spacing w:after="0" w:line="169" w:lineRule="exact"/>
              <w:rPr>
                <w:sz w:val="20"/>
                <w:szCs w:val="20"/>
                <w:color w:val="auto"/>
              </w:rPr>
            </w:pPr>
            <w:r>
              <w:rPr>
                <w:rFonts w:ascii="Arial" w:cs="Arial" w:eastAsia="Arial" w:hAnsi="Arial"/>
                <w:sz w:val="16"/>
                <w:szCs w:val="16"/>
                <w:color w:val="auto"/>
              </w:rPr>
              <w:t>8-K</w:t>
            </w:r>
          </w:p>
        </w:tc>
        <w:tc>
          <w:tcPr>
            <w:tcW w:w="1200" w:type="dxa"/>
            <w:vAlign w:val="bottom"/>
          </w:tcPr>
          <w:p>
            <w:pPr>
              <w:jc w:val="center"/>
              <w:spacing w:after="0" w:line="169" w:lineRule="exact"/>
              <w:rPr>
                <w:sz w:val="20"/>
                <w:szCs w:val="20"/>
                <w:color w:val="auto"/>
              </w:rPr>
            </w:pPr>
            <w:r>
              <w:rPr>
                <w:rFonts w:ascii="Arial" w:cs="Arial" w:eastAsia="Arial" w:hAnsi="Arial"/>
                <w:sz w:val="16"/>
                <w:szCs w:val="16"/>
                <w:color w:val="auto"/>
                <w:w w:val="99"/>
              </w:rPr>
              <w:t>001-40323</w:t>
            </w:r>
          </w:p>
        </w:tc>
        <w:tc>
          <w:tcPr>
            <w:tcW w:w="86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1440" w:type="dxa"/>
            <w:vAlign w:val="bottom"/>
          </w:tcPr>
          <w:p>
            <w:pPr>
              <w:jc w:val="center"/>
              <w:spacing w:after="0" w:line="169" w:lineRule="exact"/>
              <w:rPr>
                <w:sz w:val="20"/>
                <w:szCs w:val="20"/>
                <w:color w:val="auto"/>
              </w:rPr>
            </w:pPr>
            <w:r>
              <w:rPr>
                <w:rFonts w:ascii="Arial" w:cs="Arial" w:eastAsia="Arial" w:hAnsi="Arial"/>
                <w:sz w:val="16"/>
                <w:szCs w:val="16"/>
                <w:color w:val="auto"/>
              </w:rPr>
              <w:t>April 21,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0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50">
              <w:r>
                <w:rPr>
                  <w:rFonts w:ascii="Arial" w:cs="Arial" w:eastAsia="Arial" w:hAnsi="Arial"/>
                  <w:sz w:val="16"/>
                  <w:szCs w:val="16"/>
                  <w:color w:val="0000FF"/>
                </w:rPr>
                <w:t>Pharmaceuticals,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780" w:type="dxa"/>
            <w:vAlign w:val="bottom"/>
            <w:gridSpan w:val="16"/>
          </w:tcPr>
          <w:p>
            <w:pPr>
              <w:spacing w:after="0"/>
              <w:rPr>
                <w:rFonts w:ascii="Arial" w:cs="Arial" w:eastAsia="Arial" w:hAnsi="Arial"/>
                <w:sz w:val="16"/>
                <w:szCs w:val="16"/>
                <w:color w:val="0000FF"/>
              </w:rPr>
            </w:pPr>
            <w:hyperlink r:id="rId51">
              <w:r>
                <w:rPr>
                  <w:rFonts w:ascii="Arial" w:cs="Arial" w:eastAsia="Arial" w:hAnsi="Arial"/>
                  <w:sz w:val="16"/>
                  <w:szCs w:val="16"/>
                  <w:color w:val="0000FF"/>
                </w:rPr>
                <w:t>Amended and Restated Bylaws of Recursion Pharmaceuticals,</w:t>
              </w:r>
            </w:hyperlink>
          </w:p>
        </w:tc>
        <w:tc>
          <w:tcPr>
            <w:tcW w:w="720" w:type="dxa"/>
            <w:vAlign w:val="bottom"/>
          </w:tcPr>
          <w:p>
            <w:pPr>
              <w:jc w:val="center"/>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440" w:type="dxa"/>
            <w:vAlign w:val="bottom"/>
          </w:tcPr>
          <w:p>
            <w:pPr>
              <w:jc w:val="center"/>
              <w:spacing w:after="0"/>
              <w:rPr>
                <w:sz w:val="20"/>
                <w:szCs w:val="20"/>
                <w:color w:val="auto"/>
              </w:rPr>
            </w:pPr>
            <w:r>
              <w:rPr>
                <w:rFonts w:ascii="Arial" w:cs="Arial" w:eastAsia="Arial" w:hAnsi="Arial"/>
                <w:sz w:val="16"/>
                <w:szCs w:val="16"/>
                <w:color w:val="auto"/>
              </w:rPr>
              <w:t>April 21, 2021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0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51">
              <w:r>
                <w:rPr>
                  <w:rFonts w:ascii="Arial" w:cs="Arial" w:eastAsia="Arial" w:hAnsi="Arial"/>
                  <w:sz w:val="16"/>
                  <w:szCs w:val="16"/>
                  <w:color w:val="0000FF"/>
                </w:rPr>
                <w:t>Inc.</w:t>
              </w:r>
            </w:hyperlink>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4780" w:type="dxa"/>
            <w:vAlign w:val="bottom"/>
            <w:gridSpan w:val="16"/>
          </w:tcPr>
          <w:p>
            <w:pPr>
              <w:spacing w:after="0"/>
              <w:rPr>
                <w:rFonts w:ascii="Arial" w:cs="Arial" w:eastAsia="Arial" w:hAnsi="Arial"/>
                <w:sz w:val="16"/>
                <w:szCs w:val="16"/>
                <w:color w:val="0000FF"/>
              </w:rPr>
            </w:pPr>
            <w:hyperlink r:id="rId52">
              <w:r>
                <w:rPr>
                  <w:rFonts w:ascii="Arial" w:cs="Arial" w:eastAsia="Arial" w:hAnsi="Arial"/>
                  <w:sz w:val="16"/>
                  <w:szCs w:val="16"/>
                  <w:color w:val="0000FF"/>
                </w:rPr>
                <w:t>Amended and Restated Investors’ Rights Agreement by and</w:t>
              </w:r>
            </w:hyperlink>
          </w:p>
        </w:tc>
        <w:tc>
          <w:tcPr>
            <w:tcW w:w="720" w:type="dxa"/>
            <w:vAlign w:val="bottom"/>
          </w:tcPr>
          <w:p>
            <w:pPr>
              <w:jc w:val="center"/>
              <w:spacing w:after="0"/>
              <w:rPr>
                <w:sz w:val="20"/>
                <w:szCs w:val="20"/>
                <w:color w:val="auto"/>
              </w:rPr>
            </w:pPr>
            <w:r>
              <w:rPr>
                <w:rFonts w:ascii="Arial" w:cs="Arial" w:eastAsia="Arial" w:hAnsi="Arial"/>
                <w:sz w:val="16"/>
                <w:szCs w:val="16"/>
                <w:color w:val="auto"/>
              </w:rPr>
              <w:t>S-1/A</w:t>
            </w:r>
          </w:p>
        </w:tc>
        <w:tc>
          <w:tcPr>
            <w:tcW w:w="120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44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32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52">
              <w:r>
                <w:rPr>
                  <w:rFonts w:ascii="Arial" w:cs="Arial" w:eastAsia="Arial" w:hAnsi="Arial"/>
                  <w:sz w:val="16"/>
                  <w:szCs w:val="16"/>
                  <w:color w:val="0000FF"/>
                </w:rPr>
                <w:t>among the Registrant and certain of its stockholders, dated</w:t>
              </w:r>
            </w:hyperlink>
          </w:p>
        </w:tc>
        <w:tc>
          <w:tcPr>
            <w:tcW w:w="3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24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52">
              <w:r>
                <w:rPr>
                  <w:rFonts w:ascii="Arial" w:cs="Arial" w:eastAsia="Arial" w:hAnsi="Arial"/>
                  <w:sz w:val="16"/>
                  <w:szCs w:val="16"/>
                  <w:color w:val="0000FF"/>
                </w:rPr>
                <w:t>September 1, 2020.</w:t>
              </w:r>
            </w:hyperlink>
          </w:p>
        </w:tc>
        <w:tc>
          <w:tcPr>
            <w:tcW w:w="3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31.1</w:t>
            </w:r>
          </w:p>
        </w:tc>
        <w:tc>
          <w:tcPr>
            <w:tcW w:w="4780" w:type="dxa"/>
            <w:vAlign w:val="bottom"/>
            <w:gridSpan w:val="16"/>
          </w:tcPr>
          <w:p>
            <w:pPr>
              <w:spacing w:after="0"/>
              <w:rPr>
                <w:sz w:val="20"/>
                <w:szCs w:val="20"/>
                <w:color w:val="auto"/>
              </w:rPr>
            </w:pPr>
            <w:r>
              <w:rPr>
                <w:rFonts w:ascii="Arial" w:cs="Arial" w:eastAsia="Arial" w:hAnsi="Arial"/>
                <w:sz w:val="16"/>
                <w:szCs w:val="16"/>
                <w:color w:val="0000FF"/>
              </w:rPr>
              <w:t>Certification of Principal Executive Officer Pursuant to Rules 13a-</w:t>
            </w: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8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14(a) and 15d-14(a) under the Securities Exchange Act of 1934,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as Adopted Pursuant to Section 302 of the Sarbanes-Oxley Act</w:t>
            </w:r>
          </w:p>
        </w:tc>
        <w:tc>
          <w:tcPr>
            <w:tcW w:w="160" w:type="dxa"/>
            <w:vAlign w:val="bottom"/>
            <w:gridSpan w:val="6"/>
          </w:tcPr>
          <w:p>
            <w:pPr>
              <w:spacing w:after="0" w:line="142" w:lineRule="exact"/>
              <w:rPr>
                <w:sz w:val="20"/>
                <w:szCs w:val="20"/>
                <w:color w:val="auto"/>
              </w:rPr>
            </w:pPr>
            <w:r>
              <w:rPr>
                <w:rFonts w:ascii="Arial" w:cs="Arial" w:eastAsia="Arial" w:hAnsi="Arial"/>
                <w:sz w:val="16"/>
                <w:szCs w:val="16"/>
                <w:color w:val="0000FF"/>
              </w:rPr>
              <w:t>of</w:t>
            </w: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4"/>
              </w:rPr>
              <w:t>2002.</w:t>
            </w:r>
          </w:p>
        </w:tc>
        <w:tc>
          <w:tcPr>
            <w:tcW w:w="10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31.2</w:t>
            </w:r>
          </w:p>
        </w:tc>
        <w:tc>
          <w:tcPr>
            <w:tcW w:w="4780" w:type="dxa"/>
            <w:vAlign w:val="bottom"/>
            <w:gridSpan w:val="16"/>
          </w:tcPr>
          <w:p>
            <w:pPr>
              <w:spacing w:after="0"/>
              <w:rPr>
                <w:sz w:val="20"/>
                <w:szCs w:val="20"/>
                <w:color w:val="auto"/>
              </w:rPr>
            </w:pPr>
            <w:r>
              <w:rPr>
                <w:rFonts w:ascii="Arial" w:cs="Arial" w:eastAsia="Arial" w:hAnsi="Arial"/>
                <w:sz w:val="16"/>
                <w:szCs w:val="16"/>
                <w:color w:val="0000FF"/>
              </w:rPr>
              <w:t>Certification of Principal Financial Officer Pursuant to Rules 13a-</w:t>
            </w: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4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14(a) and 15d-14(a) under the Securities Exchange Act of 1934,</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as Adopted Pursuant to Section 302 of the Sarbanes-Oxley Act</w:t>
            </w:r>
          </w:p>
        </w:tc>
        <w:tc>
          <w:tcPr>
            <w:tcW w:w="160" w:type="dxa"/>
            <w:vAlign w:val="bottom"/>
            <w:gridSpan w:val="6"/>
          </w:tcPr>
          <w:p>
            <w:pPr>
              <w:spacing w:after="0" w:line="142" w:lineRule="exact"/>
              <w:rPr>
                <w:sz w:val="20"/>
                <w:szCs w:val="20"/>
                <w:color w:val="auto"/>
              </w:rPr>
            </w:pPr>
            <w:r>
              <w:rPr>
                <w:rFonts w:ascii="Arial" w:cs="Arial" w:eastAsia="Arial" w:hAnsi="Arial"/>
                <w:sz w:val="16"/>
                <w:szCs w:val="16"/>
                <w:color w:val="0000FF"/>
              </w:rPr>
              <w:t>of</w:t>
            </w: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4"/>
              </w:rPr>
              <w:t>2002.</w:t>
            </w:r>
          </w:p>
        </w:tc>
        <w:tc>
          <w:tcPr>
            <w:tcW w:w="10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32.1*</w:t>
            </w:r>
          </w:p>
        </w:tc>
        <w:tc>
          <w:tcPr>
            <w:tcW w:w="4780" w:type="dxa"/>
            <w:vAlign w:val="bottom"/>
            <w:gridSpan w:val="16"/>
          </w:tcPr>
          <w:p>
            <w:pPr>
              <w:spacing w:after="0"/>
              <w:rPr>
                <w:sz w:val="20"/>
                <w:szCs w:val="20"/>
                <w:color w:val="auto"/>
              </w:rPr>
            </w:pPr>
            <w:r>
              <w:rPr>
                <w:rFonts w:ascii="Arial" w:cs="Arial" w:eastAsia="Arial" w:hAnsi="Arial"/>
                <w:sz w:val="16"/>
                <w:szCs w:val="16"/>
                <w:color w:val="0000FF"/>
              </w:rPr>
              <w:t>Certification of Principal Executive Officer and Principal Financial</w:t>
            </w: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60" w:type="dxa"/>
            <w:vAlign w:val="bottom"/>
            <w:tcBorders>
              <w:top w:val="single" w:sz="8" w:color="0000FF"/>
              <w:bottom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Officer Pursuant to 18 U.S.C. Section 1350, as Adopted Pursuant</w:t>
            </w:r>
          </w:p>
        </w:tc>
        <w:tc>
          <w:tcPr>
            <w:tcW w:w="40" w:type="dxa"/>
            <w:vAlign w:val="bottom"/>
            <w:tcBorders>
              <w:bottom w:val="single" w:sz="8" w:color="0000FF"/>
            </w:tcBorders>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700" w:type="dxa"/>
            <w:vAlign w:val="bottom"/>
            <w:gridSpan w:val="14"/>
          </w:tcPr>
          <w:p>
            <w:pPr>
              <w:spacing w:after="0" w:line="142" w:lineRule="exact"/>
              <w:rPr>
                <w:sz w:val="20"/>
                <w:szCs w:val="20"/>
                <w:color w:val="auto"/>
              </w:rPr>
            </w:pPr>
            <w:r>
              <w:rPr>
                <w:rFonts w:ascii="Arial" w:cs="Arial" w:eastAsia="Arial" w:hAnsi="Arial"/>
                <w:sz w:val="16"/>
                <w:szCs w:val="16"/>
                <w:color w:val="0000FF"/>
              </w:rPr>
              <w:t>to Section 906 of the Sarbanes-Oxley Act of 2002.</w:t>
            </w:r>
          </w:p>
        </w:tc>
        <w:tc>
          <w:tcPr>
            <w:tcW w:w="8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120" w:type="dxa"/>
            <w:vAlign w:val="bottom"/>
          </w:tcPr>
          <w:p>
            <w:pPr>
              <w:jc w:val="center"/>
              <w:spacing w:after="0"/>
              <w:rPr>
                <w:sz w:val="20"/>
                <w:szCs w:val="20"/>
                <w:color w:val="auto"/>
              </w:rPr>
            </w:pPr>
            <w:r>
              <w:rPr>
                <w:rFonts w:ascii="Arial" w:cs="Arial" w:eastAsia="Arial" w:hAnsi="Arial"/>
                <w:sz w:val="16"/>
                <w:szCs w:val="16"/>
                <w:color w:val="auto"/>
              </w:rPr>
              <w:t>101.INS</w:t>
            </w:r>
          </w:p>
        </w:tc>
        <w:tc>
          <w:tcPr>
            <w:tcW w:w="360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auto"/>
              </w:rPr>
              <w:t>XBRL Instance Document</w:t>
            </w:r>
          </w:p>
        </w:tc>
        <w:tc>
          <w:tcPr>
            <w:tcW w:w="1180" w:type="dxa"/>
            <w:vAlign w:val="bottom"/>
            <w:gridSpan w:val="11"/>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101.SCH</w:t>
            </w:r>
          </w:p>
        </w:tc>
        <w:tc>
          <w:tcPr>
            <w:tcW w:w="4780" w:type="dxa"/>
            <w:vAlign w:val="bottom"/>
            <w:gridSpan w:val="16"/>
          </w:tcPr>
          <w:p>
            <w:pPr>
              <w:spacing w:after="0"/>
              <w:rPr>
                <w:sz w:val="20"/>
                <w:szCs w:val="20"/>
                <w:color w:val="auto"/>
              </w:rPr>
            </w:pPr>
            <w:r>
              <w:rPr>
                <w:rFonts w:ascii="Arial" w:cs="Arial" w:eastAsia="Arial" w:hAnsi="Arial"/>
                <w:sz w:val="16"/>
                <w:szCs w:val="16"/>
                <w:color w:val="auto"/>
              </w:rPr>
              <w:t>XBRL Taxonomy Extension Schema Document</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101.CAL</w:t>
            </w:r>
          </w:p>
        </w:tc>
        <w:tc>
          <w:tcPr>
            <w:tcW w:w="4780" w:type="dxa"/>
            <w:vAlign w:val="bottom"/>
            <w:gridSpan w:val="16"/>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101.DEF</w:t>
            </w:r>
          </w:p>
        </w:tc>
        <w:tc>
          <w:tcPr>
            <w:tcW w:w="4780" w:type="dxa"/>
            <w:vAlign w:val="bottom"/>
            <w:gridSpan w:val="16"/>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101.LAB</w:t>
            </w:r>
          </w:p>
        </w:tc>
        <w:tc>
          <w:tcPr>
            <w:tcW w:w="4780" w:type="dxa"/>
            <w:vAlign w:val="bottom"/>
            <w:gridSpan w:val="16"/>
          </w:tcPr>
          <w:p>
            <w:pPr>
              <w:spacing w:after="0"/>
              <w:rPr>
                <w:sz w:val="20"/>
                <w:szCs w:val="20"/>
                <w:color w:val="auto"/>
              </w:rPr>
            </w:pPr>
            <w:r>
              <w:rPr>
                <w:rFonts w:ascii="Arial" w:cs="Arial" w:eastAsia="Arial" w:hAnsi="Arial"/>
                <w:sz w:val="16"/>
                <w:szCs w:val="16"/>
                <w:color w:val="auto"/>
              </w:rPr>
              <w:t>XBRL Taxonomy Extension Label Linkbase Document</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w w:val="99"/>
              </w:rPr>
              <w:t>101.PRE</w:t>
            </w:r>
          </w:p>
        </w:tc>
        <w:tc>
          <w:tcPr>
            <w:tcW w:w="4780" w:type="dxa"/>
            <w:vAlign w:val="bottom"/>
            <w:gridSpan w:val="16"/>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4"/>
        </w:trPr>
        <w:tc>
          <w:tcPr>
            <w:tcW w:w="1120" w:type="dxa"/>
            <w:vAlign w:val="bottom"/>
          </w:tcPr>
          <w:p>
            <w:pPr>
              <w:jc w:val="center"/>
              <w:spacing w:after="0" w:line="164" w:lineRule="exact"/>
              <w:rPr>
                <w:sz w:val="20"/>
                <w:szCs w:val="20"/>
                <w:color w:val="auto"/>
              </w:rPr>
            </w:pPr>
            <w:r>
              <w:rPr>
                <w:rFonts w:ascii="Arial" w:cs="Arial" w:eastAsia="Arial" w:hAnsi="Arial"/>
                <w:sz w:val="16"/>
                <w:szCs w:val="16"/>
                <w:color w:val="auto"/>
                <w:w w:val="97"/>
              </w:rPr>
              <w:t>104</w:t>
            </w:r>
          </w:p>
        </w:tc>
        <w:tc>
          <w:tcPr>
            <w:tcW w:w="4780" w:type="dxa"/>
            <w:vAlign w:val="bottom"/>
            <w:gridSpan w:val="16"/>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w:t>
            </w: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jc w:val="center"/>
              <w:spacing w:after="0" w:line="164"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4780" w:type="dxa"/>
            <w:vAlign w:val="bottom"/>
            <w:gridSpan w:val="16"/>
          </w:tcPr>
          <w:p>
            <w:pPr>
              <w:spacing w:after="0"/>
              <w:rPr>
                <w:sz w:val="20"/>
                <w:szCs w:val="20"/>
                <w:color w:val="auto"/>
              </w:rPr>
            </w:pPr>
            <w:r>
              <w:rPr>
                <w:rFonts w:ascii="Arial" w:cs="Arial" w:eastAsia="Arial" w:hAnsi="Arial"/>
                <w:sz w:val="16"/>
                <w:szCs w:val="16"/>
                <w:color w:val="auto"/>
              </w:rPr>
              <w:t>contained in Exhibit 101)</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120" w:right="360" w:hanging="600"/>
        <w:spacing w:after="0" w:line="221"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660"/>
        <w:spacing w:after="0" w:line="281"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 on November 8, 2022.</w:t>
      </w:r>
    </w:p>
    <w:p>
      <w:pPr>
        <w:spacing w:after="0" w:line="1" w:lineRule="exact"/>
        <w:rPr>
          <w:sz w:val="20"/>
          <w:szCs w:val="20"/>
          <w:color w:val="auto"/>
        </w:rPr>
      </w:pPr>
    </w:p>
    <w:tbl>
      <w:tblPr>
        <w:tblLayout w:type="fixed"/>
        <w:tblInd w:w="6240" w:type="dxa"/>
        <w:tblCellMar>
          <w:top w:w="0" w:type="dxa"/>
          <w:left w:w="0" w:type="dxa"/>
          <w:bottom w:w="0" w:type="dxa"/>
          <w:right w:w="0" w:type="dxa"/>
        </w:tblCellMar>
      </w:tblPr>
      <w:tr>
        <w:trPr>
          <w:trHeight w:val="239"/>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RECURSION PHARMACEUTICALS, INC.</w:t>
            </w:r>
          </w:p>
        </w:tc>
      </w:tr>
      <w:tr>
        <w:trPr>
          <w:trHeight w:val="531"/>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By:</w:t>
            </w:r>
          </w:p>
        </w:tc>
        <w:tc>
          <w:tcPr>
            <w:tcW w:w="4420" w:type="dxa"/>
            <w:vAlign w:val="bottom"/>
          </w:tcPr>
          <w:p>
            <w:pPr>
              <w:jc w:val="right"/>
              <w:spacing w:after="0"/>
              <w:rPr>
                <w:sz w:val="20"/>
                <w:szCs w:val="20"/>
                <w:color w:val="auto"/>
              </w:rPr>
            </w:pPr>
            <w:r>
              <w:rPr>
                <w:rFonts w:ascii="Arial" w:cs="Arial" w:eastAsia="Arial" w:hAnsi="Arial"/>
                <w:sz w:val="18"/>
                <w:szCs w:val="18"/>
                <w:color w:val="auto"/>
              </w:rPr>
              <w:t>/s/ Christopher Gibson</w:t>
            </w:r>
          </w:p>
        </w:tc>
      </w:tr>
      <w:tr>
        <w:trPr>
          <w:trHeight w:val="245"/>
        </w:trPr>
        <w:tc>
          <w:tcPr>
            <w:tcW w:w="4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Christopher Gibson</w:t>
            </w:r>
          </w:p>
        </w:tc>
      </w:tr>
      <w:tr>
        <w:trPr>
          <w:trHeight w:val="257"/>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Chief Executive Officer</w:t>
            </w:r>
          </w:p>
        </w:tc>
      </w:tr>
      <w:tr>
        <w:trPr>
          <w:trHeight w:val="257"/>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(Principal Executive Officer)</w:t>
            </w:r>
          </w:p>
        </w:tc>
      </w:tr>
      <w:tr>
        <w:trPr>
          <w:trHeight w:val="536"/>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 Michael Secora</w:t>
            </w:r>
          </w:p>
        </w:tc>
      </w:tr>
      <w:tr>
        <w:trPr>
          <w:trHeight w:val="241"/>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Michael Secora</w:t>
            </w:r>
          </w:p>
        </w:tc>
      </w:tr>
      <w:tr>
        <w:trPr>
          <w:trHeight w:val="256"/>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Chief Financial Officer</w:t>
            </w:r>
          </w:p>
        </w:tc>
      </w:tr>
      <w:tr>
        <w:trPr>
          <w:trHeight w:val="257"/>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Gibson, certify that:</w:t>
      </w:r>
    </w:p>
    <w:p>
      <w:pPr>
        <w:spacing w:after="0" w:line="252"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580" w:firstLine="8"/>
        <w:spacing w:after="0" w:line="287"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9"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200" w:hanging="4"/>
        <w:spacing w:after="0" w:line="268" w:lineRule="auto"/>
        <w:tabs>
          <w:tab w:leader="none" w:pos="93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ectPr>
          <w:pgSz w:w="11900" w:h="16838" w:orient="portrait"/>
          <w:cols w:equalWidth="0" w:num="1">
            <w:col w:w="11240"/>
          </w:cols>
          <w:pgMar w:left="320" w:top="141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Michael Secora, certify that:</w:t>
      </w:r>
    </w:p>
    <w:p>
      <w:pPr>
        <w:spacing w:after="0" w:line="252"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580" w:firstLine="8"/>
        <w:spacing w:after="0" w:line="287"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9"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200" w:hanging="4"/>
        <w:spacing w:after="0" w:line="268" w:lineRule="auto"/>
        <w:tabs>
          <w:tab w:leader="none" w:pos="9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ectPr>
          <w:pgSz w:w="11900" w:h="16838" w:orient="portrait"/>
          <w:cols w:equalWidth="0" w:num="1">
            <w:col w:w="11240"/>
          </w:cols>
          <w:pgMar w:left="320" w:top="1417" w:right="339" w:bottom="1440" w:gutter="0" w:footer="0" w:header="0"/>
        </w:sectPr>
      </w:pPr>
    </w:p>
    <w:bookmarkStart w:id="40" w:name="page41"/>
    <w:bookmarkEnd w:id="40"/>
    <w:p>
      <w:pPr>
        <w:ind w:left="10240"/>
        <w:spacing w:after="0"/>
        <w:rPr>
          <w:sz w:val="20"/>
          <w:szCs w:val="20"/>
          <w:color w:val="auto"/>
        </w:rPr>
      </w:pPr>
      <w:r>
        <w:rPr>
          <w:rFonts w:ascii="Arial" w:cs="Arial" w:eastAsia="Arial" w:hAnsi="Arial"/>
          <w:sz w:val="17"/>
          <w:szCs w:val="17"/>
          <w:b w:val="1"/>
          <w:bCs w:val="1"/>
          <w:color w:val="auto"/>
        </w:rPr>
        <w:t>Exhibit 32.1</w:t>
      </w:r>
    </w:p>
    <w:p>
      <w:pPr>
        <w:spacing w:after="0" w:line="264"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connection with Quarterly Report of Recursion Pharmaceuticals, Inc. (the “Company”) on Form 10-Q for the period ended September 30, 2022 as filed with the Securities and Exchange Commission on the date hereof (the “Report”), The undersigned certify, pursuant to 18 U.S.C. Section 1350, as adopted pursuant to Section 906 of the Sarbanes-Oxley Act of 2002, that:</w:t>
      </w:r>
    </w:p>
    <w:p>
      <w:pPr>
        <w:spacing w:after="0" w:line="198"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60" w:firstLine="8"/>
        <w:spacing w:after="0" w:line="287"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emdash "/>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0" Type="http://schemas.openxmlformats.org/officeDocument/2006/relationships/hyperlink" Target="https://www.sec.gov/Archives/edgar/data/0001601830/000119312521123764/d149444dex31.htm" TargetMode="External"/><Relationship Id="rId51" Type="http://schemas.openxmlformats.org/officeDocument/2006/relationships/hyperlink" Target="https://www.sec.gov/Archives/edgar/data/0001601830/000119312521123764/d149444dex32.htm" TargetMode="External"/><Relationship Id="rId52" Type="http://schemas.openxmlformats.org/officeDocument/2006/relationships/hyperlink" Target="https://www.sec.gov/Archives/edgar/data/0001601830/000119312521089610/d8947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2022-11-08T16:56:15Z</dcterms:created>
  <dcterms:modified xsi:type="dcterms:W3CDTF">2022-11-08T16:56:15Z</dcterms:modified>
</cp:coreProperties>
</file>