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0" w:lineRule="exact"/>
        <w:rPr>
          <w:sz w:val="24"/>
          <w:szCs w:val="24"/>
          <w:color w:val="auto"/>
        </w:rPr>
      </w:pPr>
    </w:p>
    <w:p>
      <w:pPr>
        <w:ind w:right="1860"/>
        <w:spacing w:after="0" w:line="249" w:lineRule="auto"/>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b w:val="1"/>
          <w:bCs w:val="1"/>
          <w:color w:val="auto"/>
        </w:rPr>
        <w:t>QUARTERLY REPORT PURSUANT TO SECTION 13 OR 15(d) OF THE SECURITIES EXCHANGE ACT OF 1934</w:t>
      </w:r>
      <w:r>
        <w:rPr>
          <w:rFonts w:ascii="Arial" w:cs="Arial" w:eastAsia="Arial" w:hAnsi="Arial"/>
          <w:sz w:val="22"/>
          <w:szCs w:val="22"/>
          <w:color w:val="auto"/>
        </w:rPr>
        <w:t xml:space="preserve"> </w:t>
      </w:r>
      <w:r>
        <w:rPr>
          <w:rFonts w:ascii="Arial" w:cs="Arial" w:eastAsia="Arial" w:hAnsi="Arial"/>
          <w:sz w:val="17"/>
          <w:szCs w:val="17"/>
          <w:color w:val="auto"/>
        </w:rPr>
        <w:t>For the quarterly period ended March 31, 2021</w:t>
      </w:r>
    </w:p>
    <w:p>
      <w:pPr>
        <w:jc w:val="center"/>
        <w:ind w:right="20"/>
        <w:spacing w:after="0"/>
        <w:rPr>
          <w:sz w:val="20"/>
          <w:szCs w:val="20"/>
          <w:color w:val="auto"/>
        </w:rPr>
      </w:pPr>
      <w:r>
        <w:rPr>
          <w:rFonts w:ascii="Arial" w:cs="Arial" w:eastAsia="Arial" w:hAnsi="Arial"/>
          <w:sz w:val="22"/>
          <w:szCs w:val="22"/>
          <w:b w:val="1"/>
          <w:bCs w:val="1"/>
          <w:color w:val="auto"/>
        </w:rPr>
        <w:t>or</w:t>
      </w:r>
    </w:p>
    <w:p>
      <w:pPr>
        <w:spacing w:after="0" w:line="21" w:lineRule="exact"/>
        <w:rPr>
          <w:sz w:val="24"/>
          <w:szCs w:val="24"/>
          <w:color w:val="auto"/>
        </w:rPr>
      </w:pPr>
    </w:p>
    <w:p>
      <w:pPr>
        <w:ind w:right="1780" w:firstLine="8"/>
        <w:spacing w:after="0" w:line="251" w:lineRule="auto"/>
        <w:tabs>
          <w:tab w:leader="none" w:pos="249"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to</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001-40323</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Recursion Pharmaceuticals,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1378" w:right="319" w:bottom="1440" w:gutter="0" w:footer="0" w:header="0"/>
        </w:sectPr>
      </w:pPr>
    </w:p>
    <w:p>
      <w:pPr>
        <w:spacing w:after="0" w:line="277" w:lineRule="exact"/>
        <w:rPr>
          <w:sz w:val="24"/>
          <w:szCs w:val="24"/>
          <w:color w:val="auto"/>
        </w:rPr>
      </w:pPr>
    </w:p>
    <w:p>
      <w:pPr>
        <w:ind w:left="27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46-4099738</w:t>
      </w:r>
    </w:p>
    <w:p>
      <w:pPr>
        <w:spacing w:after="0" w:line="72" w:lineRule="exact"/>
        <w:rPr>
          <w:sz w:val="24"/>
          <w:szCs w:val="24"/>
          <w:color w:val="auto"/>
        </w:rPr>
      </w:pPr>
    </w:p>
    <w:p>
      <w:pPr>
        <w:sectPr>
          <w:pgSz w:w="11900" w:h="16838" w:orient="portrait"/>
          <w:cols w:equalWidth="0" w:num="2">
            <w:col w:w="7500" w:space="720"/>
            <w:col w:w="3040"/>
          </w:cols>
          <w:pgMar w:left="320" w:top="1378" w:right="319" w:bottom="1440" w:gutter="0" w:footer="0" w:header="0"/>
          <w:type w:val="continuous"/>
        </w:sectPr>
      </w:pPr>
    </w:p>
    <w:p>
      <w:pPr>
        <w:ind w:left="7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040" w:space="720"/>
            <w:col w:w="4500"/>
          </w:cols>
          <w:pgMar w:left="320" w:top="1378" w:right="319" w:bottom="1440" w:gutter="0" w:footer="0" w:header="0"/>
          <w:type w:val="continuous"/>
        </w:sectPr>
      </w:pP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Salt Lake City, UT 84101</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(385) 269 - 0203</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symbol(s)</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5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$0.00001</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RXRX</w:t>
            </w:r>
          </w:p>
        </w:tc>
        <w:tc>
          <w:tcPr>
            <w:tcW w:w="5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23" w:lineRule="exact"/>
        <w:rPr>
          <w:sz w:val="24"/>
          <w:szCs w:val="24"/>
          <w:color w:val="auto"/>
        </w:rPr>
      </w:pPr>
    </w:p>
    <w:p>
      <w:pPr>
        <w:ind w:right="80"/>
        <w:spacing w:after="0" w:line="265"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4"/>
          <w:szCs w:val="24"/>
          <w:color w:val="auto"/>
        </w:rPr>
      </w:pPr>
    </w:p>
    <w:p>
      <w:pPr>
        <w:spacing w:after="0" w:line="242" w:lineRule="exact"/>
        <w:tabs>
          <w:tab w:leader="none" w:pos="4940" w:val="left"/>
        </w:tabs>
        <w:rPr>
          <w:sz w:val="20"/>
          <w:szCs w:val="20"/>
          <w:color w:val="auto"/>
        </w:rPr>
      </w:pPr>
      <w:r>
        <w:rPr>
          <w:rFonts w:ascii="Arial" w:cs="Arial" w:eastAsia="Arial" w:hAnsi="Arial"/>
          <w:sz w:val="18"/>
          <w:szCs w:val="18"/>
          <w:color w:val="auto"/>
        </w:rPr>
        <w:t>subject to such filing requirements for the past 90 days</w:t>
      </w:r>
      <w:r>
        <w:rPr>
          <w:rFonts w:ascii="Arial" w:cs="Arial" w:eastAsia="Arial" w:hAnsi="Arial"/>
          <w:sz w:val="21"/>
          <w:szCs w:val="21"/>
          <w:color w:val="auto"/>
        </w:rPr>
        <w: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Arial" w:cs="Arial" w:eastAsia="Arial" w:hAnsi="Arial"/>
          <w:sz w:val="20"/>
          <w:szCs w:val="20"/>
          <w:color w:val="auto"/>
        </w:rPr>
        <w:t>x</w:t>
      </w:r>
    </w:p>
    <w:p>
      <w:pPr>
        <w:spacing w:after="0" w:line="257" w:lineRule="exact"/>
        <w:rPr>
          <w:sz w:val="24"/>
          <w:szCs w:val="24"/>
          <w:color w:val="auto"/>
        </w:rPr>
      </w:pPr>
    </w:p>
    <w:p>
      <w:pPr>
        <w:ind w:right="280"/>
        <w:spacing w:after="0" w:line="250"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2"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required to submit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57" w:lineRule="exact"/>
        <w:rPr>
          <w:sz w:val="24"/>
          <w:szCs w:val="24"/>
          <w:color w:val="auto"/>
        </w:rPr>
      </w:pPr>
    </w:p>
    <w:p>
      <w:pPr>
        <w:ind w:right="3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378" w:right="319" w:bottom="1440" w:gutter="0" w:footer="0" w:header="0"/>
          <w:type w:val="continuous"/>
        </w:sectPr>
      </w:pPr>
    </w:p>
    <w:p>
      <w:pPr>
        <w:spacing w:after="0" w:line="269"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Large accelerated filer Accelerated filer</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Non-accelerated filer x</w:t>
      </w:r>
    </w:p>
    <w:p>
      <w:pPr>
        <w:spacing w:after="0" w:line="1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47" w:lineRule="exact"/>
        <w:rPr>
          <w:sz w:val="24"/>
          <w:szCs w:val="24"/>
          <w:color w:val="auto"/>
        </w:rPr>
      </w:pPr>
    </w:p>
    <w:p>
      <w:pPr>
        <w:ind w:left="20"/>
        <w:spacing w:after="0"/>
        <w:rPr>
          <w:sz w:val="20"/>
          <w:szCs w:val="20"/>
          <w:color w:val="auto"/>
        </w:rPr>
      </w:pPr>
      <w:r>
        <w:rPr>
          <w:rFonts w:ascii="Arial" w:cs="Arial" w:eastAsia="Arial" w:hAnsi="Arial"/>
          <w:sz w:val="18"/>
          <w:szCs w:val="18"/>
          <w:color w:val="auto"/>
        </w:rPr>
        <w:t>Emerging growth company x</w:t>
      </w:r>
    </w:p>
    <w:p>
      <w:pPr>
        <w:spacing w:after="0" w:line="200" w:lineRule="exact"/>
        <w:rPr>
          <w:sz w:val="24"/>
          <w:szCs w:val="24"/>
          <w:color w:val="auto"/>
        </w:rPr>
      </w:pPr>
    </w:p>
    <w:p>
      <w:pPr>
        <w:sectPr>
          <w:pgSz w:w="11900" w:h="16838" w:orient="portrait"/>
          <w:cols w:equalWidth="0" w:num="3">
            <w:col w:w="1800" w:space="520"/>
            <w:col w:w="5500" w:space="720"/>
            <w:col w:w="2720"/>
          </w:cols>
          <w:pgMar w:left="320" w:top="1378" w:right="319" w:bottom="1440" w:gutter="0" w:footer="0" w:header="0"/>
          <w:type w:val="continuous"/>
        </w:sectPr>
      </w:pPr>
    </w:p>
    <w:p>
      <w:pPr>
        <w:spacing w:after="0" w:line="147" w:lineRule="exact"/>
        <w:rPr>
          <w:sz w:val="24"/>
          <w:szCs w:val="24"/>
          <w:color w:val="auto"/>
        </w:rPr>
      </w:pPr>
    </w:p>
    <w:p>
      <w:pPr>
        <w:ind w:right="220"/>
        <w:spacing w:after="0" w:line="25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2" w:lineRule="exact"/>
        <w:rPr>
          <w:sz w:val="24"/>
          <w:szCs w:val="24"/>
          <w:color w:val="auto"/>
        </w:rPr>
      </w:pPr>
    </w:p>
    <w:p>
      <w:pPr>
        <w:spacing w:after="0" w:line="230" w:lineRule="exact"/>
        <w:tabs>
          <w:tab w:leader="none" w:pos="99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Arial" w:cs="Arial" w:eastAsia="Arial" w:hAnsi="Arial"/>
          <w:sz w:val="20"/>
          <w:szCs w:val="20"/>
          <w:color w:val="auto"/>
        </w:rPr>
        <w:t>x</w:t>
      </w: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2021, there were 168,320,745 of the registrant’s Class A and B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78"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Page</w:t>
            </w:r>
          </w:p>
        </w:tc>
        <w:tc>
          <w:tcPr>
            <w:tcW w:w="2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1066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Part I - Financial Information</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Item 1. Financial Statements (unaudited)</w:t>
              </w:r>
            </w:hyperlink>
          </w:p>
        </w:tc>
        <w:tc>
          <w:tcPr>
            <w:tcW w:w="6640" w:type="dxa"/>
            <w:vAlign w:val="bottom"/>
            <w:gridSpan w:val="4"/>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Borders>
              <w:bottom w:val="single" w:sz="8" w:color="0000FF"/>
            </w:tcBorders>
          </w:tcPr>
          <w:p>
            <w:pPr>
              <w:spacing w:after="0"/>
              <w:rPr>
                <w:rFonts w:ascii="Arial" w:cs="Arial" w:eastAsia="Arial" w:hAnsi="Arial"/>
                <w:sz w:val="18"/>
                <w:szCs w:val="18"/>
                <w:color w:val="0000FF"/>
                <w:w w:val="94"/>
              </w:rPr>
            </w:pPr>
            <w:hyperlink w:anchor="page24">
              <w:r>
                <w:rPr>
                  <w:rFonts w:ascii="Arial" w:cs="Arial" w:eastAsia="Arial" w:hAnsi="Arial"/>
                  <w:sz w:val="18"/>
                  <w:szCs w:val="18"/>
                  <w:color w:val="0000FF"/>
                  <w:w w:val="94"/>
                </w:rPr>
                <w:t>Item 2.</w:t>
              </w:r>
            </w:hyperlink>
          </w:p>
        </w:tc>
        <w:tc>
          <w:tcPr>
            <w:tcW w:w="60" w:type="dxa"/>
            <w:vAlign w:val="bottom"/>
            <w:tcBorders>
              <w:bottom w:val="single" w:sz="8" w:color="0000FF"/>
            </w:tcBorders>
          </w:tcPr>
          <w:p>
            <w:pPr>
              <w:spacing w:after="0"/>
              <w:rPr>
                <w:sz w:val="18"/>
                <w:szCs w:val="18"/>
                <w:color w:val="auto"/>
              </w:rPr>
            </w:pPr>
          </w:p>
        </w:tc>
        <w:tc>
          <w:tcPr>
            <w:tcW w:w="708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24">
              <w:r>
                <w:rPr>
                  <w:rFonts w:ascii="Arial" w:cs="Arial" w:eastAsia="Arial" w:hAnsi="Arial"/>
                  <w:sz w:val="18"/>
                  <w:szCs w:val="18"/>
                  <w:color w:val="0000FF"/>
                  <w:w w:val="99"/>
                </w:rPr>
                <w:t>Management's Discussion and Analysis of Financial Condition and Results of Operations</w:t>
              </w:r>
            </w:hyperlink>
          </w:p>
        </w:tc>
        <w:tc>
          <w:tcPr>
            <w:tcW w:w="2200" w:type="dxa"/>
            <w:vAlign w:val="bottom"/>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24">
              <w:r>
                <w:rPr>
                  <w:rFonts w:ascii="Arial" w:cs="Arial" w:eastAsia="Arial" w:hAnsi="Arial"/>
                  <w:sz w:val="18"/>
                  <w:szCs w:val="18"/>
                  <w:color w:val="auto"/>
                </w:rPr>
                <w:t>20</w:t>
              </w:r>
            </w:hyperlink>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6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Item 3.Quantitative and Qualitative Disclosures About Market Risk</w:t>
              </w:r>
            </w:hyperlink>
          </w:p>
        </w:tc>
        <w:tc>
          <w:tcPr>
            <w:tcW w:w="4620" w:type="dxa"/>
            <w:vAlign w:val="bottom"/>
            <w:gridSpan w:val="3"/>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33">
              <w:r>
                <w:rPr>
                  <w:rFonts w:ascii="Arial" w:cs="Arial" w:eastAsia="Arial" w:hAnsi="Arial"/>
                  <w:sz w:val="18"/>
                  <w:szCs w:val="18"/>
                  <w:color w:val="auto"/>
                </w:rPr>
                <w:t>28</w:t>
              </w:r>
            </w:hyperlink>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rFonts w:ascii="Arial" w:cs="Arial" w:eastAsia="Arial" w:hAnsi="Arial"/>
                <w:sz w:val="18"/>
                <w:szCs w:val="18"/>
                <w:color w:val="0000FF"/>
                <w:w w:val="94"/>
              </w:rPr>
            </w:pPr>
            <w:hyperlink w:anchor="page33">
              <w:r>
                <w:rPr>
                  <w:rFonts w:ascii="Arial" w:cs="Arial" w:eastAsia="Arial" w:hAnsi="Arial"/>
                  <w:sz w:val="18"/>
                  <w:szCs w:val="18"/>
                  <w:color w:val="0000FF"/>
                  <w:w w:val="94"/>
                </w:rPr>
                <w:t>Item 4.</w:t>
              </w:r>
            </w:hyperlink>
          </w:p>
        </w:tc>
        <w:tc>
          <w:tcPr>
            <w:tcW w:w="60" w:type="dxa"/>
            <w:vAlign w:val="bottom"/>
          </w:tcPr>
          <w:p>
            <w:pPr>
              <w:spacing w:after="0"/>
              <w:rPr>
                <w:sz w:val="18"/>
                <w:szCs w:val="18"/>
                <w:color w:val="auto"/>
              </w:rPr>
            </w:pPr>
          </w:p>
        </w:tc>
        <w:tc>
          <w:tcPr>
            <w:tcW w:w="9280" w:type="dxa"/>
            <w:vAlign w:val="bottom"/>
            <w:gridSpan w:val="1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33">
              <w:r>
                <w:rPr>
                  <w:rFonts w:ascii="Arial" w:cs="Arial" w:eastAsia="Arial" w:hAnsi="Arial"/>
                  <w:sz w:val="18"/>
                  <w:szCs w:val="18"/>
                  <w:color w:val="auto"/>
                </w:rPr>
                <w:t>28</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60" w:type="dxa"/>
            <w:vAlign w:val="bottom"/>
            <w:gridSpan w:val="1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Part II - Other Information</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30</w:t>
              </w:r>
            </w:hyperlink>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rFonts w:ascii="Arial" w:cs="Arial" w:eastAsia="Arial" w:hAnsi="Arial"/>
                <w:sz w:val="18"/>
                <w:szCs w:val="18"/>
                <w:color w:val="0000FF"/>
                <w:w w:val="94"/>
              </w:rPr>
            </w:pPr>
            <w:hyperlink w:anchor="page35">
              <w:r>
                <w:rPr>
                  <w:rFonts w:ascii="Arial" w:cs="Arial" w:eastAsia="Arial" w:hAnsi="Arial"/>
                  <w:sz w:val="18"/>
                  <w:szCs w:val="18"/>
                  <w:color w:val="0000FF"/>
                  <w:w w:val="94"/>
                </w:rPr>
                <w:t>Item 1.</w:t>
              </w:r>
            </w:hyperlink>
          </w:p>
        </w:tc>
        <w:tc>
          <w:tcPr>
            <w:tcW w:w="60" w:type="dxa"/>
            <w:vAlign w:val="bottom"/>
          </w:tcPr>
          <w:p>
            <w:pPr>
              <w:spacing w:after="0"/>
              <w:rPr>
                <w:sz w:val="18"/>
                <w:szCs w:val="18"/>
                <w:color w:val="auto"/>
              </w:rPr>
            </w:pPr>
          </w:p>
        </w:tc>
        <w:tc>
          <w:tcPr>
            <w:tcW w:w="9280" w:type="dxa"/>
            <w:vAlign w:val="bottom"/>
            <w:gridSpan w:val="1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35">
              <w:r>
                <w:rPr>
                  <w:rFonts w:ascii="Arial" w:cs="Arial" w:eastAsia="Arial" w:hAnsi="Arial"/>
                  <w:sz w:val="18"/>
                  <w:szCs w:val="18"/>
                  <w:color w:val="auto"/>
                </w:rPr>
                <w:t>30</w:t>
              </w:r>
            </w:hyperlink>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8"/>
              </w:rPr>
            </w:pPr>
            <w:hyperlink w:anchor="page35">
              <w:r>
                <w:rPr>
                  <w:rFonts w:ascii="Arial" w:cs="Arial" w:eastAsia="Arial" w:hAnsi="Arial"/>
                  <w:sz w:val="18"/>
                  <w:szCs w:val="18"/>
                  <w:color w:val="0000FF"/>
                  <w:w w:val="98"/>
                </w:rPr>
                <w:t>Item 1A. Risk Factors</w:t>
              </w:r>
            </w:hyperlink>
          </w:p>
        </w:tc>
        <w:tc>
          <w:tcPr>
            <w:tcW w:w="360" w:type="dxa"/>
            <w:vAlign w:val="bottom"/>
            <w:tcBorders>
              <w:top w:val="single" w:sz="8" w:color="0000FF"/>
            </w:tcBorders>
          </w:tcPr>
          <w:p>
            <w:pPr>
              <w:spacing w:after="0"/>
              <w:rPr>
                <w:sz w:val="18"/>
                <w:szCs w:val="18"/>
                <w:color w:val="auto"/>
              </w:rPr>
            </w:pPr>
          </w:p>
        </w:tc>
        <w:tc>
          <w:tcPr>
            <w:tcW w:w="7800" w:type="dxa"/>
            <w:vAlign w:val="bottom"/>
            <w:gridSpan w:val="6"/>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35">
              <w:r>
                <w:rPr>
                  <w:rFonts w:ascii="Arial" w:cs="Arial" w:eastAsia="Arial" w:hAnsi="Arial"/>
                  <w:sz w:val="18"/>
                  <w:szCs w:val="18"/>
                  <w:color w:val="auto"/>
                </w:rPr>
                <w:t>30</w:t>
              </w:r>
            </w:hyperlink>
          </w:p>
        </w:tc>
      </w:tr>
      <w:tr>
        <w:trPr>
          <w:trHeight w:val="209"/>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rFonts w:ascii="Arial" w:cs="Arial" w:eastAsia="Arial" w:hAnsi="Arial"/>
                <w:sz w:val="18"/>
                <w:szCs w:val="18"/>
                <w:color w:val="0000FF"/>
                <w:w w:val="94"/>
              </w:rPr>
            </w:pPr>
            <w:hyperlink w:anchor="page90">
              <w:r>
                <w:rPr>
                  <w:rFonts w:ascii="Arial" w:cs="Arial" w:eastAsia="Arial" w:hAnsi="Arial"/>
                  <w:sz w:val="18"/>
                  <w:szCs w:val="18"/>
                  <w:color w:val="0000FF"/>
                  <w:w w:val="94"/>
                </w:rPr>
                <w:t>Item 2.</w:t>
              </w:r>
            </w:hyperlink>
          </w:p>
        </w:tc>
        <w:tc>
          <w:tcPr>
            <w:tcW w:w="60" w:type="dxa"/>
            <w:vAlign w:val="bottom"/>
          </w:tcPr>
          <w:p>
            <w:pPr>
              <w:spacing w:after="0"/>
              <w:rPr>
                <w:sz w:val="18"/>
                <w:szCs w:val="18"/>
                <w:color w:val="auto"/>
              </w:rPr>
            </w:pPr>
          </w:p>
        </w:tc>
        <w:tc>
          <w:tcPr>
            <w:tcW w:w="9280" w:type="dxa"/>
            <w:vAlign w:val="bottom"/>
            <w:gridSpan w:val="12"/>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Unregistered Sales of Equity Securities and Use of Proceeds</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90">
              <w:r>
                <w:rPr>
                  <w:rFonts w:ascii="Arial" w:cs="Arial" w:eastAsia="Arial" w:hAnsi="Arial"/>
                  <w:sz w:val="18"/>
                  <w:szCs w:val="18"/>
                  <w:color w:val="auto"/>
                </w:rPr>
                <w:t>85</w:t>
              </w:r>
            </w:hyperlink>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8"/>
              </w:rPr>
            </w:pPr>
            <w:hyperlink w:anchor="page90">
              <w:r>
                <w:rPr>
                  <w:rFonts w:ascii="Arial" w:cs="Arial" w:eastAsia="Arial" w:hAnsi="Arial"/>
                  <w:sz w:val="18"/>
                  <w:szCs w:val="18"/>
                  <w:color w:val="0000FF"/>
                  <w:w w:val="98"/>
                </w:rPr>
                <w:t>Item 6.Exhibits</w:t>
              </w:r>
            </w:hyperlink>
          </w:p>
        </w:tc>
        <w:tc>
          <w:tcPr>
            <w:tcW w:w="4260" w:type="dxa"/>
            <w:vAlign w:val="bottom"/>
            <w:tcBorders>
              <w:top w:val="single" w:sz="8" w:color="0000FF"/>
            </w:tcBorders>
            <w:gridSpan w:val="8"/>
          </w:tcPr>
          <w:p>
            <w:pPr>
              <w:spacing w:after="0"/>
              <w:rPr>
                <w:sz w:val="18"/>
                <w:szCs w:val="18"/>
                <w:color w:val="auto"/>
              </w:rPr>
            </w:pPr>
          </w:p>
        </w:tc>
        <w:tc>
          <w:tcPr>
            <w:tcW w:w="4440" w:type="dxa"/>
            <w:vAlign w:val="bottom"/>
            <w:gridSpan w:val="2"/>
          </w:tcPr>
          <w:p>
            <w:pPr>
              <w:spacing w:after="0"/>
              <w:rPr>
                <w:sz w:val="18"/>
                <w:szCs w:val="18"/>
                <w:color w:val="auto"/>
              </w:rPr>
            </w:pPr>
          </w:p>
        </w:tc>
        <w:tc>
          <w:tcPr>
            <w:tcW w:w="560" w:type="dxa"/>
            <w:vAlign w:val="bottom"/>
            <w:gridSpan w:val="2"/>
          </w:tcPr>
          <w:p>
            <w:pPr>
              <w:jc w:val="right"/>
              <w:ind w:right="20"/>
              <w:spacing w:after="0"/>
              <w:rPr>
                <w:rFonts w:ascii="Arial" w:cs="Arial" w:eastAsia="Arial" w:hAnsi="Arial"/>
                <w:sz w:val="18"/>
                <w:szCs w:val="18"/>
                <w:color w:val="auto"/>
              </w:rPr>
            </w:pPr>
            <w:hyperlink w:anchor="page90">
              <w:r>
                <w:rPr>
                  <w:rFonts w:ascii="Arial" w:cs="Arial" w:eastAsia="Arial" w:hAnsi="Arial"/>
                  <w:sz w:val="18"/>
                  <w:szCs w:val="18"/>
                  <w:color w:val="auto"/>
                </w:rPr>
                <w:t>85</w:t>
              </w:r>
            </w:hyperlink>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80" w:type="dxa"/>
            <w:vAlign w:val="bottom"/>
            <w:gridSpan w:val="14"/>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Signatures</w:t>
              </w:r>
            </w:hyperlink>
          </w:p>
        </w:tc>
        <w:tc>
          <w:tcPr>
            <w:tcW w:w="560" w:type="dxa"/>
            <w:vAlign w:val="bottom"/>
            <w:gridSpan w:val="2"/>
          </w:tcPr>
          <w:p>
            <w:pPr>
              <w:jc w:val="right"/>
              <w:ind w:right="20"/>
              <w:spacing w:after="0"/>
              <w:rPr>
                <w:rFonts w:ascii="Arial" w:cs="Arial" w:eastAsia="Arial" w:hAnsi="Arial"/>
                <w:sz w:val="18"/>
                <w:szCs w:val="18"/>
                <w:color w:val="auto"/>
              </w:rPr>
            </w:pPr>
            <w:hyperlink w:anchor="page91">
              <w:r>
                <w:rPr>
                  <w:rFonts w:ascii="Arial" w:cs="Arial" w:eastAsia="Arial" w:hAnsi="Arial"/>
                  <w:sz w:val="18"/>
                  <w:szCs w:val="18"/>
                  <w:color w:val="auto"/>
                </w:rPr>
                <w:t>87</w:t>
              </w:r>
            </w:hyperlink>
          </w:p>
        </w:tc>
      </w:tr>
      <w:tr>
        <w:trPr>
          <w:trHeight w:val="1040"/>
        </w:trPr>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SUMMARY RISK FACTORS</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in this Quarterly Report on Form 10-Q. These risks include, but are not limited to, the following:</w:t>
      </w:r>
    </w:p>
    <w:p>
      <w:pPr>
        <w:spacing w:after="0" w:line="229"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a clinical-stage biotechnology company with a limited operating history.</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anticipate that we will incur continued losses for the foreseeable future.</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mission is broad and expensive to achieve and we will need to raise substantial additional funding.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have not generated any revenue from product sales.</w:t>
      </w:r>
    </w:p>
    <w:p>
      <w:pPr>
        <w:spacing w:after="0" w:line="9" w:lineRule="exact"/>
        <w:rPr>
          <w:rFonts w:ascii="Arial" w:cs="Arial" w:eastAsia="Arial" w:hAnsi="Arial"/>
          <w:sz w:val="18"/>
          <w:szCs w:val="18"/>
          <w:color w:val="auto"/>
        </w:rPr>
      </w:pPr>
    </w:p>
    <w:p>
      <w:pPr>
        <w:ind w:left="340" w:right="26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or our current and future collaborators may never successfully develop and commercialize drug products, which would negatively affect our results of operation and our ability to continue our business operations.</w:t>
      </w:r>
    </w:p>
    <w:p>
      <w:pPr>
        <w:ind w:left="340" w:right="10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significantly in the future due to a variety of factors, many of which are outside of our control and may be difficult to predict.</w:t>
      </w:r>
    </w:p>
    <w:p>
      <w:pPr>
        <w:ind w:left="340" w:right="2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approach to drug discovery is unique and may not lead to successful drug products, for reasons including but not limited to potential challenges identifying mechanisms of action for our candidates.</w:t>
      </w:r>
    </w:p>
    <w:p>
      <w:pPr>
        <w:ind w:left="340" w:right="6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drug candidates are in preclinical or clinical development, which are lengthy and expensive processes with uncertain outcomes and the potential for substantial delays.</w:t>
      </w:r>
    </w:p>
    <w:p>
      <w:pPr>
        <w:jc w:val="both"/>
        <w:ind w:left="340" w:right="30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Although we intend to explore other therapeutic opportunities, in addition to the drug candidates that we are currently developing, we may fail to identify viable new drug candidates for clinical development for a number of reasons. If we fail to identify additional viable potential drug candidates, our business could be materially harmed.</w:t>
      </w:r>
    </w:p>
    <w:p>
      <w:pPr>
        <w:spacing w:after="0" w:line="1" w:lineRule="exact"/>
        <w:rPr>
          <w:rFonts w:ascii="Arial" w:cs="Arial" w:eastAsia="Arial" w:hAnsi="Arial"/>
          <w:sz w:val="18"/>
          <w:szCs w:val="18"/>
          <w:color w:val="auto"/>
        </w:rPr>
      </w:pPr>
    </w:p>
    <w:p>
      <w:pPr>
        <w:ind w:left="340" w:right="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computer system failures, cyber-attacks, or deficiencies in our cybersecurity or the cybersecurity of third parties, suppliers, or service providers.</w:t>
      </w:r>
    </w:p>
    <w:p>
      <w:pPr>
        <w:ind w:left="340" w:right="42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not able to develop new solutions and enhancements to our platform that keep pace with technological developments, our business and results of operations would be harmed.</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Defects or disruptions in our platform could result in diminishing our value and prospects.</w:t>
      </w:r>
    </w:p>
    <w:p>
      <w:pPr>
        <w:spacing w:after="0" w:line="9" w:lineRule="exact"/>
        <w:rPr>
          <w:rFonts w:ascii="Arial" w:cs="Arial" w:eastAsia="Arial" w:hAnsi="Arial"/>
          <w:sz w:val="18"/>
          <w:szCs w:val="18"/>
          <w:color w:val="auto"/>
        </w:rPr>
      </w:pPr>
    </w:p>
    <w:p>
      <w:pPr>
        <w:ind w:left="340" w:right="460" w:hanging="332"/>
        <w:spacing w:after="0" w:line="265" w:lineRule="auto"/>
        <w:tabs>
          <w:tab w:leader="none" w:pos="33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pandemic, epidemic, or outbreak of an infectious disease, such as COVID-19, or other force majeure events, may materially and adversely affect our business and our financial results and could cause a disruption to the development of our drug candidates.</w:t>
      </w:r>
    </w:p>
    <w:p>
      <w:pPr>
        <w:ind w:left="340" w:right="82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fail to sufficiently manage and improve our technical hardware infrastructure we may experience errors, delays and other performance problems.</w:t>
      </w:r>
    </w:p>
    <w:p>
      <w:pPr>
        <w:ind w:left="340" w:right="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regulatory and operational risks associated with the physical and digital infrastructure at both our internal facilities and those of our external service providers and suppliers.</w:t>
      </w:r>
    </w:p>
    <w:p>
      <w:pPr>
        <w:ind w:left="340" w:right="16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seek to establish additional collaborations for clinical development or commercialization of our drug candidates, and, if we are not able to establish them on commercially reasonable terms, or at all, we may have to alter our development and commercialization plans.</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adequately protect and enforce our intellectual property and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and know-how, our business and competitive position may be harmed.</w:t>
      </w:r>
    </w:p>
    <w:p>
      <w:pPr>
        <w:spacing w:after="0" w:line="9" w:lineRule="exact"/>
        <w:rPr>
          <w:rFonts w:ascii="Arial" w:cs="Arial" w:eastAsia="Arial" w:hAnsi="Arial"/>
          <w:sz w:val="18"/>
          <w:szCs w:val="18"/>
          <w:color w:val="auto"/>
        </w:rPr>
      </w:pPr>
    </w:p>
    <w:p>
      <w:pPr>
        <w:ind w:left="340" w:hanging="332"/>
        <w:spacing w:after="0" w:line="25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fail to comply with our obligations in the agreements under which we collaborate with and/or license intellectual property rights from third parties, or otherwise experience disruptions to our business relationships with our collaborators or licensors, we could lose rights that are important to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Forward-Looking Information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3" w:name="page4"/>
    <w:bookmarkEnd w:id="3"/>
    <w:p>
      <w:pPr>
        <w:ind w:right="200"/>
        <w:spacing w:after="0" w:line="282" w:lineRule="auto"/>
        <w:rPr>
          <w:sz w:val="20"/>
          <w:szCs w:val="20"/>
          <w:color w:val="auto"/>
        </w:rPr>
      </w:pPr>
      <w:r>
        <w:rPr>
          <w:rFonts w:ascii="Arial" w:cs="Arial" w:eastAsia="Arial" w:hAnsi="Arial"/>
          <w:sz w:val="18"/>
          <w:szCs w:val="18"/>
          <w:i w:val="1"/>
          <w:iCs w:val="1"/>
          <w:color w:val="auto"/>
        </w:rPr>
        <w:t>“predict,” “potential,” or “continue” or the negative of these terms or other similar expressions. Forward-looking statements contained in this report include, but are not limited to, statements about:</w:t>
      </w:r>
    </w:p>
    <w:p>
      <w:pPr>
        <w:spacing w:after="0" w:line="189" w:lineRule="exact"/>
        <w:rPr>
          <w:sz w:val="20"/>
          <w:szCs w:val="20"/>
          <w:color w:val="auto"/>
        </w:rPr>
      </w:pPr>
    </w:p>
    <w:p>
      <w:pPr>
        <w:ind w:left="340" w:right="320" w:hanging="332"/>
        <w:spacing w:after="0" w:line="257"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research and development programs and the initiation, timing, progress, results, and cost of our current and future preclinical and clinical studies, including statements regarding design of, and the timing of initiation and completion of, studies or trials and related preparatory work, the period during which the results of the trials will become available;</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clinical trials to demonstrate safety and efficacy of our drug candidates, and other positive results;</w:t>
      </w:r>
    </w:p>
    <w:p>
      <w:pPr>
        <w:spacing w:after="0" w:line="9" w:lineRule="exact"/>
        <w:rPr>
          <w:rFonts w:ascii="Arial" w:cs="Arial" w:eastAsia="Arial" w:hAnsi="Arial"/>
          <w:sz w:val="18"/>
          <w:szCs w:val="18"/>
          <w:i w:val="1"/>
          <w:iCs w:val="1"/>
          <w:color w:val="auto"/>
        </w:rPr>
      </w:pPr>
    </w:p>
    <w:p>
      <w:pPr>
        <w:ind w:left="340" w:right="680" w:hanging="332"/>
        <w:spacing w:after="0" w:line="250"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and willingness of our third-party strategic collaborators to continue research and development activities relating to our development candidates and investigational medicines;</w:t>
      </w:r>
    </w:p>
    <w:p>
      <w:pPr>
        <w:ind w:left="340" w:right="300" w:hanging="332"/>
        <w:spacing w:after="0" w:line="250"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future agreements with third parties in connection with the commercialization of our investigational medicines and any other approved product;</w:t>
      </w:r>
    </w:p>
    <w:p>
      <w:pPr>
        <w:ind w:left="340" w:right="280" w:hanging="332"/>
        <w:spacing w:after="0" w:line="250"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scope, and likelihood of regulatory filings and approvals, including timing of Investigational New Drug applications and final approval by the U.S. Food and Drug Administration, or FDA, of our current drug candidates and any other future drug candidates, including our ability to maintain any such approvals;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scope, or likelihood of foreign regulatory filings and approvals, including our ability to maintain any such approvals;</w:t>
      </w:r>
    </w:p>
    <w:p>
      <w:pPr>
        <w:spacing w:after="0" w:line="9" w:lineRule="exact"/>
        <w:rPr>
          <w:rFonts w:ascii="Arial" w:cs="Arial" w:eastAsia="Arial" w:hAnsi="Arial"/>
          <w:sz w:val="18"/>
          <w:szCs w:val="18"/>
          <w:i w:val="1"/>
          <w:iCs w:val="1"/>
          <w:color w:val="auto"/>
        </w:rPr>
      </w:pPr>
    </w:p>
    <w:p>
      <w:pPr>
        <w:ind w:left="340" w:hanging="332"/>
        <w:spacing w:after="0" w:line="250"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size of the market opportunity for our drug candidates, including our estimates of the number of patients who suffer from the diseases we are targeting;</w:t>
      </w:r>
    </w:p>
    <w:p>
      <w:pPr>
        <w:ind w:left="340" w:right="300" w:hanging="332"/>
        <w:spacing w:after="0" w:line="250"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viable new drug candidates for clinical development and the accelerating rate at which we expect to identify such candidates, whether through an inferential approach or otherwise;</w:t>
      </w:r>
    </w:p>
    <w:p>
      <w:pPr>
        <w:ind w:left="340" w:right="420" w:hanging="332"/>
        <w:spacing w:after="0" w:line="250"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 that the assets that will drive the most value for us are those that we will identify in the future using our datasets and tools;</w:t>
      </w: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and advance our current drug candidates and programs into, and successfully complete, clinical studies;</w:t>
      </w:r>
    </w:p>
    <w:p>
      <w:pPr>
        <w:spacing w:after="0" w:line="9" w:lineRule="exact"/>
        <w:rPr>
          <w:rFonts w:ascii="Arial" w:cs="Arial" w:eastAsia="Arial" w:hAnsi="Arial"/>
          <w:sz w:val="18"/>
          <w:szCs w:val="18"/>
          <w:i w:val="1"/>
          <w:iCs w:val="1"/>
          <w:color w:val="auto"/>
        </w:rPr>
      </w:pPr>
    </w:p>
    <w:p>
      <w:pPr>
        <w:ind w:left="340" w:right="40" w:hanging="332"/>
        <w:spacing w:after="0" w:line="250"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reduce the time or cost or increase the likelihood of success of our research and development relative to the traditional drug discovery paradigm;</w:t>
      </w:r>
    </w:p>
    <w:p>
      <w:pPr>
        <w:ind w:left="340" w:right="420" w:hanging="332"/>
        <w:spacing w:after="0" w:line="250"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improve, and the rate of improvement in, our infrastructure, datasets, biology, and technology tools, and drug discovery platform, or to realize benefits from such improvements;</w:t>
      </w: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related to the performance and benefits of our BioHive-1 supercomputer;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realize a return on our investment of resources and cash in our drug discovery collaborations;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scale like a technology company and to add more programs to our pipeline each year than in the prior;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compete in a highly competitive market;</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manufacturing, commercialization, and marketing capabilities and strategy;</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relating to commercializing our drug candidates, if approved, including the geographic areas of focus and sales strategy;</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approval and use of our drug candidates in combination with other drugs;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rate and degree of market acceptance and clinical utility of our current drug candidates and other drug candidates we may develop;</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competitive position and the success of competing therapies that are or may become available;</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the number of patients that we will enroll in our clinical trials and the timing of their enrollment;</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beneficial characteristics, safety, efficacy, and therapeutic effects of our drug candidates;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relating to the further development of our drug candidates, including additional indications we may pursue;</w:t>
      </w:r>
    </w:p>
    <w:p>
      <w:pPr>
        <w:spacing w:after="0" w:line="9" w:lineRule="exact"/>
        <w:rPr>
          <w:rFonts w:ascii="Arial" w:cs="Arial" w:eastAsia="Arial" w:hAnsi="Arial"/>
          <w:sz w:val="18"/>
          <w:szCs w:val="18"/>
          <w:i w:val="1"/>
          <w:iCs w:val="1"/>
          <w:color w:val="auto"/>
        </w:rPr>
      </w:pPr>
    </w:p>
    <w:p>
      <w:pPr>
        <w:ind w:left="340" w:right="40" w:hanging="332"/>
        <w:spacing w:after="0" w:line="250"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obtaining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1" w:lineRule="exact"/>
        <w:rPr>
          <w:rFonts w:ascii="Arial" w:cs="Arial" w:eastAsia="Arial" w:hAnsi="Arial"/>
          <w:sz w:val="18"/>
          <w:szCs w:val="18"/>
          <w:i w:val="1"/>
          <w:iCs w:val="1"/>
          <w:color w:val="auto"/>
        </w:rPr>
      </w:pPr>
    </w:p>
    <w:p>
      <w:pPr>
        <w:ind w:left="340" w:hanging="332"/>
        <w:spacing w:after="0" w:line="250"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any current or future intellectual property litigation and our ability to defend against claims of infringement, misappropriation, or other violations of any third-party intellectual property rights;</w:t>
      </w: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keep pace with new technological developments;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utilize third-party open source software and cloud-based infrastructure, on which we are dependent;</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adequacy of our insurance policies and the scope of their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 w:name="page5"/>
    <w:bookmarkEnd w:id="4"/>
    <w:p>
      <w:pPr>
        <w:ind w:left="340" w:right="100" w:hanging="332"/>
        <w:spacing w:after="0" w:line="26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potential impact of a pandemic, epidemic, or outbreak of an infectious disease, such as COVID-19, or natural disaster, and the effect of such outbreak or natural disaster on our business and financial results;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our technical operations infrastructure to avoid errors, delays, or cybersecurity breaches;</w:t>
      </w:r>
    </w:p>
    <w:p>
      <w:pPr>
        <w:spacing w:after="0" w:line="9" w:lineRule="exact"/>
        <w:rPr>
          <w:rFonts w:ascii="Arial" w:cs="Arial" w:eastAsia="Arial" w:hAnsi="Arial"/>
          <w:sz w:val="18"/>
          <w:szCs w:val="18"/>
          <w:i w:val="1"/>
          <w:iCs w:val="1"/>
          <w:color w:val="auto"/>
        </w:rPr>
      </w:pPr>
    </w:p>
    <w:p>
      <w:pPr>
        <w:ind w:left="340" w:right="4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continued reliance on third parties to conduct additional clinical trials of our drug candidates, and for the manufacture of our drug candidates for preclinical studies and clinical trials;</w:t>
      </w:r>
    </w:p>
    <w:p>
      <w:pPr>
        <w:ind w:left="340" w:right="56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obtain, and negotiate favorable terms of, any collaboration, licensing or other arrangements that may be necessary or desirable to research, develop, manufacture, or commercialize our platform and drug candidates;</w:t>
      </w: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pricing and reimbursement of our current drug candidates and other drug candidates we may develop, if approved;</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regarding expenses, future revenue, capital requirements, and needs for additional financing</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financial performance;</w:t>
      </w:r>
    </w:p>
    <w:p>
      <w:pPr>
        <w:spacing w:after="0" w:line="9" w:lineRule="exact"/>
        <w:rPr>
          <w:rFonts w:ascii="Arial" w:cs="Arial" w:eastAsia="Arial" w:hAnsi="Arial"/>
          <w:sz w:val="18"/>
          <w:szCs w:val="18"/>
          <w:i w:val="1"/>
          <w:iCs w:val="1"/>
          <w:color w:val="auto"/>
        </w:rPr>
      </w:pPr>
    </w:p>
    <w:p>
      <w:pPr>
        <w:ind w:left="340" w:right="36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period over which we estimate our existing cash and cash equivalents will be sufficient to fund our future operating expenses and capital expenditure requirements;</w:t>
      </w: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substantial additional funding;</w:t>
      </w:r>
    </w:p>
    <w:p>
      <w:pPr>
        <w:spacing w:after="0" w:line="9"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current and future laws and regulations, and our ability to comply with all regulations that we are, or may become, subject to;</w:t>
      </w: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need to hire additional personnel and our ability to attract and retain such personnel;</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any current or future litigation, which may arise during the ordinary course of business and be costly to defend;</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period during which we will qualify as an emerging growth company under the JOBS Act;</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anticipated use of our existing resources and the net proceeds from this offering; and</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including those listed under the caption “Risk Factors.”</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report, whether as a result of any new information, future events, or otherwise.</w:t>
      </w:r>
    </w:p>
    <w:p>
      <w:pPr>
        <w:spacing w:after="0" w:line="21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ind w:left="1680"/>
        <w:spacing w:after="0"/>
        <w:rPr>
          <w:sz w:val="20"/>
          <w:szCs w:val="20"/>
          <w:color w:val="auto"/>
        </w:rPr>
      </w:pPr>
      <w:r>
        <w:rPr>
          <w:rFonts w:ascii="Arial" w:cs="Arial" w:eastAsia="Arial" w:hAnsi="Arial"/>
          <w:sz w:val="18"/>
          <w:szCs w:val="18"/>
          <w:b w:val="1"/>
          <w:bCs w:val="1"/>
          <w:color w:val="auto"/>
        </w:rPr>
        <w:t>Recursion Pharmaceuticals, Inc.</w:t>
      </w:r>
    </w:p>
    <w:p>
      <w:pPr>
        <w:spacing w:after="0" w:line="9" w:lineRule="exact"/>
        <w:rPr>
          <w:sz w:val="20"/>
          <w:szCs w:val="20"/>
          <w:color w:val="auto"/>
        </w:rPr>
      </w:pPr>
    </w:p>
    <w:p>
      <w:pPr>
        <w:jc w:val="center"/>
        <w:ind w:left="16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left="1680"/>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80"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69"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December 31,</w:t>
      </w:r>
    </w:p>
    <w:p>
      <w:pPr>
        <w:spacing w:after="0" w:line="5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2020</w:t>
      </w:r>
    </w:p>
    <w:p>
      <w:pPr>
        <w:spacing w:after="0" w:line="29" w:lineRule="exact"/>
        <w:rPr>
          <w:sz w:val="20"/>
          <w:szCs w:val="20"/>
          <w:color w:val="auto"/>
        </w:rPr>
      </w:pPr>
    </w:p>
    <w:p>
      <w:pPr>
        <w:sectPr>
          <w:pgSz w:w="11900" w:h="16838" w:orient="portrait"/>
          <w:cols w:equalWidth="0" w:num="2">
            <w:col w:w="9560" w:space="540"/>
            <w:col w:w="1140"/>
          </w:cols>
          <w:pgMar w:left="320" w:top="927" w:right="339" w:bottom="1440" w:gutter="0" w:footer="0" w:header="0"/>
        </w:sectPr>
      </w:pPr>
    </w:p>
    <w:tbl>
      <w:tblPr>
        <w:tblLayout w:type="fixed"/>
        <w:tblInd w:w="0" w:type="dxa"/>
        <w:tblCellMar>
          <w:top w:w="0" w:type="dxa"/>
          <w:left w:w="0" w:type="dxa"/>
          <w:bottom w:w="0" w:type="dxa"/>
          <w:right w:w="0" w:type="dxa"/>
        </w:tblCellMar>
      </w:tblPr>
      <w:tr>
        <w:trPr>
          <w:trHeight w:val="226"/>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39"/>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214,088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262,126</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5,041</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221,822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269,478</w:t>
            </w:r>
          </w:p>
        </w:tc>
      </w:tr>
      <w:tr>
        <w:trPr>
          <w:trHeight w:val="216"/>
        </w:trPr>
        <w:tc>
          <w:tcPr>
            <w:tcW w:w="8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25,967</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2,490</w:t>
            </w:r>
          </w:p>
        </w:tc>
      </w:tr>
      <w:tr>
        <w:trPr>
          <w:trHeight w:val="229"/>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23"/>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271,943</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298,585</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Current portion of unearned revenue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notes payable</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portion of lease incentive obligation</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23,099</w:t>
            </w:r>
          </w:p>
        </w:tc>
      </w:tr>
      <w:tr>
        <w:trPr>
          <w:trHeight w:val="216"/>
        </w:trPr>
        <w:tc>
          <w:tcPr>
            <w:tcW w:w="8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rent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Unearned revenue, net of current portion</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14,167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16,667</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net of current portion</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Lease incentive obligation, net of current portion</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56,562</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Commitments and contingencies (Note 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96"/>
        </w:trPr>
        <w:tc>
          <w:tcPr>
            <w:tcW w:w="8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4"/>
        </w:trPr>
        <w:tc>
          <w:tcPr>
            <w:tcW w:w="8560" w:type="dxa"/>
            <w:vAlign w:val="bottom"/>
          </w:tcPr>
          <w:p>
            <w:pPr>
              <w:ind w:left="140"/>
              <w:spacing w:after="0"/>
              <w:rPr>
                <w:sz w:val="20"/>
                <w:szCs w:val="20"/>
                <w:color w:val="auto"/>
              </w:rPr>
            </w:pPr>
            <w:r>
              <w:rPr>
                <w:rFonts w:ascii="Arial" w:cs="Arial" w:eastAsia="Arial" w:hAnsi="Arial"/>
                <w:sz w:val="18"/>
                <w:szCs w:val="18"/>
                <w:color w:val="auto"/>
              </w:rPr>
              <w:t xml:space="preserve">Convertible preferred stock (series A, A-1, B, C, and D), $0.00001 par value; </w:t>
            </w:r>
            <w:r>
              <w:rPr>
                <w:rFonts w:ascii="Arial" w:cs="Arial" w:eastAsia="Arial" w:hAnsi="Arial"/>
                <w:sz w:val="18"/>
                <w:szCs w:val="18"/>
                <w:i w:val="1"/>
                <w:iCs w:val="1"/>
                <w:color w:val="auto"/>
              </w:rPr>
              <w:t>121,434,713 shares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i w:val="1"/>
                <w:iCs w:val="1"/>
                <w:color w:val="auto"/>
              </w:rPr>
              <w:t>authorized as of March 31, 2021 and December 31, 2020; 112,088,065 shares issued and outstanding</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i w:val="1"/>
                <w:iCs w:val="1"/>
                <w:color w:val="auto"/>
              </w:rPr>
              <w:t>as of March 31, 2021 and December 31, 2020; Liquidation preference of $450,850 as of March 31,</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2"/>
        </w:trPr>
        <w:tc>
          <w:tcPr>
            <w:tcW w:w="8560" w:type="dxa"/>
            <w:vAlign w:val="bottom"/>
          </w:tcPr>
          <w:p>
            <w:pPr>
              <w:ind w:left="360"/>
              <w:spacing w:after="0"/>
              <w:rPr>
                <w:sz w:val="20"/>
                <w:szCs w:val="20"/>
                <w:color w:val="auto"/>
              </w:rPr>
            </w:pPr>
            <w:r>
              <w:rPr>
                <w:rFonts w:ascii="Arial" w:cs="Arial" w:eastAsia="Arial" w:hAnsi="Arial"/>
                <w:sz w:val="18"/>
                <w:szCs w:val="18"/>
                <w:i w:val="1"/>
                <w:iCs w:val="1"/>
                <w:color w:val="auto"/>
              </w:rPr>
              <w:t>2021 and December 31, 2020</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448,312</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448,312</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Stockholders’ deficit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8560" w:type="dxa"/>
            <w:vAlign w:val="bottom"/>
          </w:tcPr>
          <w:p>
            <w:pPr>
              <w:ind w:left="140"/>
              <w:spacing w:after="0"/>
              <w:rPr>
                <w:sz w:val="20"/>
                <w:szCs w:val="20"/>
                <w:color w:val="auto"/>
              </w:rPr>
            </w:pPr>
            <w:r>
              <w:rPr>
                <w:rFonts w:ascii="Arial" w:cs="Arial" w:eastAsia="Arial" w:hAnsi="Arial"/>
                <w:sz w:val="18"/>
                <w:szCs w:val="18"/>
                <w:color w:val="auto"/>
              </w:rPr>
              <w:t xml:space="preserve">Common stock, $0.00001 par value; </w:t>
            </w:r>
            <w:r>
              <w:rPr>
                <w:rFonts w:ascii="Arial" w:cs="Arial" w:eastAsia="Arial" w:hAnsi="Arial"/>
                <w:sz w:val="18"/>
                <w:szCs w:val="18"/>
                <w:i w:val="1"/>
                <w:iCs w:val="1"/>
                <w:color w:val="auto"/>
              </w:rPr>
              <w:t>188,400,000 shares authorized as of March 31, 2021 and</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i w:val="1"/>
                <w:iCs w:val="1"/>
                <w:color w:val="auto"/>
              </w:rPr>
              <w:t>December 31, 2020; 24,036,725 and 22,314,685 shares issued and outstanding as of March 31, 2021</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2"/>
        </w:trPr>
        <w:tc>
          <w:tcPr>
            <w:tcW w:w="8560" w:type="dxa"/>
            <w:vAlign w:val="bottom"/>
          </w:tcPr>
          <w:p>
            <w:pPr>
              <w:ind w:left="360"/>
              <w:spacing w:after="0"/>
              <w:rPr>
                <w:sz w:val="20"/>
                <w:szCs w:val="20"/>
                <w:color w:val="auto"/>
              </w:rPr>
            </w:pPr>
            <w:r>
              <w:rPr>
                <w:rFonts w:ascii="Arial" w:cs="Arial" w:eastAsia="Arial" w:hAnsi="Arial"/>
                <w:sz w:val="18"/>
                <w:szCs w:val="18"/>
                <w:i w:val="1"/>
                <w:iCs w:val="1"/>
                <w:color w:val="auto"/>
              </w:rPr>
              <w:t>and December 31, 2020, respectively</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(244,318)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(213,601)</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deficit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(233,031)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(206,289)</w:t>
            </w:r>
          </w:p>
        </w:tc>
      </w:tr>
      <w:tr>
        <w:trPr>
          <w:trHeight w:val="216"/>
        </w:trPr>
        <w:tc>
          <w:tcPr>
            <w:tcW w:w="8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48"/>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convertible preferred stock and stockholders’ deficit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271,943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298,585</w:t>
            </w: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9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44"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36"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37465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8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8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24,109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33,046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18,403</w:t>
            </w:r>
          </w:p>
        </w:tc>
        <w:tc>
          <w:tcPr>
            <w:tcW w:w="0" w:type="dxa"/>
            <w:vAlign w:val="bottom"/>
          </w:tcPr>
          <w:p>
            <w:pPr>
              <w:spacing w:after="0"/>
              <w:rPr>
                <w:sz w:val="1"/>
                <w:szCs w:val="1"/>
                <w:color w:val="auto"/>
              </w:rPr>
            </w:pPr>
          </w:p>
        </w:tc>
      </w:tr>
      <w:tr>
        <w:trPr>
          <w:trHeight w:val="257"/>
        </w:trPr>
        <w:tc>
          <w:tcPr>
            <w:tcW w:w="85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(30,484)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(18,343)</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loss, net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0" w:type="dxa"/>
            <w:vAlign w:val="bottom"/>
          </w:tcPr>
          <w:p>
            <w:pPr>
              <w:spacing w:after="0"/>
              <w:rPr>
                <w:sz w:val="1"/>
                <w:szCs w:val="1"/>
                <w:color w:val="auto"/>
              </w:rPr>
            </w:pP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b w:val="1"/>
                <w:bCs w:val="1"/>
                <w:color w:val="auto"/>
              </w:rPr>
              <w:t>Weighted average shares of common stock, basic and diluted</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23,035,623</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21,639,891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92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Convertible Preferred Stock</w:t>
            </w:r>
          </w:p>
        </w:tc>
        <w:tc>
          <w:tcPr>
            <w:tcW w:w="22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 Paid-in-</w:t>
            </w:r>
          </w:p>
        </w:tc>
        <w:tc>
          <w:tcPr>
            <w:tcW w:w="180" w:type="dxa"/>
            <w:vAlign w:val="bottom"/>
          </w:tcPr>
          <w:p>
            <w:pPr>
              <w:spacing w:after="0"/>
              <w:rPr>
                <w:sz w:val="20"/>
                <w:szCs w:val="20"/>
                <w:color w:val="auto"/>
              </w:rPr>
            </w:pPr>
          </w:p>
        </w:tc>
        <w:tc>
          <w:tcPr>
            <w:tcW w:w="1180" w:type="dxa"/>
            <w:vAlign w:val="bottom"/>
          </w:tcPr>
          <w:p>
            <w:pPr>
              <w:jc w:val="right"/>
              <w:ind w:right="142"/>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0"/>
                <w:szCs w:val="20"/>
                <w:color w:val="auto"/>
              </w:rPr>
            </w:pPr>
          </w:p>
        </w:tc>
        <w:tc>
          <w:tcPr>
            <w:tcW w:w="1180" w:type="dxa"/>
            <w:vAlign w:val="bottom"/>
          </w:tcPr>
          <w:p>
            <w:pPr>
              <w:jc w:val="right"/>
              <w:ind w:right="122"/>
              <w:spacing w:after="0"/>
              <w:rPr>
                <w:sz w:val="20"/>
                <w:szCs w:val="20"/>
                <w:color w:val="auto"/>
              </w:rPr>
            </w:pPr>
            <w:r>
              <w:rPr>
                <w:rFonts w:ascii="Arial" w:cs="Arial" w:eastAsia="Arial" w:hAnsi="Arial"/>
                <w:sz w:val="14"/>
                <w:szCs w:val="14"/>
                <w:b w:val="1"/>
                <w:bCs w:val="1"/>
                <w:color w:val="auto"/>
              </w:rPr>
              <w:t>Stockholders’</w:t>
            </w:r>
          </w:p>
        </w:tc>
      </w:tr>
      <w:tr>
        <w:trPr>
          <w:trHeight w:val="175"/>
        </w:trPr>
        <w:tc>
          <w:tcPr>
            <w:tcW w:w="19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Shares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Deficit</w:t>
            </w:r>
          </w:p>
        </w:tc>
      </w:tr>
      <w:tr>
        <w:trPr>
          <w:trHeight w:val="142"/>
        </w:trPr>
        <w:tc>
          <w:tcPr>
            <w:tcW w:w="19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Balance as of December</w:t>
            </w:r>
          </w:p>
        </w:tc>
        <w:tc>
          <w:tcPr>
            <w:tcW w:w="1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112,088,065</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448,312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22,314,685</w:t>
            </w:r>
          </w:p>
        </w:tc>
        <w:tc>
          <w:tcPr>
            <w:tcW w:w="102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(213,601)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(206,289)</w:t>
            </w:r>
          </w:p>
        </w:tc>
      </w:tr>
      <w:tr>
        <w:trPr>
          <w:trHeight w:val="213"/>
        </w:trPr>
        <w:tc>
          <w:tcPr>
            <w:tcW w:w="1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(30,717)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(30,717)</w:t>
            </w:r>
          </w:p>
        </w:tc>
      </w:tr>
      <w:tr>
        <w:trPr>
          <w:trHeight w:val="180"/>
        </w:trPr>
        <w:tc>
          <w:tcPr>
            <w:tcW w:w="19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Stock option exercises</w:t>
            </w: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tcBorders>
              <w:right w:val="single" w:sz="8" w:color="auto"/>
            </w:tcBorders>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other</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1,722,040</w:t>
            </w:r>
          </w:p>
        </w:tc>
        <w:tc>
          <w:tcPr>
            <w:tcW w:w="10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2,154</w:t>
            </w:r>
          </w:p>
        </w:tc>
      </w:tr>
      <w:tr>
        <w:trPr>
          <w:trHeight w:val="177"/>
        </w:trPr>
        <w:tc>
          <w:tcPr>
            <w:tcW w:w="1920" w:type="dxa"/>
            <w:vAlign w:val="bottom"/>
          </w:tcPr>
          <w:p>
            <w:pPr>
              <w:ind w:left="20"/>
              <w:spacing w:after="0" w:line="178" w:lineRule="exact"/>
              <w:rPr>
                <w:sz w:val="20"/>
                <w:szCs w:val="20"/>
                <w:color w:val="auto"/>
              </w:rPr>
            </w:pPr>
            <w:r>
              <w:rPr>
                <w:rFonts w:ascii="Arial" w:cs="Arial" w:eastAsia="Arial" w:hAnsi="Arial"/>
                <w:sz w:val="16"/>
                <w:szCs w:val="16"/>
                <w:color w:val="auto"/>
              </w:rPr>
              <w:t>Stock-based</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8"/>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compensation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1,821</w:t>
            </w:r>
          </w:p>
        </w:tc>
      </w:tr>
      <w:tr>
        <w:trPr>
          <w:trHeight w:val="158"/>
        </w:trPr>
        <w:tc>
          <w:tcPr>
            <w:tcW w:w="192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Balance as of March 31,</w:t>
            </w: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tcBorders>
              <w:right w:val="single" w:sz="8" w:color="auto"/>
            </w:tcBorders>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0"/>
        </w:trPr>
        <w:tc>
          <w:tcPr>
            <w:tcW w:w="1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112,088,065</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448,312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24,036,725</w:t>
            </w:r>
          </w:p>
        </w:tc>
        <w:tc>
          <w:tcPr>
            <w:tcW w:w="102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(244,318)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(233,031)</w:t>
            </w:r>
          </w:p>
        </w:tc>
      </w:tr>
      <w:tr>
        <w:trPr>
          <w:trHeight w:val="20"/>
        </w:trPr>
        <w:tc>
          <w:tcPr>
            <w:tcW w:w="1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00" w:type="dxa"/>
            <w:vAlign w:val="bottom"/>
          </w:tcPr>
          <w:p>
            <w:pPr>
              <w:spacing w:after="0"/>
              <w:rPr>
                <w:sz w:val="23"/>
                <w:szCs w:val="23"/>
                <w:color w:val="auto"/>
              </w:rPr>
            </w:pPr>
          </w:p>
        </w:tc>
        <w:tc>
          <w:tcPr>
            <w:tcW w:w="2660" w:type="dxa"/>
            <w:vAlign w:val="bottom"/>
            <w:tcBorders>
              <w:bottom w:val="single" w:sz="8" w:color="auto"/>
              <w:right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Convertible Preferred Stock</w:t>
            </w:r>
          </w:p>
        </w:tc>
        <w:tc>
          <w:tcPr>
            <w:tcW w:w="238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23"/>
                <w:szCs w:val="2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 Paid-in-</w:t>
            </w:r>
          </w:p>
        </w:tc>
        <w:tc>
          <w:tcPr>
            <w:tcW w:w="140" w:type="dxa"/>
            <w:vAlign w:val="bottom"/>
          </w:tcPr>
          <w:p>
            <w:pPr>
              <w:spacing w:after="0"/>
              <w:rPr>
                <w:sz w:val="23"/>
                <w:szCs w:val="23"/>
                <w:color w:val="auto"/>
              </w:rPr>
            </w:pPr>
          </w:p>
        </w:tc>
        <w:tc>
          <w:tcPr>
            <w:tcW w:w="11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3"/>
                <w:szCs w:val="23"/>
                <w:color w:val="auto"/>
              </w:rPr>
            </w:pPr>
          </w:p>
        </w:tc>
        <w:tc>
          <w:tcPr>
            <w:tcW w:w="122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75"/>
        </w:trPr>
        <w:tc>
          <w:tcPr>
            <w:tcW w:w="1900" w:type="dxa"/>
            <w:vAlign w:val="bottom"/>
          </w:tcPr>
          <w:p>
            <w:pPr>
              <w:spacing w:after="0"/>
              <w:rPr>
                <w:sz w:val="6"/>
                <w:szCs w:val="6"/>
                <w:color w:val="auto"/>
              </w:rPr>
            </w:pPr>
          </w:p>
        </w:tc>
        <w:tc>
          <w:tcPr>
            <w:tcW w:w="128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6"/>
                <w:szCs w:val="6"/>
                <w:color w:val="auto"/>
              </w:rPr>
            </w:pPr>
          </w:p>
        </w:tc>
        <w:tc>
          <w:tcPr>
            <w:tcW w:w="1100" w:type="dxa"/>
            <w:vAlign w:val="bottom"/>
            <w:tcBorders>
              <w:right w:val="single" w:sz="8" w:color="auto"/>
            </w:tcBorders>
            <w:vMerge w:val="restart"/>
          </w:tcPr>
          <w:p>
            <w:pPr>
              <w:jc w:val="right"/>
              <w:ind w:right="341"/>
              <w:spacing w:after="0"/>
              <w:rPr>
                <w:sz w:val="20"/>
                <w:szCs w:val="20"/>
                <w:color w:val="auto"/>
              </w:rPr>
            </w:pPr>
            <w:r>
              <w:rPr>
                <w:rFonts w:ascii="Arial" w:cs="Arial" w:eastAsia="Arial" w:hAnsi="Arial"/>
                <w:sz w:val="14"/>
                <w:szCs w:val="14"/>
                <w:b w:val="1"/>
                <w:bCs w:val="1"/>
                <w:color w:val="auto"/>
              </w:rPr>
              <w:t>Amount</w:t>
            </w:r>
          </w:p>
        </w:tc>
        <w:tc>
          <w:tcPr>
            <w:tcW w:w="13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Shares</w:t>
            </w:r>
          </w:p>
        </w:tc>
        <w:tc>
          <w:tcPr>
            <w:tcW w:w="10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9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Balance as of</w:t>
            </w:r>
          </w:p>
        </w:tc>
        <w:tc>
          <w:tcPr>
            <w:tcW w:w="1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75,189,517</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201,109</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21,637,609</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(126,595)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(124,265)</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(18,424)</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(18,424)</w:t>
            </w: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exercises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tcBorders>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14,668</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line="178" w:lineRule="exact"/>
              <w:rPr>
                <w:sz w:val="20"/>
                <w:szCs w:val="20"/>
                <w:color w:val="auto"/>
              </w:rPr>
            </w:pPr>
            <w:r>
              <w:rPr>
                <w:rFonts w:ascii="Arial" w:cs="Arial" w:eastAsia="Arial" w:hAnsi="Arial"/>
                <w:sz w:val="16"/>
                <w:szCs w:val="16"/>
                <w:color w:val="auto"/>
              </w:rPr>
              <w:t>Stock-based</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compensation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158"/>
        </w:trPr>
        <w:tc>
          <w:tcPr>
            <w:tcW w:w="190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Balance as of March 31,</w:t>
            </w: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tcBorders>
              <w:right w:val="single" w:sz="8" w:color="auto"/>
            </w:tcBorders>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1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75,189,517</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201,109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21,652,277</w:t>
            </w:r>
          </w:p>
        </w:tc>
        <w:tc>
          <w:tcPr>
            <w:tcW w:w="104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(141,387)</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3"/>
                <w:szCs w:val="23"/>
                <w:color w:val="auto"/>
              </w:rPr>
            </w:pPr>
          </w:p>
        </w:tc>
      </w:tr>
      <w:tr>
        <w:trPr>
          <w:trHeight w:val="27"/>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7"/>
        </w:trPr>
        <w:tc>
          <w:tcPr>
            <w:tcW w:w="8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(30,717)</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(18,424)</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1,821</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85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2,051</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development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Accrued expenses, deferred rent and other current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(17,817)</w:t>
            </w:r>
          </w:p>
        </w:tc>
      </w:tr>
      <w:tr>
        <w:trPr>
          <w:trHeight w:val="162"/>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(19,416)</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162"/>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long-term debt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Proceeds from convertible notes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r>
      <w:tr>
        <w:trPr>
          <w:trHeight w:val="162"/>
        </w:trPr>
        <w:tc>
          <w:tcPr>
            <w:tcW w:w="8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26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(48,037)</w:t>
            </w: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w:t>
            </w:r>
          </w:p>
        </w:tc>
      </w:tr>
      <w:tr>
        <w:trPr>
          <w:trHeight w:val="230"/>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267,167</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75,171</w:t>
            </w:r>
          </w:p>
        </w:tc>
      </w:tr>
      <w:tr>
        <w:trPr>
          <w:trHeight w:val="248"/>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219,130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62,667</w:t>
            </w: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information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Accrued property and equipment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Deferred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42"/>
        </w:trPr>
        <w:tc>
          <w:tcPr>
            <w:tcW w:w="8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Recursion Pharmaceuticals, Inc.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Recursion Pharmaceuticals, Inc. (Recursion, the Company, or we) was originally formed as a limited liability</w:t>
      </w:r>
    </w:p>
    <w:p>
      <w:pPr>
        <w:spacing w:after="0" w:line="9"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company on November 4, 2013 under the name Recursion Pharmaceutical, LLC. In September 2016, we converted to a Delaware corporation and subsequently changed our name to Recursion Pharmaceuticals, Inc.</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Recursion is a biotechnology company that combines automation, artificial intelligence, machine learning, in vivo validation capabilities and a highly cross-functional team to discover novel medicines that expand our collective understanding of biology. Recursion’s rich, relatable database of biological images generated in-house on the Company’s robotics platform enables advanced machine learning approaches to reveal drug candidates, mechanisms of action, novel chemistry, and potential toxicity, with the eventual goal of decoding biology and advancing new therapeutics that radically improve people’s lives.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March 31, 2021, the Company had an accumulated deficit of $244.3 million.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has funded its operations to date primarily through the issuance of convertible preferred stock (see Note 7, “Convertible Preferred Stock” for additional information) and will likely be required to raise additional capital. As of March 31, 2021,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April 2021, the Company completed an Initial Public Offering (IPO). See Note 16, “Subsequent Events” for additional details.</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believes that the net proceeds from the IPO, together with the Company’s existing cash, and cash equivalents and borrowings available to us will be sufficient to fund the Company’s operating expenses and capital expenditures for at least the next 12 months.</w:t>
      </w:r>
    </w:p>
    <w:p>
      <w:pPr>
        <w:spacing w:after="0" w:line="20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unaudited interim condensed consolidated financial statements of Recursion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2020 included in the Company’s final prospectus dated as of April 15, 2021 and filed with the Securities and Exchange Commission (SEC) pursuant to Rule 424(b)(4) on April 16, 2020.</w:t>
      </w:r>
    </w:p>
    <w:p>
      <w:pPr>
        <w:spacing w:after="0" w:line="23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April 2021, the Company completed a 1.5-for-1 forward stock split of common and convertible preferred stock. All shares presented within these condensed consolidated financial statements were adjusted to reflect the forward stock split for all periods presented. See Note 16, “Subsequent Events”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10" w:name="page11"/>
    <w:bookmarkEnd w:id="10"/>
    <w:p>
      <w:pPr>
        <w:spacing w:after="0" w:line="254" w:lineRule="auto"/>
        <w:rPr>
          <w:sz w:val="20"/>
          <w:szCs w:val="20"/>
          <w:color w:val="auto"/>
        </w:rPr>
      </w:pPr>
      <w:r>
        <w:rPr>
          <w:rFonts w:ascii="Arial" w:cs="Arial" w:eastAsia="Arial" w:hAnsi="Arial"/>
          <w:sz w:val="18"/>
          <w:szCs w:val="18"/>
          <w:color w:val="auto"/>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 Certain reclassifications were made to conform the prior period interim condensed consolidated financial statements to the current period 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is an emerging growth company (EGC), as defined by the Jumpstart Our Business Startups Act of 2012 (the JOBS act). The JOBS Act, exempts EGCs from being required to comply with new or revised financial accounting standards until private companies are required to comply. Recursion has elected to use the extended transition period for new or revised financial accounting standards. However, the Company may adopt certain new or revised accounting standards early. This may make comparisons of the Company’s financial statements with other public companies difficult because of the potential differences in accounting standards used.</w:t>
      </w:r>
    </w:p>
    <w:p>
      <w:pPr>
        <w:spacing w:after="0" w:line="23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Recursion may remain an EGC until December 31, 2026 although if we: (1) become a “large accelerated filer;” (2) have annual gross revenues of $1.07 billion or more in any fiscal year; or (3) issue more than $1.0 billion of non-convertible debt over a three-year period, the Company would cease to be an EGC as of December 31 of the applicable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February 2016, the Financial Accounting Standards Board (FASB) issued ASU 2016-02, Leases -Topic 842 (ASU 2016-02). Under Topic 842, the Company will be required to recognize a lease liability and a right-of-use asset for all leases (with the exception of short-term leases) at the commencement date of each lease. ASU 2016-02 is effective for annual and interim periods beginning on or after December 15, 2021 and early adoption is permitted. The Company must adopt the standard using the modified retrospective approach either: (1) as of the earliest period presented and through the comparative periods in the entity’s financial statements or (2) as of the effective date of ASC 842, with a cumulative-effect adjustment to equity. The Company expects the adoption to materially increase assets and liabilities on the Condensed Consolidated Balance Sheets related to those leases classified as operating and not recognized on the Balance Sheets under current GAAP. The Company is continuing to evaluate the effect that ASU 2016-02 will have on its consolidated financial statements and related disclosures. The Company will adopt the new standard on January 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tcPr>
          <w:p>
            <w:pPr>
              <w:spacing w:after="0"/>
              <w:rPr>
                <w:sz w:val="20"/>
                <w:szCs w:val="20"/>
                <w:color w:val="auto"/>
              </w:rPr>
            </w:pPr>
            <w:r>
              <w:rPr>
                <w:rFonts w:ascii="Arial" w:cs="Arial" w:eastAsia="Arial" w:hAnsi="Arial"/>
                <w:sz w:val="18"/>
                <w:szCs w:val="18"/>
                <w:b w:val="1"/>
                <w:bCs w:val="1"/>
                <w:color w:val="auto"/>
              </w:rPr>
              <w:t>Note 3.  Supplemental Financial Information</w:t>
            </w:r>
          </w:p>
        </w:tc>
        <w:tc>
          <w:tcPr>
            <w:tcW w:w="2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9"/>
        </w:trPr>
        <w:tc>
          <w:tcPr>
            <w:tcW w:w="59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90"/>
        </w:trPr>
        <w:tc>
          <w:tcPr>
            <w:tcW w:w="5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19,701</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13,792</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13,792</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18,994</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2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35,929</w:t>
            </w:r>
          </w:p>
        </w:tc>
      </w:tr>
      <w:tr>
        <w:trPr>
          <w:trHeight w:val="229"/>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(11,394)</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(9,962)</w:t>
            </w:r>
          </w:p>
        </w:tc>
      </w:tr>
      <w:tr>
        <w:trPr>
          <w:trHeight w:val="248"/>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25,967</w:t>
            </w: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Depreciation expense on property and equipment was $1.4 million and $1.0 million during the three months ended March 31, 2021 and 2020,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the Company purchased a Dell EMC supercomputer, accessories and parts for $17.9 million.</w:t>
      </w:r>
    </w:p>
    <w:p>
      <w:pPr>
        <w:spacing w:after="0"/>
        <w:rPr>
          <w:sz w:val="20"/>
          <w:szCs w:val="20"/>
          <w:color w:val="auto"/>
        </w:rPr>
      </w:pPr>
      <w:r>
        <w:rPr>
          <w:rFonts w:ascii="Arial" w:cs="Arial" w:eastAsia="Arial" w:hAnsi="Arial"/>
          <w:sz w:val="18"/>
          <w:szCs w:val="18"/>
          <w:color w:val="auto"/>
        </w:rPr>
        <w:t>The purchase was classified as office equipment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768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0"/>
        </w:trPr>
        <w:tc>
          <w:tcPr>
            <w:tcW w:w="7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20" w:type="dxa"/>
            <w:vAlign w:val="bottom"/>
            <w:shd w:val="clear" w:color="auto" w:fill="CCEEFF"/>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5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1,073</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2,289</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administrative expenses</w:t>
            </w:r>
          </w:p>
        </w:tc>
        <w:tc>
          <w:tcPr>
            <w:tcW w:w="5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r>
      <w:tr>
        <w:trPr>
          <w:trHeight w:val="22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other expenses</w:t>
            </w: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5,725</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20" w:type="dxa"/>
            <w:vAlign w:val="bottom"/>
            <w:tcBorders>
              <w:bottom w:val="single" w:sz="8" w:color="auto"/>
            </w:tcBorders>
          </w:tcPr>
          <w:p>
            <w:pPr>
              <w:spacing w:after="0"/>
              <w:rPr>
                <w:sz w:val="19"/>
                <w:szCs w:val="19"/>
                <w:color w:val="auto"/>
              </w:rPr>
            </w:pPr>
          </w:p>
        </w:tc>
      </w:tr>
      <w:tr>
        <w:trPr>
          <w:trHeight w:val="248"/>
        </w:trPr>
        <w:tc>
          <w:tcPr>
            <w:tcW w:w="7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expense and other liabilities</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68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9"/>
        </w:trPr>
        <w:tc>
          <w:tcPr>
            <w:tcW w:w="7680" w:type="dxa"/>
            <w:vAlign w:val="bottom"/>
          </w:tcPr>
          <w:p>
            <w:pPr>
              <w:spacing w:after="0"/>
              <w:rPr>
                <w:sz w:val="24"/>
                <w:szCs w:val="24"/>
                <w:color w:val="auto"/>
              </w:rPr>
            </w:pPr>
          </w:p>
        </w:tc>
        <w:tc>
          <w:tcPr>
            <w:tcW w:w="356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9"/>
                <w:szCs w:val="19"/>
                <w:color w:val="auto"/>
              </w:rPr>
            </w:pPr>
          </w:p>
        </w:tc>
      </w:tr>
      <w:tr>
        <w:trPr>
          <w:trHeight w:val="22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r>
      <w:tr>
        <w:trPr>
          <w:trHeight w:val="248"/>
        </w:trPr>
        <w:tc>
          <w:tcPr>
            <w:tcW w:w="7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r>
      <w:tr>
        <w:trPr>
          <w:trHeight w:val="20"/>
        </w:trPr>
        <w:tc>
          <w:tcPr>
            <w:tcW w:w="7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Interest expense primarily relates to the Midcap and tenant improvement allowance notes (see Note 5, “Notes Payable” for additional details on the notes.) Interest expense is included in Other loss, net on the Condensed Consolidated Statements of Operations and Comprehensive Loss.</w:t>
      </w:r>
    </w:p>
    <w:p>
      <w:pPr>
        <w:spacing w:after="0" w:line="230"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debt and equity financings. There was $3.0 million of capitalized issuance costs on the Condensed Consolidated Balance Sheet on March 31, 2021 related to the planned IPO. See Note 16, “Subsequent Events” for additional information on the IPO.</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4.</w:t>
        <w:tab/>
        <w:t>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carrying amount of Goodwill was $801 thousand as of March 31, 2021. There were no changes to the carrying amount of goodwill during the three months ended March 31, 2021. There was no Goodwill balance outstanding during the three months ended March 31, 2020. As of March 31, 2021, there were no reductions in Goodwill relating to impairment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60" w:type="dxa"/>
            <w:vAlign w:val="bottom"/>
          </w:tcPr>
          <w:p>
            <w:pPr>
              <w:jc w:val="right"/>
              <w:ind w:right="161"/>
              <w:spacing w:after="0" w:line="142"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16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Net carrying</w:t>
            </w:r>
          </w:p>
        </w:tc>
        <w:tc>
          <w:tcPr>
            <w:tcW w:w="200" w:type="dxa"/>
            <w:vAlign w:val="bottom"/>
          </w:tcPr>
          <w:p>
            <w:pPr>
              <w:spacing w:after="0"/>
              <w:rPr>
                <w:sz w:val="12"/>
                <w:szCs w:val="12"/>
                <w:color w:val="auto"/>
              </w:rPr>
            </w:pPr>
          </w:p>
        </w:tc>
        <w:tc>
          <w:tcPr>
            <w:tcW w:w="126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300" w:type="dxa"/>
            <w:vAlign w:val="bottom"/>
          </w:tcPr>
          <w:p>
            <w:pPr>
              <w:jc w:val="center"/>
              <w:ind w:right="119"/>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75"/>
        </w:trPr>
        <w:tc>
          <w:tcPr>
            <w:tcW w:w="2740" w:type="dxa"/>
            <w:vAlign w:val="bottom"/>
            <w:tcBorders>
              <w:bottom w:val="single" w:sz="8" w:color="auto"/>
            </w:tcBorders>
            <w:gridSpan w:val="2"/>
            <w:vMerge w:val="continue"/>
          </w:tcPr>
          <w:p>
            <w:pPr>
              <w:spacing w:after="0"/>
              <w:rPr>
                <w:sz w:val="15"/>
                <w:szCs w:val="15"/>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Definite-lived intangible asset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Indefinite-lived intangible asset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Amortization expense was $76 thousand during the three months ended March 31, 2021. There was no amortization expense during the three months ended March 31, 2020. Amortization expense was included in research and development in the Condensed Consolidated Statements of Operations and Comprehensive Loss. No definite-lived intangible asset impairment charges were recorded during the three months ended March 31, 2021. There were no intangible asset balances outstanding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p>
      <w:pPr>
        <w:ind w:right="20"/>
        <w:spacing w:after="0" w:line="246" w:lineRule="auto"/>
        <w:rPr>
          <w:sz w:val="20"/>
          <w:szCs w:val="20"/>
          <w:color w:val="auto"/>
        </w:rPr>
      </w:pPr>
      <w:r>
        <w:rPr>
          <w:rFonts w:ascii="Arial" w:cs="Arial" w:eastAsia="Arial" w:hAnsi="Arial"/>
          <w:sz w:val="18"/>
          <w:szCs w:val="18"/>
          <w:color w:val="auto"/>
        </w:rPr>
        <w:t>The indefinite-lived intangible asset represents the Recursion domain name that the Company purchased. No indefinite-lived intangible asset impairment charges were recorded during the three months ended March 31, 2021.</w:t>
      </w:r>
    </w:p>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Notes Payable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Midcap Financial</w:t>
      </w:r>
    </w:p>
    <w:p>
      <w:pPr>
        <w:spacing w:after="0" w:line="274"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In September 2019, the Company entered into a new Credit and Security Agreement with Midcap Financial Trust (Midcap), and the other lenders party thereto (the Midcap loan agreement). The Midcap loan agreement provides for a term loan facility that includes: i) an initial tranche of $11.9 million; and ii) a second tranche of up to $15.0 million, which if drawn would result in a maximum outstanding amount of $26.9 million. The Company used a portion of the proceeds from the initial tranche to fully repay a previously outstanding term loan, the Pacific Western Bank (Pacific) loan, for $11.2 million. Proceeds from the term loans may be used for general corporate purposes. As of March 31, 2021 and December 31, 2020, the outstanding principal balance under the Midcap loan agreement was $11.9 million.</w:t>
      </w:r>
    </w:p>
    <w:p>
      <w:pPr>
        <w:spacing w:after="0" w:line="2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on the Midcap loan accrues on the principal amount outstanding at a floating per annum rate equal to the LIBOR rate (floor of 2.00%) plus 5.75% and is payable monthly in arrears. The Company is required to make interest-only payments from September 2019 to September 2021, and thereafter, 36 monthly principal payments of $330 thousand plus interest. The interest only period will be extended an additional 12 months under certain conditions.</w:t>
      </w:r>
    </w:p>
    <w:p>
      <w:pPr>
        <w:spacing w:after="0" w:line="23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may voluntarily prepay the Midcap term loan, subject to certain minimum repayment requirements and prepayment fees. The Midcap term loan is subject to a mandatory prepayment under certain conditions.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debt is secured against substantially all of the Company assets. The Midcap loan agreement includes standard affirmative and restrictive covenants, including covenants limiting the ability of the Company and its subsidiaries, among other things, to dispose of assets, grant certain licenses, make investments, merger or consummate acquisitions, incur debt, grant liens and make dividends or distributions, in each case subject to certain exceptions. The loan agreement also includes standard events of default, including, subject to grace periods in certain instances, payment defaults, breaches of covenants, breaches of representations and warranties, cross-defaults with certain other indebtedness, insolvency and bankruptcy defaults, change of control of the Company or any subsidiary, and a material adverse change in the business, operations or conditions of the Company. Upon the occurrence of an event of default, Midcap may declare all outstanding obligations immediately due and payable, increase the applicable interest rate by 2% and take such other actions as set forth in the Credit and Security Agreement. As of March 31, 2021 and 2020, the Company was in compliance with all debt covenants.</w:t>
      </w:r>
    </w:p>
    <w:p>
      <w:pPr>
        <w:spacing w:after="0" w:line="23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2019, the Company paid fees of approximately $298 thousand in connection with the origination of the Midcap loan agreement. These fees were deferred and recorded as a direct deduction from the carrying value of the loan payable and are being amortized to interest expense over the remaining term of the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Pacific Western</w:t>
      </w:r>
    </w:p>
    <w:p>
      <w:pPr>
        <w:spacing w:after="0" w:line="27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In May 2018, Pacific issued a standby letter of credit of $ 3.8 million for the benefit of the Company’s landlord, securing certain Company obligations relating to tenant improvements. As of March 31, 2021 and December 31, 2020, the outstanding letter of credit was $3.8 million, for which the Company held $4.0 million as of March 31, 2021 and December 31, 2020, of restricted cash as collateral.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5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March 2020, the Company issued convertible promissory notes for an aggregate principal amount of $6.0 million. Under certain conditions, the principal would convert to an amount of equity with a fair value that exceeded the amount of the notes’ principal on the conversion date. This feature of the notes was accounted for separately at fair value as a derivative liability. Changes in the fair value of the derivative were recorded in other loss, net in the Condensed Consolidated Statements of Operations and Comprehensive Loss and were immaterial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3" w:name="page14"/>
    <w:bookmarkEnd w:id="13"/>
    <w:p>
      <w:pPr>
        <w:ind w:right="160"/>
        <w:spacing w:after="0"/>
        <w:rPr>
          <w:sz w:val="20"/>
          <w:szCs w:val="20"/>
          <w:color w:val="auto"/>
        </w:rPr>
      </w:pPr>
      <w:r>
        <w:rPr>
          <w:rFonts w:ascii="Arial" w:cs="Arial" w:eastAsia="Arial" w:hAnsi="Arial"/>
          <w:sz w:val="18"/>
          <w:szCs w:val="18"/>
          <w:color w:val="auto"/>
        </w:rPr>
        <w:t>In September 2020, these notes and additional notes that were issued in April 2020 converted to 1,203,231 shares of Series D Preferred Stock. Upon conversion of the notes, the Company recorded the $1.6 million fair value of the derivative liability as equity on the Condensed Consolidated Balance Sheet.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for Tenant Improvement Allowance</w:t>
      </w:r>
    </w:p>
    <w:p>
      <w:pPr>
        <w:spacing w:after="0" w:line="26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In 2018, the Company borrowed $992 thousand, which was available as part of the station 41 lease, from our landlord to be used on tenant improvements (see Note 6, “Commitments and Contingencies” for additional details.) Under the terms of the lease, the note will be repaid over a 10 year period at an 8% interest rate.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payable for the Midcap loan agreement and tenant improvement allowance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notes payable</w:t>
            </w:r>
          </w:p>
        </w:tc>
        <w:tc>
          <w:tcPr>
            <w:tcW w:w="2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Long-term portion of notes payable</w:t>
            </w:r>
          </w:p>
        </w:tc>
        <w:tc>
          <w:tcPr>
            <w:tcW w:w="28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10,522</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11,615</w:t>
            </w:r>
          </w:p>
        </w:tc>
      </w:tr>
      <w:tr>
        <w:trPr>
          <w:trHeight w:val="229"/>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unamortized issuance costs</w:t>
            </w:r>
          </w:p>
        </w:tc>
        <w:tc>
          <w:tcPr>
            <w:tcW w:w="28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Notes payable, net</w:t>
            </w:r>
          </w:p>
        </w:tc>
        <w:tc>
          <w:tcPr>
            <w:tcW w:w="2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12,487</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the Company’s debt principal repayment obligations as of March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2022</w:t>
            </w:r>
          </w:p>
        </w:tc>
        <w:tc>
          <w:tcPr>
            <w:tcW w:w="4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2024</w:t>
            </w:r>
          </w:p>
        </w:tc>
        <w:tc>
          <w:tcPr>
            <w:tcW w:w="4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3,059</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48"/>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 principal payments</w:t>
            </w:r>
          </w:p>
        </w:tc>
        <w:tc>
          <w:tcPr>
            <w:tcW w:w="4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12,681</w:t>
            </w:r>
          </w:p>
        </w:tc>
      </w:tr>
      <w:tr>
        <w:trPr>
          <w:trHeight w:val="20"/>
        </w:trPr>
        <w:tc>
          <w:tcPr>
            <w:tcW w:w="6140" w:type="dxa"/>
            <w:vAlign w:val="bottom"/>
            <w:tcBorders>
              <w:top w:val="single" w:sz="8" w:color="CCEEFF"/>
              <w:bottom w:val="single" w:sz="8" w:color="auto"/>
            </w:tcBorders>
          </w:tcPr>
          <w:p>
            <w:pPr>
              <w:spacing w:after="0" w:line="20" w:lineRule="exact"/>
              <w:rPr>
                <w:sz w:val="1"/>
                <w:szCs w:val="1"/>
                <w:color w:val="auto"/>
              </w:rPr>
            </w:pPr>
          </w:p>
        </w:tc>
        <w:tc>
          <w:tcPr>
            <w:tcW w:w="4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74" w:lineRule="exact"/>
        <w:rPr>
          <w:sz w:val="20"/>
          <w:szCs w:val="20"/>
          <w:color w:val="auto"/>
        </w:rPr>
      </w:pPr>
    </w:p>
    <w:p>
      <w:pPr>
        <w:jc w:val="both"/>
        <w:ind w:right="720"/>
        <w:spacing w:after="0" w:line="256" w:lineRule="auto"/>
        <w:rPr>
          <w:sz w:val="20"/>
          <w:szCs w:val="20"/>
          <w:color w:val="auto"/>
        </w:rPr>
      </w:pPr>
      <w:r>
        <w:rPr>
          <w:rFonts w:ascii="Arial" w:cs="Arial" w:eastAsia="Arial" w:hAnsi="Arial"/>
          <w:sz w:val="18"/>
          <w:szCs w:val="18"/>
          <w:color w:val="auto"/>
        </w:rPr>
        <w:t>The Company has entered into various long-term real estate leases primarily related to office, research and development (R&amp;D) and operating activities. For the three months ended March 31, 2021 and 2020, total rent expense was $1.3 million and $988 thousand, respectively. The following Komas, Station 41 and Milpitas leases are classified as operating leases.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Komas Lease</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August 2016, the Company entered a new facilities lease, with the right of use and payments beginning in January 2017. The term of the lease is 7 years. This lease includes provisions for escalating rent payments. Rent expense is recognized on a straight-line basis over the term of the lease. This lease included an allowance for tenant improvements. Tenant improvements were recorded as property and equipment and are being depreciated over the term of the lease. In conjunction with the allowance for tenant improvements, the Company recorded a lease incentive obligation of $847 thousand which is being amortized over the term of the lease as a reduction to rent expense. As of March 31, 2021, the related unamortized lease incentive obligation was $343 thousand.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Station 41 Lease</w:t>
      </w:r>
    </w:p>
    <w:p>
      <w:pPr>
        <w:spacing w:after="0" w:line="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August 2017, the Company entered a new facilities lease, with the right of use beginning in December 2017 and payments beginning in June 2018. The term of the lease is 10 years, with one five-year renewal option exercisable by the Company. This lease includes provisions for escalating rent payments. Rent expense is recognized straight-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4" w:name="page15"/>
    <w:bookmarkEnd w:id="14"/>
    <w:p>
      <w:pPr>
        <w:ind w:right="20"/>
        <w:spacing w:after="0" w:line="254" w:lineRule="auto"/>
        <w:rPr>
          <w:sz w:val="20"/>
          <w:szCs w:val="20"/>
          <w:color w:val="auto"/>
        </w:rPr>
      </w:pPr>
      <w:r>
        <w:rPr>
          <w:rFonts w:ascii="Arial" w:cs="Arial" w:eastAsia="Arial" w:hAnsi="Arial"/>
          <w:sz w:val="18"/>
          <w:szCs w:val="18"/>
          <w:color w:val="auto"/>
        </w:rPr>
        <w:t>line over the term of the lease. This lease included an allowance for tenant improvements of $4.0 million, the full balance of which was drawn in 2017. Tenant improvements were recorded as property and equipment and are being depreciated over the remaining term of the lease. In conjunction with the allowance for tenant improvements, the Company recorded a leasehold obligation, which is being amortized over the term of the lease as a reduction to rent expense. As of March 31, 2021, the related unamortized lease incentive obligation was $2.7 million.</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2018, the Company elected to draw an additional tenant improvement loan of $ 992 thousand offered in the Station 41 lease. This loan is incorporated into, and acts to increase the base rent over the remaining life of the lease. The increase in rent includes a charge for interest, which accrues on the principal amount outstanding at a rate equal to 8%. The Company accounts for this additional tenant improvement loan as a oote payable on the Condensed Consolidated Balance Sheets with the current portion included in the Current Portion of Notes Payable.</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2019, the Company amended the Station 41 Lease to include additional space in the conjoining unit with the right to use the new space beginning in June 2020 for an additional 7 years. This amendment for the extra space includes provisions for escalating rent payments. Rent expense is recognized straight-line over the term of the lease.</w:t>
      </w:r>
    </w:p>
    <w:p>
      <w:pPr>
        <w:spacing w:after="0" w:line="229"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In January 2021, the company amended the Station 41 Lease, increasing the leased square footage by an additional 91,478 square feet. This amendment includes provisions for escalating rent, has a 10 year term and additional total minimum payments of $32.4 million. This lease included a tenant improvement allowance of up to approximately $10.1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Milpitas Lease</w:t>
      </w:r>
    </w:p>
    <w:p>
      <w:pPr>
        <w:spacing w:after="0" w:line="2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 August 2019, the Company entered a new facilities lease, with the right of use and payments beginning in August 2019. The term of the lease is 9 years. This lease includes provisions for escalating rent payments. Rent expense is recognized on a straight-line basis over the term of the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Minimum Lease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commitments as of March 31, 2021 under the Company’s lease agreements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2022</w:t>
            </w:r>
          </w:p>
        </w:tc>
        <w:tc>
          <w:tcPr>
            <w:tcW w:w="4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4,963</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2024</w:t>
            </w:r>
          </w:p>
        </w:tc>
        <w:tc>
          <w:tcPr>
            <w:tcW w:w="4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7,371</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w:t>
            </w: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33,214</w:t>
            </w:r>
          </w:p>
        </w:tc>
      </w:tr>
      <w:tr>
        <w:trPr>
          <w:trHeight w:val="248"/>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4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63,363</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4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31"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therefore are cancellable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corporate reimbursements of covered obligations that limits the Company’s exposure and enables it to recover a portion of potential future amounts paid. The Company had no liabilities recorded for these agreements as of March 31, 2021 and December 31, 2020 as no amounts in excess of insurance coverage are probable or estimable.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Employee Agreements</w:t>
      </w:r>
    </w:p>
    <w:p>
      <w:pPr>
        <w:spacing w:after="0" w:line="2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has signed employment agreements with certain key employees pursuant to which if their employment is terminated by the Company following a change of control of the Company, the employees are entitled to receive certain benefits, including accelerated vesting of equity incentives.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7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Company is not currently a party to any material litigation or other material legal proceedings. The Company may, from time to time, be involved in various legal proceedings arising in the normal course of business, and an unfavorable resolution of any of these matters could materially affect the Company’s future financial position, results of operations or cash flows.</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Convertible Preferred Stock</w:t>
      </w:r>
    </w:p>
    <w:p>
      <w:pPr>
        <w:spacing w:after="0" w:line="274"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The Company has issued preferred stock as part of various financing events. No new convertible preferred stock was issued during three months ended March 31, 2021 and 2020. As of March 31, 2021 and 2020, there were no cumulative dividends owed or in arrears on the preferred stock.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consisted of the following as of March 31, 2021 and December 31,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Preferred</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200" w:type="dxa"/>
            <w:vAlign w:val="bottom"/>
            <w:vMerge w:val="restart"/>
          </w:tcPr>
          <w:p>
            <w:pPr>
              <w:jc w:val="center"/>
              <w:ind w:left="596"/>
              <w:spacing w:after="0"/>
              <w:rPr>
                <w:sz w:val="20"/>
                <w:szCs w:val="20"/>
                <w:color w:val="auto"/>
              </w:rPr>
            </w:pPr>
            <w:r>
              <w:rPr>
                <w:rFonts w:ascii="Arial" w:cs="Arial" w:eastAsia="Arial" w:hAnsi="Arial"/>
                <w:sz w:val="14"/>
                <w:szCs w:val="14"/>
                <w:b w:val="1"/>
                <w:bCs w:val="1"/>
                <w:color w:val="auto"/>
              </w:rPr>
              <w:t>Preferred</w:t>
            </w:r>
          </w:p>
        </w:tc>
        <w:tc>
          <w:tcPr>
            <w:tcW w:w="12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Issued</w:t>
            </w:r>
          </w:p>
        </w:tc>
        <w:tc>
          <w:tcPr>
            <w:tcW w:w="280" w:type="dxa"/>
            <w:vAlign w:val="bottom"/>
          </w:tcPr>
          <w:p>
            <w:pPr>
              <w:spacing w:after="0"/>
              <w:rPr>
                <w:sz w:val="11"/>
                <w:szCs w:val="11"/>
                <w:color w:val="auto"/>
              </w:rPr>
            </w:pPr>
          </w:p>
        </w:tc>
        <w:tc>
          <w:tcPr>
            <w:tcW w:w="10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12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Liquidation</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Stock Issuable</w:t>
            </w:r>
          </w:p>
        </w:tc>
        <w:tc>
          <w:tcPr>
            <w:tcW w:w="0" w:type="dxa"/>
            <w:vAlign w:val="bottom"/>
          </w:tcPr>
          <w:p>
            <w:pPr>
              <w:spacing w:after="0"/>
              <w:rPr>
                <w:sz w:val="1"/>
                <w:szCs w:val="1"/>
                <w:color w:val="auto"/>
              </w:rPr>
            </w:pPr>
          </w:p>
        </w:tc>
      </w:tr>
      <w:tr>
        <w:trPr>
          <w:trHeight w:val="135"/>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200" w:type="dxa"/>
            <w:vAlign w:val="bottom"/>
          </w:tcPr>
          <w:p>
            <w:pPr>
              <w:jc w:val="center"/>
              <w:ind w:left="596"/>
              <w:spacing w:after="0" w:line="135" w:lineRule="exact"/>
              <w:rPr>
                <w:sz w:val="20"/>
                <w:szCs w:val="20"/>
                <w:color w:val="auto"/>
              </w:rPr>
            </w:pPr>
            <w:r>
              <w:rPr>
                <w:rFonts w:ascii="Arial" w:cs="Arial" w:eastAsia="Arial" w:hAnsi="Arial"/>
                <w:sz w:val="14"/>
                <w:szCs w:val="14"/>
                <w:b w:val="1"/>
                <w:bCs w:val="1"/>
                <w:color w:val="auto"/>
              </w:rPr>
              <w:t>Shares</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and</w:t>
            </w:r>
          </w:p>
        </w:tc>
        <w:tc>
          <w:tcPr>
            <w:tcW w:w="2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75"/>
        </w:trPr>
        <w:tc>
          <w:tcPr>
            <w:tcW w:w="3620" w:type="dxa"/>
            <w:vAlign w:val="bottom"/>
            <w:tcBorders>
              <w:bottom w:val="single" w:sz="8" w:color="auto"/>
            </w:tcBorders>
            <w:vMerge w:val="continue"/>
          </w:tcPr>
          <w:p>
            <w:pPr>
              <w:spacing w:after="0"/>
              <w:rPr>
                <w:sz w:val="15"/>
                <w:szCs w:val="15"/>
                <w:color w:val="auto"/>
              </w:rPr>
            </w:pPr>
          </w:p>
        </w:tc>
        <w:tc>
          <w:tcPr>
            <w:tcW w:w="2200" w:type="dxa"/>
            <w:vAlign w:val="bottom"/>
            <w:tcBorders>
              <w:bottom w:val="single" w:sz="8" w:color="auto"/>
            </w:tcBorders>
          </w:tcPr>
          <w:p>
            <w:pPr>
              <w:jc w:val="center"/>
              <w:ind w:left="576"/>
              <w:spacing w:after="0"/>
              <w:rPr>
                <w:sz w:val="20"/>
                <w:szCs w:val="20"/>
                <w:color w:val="auto"/>
              </w:rPr>
            </w:pPr>
            <w:r>
              <w:rPr>
                <w:rFonts w:ascii="Arial" w:cs="Arial" w:eastAsia="Arial" w:hAnsi="Arial"/>
                <w:sz w:val="14"/>
                <w:szCs w:val="14"/>
                <w:b w:val="1"/>
                <w:bCs w:val="1"/>
                <w:color w:val="auto"/>
              </w:rPr>
              <w:t>Authorized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Preferences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2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30,078,402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29,965,754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21,281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29,965,754</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Series A-1</w:t>
            </w:r>
          </w:p>
        </w:tc>
        <w:tc>
          <w:tcPr>
            <w:tcW w:w="2200" w:type="dxa"/>
            <w:vAlign w:val="bottom"/>
          </w:tcPr>
          <w:p>
            <w:pPr>
              <w:jc w:val="right"/>
              <w:ind w:right="76"/>
              <w:spacing w:after="0"/>
              <w:rPr>
                <w:sz w:val="20"/>
                <w:szCs w:val="20"/>
                <w:color w:val="auto"/>
              </w:rPr>
            </w:pPr>
            <w:r>
              <w:rPr>
                <w:rFonts w:ascii="Arial" w:cs="Arial" w:eastAsia="Arial" w:hAnsi="Arial"/>
                <w:sz w:val="18"/>
                <w:szCs w:val="18"/>
                <w:color w:val="auto"/>
              </w:rPr>
              <w:t>4,975,521</w:t>
            </w:r>
          </w:p>
        </w:tc>
        <w:tc>
          <w:tcPr>
            <w:tcW w:w="1280" w:type="dxa"/>
            <w:vAlign w:val="bottom"/>
          </w:tcPr>
          <w:p>
            <w:pPr>
              <w:jc w:val="right"/>
              <w:spacing w:after="0"/>
              <w:rPr>
                <w:sz w:val="20"/>
                <w:szCs w:val="20"/>
                <w:color w:val="auto"/>
              </w:rPr>
            </w:pPr>
            <w:r>
              <w:rPr>
                <w:rFonts w:ascii="Arial" w:cs="Arial" w:eastAsia="Arial" w:hAnsi="Arial"/>
                <w:sz w:val="18"/>
                <w:szCs w:val="18"/>
                <w:color w:val="auto"/>
              </w:rPr>
              <w:t>4,975,520</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4,975,520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2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21,497,667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21,471,898</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21,471,898</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Series C</w:t>
            </w:r>
          </w:p>
        </w:tc>
        <w:tc>
          <w:tcPr>
            <w:tcW w:w="2200" w:type="dxa"/>
            <w:vAlign w:val="bottom"/>
          </w:tcPr>
          <w:p>
            <w:pPr>
              <w:jc w:val="right"/>
              <w:ind w:right="76"/>
              <w:spacing w:after="0"/>
              <w:rPr>
                <w:sz w:val="20"/>
                <w:szCs w:val="20"/>
                <w:color w:val="auto"/>
              </w:rPr>
            </w:pPr>
            <w:r>
              <w:rPr>
                <w:rFonts w:ascii="Arial" w:cs="Arial" w:eastAsia="Arial" w:hAnsi="Arial"/>
                <w:sz w:val="18"/>
                <w:szCs w:val="18"/>
                <w:color w:val="auto"/>
              </w:rPr>
              <w:t>18,956,354</w:t>
            </w:r>
          </w:p>
        </w:tc>
        <w:tc>
          <w:tcPr>
            <w:tcW w:w="1280" w:type="dxa"/>
            <w:vAlign w:val="bottom"/>
          </w:tcPr>
          <w:p>
            <w:pPr>
              <w:jc w:val="right"/>
              <w:spacing w:after="0"/>
              <w:rPr>
                <w:sz w:val="20"/>
                <w:szCs w:val="20"/>
                <w:color w:val="auto"/>
              </w:rPr>
            </w:pPr>
            <w:r>
              <w:rPr>
                <w:rFonts w:ascii="Arial" w:cs="Arial" w:eastAsia="Arial" w:hAnsi="Arial"/>
                <w:sz w:val="18"/>
                <w:szCs w:val="18"/>
                <w:color w:val="auto"/>
              </w:rPr>
              <w:t>18,776,345</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119,915</w:t>
            </w:r>
          </w:p>
        </w:tc>
        <w:tc>
          <w:tcPr>
            <w:tcW w:w="22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122,058</w:t>
            </w:r>
          </w:p>
        </w:tc>
        <w:tc>
          <w:tcPr>
            <w:tcW w:w="1360" w:type="dxa"/>
            <w:vAlign w:val="bottom"/>
          </w:tcPr>
          <w:p>
            <w:pPr>
              <w:jc w:val="right"/>
              <w:spacing w:after="0"/>
              <w:rPr>
                <w:sz w:val="20"/>
                <w:szCs w:val="20"/>
                <w:color w:val="auto"/>
              </w:rPr>
            </w:pPr>
            <w:r>
              <w:rPr>
                <w:rFonts w:ascii="Arial" w:cs="Arial" w:eastAsia="Arial" w:hAnsi="Arial"/>
                <w:sz w:val="18"/>
                <w:szCs w:val="18"/>
                <w:color w:val="auto"/>
              </w:rPr>
              <w:t>22,286,298</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Series D</w:t>
            </w:r>
          </w:p>
        </w:tc>
        <w:tc>
          <w:tcPr>
            <w:tcW w:w="2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45,926,769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36,898,548</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247,203</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247,511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36,898,548</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convertible preferred stock</w:t>
            </w:r>
          </w:p>
        </w:tc>
        <w:tc>
          <w:tcPr>
            <w:tcW w:w="22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121,434,713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112,088,065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450,850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115,598,018</w:t>
            </w: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In April 2021, all outstanding shares of convertible preferred stock converted into common stock as part of the IPO. See Note 16, “Subsequent Events” for additional details.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convertible preferred stock is classified outside of stockholders’ deficit on the Condensed Consolidated Balance Sheets because the holders of such shares have liquidation rights in the event of a deemed liquidation that, in certain situations, are not solely within the control of the Company and would require the redemption of the then-outstanding convertible preferred stock. The convertible preferred stock is not redeemable, except in the event of a deemed liquidation event.</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Common stock</w:t>
      </w:r>
    </w:p>
    <w:p>
      <w:pPr>
        <w:spacing w:after="0" w:line="274"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Company’s board of directors. As of March 31, 2021 and December 31, 2020, no dividends had been declared.</w:t>
      </w:r>
    </w:p>
    <w:p>
      <w:pPr>
        <w:spacing w:after="0" w:line="22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As of March 31, 2021 and December 31, 2020, there were 188,400,000 shares of common stock authorized, of which 24,036,725 and 22,314,685 shares were outstanding,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Additionally, the Company has reserved the following shares of common stock for issuance as of March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6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Shares</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series A preferred stock</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29,965,754</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Conversion of series A-1 preferred stock</w:t>
            </w:r>
          </w:p>
        </w:tc>
        <w:tc>
          <w:tcPr>
            <w:tcW w:w="4180" w:type="dxa"/>
            <w:vAlign w:val="bottom"/>
          </w:tcPr>
          <w:p>
            <w:pPr>
              <w:jc w:val="right"/>
              <w:spacing w:after="0"/>
              <w:rPr>
                <w:sz w:val="20"/>
                <w:szCs w:val="20"/>
                <w:color w:val="auto"/>
              </w:rPr>
            </w:pPr>
            <w:r>
              <w:rPr>
                <w:rFonts w:ascii="Arial" w:cs="Arial" w:eastAsia="Arial" w:hAnsi="Arial"/>
                <w:sz w:val="18"/>
                <w:szCs w:val="18"/>
                <w:color w:val="auto"/>
              </w:rPr>
              <w:t>4,975,520</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series B preferred stock</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21,471,898</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Conversion of series C preferred stock</w:t>
            </w:r>
          </w:p>
        </w:tc>
        <w:tc>
          <w:tcPr>
            <w:tcW w:w="4180" w:type="dxa"/>
            <w:vAlign w:val="bottom"/>
          </w:tcPr>
          <w:p>
            <w:pPr>
              <w:jc w:val="right"/>
              <w:spacing w:after="0"/>
              <w:rPr>
                <w:sz w:val="20"/>
                <w:szCs w:val="20"/>
                <w:color w:val="auto"/>
              </w:rPr>
            </w:pPr>
            <w:r>
              <w:rPr>
                <w:rFonts w:ascii="Arial" w:cs="Arial" w:eastAsia="Arial" w:hAnsi="Arial"/>
                <w:sz w:val="18"/>
                <w:szCs w:val="18"/>
                <w:color w:val="auto"/>
              </w:rPr>
              <w:t>22,286,298</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series D preferred stock</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36,898,548</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Conversion of series A warrants</w:t>
            </w:r>
          </w:p>
        </w:tc>
        <w:tc>
          <w:tcPr>
            <w:tcW w:w="4180" w:type="dxa"/>
            <w:vAlign w:val="bottom"/>
          </w:tcPr>
          <w:p>
            <w:pPr>
              <w:jc w:val="right"/>
              <w:spacing w:after="0"/>
              <w:rPr>
                <w:sz w:val="20"/>
                <w:szCs w:val="20"/>
                <w:color w:val="auto"/>
              </w:rPr>
            </w:pPr>
            <w:r>
              <w:rPr>
                <w:rFonts w:ascii="Arial" w:cs="Arial" w:eastAsia="Arial" w:hAnsi="Arial"/>
                <w:sz w:val="18"/>
                <w:szCs w:val="18"/>
                <w:color w:val="auto"/>
              </w:rPr>
              <w:t>112,647</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series B warrants</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Conversion of series C warrants</w:t>
            </w:r>
          </w:p>
        </w:tc>
        <w:tc>
          <w:tcPr>
            <w:tcW w:w="4180" w:type="dxa"/>
            <w:vAlign w:val="bottom"/>
          </w:tcPr>
          <w:p>
            <w:pPr>
              <w:jc w:val="right"/>
              <w:spacing w:after="0"/>
              <w:rPr>
                <w:sz w:val="20"/>
                <w:szCs w:val="20"/>
                <w:color w:val="auto"/>
              </w:rPr>
            </w:pPr>
            <w:r>
              <w:rPr>
                <w:rFonts w:ascii="Arial" w:cs="Arial" w:eastAsia="Arial" w:hAnsi="Arial"/>
                <w:sz w:val="18"/>
                <w:szCs w:val="18"/>
                <w:color w:val="auto"/>
              </w:rPr>
              <w:t>213,646</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 equity incentive plan</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25,686,958</w:t>
            </w:r>
          </w:p>
        </w:tc>
      </w:tr>
      <w:tr>
        <w:trPr>
          <w:trHeight w:val="229"/>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Key personnel incentive plan</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1,601,566</w:t>
            </w:r>
          </w:p>
        </w:tc>
      </w:tr>
      <w:tr>
        <w:trPr>
          <w:trHeight w:val="248"/>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 for issuance</w:t>
            </w:r>
          </w:p>
        </w:tc>
        <w:tc>
          <w:tcPr>
            <w:tcW w:w="4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143,238,597</w:t>
            </w:r>
          </w:p>
        </w:tc>
      </w:tr>
      <w:tr>
        <w:trPr>
          <w:trHeight w:val="20"/>
        </w:trPr>
        <w:tc>
          <w:tcPr>
            <w:tcW w:w="7060" w:type="dxa"/>
            <w:vAlign w:val="bottom"/>
            <w:tcBorders>
              <w:top w:val="single" w:sz="8" w:color="CCEEFF"/>
              <w:bottom w:val="single" w:sz="8" w:color="auto"/>
            </w:tcBorders>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Collaborative and Other Research and Development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w:t>
      </w:r>
    </w:p>
    <w:p>
      <w:pPr>
        <w:spacing w:after="0" w:line="27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August 2020, the Company entered into a Research Collaboration and Option Agreement (the Bayer Agreement) with Bayer AG (Bayer) for a five-year term pursuant to which the Company and Bayer may initiate approximately ten research projects related to fibrosis across multiple organ systems, including lung, liver, and heart. Under the agreement, the Company contributed compounds from our proprietary library and Bayer contributed compounds from its proprietary library and will contribute scientific expertise throughout the collaboration.</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terms of the agreement, the Company received a non-refundable upfront payment of $30.0 million, which was recorded as unearned revenue on the Condensed Consolidated Balance Sheet. The Company determined that it has one performance obligation under the agreement, which is to perform research and development services for Bayer. Recursion determined the transaction price to be the $30.0 million upfront payment received and allocated the amount to the single performance obligation. The Company is recognizing the revenue over time using a cost-based input method, based on labor costs incurred to perform the research and development services. This method of recognizing revenue requires the Company to make estimates of the total costs to provide the services required under the performance obligation. A significant change in these estimates could have a material effect on the timing and amount of revenue recognized in future periods.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the Company recognized $2.5 million of revenue resulting from the collaboration. There is</w:t>
      </w:r>
    </w:p>
    <w:p>
      <w:pPr>
        <w:ind w:right="80"/>
        <w:spacing w:after="0"/>
        <w:rPr>
          <w:sz w:val="20"/>
          <w:szCs w:val="20"/>
          <w:color w:val="auto"/>
        </w:rPr>
      </w:pPr>
      <w:r>
        <w:rPr>
          <w:rFonts w:ascii="Arial" w:cs="Arial" w:eastAsia="Arial" w:hAnsi="Arial"/>
          <w:sz w:val="18"/>
          <w:szCs w:val="18"/>
          <w:color w:val="auto"/>
        </w:rPr>
        <w:t>$10.0 million and $ 14.2 million of current and non-current unearned revenue, respectively, remaining as of March 31, 2021. The allocation of unearned revenue between current and non-current is based on Recursion’s estimates of when the Company expects to incur the related costs.</w:t>
      </w:r>
    </w:p>
    <w:p>
      <w:pPr>
        <w:spacing w:after="0" w:line="23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Under each research project, the Company will work with Bayer to identify potential candidates for development. Under the agreement, Bayer has the first option for licenses to potential candidates. Each such license could potentially result in option exercise fees and development and commercial milestones paid to the Company with an aggregate value of up to approximately $100.0 million (for an option on a lead series) or up to approximately $120.0 million (for an option on a development candidate), as well as tiered royalties for each such license, ranging from low- to mid-single digit percentages of sales, depending on commercial success.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National Institute of Health</w:t>
      </w:r>
    </w:p>
    <w:p>
      <w:pPr>
        <w:spacing w:after="0" w:line="26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the year ended December 31, 2018, the Company was awarded a grant by the National Institute of Health, which included potential funding of $1.4 million. Revenue recognized related to this grant during the three months ended March 31, 2021 and 2020 was $62 thousand and $60 thousand, respectively. As of March 31, 2021, $395 thousand of the potential funding remained.</w:t>
      </w:r>
    </w:p>
    <w:p>
      <w:pPr>
        <w:spacing w:after="0" w:line="23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As of March 31, 2021 and December 31, 2020, the Company had $62 thousand and $140 thousand of outstanding receivables, respectively with the National Institute of Health, which was deemed to be collectible.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Personnel Incentive Plan</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November 2013, the Company adopted the Key Personnel Incentive Plan ( the KPI Plan). The KPI Plan provides for the grant of restricted units and non-statutory option awards to employees, non-employee directors and consultants of the Company. As of March 31, 2021 and December 31, 2020, there were no shares of common stock available for grant under the KPI Plan.</w:t>
      </w:r>
    </w:p>
    <w:p>
      <w:pPr>
        <w:spacing w:after="0" w:line="22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KPI Plan provides for the early exercise of options. Upon exercise, such option holder receives common stock of the Company, subject to a lapsing right of repurchase. Upon termination of such individual, the Company may exercise its right to repurchase any unvested shares for the exercise price paid by the option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Equity Incentive Plan</w:t>
      </w:r>
    </w:p>
    <w:p>
      <w:pPr>
        <w:spacing w:after="0" w:line="27"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In August 2016, the Board of Directors and the stockholders of the Company adopted the 2016 Equity Incentive Plan. Under the 2016 Plan, 25,686,958 shares of common stock were reserved. The Company may grant options to purchase common stock, stock appreciation rights, restricted stock awards and other forms of stock-based compensation. Stock options generally vest over four years and expire no later than 10 years from the date of grant.</w:t>
      </w:r>
    </w:p>
    <w:p>
      <w:pPr>
        <w:spacing w:after="0" w:line="2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March 31, 2021, 3,684,798 shares of common stock are available for grant. Stock option activity during the three months ended March 31, 2021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8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1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 except share data)</w:t>
            </w:r>
          </w:p>
        </w:tc>
        <w:tc>
          <w:tcPr>
            <w:tcW w:w="18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center"/>
              <w:ind w:left="398"/>
              <w:spacing w:after="0" w:line="135" w:lineRule="exact"/>
              <w:rPr>
                <w:sz w:val="20"/>
                <w:szCs w:val="20"/>
                <w:color w:val="auto"/>
              </w:rPr>
            </w:pPr>
            <w:r>
              <w:rPr>
                <w:rFonts w:ascii="Arial" w:cs="Arial" w:eastAsia="Arial" w:hAnsi="Arial"/>
                <w:sz w:val="14"/>
                <w:szCs w:val="14"/>
                <w:b w:val="1"/>
                <w:bCs w:val="1"/>
                <w:color w:val="auto"/>
              </w:rPr>
              <w:t>Exercise</w:t>
            </w:r>
          </w:p>
        </w:tc>
        <w:tc>
          <w:tcPr>
            <w:tcW w:w="480" w:type="dxa"/>
            <w:vAlign w:val="bottom"/>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Contractual Life</w:t>
            </w:r>
          </w:p>
        </w:tc>
        <w:tc>
          <w:tcPr>
            <w:tcW w:w="280" w:type="dxa"/>
            <w:vAlign w:val="bottom"/>
          </w:tcPr>
          <w:p>
            <w:pPr>
              <w:spacing w:after="0"/>
              <w:rPr>
                <w:sz w:val="11"/>
                <w:szCs w:val="11"/>
                <w:color w:val="auto"/>
              </w:rPr>
            </w:pPr>
          </w:p>
        </w:tc>
        <w:tc>
          <w:tcPr>
            <w:tcW w:w="126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4160" w:type="dxa"/>
            <w:vAlign w:val="bottom"/>
            <w:tcBorders>
              <w:bottom w:val="single" w:sz="8" w:color="auto"/>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tcPr>
          <w:p>
            <w:pPr>
              <w:jc w:val="center"/>
              <w:ind w:left="398"/>
              <w:spacing w:after="0"/>
              <w:rPr>
                <w:sz w:val="20"/>
                <w:szCs w:val="20"/>
                <w:color w:val="auto"/>
              </w:rPr>
            </w:pPr>
            <w:r>
              <w:rPr>
                <w:rFonts w:ascii="Arial" w:cs="Arial" w:eastAsia="Arial" w:hAnsi="Arial"/>
                <w:sz w:val="14"/>
                <w:szCs w:val="14"/>
                <w:b w:val="1"/>
                <w:bCs w:val="1"/>
                <w:color w:val="auto"/>
              </w:rPr>
              <w:t>Price</w:t>
            </w:r>
          </w:p>
        </w:tc>
        <w:tc>
          <w:tcPr>
            <w:tcW w:w="4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12/31/2020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20,937,443</w:t>
            </w:r>
          </w:p>
        </w:tc>
        <w:tc>
          <w:tcPr>
            <w:tcW w:w="112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spacing w:after="0"/>
              <w:rPr>
                <w:sz w:val="20"/>
                <w:szCs w:val="20"/>
                <w:color w:val="auto"/>
              </w:rPr>
            </w:pPr>
            <w:r>
              <w:rPr>
                <w:rFonts w:ascii="Arial" w:cs="Arial" w:eastAsia="Arial" w:hAnsi="Arial"/>
                <w:sz w:val="18"/>
                <w:szCs w:val="18"/>
                <w:color w:val="auto"/>
              </w:rPr>
              <w:t>1,849,311</w:t>
            </w:r>
          </w:p>
        </w:tc>
        <w:tc>
          <w:tcPr>
            <w:tcW w:w="11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384,540</w:t>
            </w: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2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1,722,027</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2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20,680,187</w:t>
            </w:r>
          </w:p>
        </w:tc>
        <w:tc>
          <w:tcPr>
            <w:tcW w:w="112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March 31, 2021</w:t>
            </w: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6,365,727</w:t>
            </w:r>
          </w:p>
        </w:tc>
        <w:tc>
          <w:tcPr>
            <w:tcW w:w="1120" w:type="dxa"/>
            <w:vAlign w:val="bottom"/>
            <w:tcBorders>
              <w:bottom w:val="single" w:sz="8" w:color="auto"/>
            </w:tcBorders>
          </w:tcPr>
          <w:p>
            <w:pPr>
              <w:jc w:val="right"/>
              <w:ind w:right="878"/>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1.20</w:t>
            </w:r>
          </w:p>
        </w:tc>
        <w:tc>
          <w:tcPr>
            <w:tcW w:w="2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21,450</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options as of March 31,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14,314,460</w:t>
            </w:r>
          </w:p>
        </w:tc>
        <w:tc>
          <w:tcPr>
            <w:tcW w:w="112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28,897</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three months ended March 31, 2021 and 2020 were $2.63 and $1.33,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employee stock options: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20" w:type="dxa"/>
            <w:vAlign w:val="bottom"/>
          </w:tcPr>
          <w:p>
            <w:pPr>
              <w:spacing w:after="0"/>
              <w:rPr>
                <w:sz w:val="20"/>
                <w:szCs w:val="20"/>
                <w:color w:val="auto"/>
              </w:rPr>
            </w:pPr>
          </w:p>
        </w:tc>
        <w:tc>
          <w:tcPr>
            <w:tcW w:w="372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5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6.1</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6.2</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66%</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65%</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Risk-free interest rate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0.78%</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1.33%</w:t>
            </w:r>
          </w:p>
        </w:tc>
      </w:tr>
    </w:tbl>
    <w:p>
      <w:pPr>
        <w:spacing w:after="0" w:line="323"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For the three months ended March 31, 2021, the Company granted 150,000 shares of stock options with a performance and service condition that had a fair value of $358 thousand. No expense related to these options was recorded during the three months ended March 31, 2021 as the performance condition was not considered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8" w:name="page19"/>
    <w:bookmarkEnd w:id="18"/>
    <w:p>
      <w:pPr>
        <w:ind w:right="200"/>
        <w:spacing w:after="0" w:line="238" w:lineRule="auto"/>
        <w:rPr>
          <w:sz w:val="20"/>
          <w:szCs w:val="20"/>
          <w:color w:val="auto"/>
        </w:rPr>
      </w:pPr>
      <w:r>
        <w:rPr>
          <w:rFonts w:ascii="Arial" w:cs="Arial" w:eastAsia="Arial" w:hAnsi="Arial"/>
          <w:sz w:val="18"/>
          <w:szCs w:val="18"/>
          <w:color w:val="auto"/>
        </w:rPr>
        <w:t>For the three months ended March 31, 2020, the Company granted 1,500,000 shares of stock options with performance, market conditions and service conditions. At grant date, the Company estimated that the fair value of the options was approximately $2.0 million. No expense related to these options was recorded during the three months ended March 31, 2021 and 2020 as the performance conditions were not considered probable.</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During the years ended December 31, 2020 and 2017, the Company granted options to purchase 120,000 and 330,000 shares, respectively, of common stock to non-employee consultants. These options were granted in exchange for consulting services and vest over a period that approximates the term of the services to be provided by the Company. The fair value of the options granted prior to 2020 were remeasured in each period until they were fully vested. Following the adoption of ASU 2018-07 on January 1, 2020, the fair value of options granted to non-employees were no longer remeasured subsequent to the grant date. The fair value of each option on the date of grant was calculated using the Black-Scholes option model. There were no grants to non-employee consultants during the three months ended March 31, 2021 or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 expense for employees and non-employees within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271"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3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48"/>
        </w:trPr>
        <w:tc>
          <w:tcPr>
            <w:tcW w:w="7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0"/>
        </w:trPr>
        <w:tc>
          <w:tcPr>
            <w:tcW w:w="7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As of March 31, 2021, there was $22.0 million of unamortized stock-based compensation cost related to unvested stock options which is expected to be recognized over a weighted average period of 2.98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7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 connection with the execution of the December 2016 Pacific loan agreement (see Note 5, “Notes Payable” for additional details), the Company issued Pacific fully vested warrants to purchase Series A Preferred Stock. In May 2017, the Company drew on additional borrowing capacity under the Pacific loan agreement, this required the Company to issue additional fully vested warrants. These Series A warrants remained outstanding as of March 31, 2021.</w:t>
      </w:r>
    </w:p>
    <w:p>
      <w:pPr>
        <w:spacing w:after="0" w:line="2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 July 2018, the Company drew on additional borrowing capacity under an amended agreement. This required the Company to issue fully vested warrants to purchase Series B Preferred Stock. These warrants remained outstanding as of March 31, 2021.</w:t>
      </w:r>
    </w:p>
    <w:p>
      <w:pPr>
        <w:spacing w:after="0" w:line="22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January 2020, the Company issued warrants to purchase 180,000 shares of Series C Preferred Stock at a purchase price of $6.50 per share as part of a services agreement. The warrants vest ratably over 18 months. These warrants remained outstanding and 139,999 were vested and exercisable as of March 31, 2021. The grant date fair value was $4.10 per share. As of March 31, 2021, there was $158 thousand of unamortized cost related to the unvested warrants which is expected to be recognized over four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tables summarize the Series A and B warrants outstanding as of March 31,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Fair Value as of</w:t>
            </w:r>
          </w:p>
        </w:tc>
        <w:tc>
          <w:tcPr>
            <w:tcW w:w="196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Fair Value as of December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 A</w:t>
            </w:r>
          </w:p>
        </w:tc>
        <w:tc>
          <w:tcPr>
            <w:tcW w:w="17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Grant Date</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Warrants</w:t>
            </w:r>
          </w:p>
        </w:tc>
        <w:tc>
          <w:tcPr>
            <w:tcW w:w="240" w:type="dxa"/>
            <w:vAlign w:val="bottom"/>
          </w:tcPr>
          <w:p>
            <w:pPr>
              <w:spacing w:after="0"/>
              <w:rPr>
                <w:sz w:val="12"/>
                <w:szCs w:val="12"/>
                <w:color w:val="auto"/>
              </w:rPr>
            </w:pPr>
          </w:p>
        </w:tc>
        <w:tc>
          <w:tcPr>
            <w:tcW w:w="13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0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March 31, 2021</w:t>
            </w: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31, 2020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 Warrants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12/19/2016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56,232</w:t>
            </w: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2018 Warrants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5/27/2017</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0.71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18,743</w:t>
            </w:r>
          </w:p>
        </w:tc>
        <w:tc>
          <w:tcPr>
            <w:tcW w:w="4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Fair Value as of</w:t>
            </w:r>
          </w:p>
        </w:tc>
        <w:tc>
          <w:tcPr>
            <w:tcW w:w="1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 as of December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 B</w:t>
            </w:r>
          </w:p>
        </w:tc>
        <w:tc>
          <w:tcPr>
            <w:tcW w:w="17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16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Number of Warrants</w:t>
            </w:r>
          </w:p>
        </w:tc>
        <w:tc>
          <w:tcPr>
            <w:tcW w:w="13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0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March 31, 2021</w:t>
            </w: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31, 2020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2019 Warrants</w:t>
            </w: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7/9/2018</w:t>
            </w: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25,762 $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4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warrants was calculated using the Black-Scholes option-pricing model with the following weighted average assumptions: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40" w:type="dxa"/>
            <w:vAlign w:val="bottom"/>
          </w:tcPr>
          <w:p>
            <w:pPr>
              <w:spacing w:after="0"/>
              <w:rPr>
                <w:sz w:val="20"/>
                <w:szCs w:val="20"/>
                <w:color w:val="auto"/>
              </w:rPr>
            </w:pPr>
          </w:p>
        </w:tc>
        <w:tc>
          <w:tcPr>
            <w:tcW w:w="360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6.16</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7.12</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66%</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66%</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Risk-free interest rate</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1.20%</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0.70%</w:t>
            </w:r>
          </w:p>
        </w:tc>
      </w:tr>
    </w:tbl>
    <w:p>
      <w:pPr>
        <w:spacing w:after="0" w:line="33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FASB has issued accounting guidance on the classification of freestanding warrants and other similar instruments on shares that are redeemable (either puttable or mandatorily redeemable). The guidance requires liability classification for certain warrants issued that are exercisable into convertible preferred stock. The initial fair values of Series A and B warrants were recorded as debt issuance costs, which resulted in a reduction in the carrying value of the debt and subsequent accretion. The Company remeasures the Series A and B warrants on each Condensed Condensed Consolidated Balance Sheet date. The change in the valuation is recorded in the Condensed Consolidated Statements of Operations and Comprehensive Loss.</w:t>
      </w:r>
    </w:p>
    <w:p>
      <w:pPr>
        <w:spacing w:after="0" w:line="23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Series C warrants compensation expense is being recorded ratably over the requisite service period based on the award’s fair value at the date of grant in general and administrative expense. These warrants were classified as equity as they were issued to non-employees for services and the convertible preferred stock is not redeemable, except in the event of a deemed liquidation event, which is not considered probable.</w:t>
      </w:r>
    </w:p>
    <w:p>
      <w:pPr>
        <w:spacing w:after="0" w:line="23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is a summary of the changes in the Company’s Series A and B warrant liability balance during the three months ended March 31, 2021 and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9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decrease in fair value of warrants</w:t>
            </w:r>
          </w:p>
        </w:tc>
        <w:tc>
          <w:tcPr>
            <w:tcW w:w="3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2020</w:t>
            </w:r>
          </w:p>
        </w:tc>
        <w:tc>
          <w:tcPr>
            <w:tcW w:w="39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decrease in fair value of warrants</w:t>
            </w:r>
          </w:p>
        </w:tc>
        <w:tc>
          <w:tcPr>
            <w:tcW w:w="3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39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27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an employee benefit plan under Section 401(k) of the Internal Revenue Code. The plan allows employees to make contributions up to a specified percentage of their compensation. The Company is currently contributing up to 4% of employee base salary, by matching 100% of the first 4% of annual base salary contributed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0" w:name="page21"/>
    <w:bookmarkEnd w:id="20"/>
    <w:p>
      <w:pPr>
        <w:ind w:right="300"/>
        <w:spacing w:after="0" w:line="261" w:lineRule="auto"/>
        <w:rPr>
          <w:sz w:val="20"/>
          <w:szCs w:val="20"/>
          <w:color w:val="auto"/>
        </w:rPr>
      </w:pPr>
      <w:r>
        <w:rPr>
          <w:rFonts w:ascii="Arial" w:cs="Arial" w:eastAsia="Arial" w:hAnsi="Arial"/>
          <w:sz w:val="18"/>
          <w:szCs w:val="18"/>
          <w:color w:val="auto"/>
        </w:rPr>
        <w:t>by each employee. Employer expenses were approximately $281 thousand and $199 thousand during the three months ended March 31, 2021 and 2020,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7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 did not record any income tax expense during the three months ended March 31, 2021 and 2020. The Company has historically incurred operating losses and maintains a full valuation allowance against its net deferred tax assets. Valuation allowances are recorded when the expected realization of the deferred tax assets does not meet a “more likely than not” criterion. Realization of the Company’s deferred tax assets are dependent upon the generation of future taxable income, the amount and timing of which are uncertain.</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Net operating loss carryforwards (NOLs) and tax credit carry-forwards are subject to review by the Internal Revenue Service (IRS) and may become subject to annual limitations due to ownership changes that have occurred previously or that could occur in the future under Section 382 of the Internal Revenue Code. The Company has not conducted a study to assess whether a change of control has occurred or whether there have been multiple changes of control since inception due to the significant complexity and cost associated with such a study. Any limitation may result in expiration of a portion of the NOLs or research and development tax credit carryforwards before utilization. Further, until a study is completed and any limitation is known, no amounts are being presented as an uncertain tax position.</w:t>
      </w:r>
    </w:p>
    <w:p>
      <w:pPr>
        <w:spacing w:after="0" w:line="2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files income tax returns in the United States, Utah, and California. The Company is not currently under examination in any of these jurisdictions. The Company is subject to income tax examinations on all federal returns since the 2018 tax return.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27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Recursion issued certain convertible preferred stock that was concluded to be participating securities. Due to the presence of participating securities, Recursion calculates net loss per share using the more dilutive of the treasury stock or the two-class method. For periods presented in which the Company reports a net loss, the losses are not allocated to the participating securities. As the Company reported a net loss during the three months ended March 31, 2021 and 2020, diluted net loss per share is the same as basic net loss per share, since dilutive common shares are not assumed to have been issued if their effect is anti-dilutive.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41"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37465</wp:posOffset>
            </wp:positionV>
            <wp:extent cx="21945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23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(30,717)</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(18,424)</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23,035,623</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21,639,891</w:t>
            </w: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2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 excluded the following potential common shares from the computation of diluted net loss per share for the periods indicated because including them would have had an anti-dilutive effect: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20" w:type="dxa"/>
            <w:vAlign w:val="bottom"/>
          </w:tcPr>
          <w:p>
            <w:pPr>
              <w:spacing w:after="0"/>
              <w:rPr>
                <w:sz w:val="20"/>
                <w:szCs w:val="20"/>
                <w:color w:val="auto"/>
              </w:rPr>
            </w:pPr>
          </w:p>
        </w:tc>
        <w:tc>
          <w:tcPr>
            <w:tcW w:w="34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8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spacing w:after="0"/>
              <w:rPr>
                <w:sz w:val="20"/>
                <w:szCs w:val="20"/>
                <w:color w:val="auto"/>
              </w:rPr>
            </w:pPr>
          </w:p>
        </w:tc>
        <w:tc>
          <w:tcPr>
            <w:tcW w:w="2000" w:type="dxa"/>
            <w:vAlign w:val="bottom"/>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8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2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115,598,018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78,699,470</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4,706,313</w:t>
            </w:r>
          </w:p>
        </w:tc>
        <w:tc>
          <w:tcPr>
            <w:tcW w:w="1420" w:type="dxa"/>
            <w:vAlign w:val="bottom"/>
          </w:tcPr>
          <w:p>
            <w:pPr>
              <w:jc w:val="right"/>
              <w:spacing w:after="0"/>
              <w:rPr>
                <w:sz w:val="20"/>
                <w:szCs w:val="20"/>
                <w:color w:val="auto"/>
              </w:rPr>
            </w:pPr>
            <w:r>
              <w:rPr>
                <w:rFonts w:ascii="Arial" w:cs="Arial" w:eastAsia="Arial" w:hAnsi="Arial"/>
                <w:sz w:val="18"/>
                <w:szCs w:val="18"/>
                <w:color w:val="auto"/>
              </w:rPr>
              <w:t>3,373,642</w:t>
            </w:r>
          </w:p>
        </w:tc>
      </w:tr>
      <w:tr>
        <w:trPr>
          <w:trHeight w:val="230"/>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0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122,358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115,029</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120,426,689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82,188,141</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ind w:left="660" w:right="320" w:hanging="328"/>
        <w:spacing w:after="0" w:line="23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3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2" w:lineRule="exact"/>
        <w:rPr>
          <w:rFonts w:ascii="Arial" w:cs="Arial" w:eastAsia="Arial" w:hAnsi="Arial"/>
          <w:sz w:val="18"/>
          <w:szCs w:val="18"/>
          <w:color w:val="auto"/>
        </w:rPr>
      </w:pPr>
    </w:p>
    <w:p>
      <w:pPr>
        <w:ind w:left="660" w:right="12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March 31, 2021 and December 31, 2020, cash and cash equivalents (including restricted cash) included bank deposits held in checking and savings accounts. The Company is required to maintain a balance in a collateralized account to secure the Company’s credit cards. Additionally, the Company holds restricted cash related to an outstanding letter of credit issued by Pacific Western Bank, which was securing certain Company obligations relating to tenant improvements. As of March 31, 2021 and December 31, 2020, cash restricted for the letters of credit was $4.0 million. The remaining restricted cash related to the Company’s credit cards.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Series A and B Preferred Stock warrant liabilities at fair value using the Black-Scholes option-pricing model.</w:t>
      </w:r>
    </w:p>
    <w:p>
      <w:pPr>
        <w:spacing w:after="0"/>
        <w:rPr>
          <w:sz w:val="20"/>
          <w:szCs w:val="20"/>
          <w:color w:val="auto"/>
        </w:rPr>
      </w:pPr>
      <w:r>
        <w:rPr>
          <w:rFonts w:ascii="Arial" w:cs="Arial" w:eastAsia="Arial" w:hAnsi="Arial"/>
          <w:sz w:val="18"/>
          <w:szCs w:val="18"/>
          <w:color w:val="auto"/>
        </w:rPr>
        <w:t>See Note 10, “Stock-based Compensation” for details on the valuation of the warrant liabilities and a reconciliation of the balance.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71"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Basis of fair value measurement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Level 3</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equivalents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214,088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214,088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8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219,130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4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w:t>
            </w:r>
          </w:p>
        </w:tc>
        <w:tc>
          <w:tcPr>
            <w:tcW w:w="1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gridSpan w:val="4"/>
          </w:tcPr>
          <w:p>
            <w:pPr>
              <w:spacing w:after="0" w:line="20" w:lineRule="exact"/>
              <w:rPr>
                <w:sz w:val="1"/>
                <w:szCs w:val="1"/>
                <w:color w:val="auto"/>
              </w:rPr>
            </w:pPr>
          </w:p>
        </w:tc>
      </w:tr>
      <w:tr>
        <w:trPr>
          <w:trHeight w:val="345"/>
        </w:trPr>
        <w:tc>
          <w:tcPr>
            <w:tcW w:w="3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8"/>
                <w:szCs w:val="18"/>
                <w:b w:val="1"/>
                <w:bCs w:val="1"/>
                <w:color w:val="auto"/>
              </w:rPr>
              <w:t>Basis of fair value measurement</w:t>
            </w:r>
          </w:p>
        </w:tc>
      </w:tr>
      <w:tr>
        <w:trPr>
          <w:trHeight w:val="20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Level 3</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equivalents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262,126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262,126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8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267,167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267,167</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4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w:t>
            </w:r>
          </w:p>
        </w:tc>
        <w:tc>
          <w:tcPr>
            <w:tcW w:w="1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1"/>
        </w:trPr>
        <w:tc>
          <w:tcPr>
            <w:tcW w:w="3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the financial instruments that recognized at fair value on the Condensed Consolidated Balance Sheets, the Company has certain financial instruments that are recognized at amortized cost or some basis other than fair value. The carrying amount of these amounts are considered to be representative of their approximate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tables summarize the Company’s assets and liabilities that are not measured at fair value: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99"/>
              </w:rPr>
              <w:t>Book values</w:t>
            </w:r>
          </w:p>
        </w:tc>
        <w:tc>
          <w:tcPr>
            <w:tcW w:w="3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99"/>
              </w:rPr>
              <w:t>Fair values</w:t>
            </w: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notes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2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Notes payable, net of current portion</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10,339</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10,339</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w:t>
            </w:r>
          </w:p>
        </w:tc>
      </w:tr>
      <w:tr>
        <w:trPr>
          <w:trHeight w:val="248"/>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274"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On December 5, 2017, the Company entered into a loan agreement with its Chief Executive Officer (CEO) to provide a loan of $595 thousand. The loan had a seven-year term. As of March 31, 2021, no amount remained outstanding on the loan. As of March 31, 2020, the outstanding balance of $595 thousand was recorded on the Condensed Consolidated Balance Sheets within other non-current 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April 20, 2021, the Company closed its IPO and issued 27,878,787 shares of its common stock at a price of $18.00 per share for approximate net proceeds of $462.6 million, after deducting underwriting discounts and commissions of $35.1 million and expenses of $4.1 million. In connection with the IPO, all shares of Series A, B, C and D convertible preferred stock converted into 115,598,018 shares of Class A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7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April 2021, the Board of Directors approved a 1.5-for-1 forward stock split of the Company’s common and convertible preferred stock. Each shareholder of record on April 9, 2021 received 1.5 shares for each then-held share. The split proportionally increased the authorized shares and did not change the par values of the Company’s stock. The split affected all stockholders uniformly and did not affect any stockholder's ownership percentage of the Company's shares of Common Stock. All shares and per share amounts presented within these condensed consolidated financial statements were adjusted to reflect the forward stock split for all periods presented.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April 2021, the Company’s Board of Directors adopted, and its stockholders approved, the 2021 Equity Incentive Plan (the “2021 Plan”), which became effective in connection with the closing of the Company’s IPO. A total of 16,186,000 shares of the Company’s Class A common stock have been reserved for issuance under the 2021 Plan in addition to any shares of Class A common stock outstanding under the 2016 Plan that expire are withheld by the Company for payment of an exercise price or for satisfying tax withholding obligations, or are forfeited to the Company due to failure to vest, subject to an addition of a maximum of 19,479,146 shares. The number of shares of Class A common stock reserved for future issuance under the 2021 Plan will also be increased pursuant to provisions for annual automatic evergreen increases.</w:t>
      </w:r>
    </w:p>
    <w:p>
      <w:pPr>
        <w:spacing w:after="0" w:line="23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April 2021, the Company’s Board of Directors adopted, and its stockholders approved, the 2021 Employee Stock Purchase Plan (the “2021 ESPP”), which became effective in connection with the closing of the Company’s IPO. A total of 3,238,000 shares of the Company’s Class A common stock have been reserved for issuance under the 2021 ESPP. In addition, the number of shares reserved for future issuance under the 2021 ESPP will be increased for annual automatic evergreen increases.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April 2021,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ten votes per share and is convertible at any time into one share of Class A common stock.</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Class B common stock is held by Christopher Gibson, Ph.D., our Chief Executive Officer, or his affiliate. Dr. Gibson and his affiliate hold outstanding shares of Class B common stock representing approximately 38% of the voting power of the Company’s outstanding shares. This voting power may increase over time as Dr. Gibson vests in and exercises equity awards outstanding. If all the equity awards held by Dr. Gibson had been fully vested and exercised and exchanged for shares of Class B common stock as of the date of the IPO, Dr. Gibson and his affiliate would hold approximately 42%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The following is a discussion and analysis of the financial condition of Recursion Pharmaceuticals, Inc. (Recursion, the Company, or we) as of March 31, 2021 and December 31, 2020 and the results of operations during the three months ended March 31, 2021 and 2020. This commentary should be read in conjunction with the unaudited Condensed Consolidated Financial Statements and accompanying notes appearing in Item 1, “Financial Statements” and the Company’s audited consolidated financial statements and accompanying notes and "Management's Discussion and Analysis of Financial Condition and Results of Operations" included in the final prospectus for our initial public offering (IPO), which was filed with the Securities and Exchange Commission (SEC), pursuant to Rule 424(b)(4) on April 16, 2020 (the Final Prospectus).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About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a clinical-stage biotechnology company decoding biology by integrating technological innovations across biology, chemistry, automation, data science and engineering to radically improve the lives of patients and industrialize drug discovery. Central to our mission is the Recursion Operating System (Recursion OS) that combines an advanced infrastructure layer to generate what we believe is one of the world’s largest and fastest-growing proprietary biological and chemical datasets, and the Recursion Map, a suite of custom software, algorithmic and machine learning tools that we use to explore foundational biology unconstrained by human bias, navigate to new biological insights, and accelerate programs. The combination of wet-lab biology and in silico tools in our closed-loop system accelerates our drug discovery process and differentiates us from others within the industry. Similarly, our balanced team of life scientists and computational and technical experts creates an environment where empirical data, statistical rigor, and creative thinking are brought to bear on every decision. Thus far, we have leveraged our Recursion OS to create three value drivers: i) advancement of 37 internally-developed programs focused on areas of significant unmet need, several of which have market opportunities in excess of $1.0 billion in annual sales, ii) strategic partnerships with leading biopharmaceutical companies, and iii) Induction Labs, a growth engine created to explore new extensions of the Recursion OS both within and beyond therapeutics. The number of programs we are advancing has more than doubled in size since 2019. Although we cannot provide any guarantee that we will achieve similar development timelines with future product candidates, we believe we will be able to continue accelerating the pace of program additions in the future. As such, we are a biotechnology company scaling more like a technology company.</w:t>
      </w:r>
    </w:p>
    <w:p>
      <w:pPr>
        <w:spacing w:after="0" w:line="23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Integrating technological innovations across biology, chemistry, automation, data science and engineering in order to industrialize the discovery of therapeutics has required us to raise significant capital and adopt a long-term approach to capital allocation that balances near-term risks and long-term value creation. Of our 37 internally developed programs, we have four drug candidates that we expect will be entering clinical trials in the next four to five quarters. Our rapidly growing team of more than 200 employees is balanced between life scientists (approximately 40% of employees) and computational and technical expects (approximately 35% of employees).</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inception through March 31, 2021, we have raised approximately $448.9 million in equity financing from investors in addition to $30.0 million in an upfront payment from our strategic partnership with Bayer. We use the capital we have raised to fund operations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We had cash and cash equivalents of $214.1 million as of March 31, 2021.</w:t>
      </w:r>
    </w:p>
    <w:p>
      <w:pPr>
        <w:spacing w:after="0" w:line="23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Since inception, we have incurred significant operating losses. Our net losses were $30.7 million and $18.4 million during the three months ended March 31, 2021 and 2020, respectively. As of March 31, 2021, our accumulated deficit was $244.3 million. We expect to continue to incur significant expenses and operating losses for the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foreseeable future. In addition, we anticipate that our expenses will increase significantly in connection with our ongoing activities, as we:</w:t>
      </w:r>
    </w:p>
    <w:p>
      <w:pPr>
        <w:spacing w:after="0" w:line="12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continue our platform research and drug discovery and clinical development efforts;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continue to invest in the scale and scope of our platform research capabilities in order to identify novel biology and therapeutics;</w:t>
      </w:r>
    </w:p>
    <w:p>
      <w:pPr>
        <w:spacing w:after="0" w:line="123"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1"/>
          <w:szCs w:val="21"/>
          <w:color w:val="auto"/>
        </w:rPr>
      </w:pPr>
      <w:r>
        <w:rPr>
          <w:rFonts w:ascii="Arial" w:cs="Arial" w:eastAsia="Arial" w:hAnsi="Arial"/>
          <w:sz w:val="17"/>
          <w:szCs w:val="17"/>
          <w:color w:val="auto"/>
        </w:rPr>
        <w:t>continue to invest in expansions of the modality capabilities across our platform including large molecules and RNA therapeutics;</w:t>
      </w:r>
    </w:p>
    <w:p>
      <w:pPr>
        <w:spacing w:after="0" w:line="111" w:lineRule="exact"/>
        <w:rPr>
          <w:rFonts w:ascii="Arial" w:cs="Arial" w:eastAsia="Arial" w:hAnsi="Arial"/>
          <w:sz w:val="21"/>
          <w:szCs w:val="21"/>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invest in or acquire companies or intellectual property that achieves our platform objectives;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accelerate investments in mechanisms to significantly expand our total addressable markets through Induction Labs;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utilize our platform to identify and validate additional therapeutic candidates, technologies, and business opportunities;</w:t>
      </w:r>
    </w:p>
    <w:p>
      <w:pPr>
        <w:spacing w:after="0" w:line="147" w:lineRule="exact"/>
        <w:rPr>
          <w:rFonts w:ascii="Arial" w:cs="Arial" w:eastAsia="Arial" w:hAnsi="Arial"/>
          <w:sz w:val="22"/>
          <w:szCs w:val="22"/>
          <w:color w:val="auto"/>
        </w:rPr>
      </w:pPr>
    </w:p>
    <w:p>
      <w:pPr>
        <w:ind w:left="980" w:right="680" w:hanging="324"/>
        <w:spacing w:after="0" w:line="225"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initiate additional preclinical studies or clinical or other trials for our product candidates, including under our collaboration agreements;</w:t>
      </w:r>
    </w:p>
    <w:p>
      <w:pPr>
        <w:spacing w:after="0" w:line="113"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continue or expand the scope of our clinical trials for our product candidates;</w:t>
      </w:r>
    </w:p>
    <w:p>
      <w:pPr>
        <w:spacing w:after="0" w:line="147" w:lineRule="exact"/>
        <w:rPr>
          <w:rFonts w:ascii="Arial" w:cs="Arial" w:eastAsia="Arial" w:hAnsi="Arial"/>
          <w:sz w:val="22"/>
          <w:szCs w:val="22"/>
          <w:color w:val="auto"/>
        </w:rPr>
      </w:pPr>
    </w:p>
    <w:p>
      <w:pPr>
        <w:ind w:left="980" w:right="120" w:hanging="324"/>
        <w:spacing w:after="0" w:line="225"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conduct the above and below development activities on an extensive pipeline of therapeutic candidates across diverse areas of biology;</w:t>
      </w:r>
    </w:p>
    <w:p>
      <w:pPr>
        <w:spacing w:after="0" w:line="149" w:lineRule="exact"/>
        <w:rPr>
          <w:rFonts w:ascii="Arial" w:cs="Arial" w:eastAsia="Arial" w:hAnsi="Arial"/>
          <w:sz w:val="22"/>
          <w:szCs w:val="22"/>
          <w:color w:val="auto"/>
        </w:rPr>
      </w:pPr>
    </w:p>
    <w:p>
      <w:pPr>
        <w:ind w:left="980" w:right="700" w:hanging="324"/>
        <w:spacing w:after="0" w:line="225"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establish agreements with contract research organizations (CROs) and contract manufacturing organizations (CMOs) in connection with our preclinical studies and clinical trials;</w:t>
      </w:r>
    </w:p>
    <w:p>
      <w:pPr>
        <w:spacing w:after="0" w:line="113"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 or add to internal manufacturing capacity or capability;</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 or add additional suppliers;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seek regulatory approval for our therapeutic candidates;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seek marketing approvals and reimbursement for our therapeutic candidates;</w:t>
      </w:r>
    </w:p>
    <w:p>
      <w:pPr>
        <w:spacing w:after="0" w:line="147" w:lineRule="exact"/>
        <w:rPr>
          <w:rFonts w:ascii="Arial" w:cs="Arial" w:eastAsia="Arial" w:hAnsi="Arial"/>
          <w:sz w:val="22"/>
          <w:szCs w:val="22"/>
          <w:color w:val="auto"/>
        </w:rPr>
      </w:pPr>
    </w:p>
    <w:p>
      <w:pPr>
        <w:ind w:left="980" w:right="280" w:hanging="324"/>
        <w:spacing w:after="0" w:line="225"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113"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acquire or in-license other therapeutic candidates and technologies;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make milestone or other payments under any in-license agreements;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maintain, protect, defend, enforce, and expand our intellectual property portfolio;</w:t>
      </w:r>
    </w:p>
    <w:p>
      <w:pPr>
        <w:spacing w:after="0" w:line="147" w:lineRule="exact"/>
        <w:rPr>
          <w:rFonts w:ascii="Arial" w:cs="Arial" w:eastAsia="Arial" w:hAnsi="Arial"/>
          <w:sz w:val="22"/>
          <w:szCs w:val="22"/>
          <w:color w:val="auto"/>
        </w:rPr>
      </w:pPr>
    </w:p>
    <w:p>
      <w:pPr>
        <w:ind w:left="980" w:right="720" w:hanging="324"/>
        <w:spacing w:after="0" w:line="225"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therapeutics candidates toward commercialization;</w:t>
      </w:r>
    </w:p>
    <w:p>
      <w:pPr>
        <w:spacing w:after="0" w:line="149" w:lineRule="exact"/>
        <w:rPr>
          <w:rFonts w:ascii="Arial" w:cs="Arial" w:eastAsia="Arial" w:hAnsi="Arial"/>
          <w:sz w:val="22"/>
          <w:szCs w:val="22"/>
          <w:color w:val="auto"/>
        </w:rPr>
      </w:pPr>
    </w:p>
    <w:p>
      <w:pPr>
        <w:ind w:left="980" w:right="1020" w:hanging="324"/>
        <w:spacing w:after="0" w:line="225"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add additional infrastructure to support our operations as a public company and our product development and future commercialization efforts, including expansion of company sites;</w:t>
      </w:r>
    </w:p>
    <w:p>
      <w:pPr>
        <w:spacing w:after="0" w:line="113"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attract and retain world-class talent, including in competitive areas; and</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experience any delays or encounter issues with any of the above.</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date, our business generates revenue from two sources: i) grant revenue and ii) operating revenue.</w:t>
      </w:r>
    </w:p>
    <w:p>
      <w:pPr>
        <w:spacing w:after="0" w:line="23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Grant Revenue—</w:t>
      </w:r>
      <w:r>
        <w:rPr>
          <w:rFonts w:ascii="Arial" w:cs="Arial" w:eastAsia="Arial" w:hAnsi="Arial"/>
          <w:sz w:val="18"/>
          <w:szCs w:val="18"/>
          <w:color w:val="auto"/>
        </w:rPr>
        <w:t>We recognize grant revenue in the period in which the revenue is earned in accordance with the associated grant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which is the period in which corresponding reimbursable expenses under the grant agreement are incurred. Grant revenue was generated from grants awarded by the National Institute of Health.</w:t>
      </w:r>
    </w:p>
    <w:p>
      <w:pPr>
        <w:spacing w:after="0" w:line="203"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Operating Revenue</w:t>
      </w:r>
      <w:r>
        <w:rPr>
          <w:rFonts w:ascii="Arial" w:cs="Arial" w:eastAsia="Arial" w:hAnsi="Arial"/>
          <w:sz w:val="18"/>
          <w:szCs w:val="18"/>
          <w:color w:val="auto"/>
        </w:rPr>
        <w:t>—Operating revenue is primarily generated through funded research and development agreements derived from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alliances such as our strategic partnership with Bayer. We are entitled to receive variable consideration as certain milestones are achieved. The timing of revenue recognition is not directly correlated to the timing of cash receipts.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Research and development expenses account for a significant portion of our operating expenses. We recognize research and development expenses as incurred. Research and development expenses comprise costs incurred in performing research and development activities, including:</w:t>
      </w:r>
    </w:p>
    <w:p>
      <w:pPr>
        <w:spacing w:after="0" w:line="9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cost to develop and operate our platform;</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discovery efforts leading to development candidates;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clinical development costs for our programs;</w:t>
      </w:r>
    </w:p>
    <w:p>
      <w:pPr>
        <w:spacing w:after="0" w:line="111"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costs associated with discovery as well as clinical development efforts, including research materials and external research;</w:t>
      </w:r>
    </w:p>
    <w:p>
      <w:pPr>
        <w:spacing w:after="0" w:line="147" w:lineRule="exact"/>
        <w:rPr>
          <w:rFonts w:ascii="Arial" w:cs="Arial" w:eastAsia="Arial" w:hAnsi="Arial"/>
          <w:sz w:val="22"/>
          <w:szCs w:val="22"/>
          <w:color w:val="auto"/>
        </w:rPr>
      </w:pPr>
    </w:p>
    <w:p>
      <w:pPr>
        <w:ind w:left="980" w:right="560" w:hanging="324"/>
        <w:spacing w:after="0" w:line="225" w:lineRule="auto"/>
        <w:tabs>
          <w:tab w:leader="none" w:pos="975" w:val="left"/>
        </w:tabs>
        <w:numPr>
          <w:ilvl w:val="0"/>
          <w:numId w:val="7"/>
        </w:numPr>
        <w:rPr>
          <w:rFonts w:ascii="Arial" w:cs="Arial" w:eastAsia="Arial" w:hAnsi="Arial"/>
          <w:sz w:val="22"/>
          <w:szCs w:val="22"/>
          <w:color w:val="auto"/>
        </w:rPr>
      </w:pPr>
      <w:r>
        <w:rPr>
          <w:rFonts w:ascii="Arial" w:cs="Arial" w:eastAsia="Arial" w:hAnsi="Arial"/>
          <w:sz w:val="18"/>
          <w:szCs w:val="18"/>
          <w:color w:val="auto"/>
        </w:rPr>
        <w:t>materials and supply costs associated with the manufacture of drug substance and drug product for preclinical testing and clinical trials;</w:t>
      </w:r>
    </w:p>
    <w:p>
      <w:pPr>
        <w:spacing w:after="0" w:line="149" w:lineRule="exact"/>
        <w:rPr>
          <w:rFonts w:ascii="Arial" w:cs="Arial" w:eastAsia="Arial" w:hAnsi="Arial"/>
          <w:sz w:val="22"/>
          <w:szCs w:val="22"/>
          <w:color w:val="auto"/>
        </w:rPr>
      </w:pPr>
    </w:p>
    <w:p>
      <w:pPr>
        <w:ind w:left="980" w:right="320" w:hanging="324"/>
        <w:spacing w:after="0" w:line="225" w:lineRule="auto"/>
        <w:tabs>
          <w:tab w:leader="none" w:pos="975" w:val="left"/>
        </w:tabs>
        <w:numPr>
          <w:ilvl w:val="0"/>
          <w:numId w:val="7"/>
        </w:numPr>
        <w:rPr>
          <w:rFonts w:ascii="Arial" w:cs="Arial" w:eastAsia="Arial" w:hAnsi="Arial"/>
          <w:sz w:val="22"/>
          <w:szCs w:val="22"/>
          <w:color w:val="auto"/>
        </w:rPr>
      </w:pPr>
      <w:r>
        <w:rPr>
          <w:rFonts w:ascii="Arial" w:cs="Arial" w:eastAsia="Arial" w:hAnsi="Arial"/>
          <w:sz w:val="18"/>
          <w:szCs w:val="18"/>
          <w:color w:val="auto"/>
        </w:rPr>
        <w:t>personnel-related expenses, including salaries, benefits, bonuses, and stock-based compensation for employees engaged in research and development functions;</w:t>
      </w:r>
    </w:p>
    <w:p>
      <w:pPr>
        <w:spacing w:after="0" w:line="113"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costs associated with operating our digital infrastructure; and</w:t>
      </w:r>
    </w:p>
    <w:p>
      <w:pPr>
        <w:spacing w:after="0" w:line="147" w:lineRule="exact"/>
        <w:rPr>
          <w:rFonts w:ascii="Arial" w:cs="Arial" w:eastAsia="Arial" w:hAnsi="Arial"/>
          <w:sz w:val="22"/>
          <w:szCs w:val="22"/>
          <w:color w:val="auto"/>
        </w:rPr>
      </w:pPr>
    </w:p>
    <w:p>
      <w:pPr>
        <w:ind w:left="980" w:right="140" w:hanging="324"/>
        <w:spacing w:after="0" w:line="225" w:lineRule="auto"/>
        <w:tabs>
          <w:tab w:leader="none" w:pos="975" w:val="left"/>
        </w:tabs>
        <w:numPr>
          <w:ilvl w:val="0"/>
          <w:numId w:val="7"/>
        </w:numPr>
        <w:rPr>
          <w:rFonts w:ascii="Arial" w:cs="Arial" w:eastAsia="Arial" w:hAnsi="Arial"/>
          <w:sz w:val="22"/>
          <w:szCs w:val="22"/>
          <w:color w:val="auto"/>
        </w:rPr>
      </w:pPr>
      <w:r>
        <w:rPr>
          <w:rFonts w:ascii="Arial" w:cs="Arial" w:eastAsia="Arial" w:hAnsi="Arial"/>
          <w:sz w:val="18"/>
          <w:szCs w:val="18"/>
          <w:color w:val="auto"/>
        </w:rPr>
        <w:t>facilities, depreciation and amortization, insurance and other direct and allocated expenses incurred as a result of research and development activities.</w:t>
      </w:r>
    </w:p>
    <w:p>
      <w:pPr>
        <w:spacing w:after="0" w:line="2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monitor research and development expenses directly associated with our clinical assets to some degree at the program level, however, indirect costs associated with clinical development and the balance of our research and development expenses are not tracked at the program or candidate level.</w:t>
      </w:r>
    </w:p>
    <w:p>
      <w:pPr>
        <w:spacing w:after="0" w:line="22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recognize expenses associated with third-party contracted services based on the completion of activities as specified in the applicable contracts. Upon termination of contracts with third parties, our financial obligations are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7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expenses general and administrative costs as incurred. General and administrative expenses consist primarily of salaries, benefits, stock-based compensation, and outsourced labor for personnel in executive, finance, human resources, legal and other corporate administrative functions. General and administrative expenses also include legal fees incurred relating to corporate and patent matters, professional fees incurred for accounting, auditing, tax and administrative consulting services, insurance costs, facilities and depreciation expenses.</w:t>
      </w:r>
    </w:p>
    <w:p>
      <w:pPr>
        <w:sectPr>
          <w:pgSz w:w="11900" w:h="16838" w:orient="portrait"/>
          <w:cols w:equalWidth="0" w:num="1">
            <w:col w:w="11220"/>
          </w:cols>
          <w:pgMar w:left="320" w:top="1251"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type w:val="continuous"/>
        </w:sectPr>
      </w:pPr>
    </w:p>
    <w:bookmarkStart w:id="27" w:name="page28"/>
    <w:bookmarkEnd w:id="27"/>
    <w:p>
      <w:pPr>
        <w:ind w:right="20"/>
        <w:spacing w:after="0" w:line="252" w:lineRule="auto"/>
        <w:rPr>
          <w:sz w:val="20"/>
          <w:szCs w:val="20"/>
          <w:color w:val="auto"/>
        </w:rPr>
      </w:pPr>
      <w:r>
        <w:rPr>
          <w:rFonts w:ascii="Arial" w:cs="Arial" w:eastAsia="Arial" w:hAnsi="Arial"/>
          <w:sz w:val="18"/>
          <w:szCs w:val="18"/>
          <w:color w:val="auto"/>
        </w:rPr>
        <w:t>Recursion expects that our general and administrative expenses will increase in the future to support personnel in research and development and to support our operations as we increase our research and development activities and activities related to the potential commercialization of our initial drug candidates REC-4881, REC-3599, REC-2282, and REC-994. The Company also expects to incur increased expenses associated with operating as a public company, including costs of accounting, audit, legal, regulatory, and tax-related services associated with maintaining compliance with exchange listing and Securities and Exchange Commission, or SEC, requirements, director and officer insurance costs, and investor and public relations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Other income, net primarily consists of interest earned on our cash and cash equivalents and interest expense incurred under our loan agreements.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results of 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7"/>
                <w:szCs w:val="17"/>
                <w:color w:val="auto"/>
              </w:rPr>
            </w:pPr>
          </w:p>
        </w:tc>
      </w:tr>
      <w:tr>
        <w:trPr>
          <w:trHeight w:val="216"/>
        </w:trPr>
        <w:tc>
          <w:tcPr>
            <w:tcW w:w="5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 revenue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5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2,500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2,502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57"/>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24,109</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12,842</w:t>
            </w:r>
          </w:p>
        </w:tc>
        <w:tc>
          <w:tcPr>
            <w:tcW w:w="380" w:type="dxa"/>
            <w:vAlign w:val="bottom"/>
          </w:tcPr>
          <w:p>
            <w:pPr>
              <w:spacing w:after="0"/>
              <w:rPr>
                <w:sz w:val="19"/>
                <w:szCs w:val="19"/>
                <w:color w:val="auto"/>
              </w:rPr>
            </w:pPr>
          </w:p>
        </w:tc>
        <w:tc>
          <w:tcPr>
            <w:tcW w:w="1460" w:type="dxa"/>
            <w:vAlign w:val="bottom"/>
          </w:tcPr>
          <w:p>
            <w:pPr>
              <w:jc w:val="right"/>
              <w:ind w:right="493"/>
              <w:spacing w:after="0"/>
              <w:rPr>
                <w:sz w:val="20"/>
                <w:szCs w:val="20"/>
                <w:color w:val="auto"/>
              </w:rPr>
            </w:pPr>
            <w:r>
              <w:rPr>
                <w:rFonts w:ascii="Arial" w:cs="Arial" w:eastAsia="Arial" w:hAnsi="Arial"/>
                <w:sz w:val="18"/>
                <w:szCs w:val="18"/>
                <w:color w:val="auto"/>
              </w:rPr>
              <w:t>11,267</w:t>
            </w:r>
          </w:p>
        </w:tc>
        <w:tc>
          <w:tcPr>
            <w:tcW w:w="960" w:type="dxa"/>
            <w:vAlign w:val="bottom"/>
          </w:tcPr>
          <w:p>
            <w:pPr>
              <w:jc w:val="right"/>
              <w:spacing w:after="0"/>
              <w:rPr>
                <w:sz w:val="20"/>
                <w:szCs w:val="20"/>
                <w:color w:val="auto"/>
              </w:rPr>
            </w:pPr>
            <w:r>
              <w:rPr>
                <w:rFonts w:ascii="Arial" w:cs="Arial" w:eastAsia="Arial" w:hAnsi="Arial"/>
                <w:sz w:val="18"/>
                <w:szCs w:val="18"/>
                <w:color w:val="auto"/>
              </w:rPr>
              <w:t>87.7 %</w:t>
            </w:r>
          </w:p>
        </w:tc>
      </w:tr>
      <w:tr>
        <w:trPr>
          <w:trHeight w:val="229"/>
        </w:trPr>
        <w:tc>
          <w:tcPr>
            <w:tcW w:w="5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rPr>
              <w:t>3,376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60.7 %</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33,046</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18,403</w:t>
            </w:r>
          </w:p>
        </w:tc>
        <w:tc>
          <w:tcPr>
            <w:tcW w:w="380" w:type="dxa"/>
            <w:vAlign w:val="bottom"/>
          </w:tcPr>
          <w:p>
            <w:pPr>
              <w:spacing w:after="0"/>
              <w:rPr>
                <w:sz w:val="19"/>
                <w:szCs w:val="19"/>
                <w:color w:val="auto"/>
              </w:rPr>
            </w:pPr>
          </w:p>
        </w:tc>
        <w:tc>
          <w:tcPr>
            <w:tcW w:w="1460" w:type="dxa"/>
            <w:vAlign w:val="bottom"/>
          </w:tcPr>
          <w:p>
            <w:pPr>
              <w:jc w:val="right"/>
              <w:ind w:right="493"/>
              <w:spacing w:after="0"/>
              <w:rPr>
                <w:sz w:val="20"/>
                <w:szCs w:val="20"/>
                <w:color w:val="auto"/>
              </w:rPr>
            </w:pPr>
            <w:r>
              <w:rPr>
                <w:rFonts w:ascii="Arial" w:cs="Arial" w:eastAsia="Arial" w:hAnsi="Arial"/>
                <w:sz w:val="18"/>
                <w:szCs w:val="18"/>
                <w:color w:val="auto"/>
              </w:rPr>
              <w:t>14,643</w:t>
            </w:r>
          </w:p>
        </w:tc>
        <w:tc>
          <w:tcPr>
            <w:tcW w:w="960" w:type="dxa"/>
            <w:vAlign w:val="bottom"/>
          </w:tcPr>
          <w:p>
            <w:pPr>
              <w:jc w:val="right"/>
              <w:spacing w:after="0"/>
              <w:rPr>
                <w:sz w:val="20"/>
                <w:szCs w:val="20"/>
                <w:color w:val="auto"/>
              </w:rPr>
            </w:pPr>
            <w:r>
              <w:rPr>
                <w:rFonts w:ascii="Arial" w:cs="Arial" w:eastAsia="Arial" w:hAnsi="Arial"/>
                <w:sz w:val="18"/>
                <w:szCs w:val="18"/>
                <w:color w:val="auto"/>
              </w:rPr>
              <w:t>79.6 %</w:t>
            </w:r>
          </w:p>
        </w:tc>
      </w:tr>
      <w:tr>
        <w:trPr>
          <w:trHeight w:val="257"/>
        </w:trPr>
        <w:tc>
          <w:tcPr>
            <w:tcW w:w="56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(30,484)</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(18,343)</w:t>
            </w:r>
          </w:p>
        </w:tc>
        <w:tc>
          <w:tcPr>
            <w:tcW w:w="380" w:type="dxa"/>
            <w:vAlign w:val="bottom"/>
          </w:tcPr>
          <w:p>
            <w:pPr>
              <w:spacing w:after="0"/>
              <w:rPr>
                <w:sz w:val="19"/>
                <w:szCs w:val="19"/>
                <w:color w:val="auto"/>
              </w:rPr>
            </w:pPr>
          </w:p>
        </w:tc>
        <w:tc>
          <w:tcPr>
            <w:tcW w:w="1460" w:type="dxa"/>
            <w:vAlign w:val="bottom"/>
          </w:tcPr>
          <w:p>
            <w:pPr>
              <w:jc w:val="right"/>
              <w:ind w:right="453"/>
              <w:spacing w:after="0"/>
              <w:rPr>
                <w:sz w:val="20"/>
                <w:szCs w:val="20"/>
                <w:color w:val="auto"/>
              </w:rPr>
            </w:pPr>
            <w:r>
              <w:rPr>
                <w:rFonts w:ascii="Arial" w:cs="Arial" w:eastAsia="Arial" w:hAnsi="Arial"/>
                <w:sz w:val="18"/>
                <w:szCs w:val="18"/>
                <w:color w:val="auto"/>
              </w:rPr>
              <w:t>(12,141)</w:t>
            </w:r>
          </w:p>
        </w:tc>
        <w:tc>
          <w:tcPr>
            <w:tcW w:w="960" w:type="dxa"/>
            <w:vAlign w:val="bottom"/>
          </w:tcPr>
          <w:p>
            <w:pPr>
              <w:jc w:val="right"/>
              <w:spacing w:after="0"/>
              <w:rPr>
                <w:sz w:val="20"/>
                <w:szCs w:val="20"/>
                <w:color w:val="auto"/>
              </w:rPr>
            </w:pPr>
            <w:r>
              <w:rPr>
                <w:rFonts w:ascii="Arial" w:cs="Arial" w:eastAsia="Arial" w:hAnsi="Arial"/>
                <w:sz w:val="18"/>
                <w:szCs w:val="18"/>
                <w:color w:val="auto"/>
              </w:rPr>
              <w:t>66.2 %</w:t>
            </w:r>
          </w:p>
        </w:tc>
      </w:tr>
      <w:tr>
        <w:trPr>
          <w:trHeight w:val="230"/>
        </w:trPr>
        <w:tc>
          <w:tcPr>
            <w:tcW w:w="5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loss,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(152)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(30,717)</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(12,293)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66.7 %</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n / m = Not meaningful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revenue recognized during the three months ended March 31, 2021 and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spacing w:after="0"/>
              <w:rPr>
                <w:sz w:val="17"/>
                <w:szCs w:val="17"/>
                <w:color w:val="auto"/>
              </w:rPr>
            </w:pPr>
          </w:p>
        </w:tc>
      </w:tr>
      <w:tr>
        <w:trPr>
          <w:trHeight w:val="21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57"/>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5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2,500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48"/>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rPr>
              <w:t>2,502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increased by $ 2.5 million, or &gt;100%, to $2.6 million during the three months ended March 31, 2021 compared to $60 thousand during the three months ended March 31, 2020. The increase in revenue was due to revenue recognized from our strategic partnership with Bayer entered into in August 2020.</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4763"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3" cy="8255"/>
                    </a:xfrm>
                    <a:prstGeom prst="rect">
                      <a:avLst/>
                    </a:prstGeom>
                    <a:noFill/>
                  </pic:spPr>
                </pic:pic>
              </a:graphicData>
            </a:graphic>
          </wp:anchor>
        </w:drawing>
      </w:r>
    </w:p>
    <w:p>
      <w:pPr>
        <w:spacing w:after="0" w:line="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summarizes the components of research and development expense during the three months ended March 31,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21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35"/>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Platform</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4,212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66.7 %</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Discovery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4,047</w:t>
            </w:r>
          </w:p>
        </w:tc>
        <w:tc>
          <w:tcPr>
            <w:tcW w:w="400" w:type="dxa"/>
            <w:vAlign w:val="bottom"/>
          </w:tcPr>
          <w:p>
            <w:pPr>
              <w:spacing w:after="0"/>
              <w:rPr>
                <w:sz w:val="19"/>
                <w:szCs w:val="19"/>
                <w:color w:val="auto"/>
              </w:rPr>
            </w:pPr>
          </w:p>
        </w:tc>
        <w:tc>
          <w:tcPr>
            <w:tcW w:w="1460" w:type="dxa"/>
            <w:vAlign w:val="bottom"/>
          </w:tcPr>
          <w:p>
            <w:pPr>
              <w:jc w:val="right"/>
              <w:ind w:right="495"/>
              <w:spacing w:after="0"/>
              <w:rPr>
                <w:sz w:val="20"/>
                <w:szCs w:val="20"/>
                <w:color w:val="auto"/>
              </w:rPr>
            </w:pPr>
            <w:r>
              <w:rPr>
                <w:rFonts w:ascii="Arial" w:cs="Arial" w:eastAsia="Arial" w:hAnsi="Arial"/>
                <w:sz w:val="18"/>
                <w:szCs w:val="18"/>
                <w:color w:val="auto"/>
              </w:rPr>
              <w:t>3,692</w:t>
            </w:r>
          </w:p>
        </w:tc>
        <w:tc>
          <w:tcPr>
            <w:tcW w:w="980" w:type="dxa"/>
            <w:vAlign w:val="bottom"/>
          </w:tcPr>
          <w:p>
            <w:pPr>
              <w:jc w:val="right"/>
              <w:spacing w:after="0"/>
              <w:rPr>
                <w:sz w:val="20"/>
                <w:szCs w:val="20"/>
                <w:color w:val="auto"/>
              </w:rPr>
            </w:pPr>
            <w:r>
              <w:rPr>
                <w:rFonts w:ascii="Arial" w:cs="Arial" w:eastAsia="Arial" w:hAnsi="Arial"/>
                <w:sz w:val="18"/>
                <w:szCs w:val="18"/>
                <w:color w:val="auto"/>
              </w:rPr>
              <w:t>91.2 %</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Clinical</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1,632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w:t>
            </w:r>
          </w:p>
        </w:tc>
        <w:tc>
          <w:tcPr>
            <w:tcW w:w="400" w:type="dxa"/>
            <w:vAlign w:val="bottom"/>
          </w:tcPr>
          <w:p>
            <w:pPr>
              <w:spacing w:after="0"/>
              <w:rPr>
                <w:sz w:val="19"/>
                <w:szCs w:val="19"/>
                <w:color w:val="auto"/>
              </w:rPr>
            </w:pPr>
          </w:p>
        </w:tc>
        <w:tc>
          <w:tcPr>
            <w:tcW w:w="1460" w:type="dxa"/>
            <w:vAlign w:val="bottom"/>
          </w:tcPr>
          <w:p>
            <w:pPr>
              <w:jc w:val="right"/>
              <w:ind w:right="435"/>
              <w:spacing w:after="0"/>
              <w:rPr>
                <w:sz w:val="20"/>
                <w:szCs w:val="20"/>
                <w:color w:val="auto"/>
              </w:rPr>
            </w:pPr>
            <w:r>
              <w:rPr>
                <w:rFonts w:ascii="Arial" w:cs="Arial" w:eastAsia="Arial" w:hAnsi="Arial"/>
                <w:sz w:val="18"/>
                <w:szCs w:val="18"/>
                <w:color w:val="auto"/>
              </w:rPr>
              <w:t>(60)</w:t>
            </w: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5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1,789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24,109</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12,842</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11,265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87.7 %</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Significant components of research and development expense include the following: Platform, which refers primarily to expenses related to screening through hit identification; Discovery, which refers primarily to expenses related to hit identification through development candidate; and Clinical, which refers primarily to expenses related to development candidate and beyond.</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Research and development expenses increased by $11.3 million, or 87.7%, to $24.1 million during the three months ended March 31, 2021 compared to $12.8 million during the three months ended March 31, 2020. The increase in research and development expenses was due to an increased number of experiments screened on the platform, an increased number of pre-clinical assets being validated and increased clinical costs as studies progress.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summarizes the components of general and administrative expense during the three months ended March 31,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27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21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860" w:type="dxa"/>
            <w:vAlign w:val="bottom"/>
            <w:tcBorders>
              <w:bottom w:val="single" w:sz="8" w:color="auto"/>
            </w:tcBorders>
          </w:tcPr>
          <w:p>
            <w:pPr>
              <w:jc w:val="right"/>
              <w:ind w:right="66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8,937 $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78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rPr>
              <w:t>3,376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60.7 %</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General and administrative expenses increased by $3.4 million, or 60.7%, to $ 8.9 million during the three months ended March 31, 2021 compared to $5.6 million during the three months ended March 31, 2020. The increase in general and administrative expenses was due to growth in size of the Company’s operations including an increase in salaries and wages of $1.2 million, human resources costs, facilities costs, finance costs and other administrative costs associated with operating a growth-stage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loss,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Other loss, net during the three months ended March 31, 2021 and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215"/>
        </w:trPr>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249</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301</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35"/>
              <w:spacing w:after="0"/>
              <w:rPr>
                <w:sz w:val="20"/>
                <w:szCs w:val="20"/>
                <w:color w:val="auto"/>
              </w:rPr>
            </w:pPr>
            <w:r>
              <w:rPr>
                <w:rFonts w:ascii="Arial" w:cs="Arial" w:eastAsia="Arial" w:hAnsi="Arial"/>
                <w:sz w:val="18"/>
                <w:szCs w:val="18"/>
                <w:color w:val="auto"/>
              </w:rPr>
              <w:t>(52)</w:t>
            </w: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204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loss,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2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152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&gt;100%</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7" w:right="439" w:bottom="1440" w:gutter="0" w:footer="0" w:header="0"/>
        </w:sectPr>
      </w:pPr>
    </w:p>
    <w:bookmarkStart w:id="29" w:name="page30"/>
    <w:bookmarkEnd w:id="29"/>
    <w:p>
      <w:pPr>
        <w:ind w:right="200"/>
        <w:spacing w:after="0" w:line="256" w:lineRule="auto"/>
        <w:rPr>
          <w:sz w:val="20"/>
          <w:szCs w:val="20"/>
          <w:color w:val="auto"/>
        </w:rPr>
      </w:pPr>
      <w:r>
        <w:rPr>
          <w:rFonts w:ascii="Arial" w:cs="Arial" w:eastAsia="Arial" w:hAnsi="Arial"/>
          <w:sz w:val="18"/>
          <w:szCs w:val="18"/>
          <w:color w:val="auto"/>
        </w:rPr>
        <w:t>Other loss, net increased by $152 thousand to $ 233 thousand during the three months ended March 31, 2021 compared to $81 thousand during the three months ended March 31, 2020. The increase in Other loss, net was primarily due to a decrease in interest earned from the Company’s checking accounts.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has not yet commercialized any products and does not expect to generate revenue from the sales of any product candidates for several years. Cash and cash equivalents totaled $214.1 million as of March 31, 2021 and $262.1 million as of December 31, 2020.</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has incurred operating losses, experienced negative operating cash flows and Recursion anticipates that the Company will continue to incur losses for at least the foreseeable future. Our net loss totaled $30.7 million during the three months ended March 31, 2021 and $18.4 million during the three months ended March 31, 2020. As of March 31, 2021 and December 31, 2020, Recursion had an accumulated deficit of $244.3 million and $213.6 million, respectively.</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date, Recursion has financed the Company’s operations primarily through private placements of preferred stock. Through March 31, 2021, the Company has received gross proceeds of $448.9 million from sales of our preferred stock. In April 2021, the Company completed an IPO receiving an approximate net proceeds of $462.6 million. See Note 16, “Subsequent Events” to the Condensed Consolidated Financial Statements for additional detail.</w:t>
      </w:r>
    </w:p>
    <w:p>
      <w:pPr>
        <w:spacing w:after="0" w:line="2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Over September and October 2020, the Company received a $30.0 million upfront payment from the Company’s strategic partnership with Bayer.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Midcap Credit and Security Agreement</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September 2019, we entered into a Credit and Security Agreement with Midcap Financial Trust (Midcap), which we refer to as our Credit Agreement. The Credit Agreement includes: i) an initial term loan in an aggregate principal amount of $ 11.9 million; and ii) a second tranche term loan, which if drawn would result in an aggregate outstanding maximum principal amount of $26.9 million. The second tranche will become available to be drawn upon the achievement of certain drug development milestones. We are required to make interest-only payments from September 2019 to September 2021, and thereafter, 36 monthly principal payments of $330 thousand plus interest commencing in October 2021 and continuing until the maturity date in September 2024. The interest-only period will be extended an additional 12 months upon achievement of certain fundraising related milestones. Interest accrues on the principal amount outstanding at a floating per annum rate equal to the LIBOR (floor of 2.00%) rate plus 5.75%.</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debt is secured against all of our assets. The Credit Agreement includes standard affirmative and restrictive covenants and standard events of default, including payment defaults, breaches of covenants following any applicable cure period, a material impairment in the perfection or priority of Midcap’s security interest or in the value of the collateral and a material adverse change in our business, operations, or conditions. Upon the occurrence of an event of default and following any applicable cure periods, Midcap may declare all outstanding obligations immediately due and payable and take such other actions as set forth in the Credit Agreement. As of March 31, 2021, the Company was in compliance with all debt covenants under the Credit Agreement. In 2019, we paid fees of approximately $298 thousand in connection with the origination of the Credit Agreement. These fees were deferred and recorded as a direct deduction from the carrying value of the loan payable and are amortized to interest expense over the remaining term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 March 31,</w:t>
            </w:r>
          </w:p>
        </w:tc>
      </w:tr>
      <w:tr>
        <w:trPr>
          <w:trHeight w:val="215"/>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(30,755)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(17,817)</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(19,416)</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30"/>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w:t>
            </w:r>
          </w:p>
        </w:tc>
      </w:tr>
      <w:tr>
        <w:trPr>
          <w:trHeight w:val="223"/>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(48,037)</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(12,504)</w:t>
            </w:r>
          </w:p>
        </w:tc>
      </w:tr>
      <w:tr>
        <w:trPr>
          <w:trHeight w:val="21"/>
        </w:trPr>
        <w:tc>
          <w:tcPr>
            <w:tcW w:w="8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used in operating activities was $30.8 million during the three months ended March 31, 2021. Net cash used in operating activities increased from the three months ended March 31, 2020 due to higher costs incurred for research and development and general and administrative due to the Company’s growth as well as the timing of working capital cash flows for the three months ended March 31, 2021. Net cash used in operating activities was $17.8 million during the three months ended March 31, 2020. Cash used in operating activities increased from the three months ended March 31, 2019 due to higher costs incurred for research and development and general and administrative due to the Company’s growth which was partially offset by the timing of working capital cash flows for the three months ended March 31,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Net cash used in investing activities was $19.4 million during the three months ended March 31, 2021. Cash used in investing activities was primarily for the purchase of a Dell EMC supercomputer as well as accessories and parts for a total of $17.9 million.</w:t>
      </w:r>
    </w:p>
    <w:p>
      <w:pPr>
        <w:spacing w:after="0" w:line="22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Net cash used in investing activities was $684 thousand during the three months ended March 31, 2020. Cash used in investing activities was primarily for the purchase of lab equipment and leasehold improvements.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Net cash provided by financing activities was $2.1 million during the three months ended March 31, 2021. Cash provided by financing activities primarily consisted of $2.2 million of proceeds from the exercise of stock options.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Net cash provided by financing activities was $6.0 million during the three months ended March 31, 2020, which consisted primarily of $6.0 million of proceeds from the issuance of convertible notes. See Note 5, “Notes Payable” to the Condensed Consolidated Financial Statements for additional detail on the convertible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Funding Requirements</w:t>
      </w:r>
    </w:p>
    <w:p>
      <w:pPr>
        <w:spacing w:after="0" w:line="27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Since inception, the Company has incurred significant operating losses. Given our broad and ambitious mission, we expect to continue to incur significant expenses and operating losses for the foreseeable future.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believes that the net proceeds from the IPO, together with the Company’s existing cash, and cash equivalents and borrowings available to us will be sufficient to fund the Company’s operating expenses and capital expenditures for at least the next 12 months. The Company’s assumptions that may be incorrect and we could exhaust our available capital resources sooner than we expect.</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Recursion does not expect to generate significant revenue from out-licensing transactions, development milestones, or royalties until successfully completing significant drug development milestones, whether on our own or in collaboration with third parties, which Recursion expects will take a number of years. In order to commercialize the Company’s drug candidates, we or our partners need to complete clinical development and comply with comprehensive regulatory requirements. Recursion is subject to a number of risks and uncertainties similar to those of other companies of the same size within the biotechnology industry, such as uncertainty of clinical trial outcomes, uncertainty of additional funding, and history of operating losses.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31" w:name="page32"/>
    <w:bookmarkEnd w:id="31"/>
    <w:p>
      <w:pPr>
        <w:ind w:right="320"/>
        <w:spacing w:after="0" w:line="252" w:lineRule="auto"/>
        <w:rPr>
          <w:sz w:val="20"/>
          <w:szCs w:val="20"/>
          <w:color w:val="auto"/>
        </w:rPr>
      </w:pPr>
      <w:r>
        <w:rPr>
          <w:rFonts w:ascii="Arial" w:cs="Arial" w:eastAsia="Arial" w:hAnsi="Arial"/>
          <w:sz w:val="18"/>
          <w:szCs w:val="18"/>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 further.</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74"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Final Prospectus. There have been no significant changes in the company’s application of its critical accounting policies during the three months ended March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March 2020, the World Health Organization declared the outbreak of novel coronavirus disease, or COVID-19, as a pandemic. The COVID-19 pandemic is evolving, and to date has led to the implementation of various responses, including government-imposed quarantines, travel restrictions and other public health safety measures. COVID-19 has caused market volatility and uncertainty around the world in various industries and, as a result, we expect our operations may also be affected. The Company is closely monitoring the impact of the pandemic of COVID-19 on all aspects of Recursion’s business. The extent to which COVID-19 ultimately impacts our operations and financial position will depend on future developments, which are highly uncertain and cannot be predicted with confidence, such as the duration of the outbreak, new information that may emerge concerning the severity of COVID-19 or the effectiveness of actions to contain COVID-19 or treat its impact, among others. In addition, recurrences or additional waves of COVID-19 cases could cause other widespread or more severe impacts depending on where infection rates are highest.</w:t>
      </w:r>
    </w:p>
    <w:p>
      <w:pPr>
        <w:spacing w:after="0" w:line="2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not incurred any significant impairment losses in the carrying values of our assets as a result of the pandemic and we are not aware of any specific related event or circumstance that would require us to revise our estimates reflected in our 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is an emerging growth company (EGC), as defined by the Jumpstart Our Business Startups Act of 2012 (the JOBS act). The JOBS Act, exempts EGCs from being required to comply with new or revised financial accounting standards until private companies are required to comply. Recursion as elected to use the extended transition period for new or revised financial accounting standards during the period in which we remain an EGC. However, the Company may adopt certain new or revised accounting standards early. This may make comparisons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32" w:name="page33"/>
    <w:bookmarkEnd w:id="32"/>
    <w:p>
      <w:pPr>
        <w:ind w:right="480"/>
        <w:spacing w:after="0" w:line="261" w:lineRule="auto"/>
        <w:rPr>
          <w:sz w:val="20"/>
          <w:szCs w:val="20"/>
          <w:color w:val="auto"/>
        </w:rPr>
      </w:pPr>
      <w:r>
        <w:rPr>
          <w:rFonts w:ascii="Arial" w:cs="Arial" w:eastAsia="Arial" w:hAnsi="Arial"/>
          <w:sz w:val="18"/>
          <w:szCs w:val="18"/>
          <w:color w:val="auto"/>
        </w:rPr>
        <w:t>of the Company’s financial statements with other public companies difficult because of the potential differences in accounting standards used.</w:t>
      </w:r>
    </w:p>
    <w:p>
      <w:pPr>
        <w:spacing w:after="0" w:line="22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Recursion may remain an EGC until December 31, 2026 although if we: (1) become a “large accelerated filer;” (2) have annual gross revenues of $1.07 billion or more in any fiscal year; or (3) issue more than $1.0 billion of non-convertible debt over a three-year period, the Company would cease to be an EGC as of December 31 of the applicable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74"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Refer to Note 2 in Item 1 of this Quarterly Report on Form 10-Q for information regarding recently issued and adopted accounting pronouncements.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is subject to market risk associated with changing interest rates on our variable rate note issued under our Credit Agreement with Midcap; the interest accrues on the principal amount outstanding at a floating per annum rate equal to the LIBOR rate plus 5.75% with a LIBOR floor of 2.00%. The interest rates applicable to our variable rate note may rise and increase the amount of interest expense. We do not purchase or hold any derivative instruments to protect against the effects of changes in interest rates. As of March 31, 2021 and December 31, 2020 the outstanding balance on the debt issued under our Credit Agreement with Midcap was $11.9 million.</w:t>
      </w:r>
    </w:p>
    <w:p>
      <w:pPr>
        <w:spacing w:after="0" w:line="2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cash and cash equivalents consist primarily of highly liquid investments in money market funds and cash on hand and have an original maturity date of 90 days or less. The fair value of our cash and cash equivalents would not be significantly affected by either an increase or decrease in interest rates, due mainly to the short-term nature of these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or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2021, our disclosure controls and procedures were effective.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quarter ended March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3" w:name="page34"/>
    <w:bookmarkEnd w:id="33"/>
    <w:p>
      <w:pPr>
        <w:spacing w:after="0" w:line="253" w:lineRule="auto"/>
        <w:rPr>
          <w:sz w:val="20"/>
          <w:szCs w:val="20"/>
          <w:color w:val="auto"/>
        </w:rPr>
      </w:pPr>
      <w:r>
        <w:rPr>
          <w:rFonts w:ascii="Arial" w:cs="Arial" w:eastAsia="Arial" w:hAnsi="Arial"/>
          <w:sz w:val="18"/>
          <w:szCs w:val="18"/>
          <w:color w:val="auto"/>
        </w:rPr>
        <w:t>As a result of the COVID-19 pandemic, many of the Company’s employees are working remotely. Recursion has not identified any material changes in our internal control over financial reporting as a result of these changes to the working environment, in part because our internal control over financial reporting was designed to operate in a remote working environment. The Company is continually monitoring and assessing the COVID-19 situation to determine any potential impacts on the design and operating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49"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Part I, Item 1, Note 6 is incorporated herein by reference.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You should carefully consider the risks and uncertainties described below together with all of the other information contained in this Quarterly Report on Form 10-Q and our other public filings with the SEC.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clinical-stage biotechnology company with a limited operating history.</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 clinical-stage biotechnology company with a limited operating history. Biopharmaceutical product development is a highly speculative undertaking and involves a substantial degree of risk. Since our inception in November 2013, we have focused substantially all of our efforts and financial resources on building our drug discovery platform and developing our initial drug candidates. We have no products approved for commercial sale and therefore have never generated any revenue from drug product sales, and we do not expect to generate any revenue from drug product sales in the foreseeable future. We have not obtained regulatory approvals to market any of our drug candidates and there is no assurance that we will obtain regulatory approvals to market and sell drug products in the future.</w:t>
      </w:r>
    </w:p>
    <w:p>
      <w:pPr>
        <w:spacing w:after="0" w:line="213"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incurred net losses in each year since our inception. Our net losses were $30.7 million and $18.4 million for the three months ended March 31, 2021 and 2020, respectively. We had an accumulated deficit of $244.3 million as of March 31, 2021. Substantially all of our operating losses have resulted from costs incurred in connection with research and development efforts, including clinical studies, and from general and administrative costs associated with our operations. We expect our operating expenses to significantly increase as we continue to invest in research and development efforts and the commencement and continuation of clinical trials of our existing and future drug candidates. In addition, if we obtain marketing approval for any drug candidates, we will incur significant sales, marketing, and outsourced-manufacturing expenses. We continue to incur additional costs associated with operating as a public company. As a result, we expect to continue to incur significant and increasing operating losses for the foreseeable future. Our prior losses, combined with expected future losses, have had and will continue to have an adverse effect on our stockholders’ deficit and working capital. Because of the numerous risks and uncertainties associated with developing pharmaceutical products and new technologies, we are unable to predict the extent of any future losses or when we will become profitable, if at all. Even if we do become profitable, we may not be able to sustain or increase our profitability on a quarterly or annual basis.</w:t>
      </w:r>
    </w:p>
    <w:p>
      <w:pPr>
        <w:spacing w:after="0" w:line="2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mission is broad and expensive to achieve and we will need to raise substantial additional funding. If we are unable to raise capital when needed, we would be forced to delay, reduce, or eliminate at least some of our product development programs, business development plans, strategic investments, or potential commercialization efforts.</w:t>
      </w:r>
    </w:p>
    <w:p>
      <w:pPr>
        <w:spacing w:after="0" w:line="2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ambitious plans to decode biology and deliver new drugs to the patients that need them. Our mission is broad, expensive to achieve and will require additional capital in the future. In addition, the development of pharmaceutical products is capital-intensive. We have four clinical stage programs and 33 additional programs in various stages of preclinical development. We expect our expenses to increase in connection with our ongoing</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ind w:right="20"/>
        <w:spacing w:after="0" w:line="251" w:lineRule="auto"/>
        <w:rPr>
          <w:sz w:val="20"/>
          <w:szCs w:val="20"/>
          <w:color w:val="auto"/>
        </w:rPr>
      </w:pPr>
      <w:r>
        <w:rPr>
          <w:rFonts w:ascii="Arial" w:cs="Arial" w:eastAsia="Arial" w:hAnsi="Arial"/>
          <w:sz w:val="18"/>
          <w:szCs w:val="18"/>
          <w:color w:val="auto"/>
        </w:rPr>
        <w:t>activities, particularly as we continue the research and development of, initiate clinical trials of, and potentially seek marketing approval for, our drug candidates, and add to our pipeline what we believe will be an accelerating number of additional programs. In addition, depending on the status of potential regulatory approval, or if we obtain marketing approval for any current or future drug candidates, we could expect to incur significant expenses related to product sales, marketing, manufacturing and distribution. We may also need to raise additional funds sooner if we choose to pursue additional indications and/or geographies for our drug candidates or otherwise expand more rapidly than we presently anticipate. Furthermore, ,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potential future commercialization efforts.</w:t>
      </w:r>
    </w:p>
    <w:p>
      <w:pPr>
        <w:spacing w:after="0" w:line="239"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expect that the net proceeds from our initial public offering completed on April 20, 2021, together with our existing cash and cash equivalents, borrowings available to us and short-term investments as of the date of this Quarterly Report on Form 10-Q, will be sufficient to fund our operating expenses and capital expenditures for at least the next 12 months. Our future capital requirements will depend on and could increase significantly as a result of many factors, including:</w:t>
      </w:r>
    </w:p>
    <w:p>
      <w:pPr>
        <w:spacing w:after="0" w:line="2" w:lineRule="exact"/>
        <w:rPr>
          <w:sz w:val="20"/>
          <w:szCs w:val="20"/>
          <w:color w:val="auto"/>
        </w:rPr>
      </w:pPr>
    </w:p>
    <w:p>
      <w:pPr>
        <w:ind w:left="980" w:right="240" w:hanging="648"/>
        <w:spacing w:after="0" w:line="250" w:lineRule="auto"/>
        <w:tabs>
          <w:tab w:leader="none" w:pos="5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including the timing and enrollment of participants in our planned clinical trials, or to operations of our manufacturers, suppliers, or other vendors resulting from the COVID-19 pandemic or a similar public health crisis or other force majeure event;</w:t>
      </w:r>
    </w:p>
    <w:p>
      <w:pPr>
        <w:spacing w:after="0" w:line="1" w:lineRule="exact"/>
        <w:rPr>
          <w:rFonts w:ascii="Arial" w:cs="Arial" w:eastAsia="Arial" w:hAnsi="Arial"/>
          <w:sz w:val="18"/>
          <w:szCs w:val="18"/>
          <w:color w:val="auto"/>
        </w:rPr>
      </w:pP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our current and future clinical trials and additional preclinical research for our programs;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future drug candidates that we pursue and their development requirements;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any collaborations that we may enter into with third parties;</w:t>
      </w:r>
    </w:p>
    <w:p>
      <w:pPr>
        <w:spacing w:after="0" w:line="9" w:lineRule="exact"/>
        <w:rPr>
          <w:rFonts w:ascii="Arial" w:cs="Arial" w:eastAsia="Arial" w:hAnsi="Arial"/>
          <w:sz w:val="18"/>
          <w:szCs w:val="18"/>
          <w:color w:val="auto"/>
        </w:rPr>
      </w:pPr>
    </w:p>
    <w:p>
      <w:pPr>
        <w:ind w:left="980" w:right="220" w:hanging="648"/>
        <w:spacing w:after="0" w:line="250" w:lineRule="auto"/>
        <w:tabs>
          <w:tab w:leader="none" w:pos="5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drug candidates;</w:t>
      </w:r>
    </w:p>
    <w:p>
      <w:pPr>
        <w:ind w:left="980" w:hanging="648"/>
        <w:spacing w:after="0" w:line="250" w:lineRule="auto"/>
        <w:tabs>
          <w:tab w:leader="none" w:pos="5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protecting, and enforcing our intellectual property rights and defending intellectual property-related claims;</w:t>
      </w: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business operations and our research and development activities; and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Identifying potential drug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drug candidates, if approved, may not achieve commercial success. We anticipate that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21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Any additional fundraising efforts may divert our management from day-to-day activities, which may adversely affect our ability to develop and commercialize our drug candidates and technologies, and we can provide no assurance that such funding will be available on terms that are acceptable to us, or at all</w:t>
      </w:r>
      <w:r>
        <w:rPr>
          <w:rFonts w:ascii="Arial" w:cs="Arial" w:eastAsia="Arial" w:hAnsi="Arial"/>
          <w:sz w:val="18"/>
          <w:szCs w:val="18"/>
          <w:color w:val="auto"/>
        </w:rPr>
        <w:t>.</w:t>
      </w:r>
    </w:p>
    <w:p>
      <w:pPr>
        <w:spacing w:after="0" w:line="22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Until such time, if ever, as we can generate substantial revenues, we expect to finance our cash needs through a combination of private and public equity offerings, debt financings, strategic collaborations, strategic alliances, and licensing arrangements. We do not have any committed external source of funds. Disruptions in the financial markets in general and more recently due to the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Class A common stock or securities convertible or exchangeable into Class A common stock, our stockholders’ ownership interest will be diluted, and the terms of those securities may include liquidation or other preferences that materially adversely affect our stockholders’ rights as a common stockholder. The incurrence of indebtedness would result in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6" w:name="page37"/>
    <w:bookmarkEnd w:id="36"/>
    <w:p>
      <w:pPr>
        <w:spacing w:after="0" w:line="251" w:lineRule="auto"/>
        <w:rPr>
          <w:sz w:val="20"/>
          <w:szCs w:val="20"/>
          <w:color w:val="auto"/>
        </w:rPr>
      </w:pPr>
      <w:r>
        <w:rPr>
          <w:rFonts w:ascii="Arial" w:cs="Arial" w:eastAsia="Arial" w:hAnsi="Arial"/>
          <w:sz w:val="18"/>
          <w:szCs w:val="18"/>
          <w:color w:val="auto"/>
        </w:rPr>
        <w:t>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make capital expenditures, declare dividends, or otherwise conduct our business. We could also be required to seek funds through arrangements with collaborators or otherwise at an earlier stage than otherwise would be desirable and we may be required to relinquish rights to some of our technologies or drug candidates, future revenue streams, or research programs or otherwise agree to terms unfavorable to us. 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27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ability to become profitable depends upon our ability to generate substantial revenue in an amount necessary to offset our expenses. To date, we have not generated any revenue from our drug candidates or technologies, other than limited grant revenues, milestone payments from Takeda Pharmaceutical Company Limited and a technology access fee from Bayer, and we do not expect to generate any revenue from the sale of products in the near future. We do not expect to generate significant revenue unless and until we progress our drug candidates through clinical trials and obtain marketing approval of, and begin to sell one or more of our drug candidates, or otherwise receive substantial licensing or other payments. Our ability to generate revenue depends on a number of factors, including, but not limited to, our ability to:</w:t>
      </w:r>
    </w:p>
    <w:p>
      <w:pPr>
        <w:spacing w:after="0" w:line="1" w:lineRule="exact"/>
        <w:rPr>
          <w:sz w:val="20"/>
          <w:szCs w:val="20"/>
          <w:color w:val="auto"/>
        </w:rPr>
      </w:pPr>
    </w:p>
    <w:p>
      <w:pPr>
        <w:ind w:left="600" w:hanging="26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complete preclinical studies;</w:t>
      </w:r>
    </w:p>
    <w:p>
      <w:pPr>
        <w:spacing w:after="0" w:line="9" w:lineRule="exact"/>
        <w:rPr>
          <w:rFonts w:ascii="Arial" w:cs="Arial" w:eastAsia="Arial" w:hAnsi="Arial"/>
          <w:sz w:val="18"/>
          <w:szCs w:val="18"/>
          <w:color w:val="auto"/>
        </w:rPr>
      </w:pPr>
    </w:p>
    <w:p>
      <w:pPr>
        <w:ind w:left="980" w:right="840" w:hanging="648"/>
        <w:spacing w:after="0" w:line="250" w:lineRule="auto"/>
        <w:tabs>
          <w:tab w:leader="none" w:pos="595"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Investigational New Drug, or IND, applications approved by the U.S. Food Drug Administration, or FDA, allowing us to commence clinical trials;</w:t>
      </w:r>
    </w:p>
    <w:p>
      <w:pPr>
        <w:ind w:left="600" w:hanging="26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enroll subjects in, and complete, clinical trials;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regulatory approvals from applicable regulatory authorities;</w:t>
      </w:r>
    </w:p>
    <w:p>
      <w:pPr>
        <w:spacing w:after="0" w:line="9" w:lineRule="exact"/>
        <w:rPr>
          <w:rFonts w:ascii="Arial" w:cs="Arial" w:eastAsia="Arial" w:hAnsi="Arial"/>
          <w:sz w:val="18"/>
          <w:szCs w:val="18"/>
          <w:color w:val="auto"/>
        </w:rPr>
      </w:pPr>
    </w:p>
    <w:p>
      <w:pPr>
        <w:ind w:left="980" w:right="420" w:hanging="648"/>
        <w:spacing w:after="0" w:line="250" w:lineRule="auto"/>
        <w:tabs>
          <w:tab w:leader="none" w:pos="5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and successfully complete all safety and other studies required to obtain U.S. and foreign marketing approval for our drug candidates;</w:t>
      </w:r>
    </w:p>
    <w:p>
      <w:pPr>
        <w:ind w:left="980" w:right="780" w:hanging="648"/>
        <w:spacing w:after="0" w:line="250" w:lineRule="auto"/>
        <w:tabs>
          <w:tab w:leader="none" w:pos="5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ind w:left="600" w:hanging="26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or regulatory exclusivity for our drug candidates;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commercial sales of our drug candidates, if and when approved, whether alone or in collaboration with others;</w:t>
      </w:r>
    </w:p>
    <w:p>
      <w:pPr>
        <w:spacing w:after="0" w:line="9" w:lineRule="exact"/>
        <w:rPr>
          <w:rFonts w:ascii="Arial" w:cs="Arial" w:eastAsia="Arial" w:hAnsi="Arial"/>
          <w:sz w:val="18"/>
          <w:szCs w:val="18"/>
          <w:color w:val="auto"/>
        </w:rPr>
      </w:pPr>
    </w:p>
    <w:p>
      <w:pPr>
        <w:ind w:left="980" w:right="300" w:hanging="648"/>
        <w:spacing w:after="0" w:line="250" w:lineRule="auto"/>
        <w:tabs>
          <w:tab w:leader="none" w:pos="5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and maintain acceptance of the drug candidates, if and when approved, by patients, the medical community, and third-party payors;</w:t>
      </w:r>
    </w:p>
    <w:p>
      <w:pPr>
        <w:ind w:left="600" w:hanging="26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compete with other therapies;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and maintain healthcare coverage and adequate reimbursement;</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 and enforce our intellectual property rights and defend against intellectual property claims;</w:t>
      </w:r>
    </w:p>
    <w:p>
      <w:pPr>
        <w:spacing w:after="0" w:line="9" w:lineRule="exact"/>
        <w:rPr>
          <w:rFonts w:ascii="Arial" w:cs="Arial" w:eastAsia="Arial" w:hAnsi="Arial"/>
          <w:sz w:val="18"/>
          <w:szCs w:val="18"/>
          <w:color w:val="auto"/>
        </w:rPr>
      </w:pPr>
    </w:p>
    <w:p>
      <w:pPr>
        <w:ind w:left="980" w:right="160" w:hanging="648"/>
        <w:spacing w:after="0" w:line="250" w:lineRule="auto"/>
        <w:tabs>
          <w:tab w:leader="none" w:pos="5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take temporary precautionary measures to help minimize the impact of the COVID-19 pandemic or other force majeure event on our business; and</w:t>
      </w:r>
    </w:p>
    <w:p>
      <w:pPr>
        <w:ind w:left="600" w:hanging="26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the drug candidates following approval.</w:t>
      </w: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20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We or our current and future collaborators may never successfully develop and commercialize drug products, which would negatively affect our results of operation and our ability to continue our business operations.</w:t>
      </w:r>
    </w:p>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may not succeed in producing drug candidates that can be commercialized. To achieve success with our drug candidates, we or our current or future collaborators must develop, and eventually commercialize, a drug product or drug products that generate significant revenue. We currently generate revenues primarily from our collaboration relationships and expect to continue to derive most of our revenue from these relationships until such time as our or our collaborators’ drug development and commercialization efforts are successful, if ever.</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7" w:name="page38"/>
    <w:bookmarkEnd w:id="37"/>
    <w:p>
      <w:pPr>
        <w:spacing w:after="0" w:line="250" w:lineRule="auto"/>
        <w:rPr>
          <w:sz w:val="20"/>
          <w:szCs w:val="20"/>
          <w:color w:val="auto"/>
        </w:rPr>
      </w:pPr>
      <w:r>
        <w:rPr>
          <w:rFonts w:ascii="Arial" w:cs="Arial" w:eastAsia="Arial" w:hAnsi="Arial"/>
          <w:sz w:val="18"/>
          <w:szCs w:val="18"/>
          <w:color w:val="auto"/>
        </w:rPr>
        <w:t>Achieving success in drug development will require us or our current or future collaborators to be effective in a range of challenging activities, including completing preclinical testing and clinical trials of drug candidates, obtaining regulatory approval for these drug candidates, and manufacturing, marketing, and selling any products for which we or they may obtain regulatory approval. We and our current drug discovery collaborators are only in the preliminary stages of most of these activities. We and they may never succeed in these activities and, even if we do, we may never generate revenues that are significant enough to achieve profitability, or even if our collaborators do, we may not receive option fees, milestone payments, or royalties from them that are significant enough for us to achieve profitability. Because of the intense competition in the market for our data solutions and the numerous risks and uncertainties associated with biopharmaceutical product development, we are unable to accurately predict when, or if, we will be able to achieve or sustain profitability.</w:t>
      </w:r>
    </w:p>
    <w:p>
      <w:pPr>
        <w:spacing w:after="0" w:line="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eventually depress the value of our company and could impair our ability to raise capital, expand our business, maintain our research and development efforts, develop a pipeline of drug candidates, enter into collaborations, or even continue our operations. A decline in the value of our company could also cause our Class A common stock to decline substantially and our stockholders to lose all or part of their value in our Class A common stock.</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Our quarterly and annual operating results may fluctuate significantly in the future due to a variety of factors, many of which are outside of our control and may be difficult to predict.</w:t>
      </w:r>
    </w:p>
    <w:p>
      <w:pPr>
        <w:spacing w:after="0" w:line="225" w:lineRule="exact"/>
        <w:rPr>
          <w:sz w:val="20"/>
          <w:szCs w:val="20"/>
          <w:color w:val="auto"/>
        </w:rPr>
      </w:pPr>
    </w:p>
    <w:p>
      <w:pPr>
        <w:jc w:val="both"/>
        <w:ind w:right="180"/>
        <w:spacing w:after="0" w:line="250"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The reasons our quarterly and annual operating results may fluctuate include the following:</w:t>
      </w:r>
    </w:p>
    <w:p>
      <w:pPr>
        <w:spacing w:after="0" w:line="1" w:lineRule="exact"/>
        <w:rPr>
          <w:sz w:val="20"/>
          <w:szCs w:val="20"/>
          <w:color w:val="auto"/>
        </w:rPr>
      </w:pPr>
    </w:p>
    <w:p>
      <w:pPr>
        <w:ind w:left="600" w:hanging="268"/>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continue to maintain, develop, and integrate technological advancements;</w:t>
      </w:r>
    </w:p>
    <w:p>
      <w:pPr>
        <w:spacing w:after="0" w:line="9" w:lineRule="exact"/>
        <w:rPr>
          <w:rFonts w:ascii="Arial" w:cs="Arial" w:eastAsia="Arial" w:hAnsi="Arial"/>
          <w:sz w:val="18"/>
          <w:szCs w:val="18"/>
          <w:color w:val="auto"/>
        </w:rPr>
      </w:pPr>
    </w:p>
    <w:p>
      <w:pPr>
        <w:ind w:left="980" w:right="160" w:hanging="648"/>
        <w:spacing w:after="0" w:line="250" w:lineRule="auto"/>
        <w:tabs>
          <w:tab w:leader="none" w:pos="5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quality, regulatory compliance, and success or failure of clinical trials for our drug candidates or competing drug candidates, or any other change in the competitive landscape of our industry, including consolidation among our competitors or partners;</w:t>
      </w:r>
    </w:p>
    <w:p>
      <w:pPr>
        <w:spacing w:after="0" w:line="1" w:lineRule="exact"/>
        <w:rPr>
          <w:rFonts w:ascii="Arial" w:cs="Arial" w:eastAsia="Arial" w:hAnsi="Arial"/>
          <w:sz w:val="18"/>
          <w:szCs w:val="18"/>
          <w:color w:val="auto"/>
        </w:rPr>
      </w:pPr>
    </w:p>
    <w:p>
      <w:pPr>
        <w:ind w:left="980" w:right="360" w:hanging="648"/>
        <w:spacing w:after="0" w:line="250" w:lineRule="auto"/>
        <w:tabs>
          <w:tab w:leader="none" w:pos="5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recruit and retain subjects, sites, and staff for clinical trials, and any delays caused by difficulties in such efforts;</w:t>
      </w:r>
    </w:p>
    <w:p>
      <w:pPr>
        <w:ind w:left="600" w:hanging="268"/>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marketing approval for our drug candidates, and the timing and scope of any such approvals we may receive;</w:t>
      </w:r>
    </w:p>
    <w:p>
      <w:pPr>
        <w:spacing w:after="0" w:line="9" w:lineRule="exact"/>
        <w:rPr>
          <w:rFonts w:ascii="Arial" w:cs="Arial" w:eastAsia="Arial" w:hAnsi="Arial"/>
          <w:sz w:val="18"/>
          <w:szCs w:val="18"/>
          <w:color w:val="auto"/>
        </w:rPr>
      </w:pPr>
    </w:p>
    <w:p>
      <w:pPr>
        <w:ind w:left="980" w:right="380" w:hanging="648"/>
        <w:spacing w:after="0" w:line="250" w:lineRule="auto"/>
        <w:tabs>
          <w:tab w:leader="none" w:pos="5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drug candidates, which may change from time to time;</w:t>
      </w:r>
    </w:p>
    <w:p>
      <w:pPr>
        <w:ind w:left="980" w:right="200" w:hanging="648"/>
        <w:spacing w:after="0" w:line="250" w:lineRule="auto"/>
        <w:tabs>
          <w:tab w:leader="none" w:pos="5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complexity, and cost of manufacturing our drug candidates, which may vary depending on the quantity of production and the terms of our agreements with manufacturers;</w:t>
      </w:r>
    </w:p>
    <w:p>
      <w:pPr>
        <w:ind w:left="600" w:hanging="268"/>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 including highly specialized scientists, clinicians, and engineers;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drug candidates;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drug candidates should they receive approval, which may vary significantly;</w:t>
      </w:r>
    </w:p>
    <w:p>
      <w:pPr>
        <w:spacing w:after="0" w:line="9" w:lineRule="exact"/>
        <w:rPr>
          <w:rFonts w:ascii="Arial" w:cs="Arial" w:eastAsia="Arial" w:hAnsi="Arial"/>
          <w:sz w:val="18"/>
          <w:szCs w:val="18"/>
          <w:color w:val="auto"/>
        </w:rPr>
      </w:pPr>
    </w:p>
    <w:p>
      <w:pPr>
        <w:ind w:left="980" w:right="200" w:hanging="648"/>
        <w:spacing w:after="0" w:line="250" w:lineRule="auto"/>
        <w:tabs>
          <w:tab w:leader="none" w:pos="5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drug candidates, if approved, and existing and potential future therapeutics that compete with our drug candidates;</w:t>
      </w:r>
    </w:p>
    <w:p>
      <w:pPr>
        <w:ind w:left="600" w:hanging="268"/>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changing and volatile U.S. and global economic environments, including as a result of the COVID-19 pandemic and terrorism; and</w:t>
      </w:r>
    </w:p>
    <w:p>
      <w:pPr>
        <w:spacing w:after="0" w:line="20" w:lineRule="exact"/>
        <w:rPr>
          <w:rFonts w:ascii="Arial" w:cs="Arial" w:eastAsia="Arial" w:hAnsi="Arial"/>
          <w:sz w:val="17"/>
          <w:szCs w:val="17"/>
          <w:color w:val="auto"/>
        </w:rPr>
      </w:pPr>
    </w:p>
    <w:p>
      <w:pPr>
        <w:ind w:left="600" w:hanging="268"/>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cumulative effects of these and other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guidance we may have provided or provide in the future.</w:t>
      </w:r>
    </w:p>
    <w:p>
      <w:pPr>
        <w:spacing w:after="0" w:line="21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equity, cause us to incur debt or assume contingent liabilities, and subject us to other risks.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8" w:name="page39"/>
    <w:bookmarkEnd w:id="38"/>
    <w:p>
      <w:pPr>
        <w:ind w:right="100"/>
        <w:spacing w:after="0" w:line="265" w:lineRule="auto"/>
        <w:rPr>
          <w:sz w:val="20"/>
          <w:szCs w:val="20"/>
          <w:color w:val="auto"/>
        </w:rPr>
      </w:pPr>
      <w:r>
        <w:rPr>
          <w:rFonts w:ascii="Arial" w:cs="Arial" w:eastAsia="Arial" w:hAnsi="Arial"/>
          <w:sz w:val="17"/>
          <w:szCs w:val="17"/>
          <w:color w:val="auto"/>
        </w:rPr>
        <w:t>We may engage in various acquisitions and strategic partnerships in the future, including by licensing or acquiring complementary products, intellectual property rights, technologies, or businesses. Any acquisition or strategic partnership may entail numerous risks, including:</w:t>
      </w:r>
    </w:p>
    <w:p>
      <w:pPr>
        <w:ind w:left="600" w:hanging="26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 equity;</w:t>
      </w:r>
    </w:p>
    <w:p>
      <w:pPr>
        <w:spacing w:after="0" w:line="9" w:lineRule="exact"/>
        <w:rPr>
          <w:rFonts w:ascii="Arial" w:cs="Arial" w:eastAsia="Arial" w:hAnsi="Arial"/>
          <w:sz w:val="18"/>
          <w:szCs w:val="18"/>
          <w:color w:val="auto"/>
        </w:rPr>
      </w:pPr>
    </w:p>
    <w:p>
      <w:pPr>
        <w:ind w:left="980" w:right="800" w:hanging="648"/>
        <w:spacing w:after="0" w:line="250" w:lineRule="auto"/>
        <w:tabs>
          <w:tab w:leader="none" w:pos="5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drug candidates of an acquired company, including difficulties associated with integrating new personnel;</w:t>
      </w:r>
    </w:p>
    <w:p>
      <w:pPr>
        <w:ind w:left="980" w:right="400" w:hanging="648"/>
        <w:spacing w:after="0" w:line="250" w:lineRule="auto"/>
        <w:tabs>
          <w:tab w:leader="none" w:pos="5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an acquisition or strategic partnership;</w:t>
      </w:r>
    </w:p>
    <w:p>
      <w:pPr>
        <w:ind w:left="600" w:hanging="268"/>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9" w:lineRule="exact"/>
        <w:rPr>
          <w:rFonts w:ascii="Arial" w:cs="Arial" w:eastAsia="Arial" w:hAnsi="Arial"/>
          <w:sz w:val="18"/>
          <w:szCs w:val="18"/>
          <w:color w:val="auto"/>
        </w:rPr>
      </w:pPr>
    </w:p>
    <w:p>
      <w:pPr>
        <w:ind w:left="980" w:right="260" w:hanging="648"/>
        <w:spacing w:after="0" w:line="250" w:lineRule="auto"/>
        <w:tabs>
          <w:tab w:leader="none" w:pos="5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drug candidates and regulatory approvals; and</w:t>
      </w:r>
    </w:p>
    <w:p>
      <w:pPr>
        <w:ind w:left="980" w:right="200" w:hanging="648"/>
        <w:spacing w:after="0" w:line="261" w:lineRule="auto"/>
        <w:tabs>
          <w:tab w:leader="none" w:pos="5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22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Drug Candidates</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Our approach to drug discovery is unique and may not lead to successful drug products, for reasons including but not limited to challenges identifying mechanisms of action for our candidates.</w:t>
      </w:r>
    </w:p>
    <w:p>
      <w:pPr>
        <w:spacing w:after="0" w:line="251" w:lineRule="auto"/>
        <w:rPr>
          <w:sz w:val="20"/>
          <w:szCs w:val="20"/>
          <w:color w:val="auto"/>
        </w:rPr>
      </w:pPr>
      <w:r>
        <w:rPr>
          <w:rFonts w:ascii="Arial" w:cs="Arial" w:eastAsia="Arial" w:hAnsi="Arial"/>
          <w:sz w:val="18"/>
          <w:szCs w:val="18"/>
          <w:color w:val="auto"/>
        </w:rPr>
        <w:t>We image cells and use cell morphology to understand how a diseased cell responds to drugs and when it appears normal. Biology is complex. If studying the shape, structure, form, and size of cells does not prove to be an accurate way to better understand diseases or does not lead to the biological insights, viable drug candidates, or products we anticipate, our drug discovery platform may not be useful or may not lead to successful drug products or we may have to pivot to a new business model, any of which could have an adverse effect on our reputation and results of operations. If the mechanism of action of a drug candidate is unknown, it may be more difficult to: i) choose the best lead to optimize from an efficacy standpoint and ii) avoid potential off-target side effects of the candidate that could affect safety. Such uncertainty could make it more difficult to form partnerships with larger pharmaceutical companies, as the expenses involved in late-phase clinical trials increase the level of risk related to potential efficacy and/or safety concerns, and may pose challenges to IND and/or NDA approval by the FDA or other regulatory agencies.</w:t>
      </w:r>
    </w:p>
    <w:p>
      <w:pPr>
        <w:spacing w:after="0" w:line="217" w:lineRule="exact"/>
        <w:rPr>
          <w:sz w:val="20"/>
          <w:szCs w:val="20"/>
          <w:color w:val="auto"/>
        </w:rPr>
      </w:pPr>
    </w:p>
    <w:p>
      <w:pPr>
        <w:ind w:right="660"/>
        <w:spacing w:after="0" w:line="291" w:lineRule="auto"/>
        <w:rPr>
          <w:sz w:val="20"/>
          <w:szCs w:val="20"/>
          <w:color w:val="auto"/>
        </w:rPr>
      </w:pPr>
      <w:r>
        <w:rPr>
          <w:rFonts w:ascii="Arial" w:cs="Arial" w:eastAsia="Arial" w:hAnsi="Arial"/>
          <w:sz w:val="17"/>
          <w:szCs w:val="17"/>
          <w:b w:val="1"/>
          <w:bCs w:val="1"/>
          <w:i w:val="1"/>
          <w:iCs w:val="1"/>
          <w:color w:val="auto"/>
        </w:rPr>
        <w:t>Our drug candidates are in preclinical or clinical development, which are lengthy and expensive processes with uncertain outcomes and the potential for substantial delays. We cannot give any assurance that any of our drug candidates will be successful in clinical trials or receive regulatory approval, which approval is necessary before they can be commercialized.</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drug candidates are in preclinical or clinical development, which are lengthy and expensive processes with uncertain outcomes and the potential for substantial delays. We have not yet demonstrated our ability to complete clinical development, obtain regulatory approvals, manufacture a commercial scale product, or arrange for a third party to do so on our behalf, or conduct sales and marketing activities necessary for successful commercialization. We currently have four clinical-stage drug candidates focused on rare, monogenic diseases with no known established regulatory precedent. We anticipate filing IND applications with the FDA for Phase 2 studies and beginning such studies for all four drug candidates within the next four to five quarters. We may not be able to file such INDs or INDs for any other drug candidates on the timelines we expect, if at all, and any such delays could impact any additional product development timelines. For example, we may experience manufacturing delays with preclinical and clinical studies. Moreover, we cannot be sure that submission of an IND will result in the FDA allowing further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positions at any time,</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2" w:right="379" w:bottom="1440" w:gutter="0" w:footer="0" w:header="0"/>
        </w:sectPr>
      </w:pPr>
    </w:p>
    <w:bookmarkStart w:id="39" w:name="page40"/>
    <w:bookmarkEnd w:id="39"/>
    <w:p>
      <w:pPr>
        <w:spacing w:after="0" w:line="250" w:lineRule="auto"/>
        <w:rPr>
          <w:sz w:val="20"/>
          <w:szCs w:val="20"/>
          <w:color w:val="auto"/>
        </w:rPr>
      </w:pPr>
      <w:r>
        <w:rPr>
          <w:rFonts w:ascii="Arial" w:cs="Arial" w:eastAsia="Arial" w:hAnsi="Arial"/>
          <w:sz w:val="18"/>
          <w:szCs w:val="18"/>
          <w:color w:val="auto"/>
        </w:rPr>
        <w:t>including their positions on the acceptability of our trial designs or the clinical endpoints or populations selected, which may require us to complete additional clinical trials or impose stricter approval conditions than we currently expect. Successful completion of our clinical trials is a prerequisite to submitting a New Drug Application, or NDA, to the FDA and a Marketing Authorization Application, or MAA, to the European Medicines Agency, or EMA, or Medicines and Healthcare Products Regulatory Agency, or MHRA, for each drug candidate and, consequently, the ultimate approval and commercial marketing of each drug candidate. We do not know whether any of our future clinical trials will begin on time or ever be completed on schedule, if at all.</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 w:lineRule="exact"/>
        <w:rPr>
          <w:sz w:val="20"/>
          <w:szCs w:val="20"/>
          <w:color w:val="auto"/>
        </w:rPr>
      </w:pP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delayed in obtaining marketing approvals for our drug candidates;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obtain marketing approvals at all;</w:t>
      </w:r>
    </w:p>
    <w:p>
      <w:pPr>
        <w:spacing w:after="0" w:line="9" w:lineRule="exact"/>
        <w:rPr>
          <w:rFonts w:ascii="Arial" w:cs="Arial" w:eastAsia="Arial" w:hAnsi="Arial"/>
          <w:sz w:val="18"/>
          <w:szCs w:val="18"/>
          <w:color w:val="auto"/>
        </w:rPr>
      </w:pPr>
    </w:p>
    <w:p>
      <w:pPr>
        <w:ind w:left="980" w:right="100" w:hanging="648"/>
        <w:spacing w:after="0" w:line="250" w:lineRule="auto"/>
        <w:tabs>
          <w:tab w:leader="none" w:pos="5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approvals for indications or patient populations that are not as broad as intended or desired or that impose label restrictions or warnings or risk mitigation requirements;</w:t>
      </w: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products removed from the market after obtaining marketing approval.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w:t>
      </w:r>
    </w:p>
    <w:p>
      <w:pPr>
        <w:spacing w:after="0" w:line="27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It is impossible to predict when or if any of our drug candidates will prove effective and safe in humans or will receive regulatory approval. To obtain marketing approval from regulatory authorities for the sale of any drug candidate, we must complete preclinical studies and then conduct extensive clinical trials to demonstrate the safety and efficacy of our drug candidates in humans. We may accelerate from cell models in our drug discovery platform directly to patients without validating results through animal studies, or validate them in animal studies at the same time as we conduct Phase 1 clinical trials. This approach could pose additional risks to our success because the effect of certain of our drug candidates on diseases has not been tested in animals prior to testing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or adequate payor reimbursement for approved products. Our preclinical studies and future clinical trials may not be successful.</w:t>
      </w:r>
    </w:p>
    <w:p>
      <w:pPr>
        <w:spacing w:after="0" w:line="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From time to time, we may publish interim top-line or preliminary data from our clinical trials. Interim data from clinical trials are subject to the risk that one or more of the clinical outcomes may materially change as enrollment of participants continues and more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21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our drug candidates.</w:t>
      </w:r>
    </w:p>
    <w:p>
      <w:pPr>
        <w:spacing w:after="0" w:line="20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 w:lineRule="exact"/>
        <w:rPr>
          <w:sz w:val="20"/>
          <w:szCs w:val="20"/>
          <w:color w:val="auto"/>
        </w:rPr>
      </w:pPr>
    </w:p>
    <w:p>
      <w:pPr>
        <w:ind w:left="980" w:right="380" w:hanging="648"/>
        <w:spacing w:after="0" w:line="250" w:lineRule="auto"/>
        <w:tabs>
          <w:tab w:leader="none" w:pos="5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ind w:left="980" w:right="300" w:hanging="648"/>
        <w:spacing w:after="0" w:line="256" w:lineRule="auto"/>
        <w:tabs>
          <w:tab w:leader="none" w:pos="5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0" w:name="page41"/>
    <w:bookmarkEnd w:id="40"/>
    <w:p>
      <w:pPr>
        <w:ind w:left="980" w:right="100" w:hanging="648"/>
        <w:spacing w:after="0" w:line="250" w:lineRule="auto"/>
        <w:tabs>
          <w:tab w:leader="none" w:pos="5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product development programs;</w:t>
      </w:r>
    </w:p>
    <w:p>
      <w:pPr>
        <w:ind w:left="980" w:right="420" w:hanging="648"/>
        <w:spacing w:after="0" w:line="250" w:lineRule="auto"/>
        <w:tabs>
          <w:tab w:leader="none" w:pos="5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participants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rFonts w:ascii="Arial" w:cs="Arial" w:eastAsia="Arial" w:hAnsi="Arial"/>
          <w:sz w:val="18"/>
          <w:szCs w:val="18"/>
          <w:color w:val="auto"/>
        </w:rPr>
      </w:pPr>
    </w:p>
    <w:p>
      <w:pPr>
        <w:ind w:left="980" w:right="40" w:hanging="648"/>
        <w:spacing w:after="0" w:line="250" w:lineRule="auto"/>
        <w:tabs>
          <w:tab w:leader="none" w:pos="5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to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8"/>
          <w:szCs w:val="18"/>
          <w:color w:val="auto"/>
        </w:rPr>
      </w:pPr>
    </w:p>
    <w:p>
      <w:pPr>
        <w:ind w:left="980" w:right="180" w:hanging="648"/>
        <w:spacing w:after="0" w:line="250" w:lineRule="auto"/>
        <w:tabs>
          <w:tab w:leader="none" w:pos="5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are being exposed to unacceptable health risks;</w:t>
      </w:r>
    </w:p>
    <w:p>
      <w:pPr>
        <w:spacing w:after="0" w:line="1" w:lineRule="exact"/>
        <w:rPr>
          <w:rFonts w:ascii="Arial" w:cs="Arial" w:eastAsia="Arial" w:hAnsi="Arial"/>
          <w:sz w:val="18"/>
          <w:szCs w:val="18"/>
          <w:color w:val="auto"/>
        </w:rPr>
      </w:pPr>
    </w:p>
    <w:p>
      <w:pPr>
        <w:ind w:left="600" w:hanging="268"/>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9" w:lineRule="exact"/>
        <w:rPr>
          <w:rFonts w:ascii="Arial" w:cs="Arial" w:eastAsia="Arial" w:hAnsi="Arial"/>
          <w:sz w:val="18"/>
          <w:szCs w:val="18"/>
          <w:color w:val="auto"/>
        </w:rPr>
      </w:pPr>
    </w:p>
    <w:p>
      <w:pPr>
        <w:ind w:left="980" w:right="460" w:hanging="648"/>
        <w:spacing w:after="0" w:line="250" w:lineRule="auto"/>
        <w:tabs>
          <w:tab w:leader="none" w:pos="5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ind w:left="600" w:hanging="268"/>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manufacturing of our drug candidates; and</w:t>
      </w:r>
    </w:p>
    <w:p>
      <w:pPr>
        <w:spacing w:after="0" w:line="9" w:lineRule="exact"/>
        <w:rPr>
          <w:rFonts w:ascii="Arial" w:cs="Arial" w:eastAsia="Arial" w:hAnsi="Arial"/>
          <w:sz w:val="18"/>
          <w:szCs w:val="18"/>
          <w:color w:val="auto"/>
        </w:rPr>
      </w:pPr>
    </w:p>
    <w:p>
      <w:pPr>
        <w:ind w:left="980" w:right="20" w:hanging="648"/>
        <w:spacing w:after="0" w:line="256" w:lineRule="auto"/>
        <w:tabs>
          <w:tab w:leader="none" w:pos="5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therapies that raise safety, efficacy, or other concerns about our drug candidates.</w:t>
      </w:r>
    </w:p>
    <w:p>
      <w:pPr>
        <w:spacing w:after="0" w:line="22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could encounter delays if a clinical trial is suspended or terminated by us, by the IRBs or ethics committees of the institutions at which such trials are being conducted, by the Data Safety Monitoring Board for such a trial, or by the FDA or other regulatory authorities. Regulatory authorities may impose a suspension or termination or clinical hold due to a number of factors, such as failure to conduct the clinical trial in accordance with regulatory requirements or our clinical protocols,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could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2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21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may not be able to initiate or continue clinical trials for current or future drug candidates if we are unable to locate and enroll a sufficient number of eligible participants in these trials as required by the FDA or similar regulatory authorities outside the United States. Our ability to enroll eligible participants may be limited or may result in slower enrollment than we anticipate. In addition, competitors may initiate or have ongoing clinical trials for drug candidates that treat the same indications as our current or future drug candidates, and participants who would otherwise be eligible for our clinical trials may instead enroll in our competitors’ clinical trials. Furthermore, our ability to enroll participants may be delayed by the evolving COVID-19 pandemic and we do not know the extent and scope of such delays at this point.</w:t>
      </w:r>
    </w:p>
    <w:p>
      <w:pPr>
        <w:spacing w:after="0" w:line="2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to the competitive trial environment, the eligibility criteria of our planned clinical trials will further limit the pool of available study participants as we will require that participants have specific characteristics, such as rare diseases connected to our drug candidates, which also may make enrollment challenging. Additionally, the process of finding potential participants may prove costly. We also may not be able to identify, recruit, and enroll a sufficient</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41" w:name="page42"/>
    <w:bookmarkEnd w:id="41"/>
    <w:p>
      <w:pPr>
        <w:spacing w:after="0" w:line="254" w:lineRule="auto"/>
        <w:rPr>
          <w:sz w:val="20"/>
          <w:szCs w:val="20"/>
          <w:color w:val="auto"/>
        </w:rPr>
      </w:pPr>
      <w:r>
        <w:rPr>
          <w:rFonts w:ascii="Arial" w:cs="Arial" w:eastAsia="Arial" w:hAnsi="Arial"/>
          <w:sz w:val="18"/>
          <w:szCs w:val="18"/>
          <w:color w:val="auto"/>
        </w:rPr>
        <w:t>number of participants to complete our clinical studies because of the perceived risks and benefits of the drug candidates under study, the availability and efficacy of competing therapies and clinical trials, the proximity and availability of clinical trial sites for prospective participants, and the referral practices of physicians. If people are unwilling to participate in our studies for any reason, the timeline for recruiting participants, conducting studies, and obtaining regulatory approval of potential products may be delayed.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enrollment may be affected by other factors including:</w:t>
      </w:r>
    </w:p>
    <w:p>
      <w:pPr>
        <w:spacing w:after="0" w:line="9" w:lineRule="exact"/>
        <w:rPr>
          <w:sz w:val="20"/>
          <w:szCs w:val="20"/>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eligibility criteria for the clinical trial in question;</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referral practices of physicians;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monitor participants adequately during and after the trial;</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participants;</w:t>
      </w:r>
    </w:p>
    <w:p>
      <w:pPr>
        <w:spacing w:after="0" w:line="9" w:lineRule="exact"/>
        <w:rPr>
          <w:rFonts w:ascii="Arial" w:cs="Arial" w:eastAsia="Arial" w:hAnsi="Arial"/>
          <w:sz w:val="18"/>
          <w:szCs w:val="18"/>
          <w:color w:val="auto"/>
        </w:rPr>
      </w:pPr>
    </w:p>
    <w:p>
      <w:pPr>
        <w:ind w:left="980" w:right="280" w:hanging="648"/>
        <w:spacing w:after="0" w:line="250" w:lineRule="auto"/>
        <w:tabs>
          <w:tab w:leader="none" w:pos="5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we may not be able to control, such as current or potential pandemics that may limit the availability of participants, principal investigators, study staff, or clinical sites, such as the outbreak of COVID-19;</w:t>
      </w: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referral practices of physicians;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monitor participants adequately during and after the trial;</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participant informed consent and privacy; and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enrolled participants will not complete a clinical trial.</w:t>
      </w:r>
    </w:p>
    <w:p>
      <w:pPr>
        <w:spacing w:after="0" w:line="23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planned clinical trials or those of our potential future collaborators may reveal significant adverse events not seen in our preclinical or nonclinical studies and may result in a safety profile that could inhibit regulatory approval or market acceptance of any of our drug candidates.</w:t>
      </w:r>
    </w:p>
    <w:p>
      <w:pPr>
        <w:spacing w:after="0" w:line="2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Before obtaining regulatory approvals for the commercial sale of any products, we must demonstrate through lengthy, complex, and expensive preclinical studies and clinical trials that our drug candidates are both safe and effective for use in each target indication. Clinical testing is expensive and can take many years to complete, and its outcome is inherently uncertain. Failure can occur at any time during the clinical trial process. 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also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drug candidates that commence clinical trials are never approved as products and there can be no assurance that any of our current or future clinical trials will ultimately be successful or support further clinical development of any of our drug candidates.</w:t>
      </w:r>
    </w:p>
    <w:p>
      <w:pPr>
        <w:spacing w:after="0" w:line="238"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We may develop future drug candidates, in combination with one or more disease therapies. The uncertainty resulting from the use of our drug candidates in combination with other disease therapies may make it difficult to accurately predict side effects in future clinical trials.</w:t>
      </w:r>
    </w:p>
    <w:p>
      <w:pPr>
        <w:spacing w:after="0" w:line="2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As is the case with many treatments for rare diseases and other conditions, there have been, and it is likely that there may be, side effects associated with the use of our drug candidates. If significant adverse events or other side effects are observed in any of our current or future drug candidates, we may have difficulty recruiting participants in our clinical trials, they may drop out of our trials, or we may be required to abandon the trials or our development efforts of one or more drug candidates altogether. We, the FDA or other applicable regulatory authorities, or an IRB may suspend or terminate clinical trials of a drug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marketing approval, undesirable side effects may inhibit market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ind w:right="520"/>
        <w:spacing w:after="0" w:line="261" w:lineRule="auto"/>
        <w:rPr>
          <w:sz w:val="20"/>
          <w:szCs w:val="20"/>
          <w:color w:val="auto"/>
        </w:rPr>
      </w:pPr>
      <w:r>
        <w:rPr>
          <w:rFonts w:ascii="Arial" w:cs="Arial" w:eastAsia="Arial" w:hAnsi="Arial"/>
          <w:sz w:val="18"/>
          <w:szCs w:val="18"/>
          <w:color w:val="auto"/>
        </w:rPr>
        <w:t>acceptance of the approved product due to its tolerability versus other therapies. Any of these developments could materially harm our business, financial condition, and prospects.</w:t>
      </w:r>
    </w:p>
    <w:p>
      <w:pPr>
        <w:spacing w:after="0" w:line="20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We may in the future conduct clinical trials for our drug candidates outside the United States, and the FDA and similar foreign regulatory authorities may not accept data from such trials.</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in the future choose to conduct additional clinical trials outside the United States, including in Australia, Europe, Asia, or other foreign jurisdictions. FDA acceptance of trial data from clinical trials conducted outside the United States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large enough size of trial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drug candidates not receiving approval or clearance for commercialization in the applicable jurisdiction.</w:t>
      </w:r>
    </w:p>
    <w:p>
      <w:pPr>
        <w:spacing w:after="0" w:line="23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Following the United Kingdom’s departure from the EU on January 31, 2020, and the end of the a “transition period” on December 31, 2020, the EU and the United Kingdom have entered into a trade and cooperation agreement which governs certain aspects of their future relationship, including by ensuring tariff-free trade for certain goods and services. Since the regulatory framework for pharmaceutical products in the United Kingdom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drug candidates in the United Kingdom. Longer term, the United Kingdom is likely to develop its own legislation that diverges from that in the EU.</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Even if approved for commercial sale, the total addressable market for our drug candidates will ultimately depend upon, among other things, the diagnosis criteria included in the final label, if our drug candidates are approved for these indications, acceptance by the medical community and patient access, product pricing and reimbursement. The number of patients targeted by our drug candidates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drug candidates. Due to our limited resources and access to capital, we must prioritize development of certain drug candidates, which may prove to be the wrong choice and may adversely affect our business.</w:t>
      </w:r>
    </w:p>
    <w:p>
      <w:pPr>
        <w:spacing w:after="0" w:line="21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drug candidates that we are currently developing, we may fail to identify viable new drug candidates for clinical development for a number of reasons. If we fail to identify additional potential drug candidates, our business could be materially harmed.</w:t>
      </w:r>
    </w:p>
    <w:p>
      <w:pPr>
        <w:spacing w:after="0" w:line="220"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Research programs to pursue the development of our existing and planned drug candidates for additional indications and to identify new drug candidates and disease targets require substantial technical, financial, and human resources whether or not they are ultimately successful. For example, pursuant to our Research Collaboration and Option Agreement with Bayer AG, or the Bayer Agreement, we collaborate with Bayer AG, or Bayer, to develop various projects related to fibrosis. There can be no assurance that we will find potential targets using this approach, that any such targets will be tractable, or that such clinical validations will be successful. Our</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43" w:name="page44"/>
    <w:bookmarkEnd w:id="43"/>
    <w:p>
      <w:pPr>
        <w:ind w:right="300"/>
        <w:spacing w:after="0" w:line="250" w:lineRule="auto"/>
        <w:rPr>
          <w:sz w:val="20"/>
          <w:szCs w:val="20"/>
          <w:color w:val="auto"/>
        </w:rPr>
      </w:pPr>
      <w:r>
        <w:rPr>
          <w:rFonts w:ascii="Arial" w:cs="Arial" w:eastAsia="Arial" w:hAnsi="Arial"/>
          <w:sz w:val="18"/>
          <w:szCs w:val="18"/>
          <w:color w:val="auto"/>
        </w:rPr>
        <w:t>research programs may initially show promise in identifying potential indications and/or drug candidates, yet fail to yield results for clinical development for a number of reasons, including:</w:t>
      </w:r>
    </w:p>
    <w:p>
      <w:pPr>
        <w:spacing w:after="0" w:line="1" w:lineRule="exact"/>
        <w:rPr>
          <w:sz w:val="20"/>
          <w:szCs w:val="20"/>
          <w:color w:val="auto"/>
        </w:rPr>
      </w:pPr>
    </w:p>
    <w:p>
      <w:pPr>
        <w:ind w:left="980" w:hanging="648"/>
        <w:spacing w:after="0" w:line="250" w:lineRule="auto"/>
        <w:tabs>
          <w:tab w:leader="none" w:pos="5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drug candidates, including as a result of the limited patient sample represented in our databases and the validity of extrapolating based on insights from a particular cellular context that may not apply to other more relevant cellular contexts;</w:t>
      </w:r>
    </w:p>
    <w:p>
      <w:pPr>
        <w:spacing w:after="0" w:line="1" w:lineRule="exact"/>
        <w:rPr>
          <w:rFonts w:ascii="Arial" w:cs="Arial" w:eastAsia="Arial" w:hAnsi="Arial"/>
          <w:sz w:val="18"/>
          <w:szCs w:val="18"/>
          <w:color w:val="auto"/>
        </w:rPr>
      </w:pPr>
    </w:p>
    <w:p>
      <w:pPr>
        <w:ind w:left="980" w:right="20" w:hanging="648"/>
        <w:spacing w:after="0" w:line="250" w:lineRule="auto"/>
        <w:tabs>
          <w:tab w:leader="none" w:pos="5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drug candidates may, after further study, be shown to have harmful adverse effects or other characteristics that indicate they are unlikely to be effective products; or</w:t>
      </w:r>
    </w:p>
    <w:p>
      <w:pPr>
        <w:ind w:left="980" w:right="280" w:hanging="648"/>
        <w:spacing w:after="0" w:line="256" w:lineRule="auto"/>
        <w:tabs>
          <w:tab w:leader="none" w:pos="5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drug candidates or to develop suitable potential drug candidates through internal research programs, thereby limiting our ability to develop, diversify and expand our product portfolio.</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we have limited financial and human resources, we will have to prioritize and focus on certain research programs, drug candidates and target indications while forgoing others.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Accordingly, there can be no assurance that we will ever be able to identify additional therapeutic opportunities for our drug candidates or to develop suitable potential drug candidates through internal research programs, which could materially adversely affect our future growth and prospects. We may focus our efforts and resources on potential drug candidates or other potential programs that ultimately prove to be unsuccessful.</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Currently, all of our drug candidates are in development, and we have not received approval to market any of our drug candidates from regulatory authorities in any jurisdiction. It is possible that our drug candidates, including any drug candidates we may seek to develop in the future, will never obtain regulatory approval. We have only limited experience in filing and supporting applications to regulatory authorities and expect to rely on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drug candidates.</w:t>
      </w:r>
    </w:p>
    <w:p>
      <w:pPr>
        <w:spacing w:after="0" w:line="23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process of obtaining regulatory approvals, both in the United States and abroad, is expensive and often takes many years. If the FDA or a comparable foreign regulatory authority requires that we perform additional preclinical or clinical trials, approval, if obtained at all, may be delayed. The length of such a delay varies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510(k), Premarket Approval Application, or PMA,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44" w:name="page45"/>
    <w:bookmarkEnd w:id="44"/>
    <w:p>
      <w:pPr>
        <w:ind w:left="600" w:hanging="268"/>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9" w:lineRule="exact"/>
        <w:rPr>
          <w:rFonts w:ascii="Arial" w:cs="Arial" w:eastAsia="Arial" w:hAnsi="Arial"/>
          <w:sz w:val="18"/>
          <w:szCs w:val="18"/>
          <w:color w:val="auto"/>
        </w:rPr>
      </w:pPr>
    </w:p>
    <w:p>
      <w:pPr>
        <w:ind w:left="980" w:right="60" w:hanging="648"/>
        <w:spacing w:after="0" w:line="250" w:lineRule="auto"/>
        <w:tabs>
          <w:tab w:leader="none" w:pos="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 w:lineRule="exact"/>
        <w:rPr>
          <w:rFonts w:ascii="Arial" w:cs="Arial" w:eastAsia="Arial" w:hAnsi="Arial"/>
          <w:sz w:val="18"/>
          <w:szCs w:val="18"/>
          <w:color w:val="auto"/>
        </w:rPr>
      </w:pPr>
    </w:p>
    <w:p>
      <w:pPr>
        <w:ind w:left="980" w:right="380" w:hanging="648"/>
        <w:spacing w:after="0" w:line="250" w:lineRule="auto"/>
        <w:tabs>
          <w:tab w:leader="none" w:pos="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600" w:hanging="268"/>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9" w:lineRule="exact"/>
        <w:rPr>
          <w:rFonts w:ascii="Arial" w:cs="Arial" w:eastAsia="Arial" w:hAnsi="Arial"/>
          <w:sz w:val="18"/>
          <w:szCs w:val="18"/>
          <w:color w:val="auto"/>
        </w:rPr>
      </w:pPr>
    </w:p>
    <w:p>
      <w:pPr>
        <w:ind w:left="980" w:right="200" w:hanging="648"/>
        <w:spacing w:after="0" w:line="250" w:lineRule="auto"/>
        <w:tabs>
          <w:tab w:leader="none" w:pos="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980" w:right="180" w:hanging="648"/>
        <w:spacing w:after="0" w:line="250" w:lineRule="auto"/>
        <w:tabs>
          <w:tab w:leader="none" w:pos="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or of sufficient quality to support the submission of an NDA or other submission or to obtain regulatory approval in the United States or elsewhere;</w:t>
      </w:r>
    </w:p>
    <w:p>
      <w:pPr>
        <w:ind w:left="980" w:right="340" w:hanging="648"/>
        <w:spacing w:after="0" w:line="250" w:lineRule="auto"/>
        <w:tabs>
          <w:tab w:leader="none" w:pos="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ind w:left="980" w:right="260" w:hanging="648"/>
        <w:spacing w:after="0" w:line="261" w:lineRule="auto"/>
        <w:tabs>
          <w:tab w:leader="none" w:pos="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or manufacturing data are insufficient for approval.</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Even if we were to obtain approval, regulatory authorities may approve any of our drug candidates for fewer or more limited indications than we request, thereby narrowing the commercial potential of the drug candidate. In addition, regulatory authorities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23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the commercial prospects for our drug candidates may be harmed and our ability to generate revenues will be materially impaired.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realize return on our investment of resources and cash in our drug discovery collaborations.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 drug discovery activities for or with collaborators who are engaged in drug discovery and development. These collaborators include pre-commercial biotechnology companies and large pharmaceutical companies. When we engage in drug discovery with these collaborators, we typically provide the benefit of our platform and platform experts who identify molecules that have activity against one or more specified targets. In consideration, we have received equity investments, upfront fees, and/or the right to receive option fees, cash milestone payments upon the achievement of specified development, regulatory, commercial sales milestones for the drug discovery targets, and potential royalties.</w:t>
      </w:r>
    </w:p>
    <w:p>
      <w:pPr>
        <w:spacing w:after="0" w:line="235"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We may never realize a longer-term return on our investment of resources and cash in our drug discovery collaborations. Clinical drug development involves a lengthy and expensive process, with an uncertain outcome. Our drug discovery collaborators may incur additional costs or experience delays in completing, or ultimately be unable to complete, the development and commercialization of any drug candidates. In addition, our ability to realize returns from our drug discovery collaborations is subject to the following risks:</w:t>
      </w:r>
    </w:p>
    <w:p>
      <w:pPr>
        <w:spacing w:after="0" w:line="2" w:lineRule="exact"/>
        <w:rPr>
          <w:sz w:val="20"/>
          <w:szCs w:val="20"/>
          <w:color w:val="auto"/>
        </w:rPr>
      </w:pPr>
    </w:p>
    <w:p>
      <w:pPr>
        <w:ind w:left="980" w:right="240" w:hanging="648"/>
        <w:spacing w:after="0" w:line="250" w:lineRule="auto"/>
        <w:tabs>
          <w:tab w:leader="none" w:pos="5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drug discovery collaborators have significant discretion in determining the amount and timing of efforts and resources that they will apply to our collaborations and may not perform their obligations as expected;</w:t>
      </w:r>
    </w:p>
    <w:p>
      <w:pPr>
        <w:ind w:left="980" w:right="40" w:hanging="648"/>
        <w:spacing w:after="0" w:line="250" w:lineRule="auto"/>
        <w:tabs>
          <w:tab w:leader="none" w:pos="5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drug discovery collaborators may not pursue development or commercialization of any drug candidates for which we are entitled to option fees, milestone payments, or royalties or may elect not to continue or renew development or commercialization programs based on results of clinical trials or other studies,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600" w:hanging="268"/>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drug discovery collaborators may delay clinical trials for which we are entitled to milestone payments;</w:t>
      </w:r>
    </w:p>
    <w:p>
      <w:pPr>
        <w:spacing w:after="0" w:line="9" w:lineRule="exact"/>
        <w:rPr>
          <w:rFonts w:ascii="Arial" w:cs="Arial" w:eastAsia="Arial" w:hAnsi="Arial"/>
          <w:sz w:val="18"/>
          <w:szCs w:val="18"/>
          <w:color w:val="auto"/>
        </w:rPr>
      </w:pPr>
    </w:p>
    <w:p>
      <w:pPr>
        <w:ind w:left="980" w:right="320" w:hanging="648"/>
        <w:spacing w:after="0" w:line="261" w:lineRule="auto"/>
        <w:tabs>
          <w:tab w:leader="none" w:pos="5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our collaborators’ drug candidates being developed or commercialized and, consequently, may have limited</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bookmarkStart w:id="45" w:name="page46"/>
    <w:bookmarkEnd w:id="45"/>
    <w:p>
      <w:pPr>
        <w:ind w:left="980" w:right="340"/>
        <w:spacing w:after="0" w:line="250" w:lineRule="auto"/>
        <w:rPr>
          <w:sz w:val="20"/>
          <w:szCs w:val="20"/>
          <w:color w:val="auto"/>
        </w:rPr>
      </w:pPr>
      <w:r>
        <w:rPr>
          <w:rFonts w:ascii="Arial" w:cs="Arial" w:eastAsia="Arial" w:hAnsi="Arial"/>
          <w:sz w:val="18"/>
          <w:szCs w:val="18"/>
          <w:color w:val="auto"/>
        </w:rPr>
        <w:t>ability to inform our stockholders about the status of, and likelihood of achieving, milestone payments or royalties under such collaborations;</w:t>
      </w:r>
    </w:p>
    <w:p>
      <w:pPr>
        <w:spacing w:after="0" w:line="1" w:lineRule="exact"/>
        <w:rPr>
          <w:sz w:val="20"/>
          <w:szCs w:val="20"/>
          <w:color w:val="auto"/>
        </w:rPr>
      </w:pPr>
    </w:p>
    <w:p>
      <w:pPr>
        <w:ind w:left="980" w:right="280" w:hanging="648"/>
        <w:spacing w:after="0" w:line="250"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drug discovery collaborators could independently develop, or develop with third parties, products that compete directly or indirectly with any drug candidates and products for which we are entitled to milestone payments or royalties and the collaborator may believe that the competitive products are more likely to be successfully developed or can be commercialized under terms that are more economically attractive;</w:t>
      </w:r>
    </w:p>
    <w:p>
      <w:pPr>
        <w:spacing w:after="0" w:line="1" w:lineRule="exact"/>
        <w:rPr>
          <w:rFonts w:ascii="Arial" w:cs="Arial" w:eastAsia="Arial" w:hAnsi="Arial"/>
          <w:sz w:val="18"/>
          <w:szCs w:val="18"/>
          <w:color w:val="auto"/>
        </w:rPr>
      </w:pPr>
    </w:p>
    <w:p>
      <w:pPr>
        <w:ind w:left="980" w:right="20" w:hanging="648"/>
        <w:spacing w:after="0" w:line="250"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drug candidates discovered in drug discovery collaborations with us may be viewed by our collaborators as competitive with their own drug candidates or products, which may cause our collaborators to cease to devote resources to the commercialization of any such drug candidates;</w:t>
      </w:r>
    </w:p>
    <w:p>
      <w:pPr>
        <w:spacing w:after="0" w:line="1" w:lineRule="exact"/>
        <w:rPr>
          <w:rFonts w:ascii="Arial" w:cs="Arial" w:eastAsia="Arial" w:hAnsi="Arial"/>
          <w:sz w:val="18"/>
          <w:szCs w:val="18"/>
          <w:color w:val="auto"/>
        </w:rPr>
      </w:pPr>
    </w:p>
    <w:p>
      <w:pPr>
        <w:ind w:left="980" w:right="280" w:hanging="648"/>
        <w:spacing w:after="0" w:line="250"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existing drug discovery collaborators and potential future drug discovery collaborators may begin to perceive us to be a competitor more generally, particularly as we advance our internal drug discovery programs, and therefore may be unwilling to continue existing collaborations with us or to enter into new collaborations with us;</w:t>
      </w:r>
    </w:p>
    <w:p>
      <w:pPr>
        <w:spacing w:after="0" w:line="1" w:lineRule="exact"/>
        <w:rPr>
          <w:rFonts w:ascii="Arial" w:cs="Arial" w:eastAsia="Arial" w:hAnsi="Arial"/>
          <w:sz w:val="18"/>
          <w:szCs w:val="18"/>
          <w:color w:val="auto"/>
        </w:rPr>
      </w:pPr>
    </w:p>
    <w:p>
      <w:pPr>
        <w:ind w:left="980" w:right="300" w:hanging="648"/>
        <w:spacing w:after="0" w:line="250"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drug discovery collaborator may fail to comply with applicable regulatory requirements regarding the development, manufacture, distribution, or marketing of a drug candidate or product, which may impact our ability to receive milestone payments;</w:t>
      </w:r>
    </w:p>
    <w:p>
      <w:pPr>
        <w:ind w:left="980" w:right="380" w:hanging="648"/>
        <w:spacing w:after="0" w:line="250"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disagreements with drug discovery collaborators, including disagreements over intellectual property or proprietary rights, contract interpretation, or the preferred course of development, might cause delays or terminations of the research, development, or commercialization of drug candidates for which we are eligible to receive milestone payments, or might result in litigation or arbitration;</w:t>
      </w:r>
    </w:p>
    <w:p>
      <w:pPr>
        <w:spacing w:after="0" w:line="1" w:lineRule="exact"/>
        <w:rPr>
          <w:rFonts w:ascii="Arial" w:cs="Arial" w:eastAsia="Arial" w:hAnsi="Arial"/>
          <w:sz w:val="18"/>
          <w:szCs w:val="18"/>
          <w:color w:val="auto"/>
        </w:rPr>
      </w:pPr>
    </w:p>
    <w:p>
      <w:pPr>
        <w:ind w:left="980" w:right="440" w:hanging="648"/>
        <w:spacing w:after="0" w:line="250"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drug discovery collaborators may not properly obtain, maintain, enforce, defend or protect our intellectual property or proprietary rights or may use our proprietary information in such a way as to potentially lead to disputes or legal proceedings that could jeopardize or invalidate our or their intellectual property or proprietary rights or expose us and them to potential litigation;</w:t>
      </w:r>
    </w:p>
    <w:p>
      <w:pPr>
        <w:spacing w:after="0" w:line="1" w:lineRule="exact"/>
        <w:rPr>
          <w:rFonts w:ascii="Arial" w:cs="Arial" w:eastAsia="Arial" w:hAnsi="Arial"/>
          <w:sz w:val="18"/>
          <w:szCs w:val="18"/>
          <w:color w:val="auto"/>
        </w:rPr>
      </w:pPr>
    </w:p>
    <w:p>
      <w:pPr>
        <w:ind w:left="980" w:right="280" w:hanging="648"/>
        <w:spacing w:after="0" w:line="250"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drug discovery collaborators may infringe, misappropriate, or otherwise violate the intellectual property or proprietary rights of third parties, which may expose us to litigation and potential liability; and</w:t>
      </w:r>
    </w:p>
    <w:p>
      <w:pPr>
        <w:ind w:left="600" w:hanging="268"/>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drug discovery collaborations may be terminated prior to our receipt of any significant value from the collaboration.</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drug discovery collaborations may not lead to development or commercialization of drug candidates that results in our receipt of option fees, milestone payments, or royalties or other payments in a timely manner, or at all. For example, we may be over-reliant on our partners to provide information for molecules that we in-license. The molecules that we in-license may not be well protected because the composition of matter patents that once protected them have expired. Moreover, we may have difficulty obtaining the quality and quantity of active pharmaceutical ingredient, or API, or be able to ensure the stability of the molecule, all of which is needed to conduct clinical trials or bring a drug candidate to market. For those molecules that we are attempting to repurpose for other indications, our partners may have not have sufficient data, poor quality data or be able to help us interpret data, any of which could cause our collaboration to fail.</w:t>
      </w:r>
    </w:p>
    <w:p>
      <w:pPr>
        <w:spacing w:after="0" w:line="234"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If any drug discovery collaborations that we enter into do not result in the successful development and commercialization of drug products that result in option fees, milestone payments, or royalties or other payments to us, we may not receive return on the resources we have invested in such drug discovery collaborations. Moreover, even if a drug discovery collaboration initially leads to the achievement of milestones that result in payments to us, it may not continue to do so.</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development and commercialization of new products in the biopharmaceutical and related industries is highly competitive. There are other companies focusing on technology-enabled drug discovery to identify and develop NCEs and KCEs. Some of these competitive companies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protection, and establish collaborative arrangements for research, development, manufacturing, and commercialization.</w:t>
      </w:r>
    </w:p>
    <w:p>
      <w:pPr>
        <w:spacing w:after="0" w:line="25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Any drug candidates that we successfully develop and commercialize will compete with currently approved therapies and new therapies that may become available in the future from segments of the pharmaceutical, biotechnology and other related industries that pursue new therapeutics. Key product features that would affect our ability to effectively compete with other therapeutics include the efficacy, safety, and convenience of our products. We believe principal competitive factors to our business include, among other things, the accuracy of our computations and predictions, ability to integrate experimental and computational capabilities, ability to successfully transition research programs into clinical development, ability to raise capital, and the scalability of the platform, pipeline, and business.</w:t>
      </w:r>
    </w:p>
    <w:p>
      <w:pPr>
        <w:spacing w:after="0" w:line="2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Many of the companies that we compete against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recruitment for clinical trials, as well as in acquiring technologies complementary to, or necessary for, our programs. In addition, we cannot predict whether our current competitive advantages and our software tools, will remain in place and evolve appropriately as barriers to entry in the future. If not, other companies may be able to more directly or effectively compete with us.</w:t>
      </w:r>
    </w:p>
    <w:p>
      <w:pPr>
        <w:spacing w:after="0" w:line="23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Because we have multiple programs and drug candidates in our development pipeline and are pursuing a variety of target indications and treatment modalities, we may expend our limited resources to pursue a particular drug candidate and fail to capitalize on development opportunities or drug candidates that may be more profitable or for which there is a greater likelihood of success.</w:t>
      </w:r>
    </w:p>
    <w:p>
      <w:pPr>
        <w:spacing w:after="0" w:line="2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currently focus on the development of drug candidates regardless of the treatment modality or the particular target indication. Because we have limited financial and personnel resources, we may forgo or delay pursuit of opportunities with potential target indications or drug candidates that later prove to have greater commercial potential than our current and planned development programs and drug candidates. Our resource allocation decisions may cause us to fail to capitalize on viable commercial products or profitable market opportunities. Our spending on current and future research and development programs and other future drug candidates for specific indications may not yield any commercially viable future drug candidates.</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From time to time, we expect that we will make public statements regarding the expected timing of certain milestones and key events, such as the commencement and completion of preclinical and clinical studies in our internal drug discovery programs as well developments and milestones under our collaborations. Our collaborators, such as Bayer, have also made public statements regarding expectations for the development of programs under collaboration with us and may in the future make additional statements about their goals and expectations for collaborations with us. The actual timing of these events can vary dramatically due to a number of factors such as delays or failures in our or our current and future collaborators’ drug discovery and development programs, the amount of time, effort, and resources committed by us and our current and future collaborators, and the numerous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7" w:name="page48"/>
    <w:bookmarkEnd w:id="47"/>
    <w:p>
      <w:pPr>
        <w:jc w:val="both"/>
        <w:ind w:right="220"/>
        <w:spacing w:after="0" w:line="254" w:lineRule="auto"/>
        <w:rPr>
          <w:sz w:val="20"/>
          <w:szCs w:val="20"/>
          <w:color w:val="auto"/>
        </w:rPr>
      </w:pPr>
      <w:r>
        <w:rPr>
          <w:rFonts w:ascii="Arial" w:cs="Arial" w:eastAsia="Arial" w:hAnsi="Arial"/>
          <w:sz w:val="18"/>
          <w:szCs w:val="18"/>
          <w:color w:val="auto"/>
        </w:rPr>
        <w:t>uncertainties inherent in the development of drugs. As a result, there can be no assurance that our or our current and future collaborators’ programs will advance or be completed in the time frames we or they announce or expect. If we or any collaborators fail to achieve one or more of these milestones or other key events as planned, our business could be materially adversely affected, and the price of our Class A common stock could decline.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Platform and Data</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deficiencies in our or third parties’ cybersecurity.</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personal information, and other confidential information). It is critical that we do so in a secure manner to maintain the confidentiality and integrity of this information. We also have outsourced elements of our operations to third parties, and as a result we manage a number of third-party vendors and other contractors and consultants who have access to our confidential information.</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Given our limited operating history, we are still in the process of implementing our internal security and business continuity measures and developing our information technology infrastructure. Our internal computer systems and those of current and future third parties on which we rely may fail and are vulnerable to damage from computer viruses and unauthorized access. Our information technology and other internal infrastructure systems, including corporate firewalls, servers, data center facilities that we colocate in, lab equipment, leased lines, and connection to the Internet, face the risk of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each of which could compromise our system infrastructure or lead to the loss, destruction, alteration, disclosure, or dissemination of, or damage or unauthorized access to, our data or data that is processed or maintained on our behalf, or other assets.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such an event were to occur and cause interruptions in our operations, it could result in a material disruption of our development programs and our business operations, and could result in financial, legal, business, and reputational harm to us. For example, one of our primary differentiators is our proprietary technical information and biological and chemical data. The loss, corruption, unavailability of, or damage to our data would interfere with and undermine the insights we draw from our platform, which could result in the waste of resources on insights based on flawed premises. In addition, the loss or corruption of, or other damage to, clinical trial data from completed or future clinical trials could result in delays in our regulatory approval efforts and significantly increase our costs to recover or reproduce the data. Likewise, we rely on third parties for the manufacture of our drug candidates or any future drug candidates and to conduct clinical trials, and similar events relating to their systems and operations could also have a material adverse effect on our business and lead to regulatory agency actions.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Sophisticated cyber attackers (including foreign adversaries engaged in industrial espionage) are skilled at adapting to existing security technology and developing new methods of gaining access to organizations’ sensitive business data, which could result in the loss of proprietary information, including trade secrets. We may not be able to anticipate all types of security threats, and we may not be able to implement preventive measures effective against all such security threats. For example, third parties have in the past and may in the future illegally pirate our software and make that software publicly available on peer-to-peer file sharing networks or otherwise.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In addition, in response to the ongoing COVID-19 pandemic, the majority of our workforce is currently working remotely. This could increase our cybersecurity risk, create data accessibility concerns, and make us more susceptible to communication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8" w:name="page49"/>
    <w:bookmarkEnd w:id="48"/>
    <w:p>
      <w:pPr>
        <w:ind w:right="20"/>
        <w:spacing w:after="0" w:line="251" w:lineRule="auto"/>
        <w:rPr>
          <w:sz w:val="20"/>
          <w:szCs w:val="20"/>
          <w:color w:val="auto"/>
        </w:rPr>
      </w:pPr>
      <w:r>
        <w:rPr>
          <w:rFonts w:ascii="Arial" w:cs="Arial" w:eastAsia="Arial" w:hAnsi="Arial"/>
          <w:sz w:val="18"/>
          <w:szCs w:val="18"/>
          <w:color w:val="auto"/>
        </w:rPr>
        <w:t>Any security breach or other event that leads to loss, damage, or unauthorized access to, or use, alteration, or disclosure or dissemination of, personal information, including personal information regarding clinical trial subjects, contractors, directors, or employees, our intellectual property, proprietary business information, or other confidential or proprietary information, could harm our reputation directly, enable competitors to compete with us more effectively,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 that could potentially have an adverse effect on our business. Notifications and follow-up actions related to a security incident could impact our reputation, and we could incur substantial costs, including legal and remediation costs, in connection with these measures and otherwise in connection with any actual or suspected security breach. We expect to incur significant costs in an effort to detect and prevent security incidents and otherwise implement our internal security and business continuity measures, and actual, potential, or anticipated attacks may cause us to incur increasing costs, including costs to deploy additional personnel and protection technologies, train employees, and engage third-party experts and consultants. We may face increased costs and find it necessary or appropriate to expend substantial resources in the event of an actual or perceived security breach.</w:t>
      </w:r>
    </w:p>
    <w:p>
      <w:pPr>
        <w:spacing w:after="0" w:line="23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costs related to significant security breaches or disruptions could be material and our insurance policies may not be adequate to compensate us for the potential losses arising from any such disruption in, or failure or security breach of, our systems or third-party systems where information important to our business operations or commercial development is stored or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Furthermore,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If we are not able to develop new solutions and enhancements to our platform that keep pace with technological developments, our business and results of operations would be harmed.</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increase revenue depends in large part on our ability to enhance and improve our platform. The success of any enhancement to our platform depends on several factors, including the generation of additional biological and chemical data, innovation in hardware solutions, increased computational storage and processing capacity and development of more advanced algorithms. Any new enhancement that we develop may not be introduced in a timely or cost-effective manner, may contain errors, vulnerabilities or bugs, or may not achieve the functionality necessary to generate significant revenue. If we are unable to successfully develop new innovations, enhance our existing platform, or otherwise gain market acceptance, our reputation, business, results of operations, and financial condition would be harmed. Our success also depends on our ability to identify important and emerging use cases and quickly develop new and effective innovations to address those use cases.</w:t>
      </w:r>
    </w:p>
    <w:p>
      <w:pPr>
        <w:spacing w:after="0" w:line="210"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We have invested and expect to continue to invest in research and development efforts that further enhance our platform. Such investments may affect our operating results, and, if the return on these investments is lower or develops more slowly than we expect, our revenue and operating results may suffer.</w:t>
      </w: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invested and expect to continue to invest in research and development efforts that further enhance our platform.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software industry changes rapidly as a result of technological and product developments, which may render our solutions less effective. We believe that we must continue to invest a significant amount of time and resources in our platform to maintain and improve our competitive position. If we do not achieve the benefits anticipated from these investments, if the achievement of these benefits is delayed, our business, operating results and prospects may be materially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or disruptions in our platform could result in diminishing our value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9" w:name="page50"/>
    <w:bookmarkEnd w:id="49"/>
    <w:p>
      <w:pPr>
        <w:ind w:right="60"/>
        <w:spacing w:after="0" w:line="251" w:lineRule="auto"/>
        <w:rPr>
          <w:sz w:val="20"/>
          <w:szCs w:val="20"/>
          <w:color w:val="auto"/>
        </w:rPr>
      </w:pPr>
      <w:r>
        <w:rPr>
          <w:rFonts w:ascii="Arial" w:cs="Arial" w:eastAsia="Arial" w:hAnsi="Arial"/>
          <w:sz w:val="18"/>
          <w:szCs w:val="18"/>
          <w:color w:val="auto"/>
        </w:rPr>
        <w:t>Our platform depends upon the continuous, effective, and reliable operation of our software, hardware, databases, and related tools and functions and the integrity of our data. Our proprietary software tools, hardware, and data sets are inherently complex and may contain defects or errors. Errors may result from the interface of our proprietary software and hardware tools with our data or third-party systems and data, which we did not develop. The risk of errors is particularly significant when new software or hardware is first introduced or when new versions or enhancements of existing software or hardware are implemented. We have from time to time found defects in our software and hardware, and new errors in our existing software and hardware may be detected in the future. Any errors, defects, disruptions, or other performance problems with our software, hardware, or data sets could hurt our ability to gather valuable insights that drive our drug discoveries. Furthermore, our platform may produce an incomplete data set lacking in coverage which could result in a material adverse effect on our ability to discover new drug candidates. Such discovery is dependent on the integrity and completeness of our data. The occurrence of any of these events could result in diminishing value of our platform and data and have a material adverse effect on our business, operating results and prospects.</w:t>
      </w:r>
    </w:p>
    <w:p>
      <w:pPr>
        <w:spacing w:after="0" w:line="2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rely upon third-party providers of cloud-based infrastructure to host our platforms. Any disruption in the operations of these third-party providers, limitations on capacity, or interference with our use could adversely affect our business, financial condition, and results of operations.</w:t>
      </w:r>
    </w:p>
    <w:p>
      <w:pPr>
        <w:spacing w:after="0" w:line="22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outsource substantially all of the technological infrastructure relating to our hosted platform to third-party hosting services, such as Google Cloud and Amazon Web Services, or AWS. We have no control over any of these third parties, and while we attempt to reduce risk by minimizing reliance on any single third party or its operations, we cannot guarantee that such third-party providers will not experience system interruptions, outages or delays, or deterioration in their performance. We need to be able to access our computational platform at any time, without interruption or degradation of performance. Our hosted platform depends on protecting the virtual cloud infrastructure hosted by third-party hosting services by maintaining its configuration, architecture, features, and interconnection specifications, as well as protecting the information stored in these virtual data centers, which is transmitted by third-party Internet service providers.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 Any limitation on the capacity of our third-party hosting services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terrorist or other attacks, and other disruptive events beyond our control could negatively affect our cloud-based solutions. A prolonged service disruption affecting our cloud-based solutions could damage our reputation or otherwise harm our business. We may also incur significant costs for using alternative equipment or taking other actions in preparation for, or in reaction to, events that damage the third-party hosting services we use.</w:t>
      </w:r>
    </w:p>
    <w:p>
      <w:pPr>
        <w:spacing w:after="0" w:line="236"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the our platform as well as significant delays and additional expense in arranging or creating new facilities and services and/or re-architecting our hosted software solutions for deployment on a different cloud infrastructure service provider, which could adversely affect our business, financial condition, and results of operations.</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our other data is otherwise obtained, our data may be perceived as not being secure and we may incur significant liabilities.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use a set of proprietary tools to generate, analyze, and derive novel insights from our data. As a result, unauthorized access to or security breaches of our data, as a result of third-party action, employee or contractor error, malfeasance, or otherwise could result in the loss or corruption of, or other damage to information, claims and litigation, indemnity obligations, damage to our reputation, and other liability. Our collaborators and other third parties we work with may also suffer similar security breaches of data that we rely on. Because the techniques used to obtain unauthorized access or sabotage systems change frequently and generally are not identified until they are launched against a target, we and those we collaborate with may be unable to anticipate these techniques or implement adequate preventative measures. In addition, if our employees or contractors fail to adhere to practices we have established to maintain a firewall between our internal drug discovery team and our teams that work with external individuals, including our collaborators, or if the technical solutions we have adopted to maintain the firewall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0" w:name="page51"/>
    <w:bookmarkEnd w:id="50"/>
    <w:p>
      <w:pPr>
        <w:ind w:right="20"/>
        <w:spacing w:after="0" w:line="252" w:lineRule="auto"/>
        <w:rPr>
          <w:sz w:val="20"/>
          <w:szCs w:val="20"/>
          <w:color w:val="auto"/>
        </w:rPr>
      </w:pPr>
      <w:r>
        <w:rPr>
          <w:rFonts w:ascii="Arial" w:cs="Arial" w:eastAsia="Arial" w:hAnsi="Arial"/>
          <w:sz w:val="18"/>
          <w:szCs w:val="18"/>
          <w:color w:val="auto"/>
        </w:rPr>
        <w:t>malfunction, our collaborators may lose confidence in our ability to maintain the confidentiality of their intellectual property, we may have trouble attracting new collaborators, we may be subject to breach of contract claims by our collaborators, and we may suffer reputational and other harm as a result. Any or all of these issues could result in reputational damage or subject us to third-party lawsuits or other action or liability, which could adversely affect our operating results. Our insurance may not be adequate to cover losses associated with such events, and in any case, such insurance may not cover all of the types of costs, expenses, and losses we could incur to respond to and remediate a security breach. For more information see “Risk Factors—Our business and operations would suffer in the event of computer system failures, cyber-attacks or deficiencies in our or third parties’ cyber security.”</w:t>
      </w:r>
    </w:p>
    <w:p>
      <w:pPr>
        <w:spacing w:after="0" w:line="21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Our solutions utilize third-party open source software, and any failure to comply with the terms of one or more of these open source software licenses could adversely affect our business, subject us to litigation, or create potential liability.</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solutions include software licensed by third parties under any one or more open source licenses, including the Apache 2.0 License, MIT, BSD variants, and others, and we expect to continue to incorporate open source software in our solutions in the future. Moreover, we cannot ensure that we have effectively monitored our use of open source software, or validated the quality or source of such software, or that we are in compliance with the terms of the applicable open source licenses or our current policies and procedures. There have been claims against companies that use open source software in their products and services asserting that the use of such open source software infringes the claimants’ intellectual property rights. As a result, we could be subject to suits by third parties claiming that what we believe to be licensed open 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research and development resources to change our solutions. Furthermore, these third-party open source providers could experience service outages, data loss, privacy breaches, cyber-attacks, and other events relating to the applications and services they provide that could diminish the utility of these services and which could harm our business as a result.</w:t>
      </w: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Use of open source software may entail greater risks than use of third-party commercial software, as open source licensors generally do not provide warranties or other contractual protections regarding infringement claims or the quality of the code, including with respect to security vulnerabilities where open source software may be more susceptible.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to which we are subject have not been interpreted by courts in the relevant jurisdictions, and there is a risk that such licenses could be construed in a manner that imposes unanticipated conditions or restrictions on our ability to market or provide our software and data.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Disclosing our proprietary source code could allow our competitors to create similar products with lower development effort and time and ultimately could result in a loss of sales. Furthermore, any such re-engineering or other remedial efforts could require significant additional research and development resources, and we may not be able to successfully complete any such re-engineering or other remedial efforts. Any of these events could create liability for us and damage our reputation, which could have a material adverse effect on our revenue, business, results of operations, and financial condition and the market price of our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Operations/Commercialization</w:t>
      </w:r>
    </w:p>
    <w:p>
      <w:pPr>
        <w:spacing w:after="0" w:line="25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1" w:name="page52"/>
    <w:bookmarkEnd w:id="51"/>
    <w:p>
      <w:pPr>
        <w:spacing w:after="0" w:line="251" w:lineRule="auto"/>
        <w:rPr>
          <w:sz w:val="20"/>
          <w:szCs w:val="20"/>
          <w:color w:val="auto"/>
        </w:rPr>
      </w:pPr>
      <w:r>
        <w:rPr>
          <w:rFonts w:ascii="Arial" w:cs="Arial" w:eastAsia="Arial" w:hAnsi="Arial"/>
          <w:sz w:val="18"/>
          <w:szCs w:val="18"/>
          <w:color w:val="auto"/>
        </w:rPr>
        <w:t>We do not carry insurance for all categories of risk that our business may encounter and insurance coverage is becoming increasingly expensive. For example, we can only obtain insurance for the loss of our data that would partially compensate us for its loss. We do not know if we will be able to maintain existing insurance with adequate levels of coverage in the future, and any liability insurance coverage we acquire in the future may not be sufficient to reimburse us for any expenses or losses we may suffer. If we obtain marketing approval for any drug candidates that we or our collaborators may develop, we intend to acquire insurance coverage to include the sale of commercial products, but we may be unable to obtain such insurance on commercially reasonable terms or in adequate amounts. The coverage or coverage limits currently maintained under our insurance policies may not be adequate. If our losses exceed our insurance coverage, our financial condition would be adversely affected. Clinical trials or regulatory approvals for any of our drug candidates could be suspended, which could adversely affect our results of operations and business, including by preventing or limiting the development and commercialization of any drug candidates that we or our collaborators may identify. Additionally, operating as a public company will make it more expensive for us to obtain directors and officers liability insurance. If we do not have adequate levels of directors and officers liability insurance, it may be more difficult for us to attract and retain qualified individuals to serve on our board of directors.</w:t>
      </w:r>
    </w:p>
    <w:p>
      <w:pPr>
        <w:spacing w:after="0" w:line="21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A pandemic, epidemic, or outbreak of an infectious disease, such as COVID-19, may materially and adversely affect our business and our financial results and could cause a disruption to the development of our drug candidates.</w:t>
      </w:r>
    </w:p>
    <w:p>
      <w:pPr>
        <w:ind w:right="60"/>
        <w:spacing w:after="0" w:line="251" w:lineRule="auto"/>
        <w:rPr>
          <w:sz w:val="20"/>
          <w:szCs w:val="20"/>
          <w:color w:val="auto"/>
        </w:rPr>
      </w:pPr>
      <w:r>
        <w:rPr>
          <w:rFonts w:ascii="Arial" w:cs="Arial" w:eastAsia="Arial" w:hAnsi="Arial"/>
          <w:sz w:val="18"/>
          <w:szCs w:val="18"/>
          <w:color w:val="auto"/>
        </w:rPr>
        <w:t>Public health crises such as pandemics or similar outbreaks could adversely impact our business. In early 2020, a novel strain of a virus named SARS-CoV-2 (severe acute respiratory syndrome coronavirus 2), or coronavirus, which causes COVID-19 has spread to most countries across the world and all 50 states within the U.S. including Utah and specifically Salt Lake City, where our primary office and laboratory space is located. The coronavirus pandemic is evolving, and to date has led to the implementation of various responses, including government-imposed quarantines, travel restrictions and other public health safety measures. The extent to which the coronavirus impacts our operations or those of our third-party partners, including our preclinical studies or clinical trial operations, will depend on future developments, which are highly uncertain and cannot be predicted with confidence, including the duration of the outbreak, new information that will emerge concerning the severity of coronavirus infection and the actions to contain the coronavirus or treat its impact, among others. The continued spread of COVID-19 globally, or the evolution of a new variant of COVID-19 that is more contagious, has more severe effects or is resistant to treatments or vaccinations, could adversely impact our preclinical or clinical trial operations in the U.S., including our ability to recruit and retain trial participants as well as principal investigators and site staff who, as healthcare providers, may have heightened exposure to COVID-19 if an outbreak occurs in their geography. For example, similar to other biopharmaceutical companies, we may experience delays in initiating preclinical and clinical studies, protocol deviations, enrolling our clinical trials, or dosing of patients in our clinical trials as well as in activating new trial sites. COVID-19 or any variants may also affect employees of third-party CROs located in affected geographies that we rely upon to carry out our clinical trials. In addition, as a result of medical complications associated with the diseases of the patients we seek to enroll and treat in our trials, the patient populations that our lead and other drug candidates target may be particularly susceptible to COVID-19 or any variants, which may make it more difficult for us to identify individuals able to enroll in our current and future clinical trials and may impact the ability of those enrolled to complete any such trials. Any negative impact COVID-19 or any variants has on enrollment or the execution of our drug trials could cause costly delays, which could adversely affect our ability to obtain regulatory approval for and to commercialize our drug candidates, increase our operating expenses, and have a material adverse effect on our financial results.</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Additionally, timely enrollment in planned clinical trials is dependent upon clinical trial sites which could be adversely affected by global health issues, such as pandemics. We plan to conduct clinical trials for our drug candidates in geographies which are currently being affected by the coronavirus. Some factors from the coronavirus outbreak that will delay or otherwise adversely affect enrollment in the clinical trials of our drug candidates, as well as our business generally, include:</w:t>
      </w:r>
    </w:p>
    <w:p>
      <w:pPr>
        <w:spacing w:after="0" w:line="2" w:lineRule="exact"/>
        <w:rPr>
          <w:sz w:val="20"/>
          <w:szCs w:val="20"/>
          <w:color w:val="auto"/>
        </w:rPr>
      </w:pPr>
    </w:p>
    <w:p>
      <w:pPr>
        <w:ind w:left="980" w:right="240" w:hanging="648"/>
        <w:spacing w:after="0" w:line="250" w:lineRule="auto"/>
        <w:tabs>
          <w:tab w:leader="none" w:pos="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1" w:lineRule="exact"/>
        <w:rPr>
          <w:rFonts w:ascii="Arial" w:cs="Arial" w:eastAsia="Arial" w:hAnsi="Arial"/>
          <w:sz w:val="18"/>
          <w:szCs w:val="18"/>
          <w:color w:val="auto"/>
        </w:rPr>
      </w:pPr>
    </w:p>
    <w:p>
      <w:pPr>
        <w:ind w:left="980" w:right="200" w:hanging="648"/>
        <w:spacing w:after="0" w:line="256" w:lineRule="auto"/>
        <w:tabs>
          <w:tab w:leader="none" w:pos="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2" w:name="page53"/>
    <w:bookmarkEnd w:id="52"/>
    <w:p>
      <w:pPr>
        <w:ind w:left="980" w:right="40"/>
        <w:spacing w:after="0" w:line="250" w:lineRule="auto"/>
        <w:rPr>
          <w:sz w:val="20"/>
          <w:szCs w:val="20"/>
          <w:color w:val="auto"/>
        </w:rPr>
      </w:pPr>
      <w:r>
        <w:rPr>
          <w:rFonts w:ascii="Arial" w:cs="Arial" w:eastAsia="Arial" w:hAnsi="Arial"/>
          <w:sz w:val="18"/>
          <w:szCs w:val="18"/>
          <w:color w:val="auto"/>
        </w:rPr>
        <w:t>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spacing w:after="0" w:line="1" w:lineRule="exact"/>
        <w:rPr>
          <w:sz w:val="20"/>
          <w:szCs w:val="20"/>
          <w:color w:val="auto"/>
        </w:rPr>
      </w:pPr>
    </w:p>
    <w:p>
      <w:pPr>
        <w:ind w:left="600" w:hanging="268"/>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negative effect on the operations of our third-party manufacturers;</w:t>
      </w:r>
    </w:p>
    <w:p>
      <w:pPr>
        <w:spacing w:after="0" w:line="9" w:lineRule="exact"/>
        <w:rPr>
          <w:rFonts w:ascii="Arial" w:cs="Arial" w:eastAsia="Arial" w:hAnsi="Arial"/>
          <w:sz w:val="18"/>
          <w:szCs w:val="18"/>
          <w:color w:val="auto"/>
        </w:rPr>
      </w:pPr>
    </w:p>
    <w:p>
      <w:pPr>
        <w:ind w:left="980" w:right="240" w:hanging="648"/>
        <w:spacing w:after="0" w:line="250" w:lineRule="auto"/>
        <w:tabs>
          <w:tab w:leader="none" w:pos="5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in global shipping affecting the transport of clinical trial materials, such as tissue samples, investigational drug product and comparator drugs and other supplies used in our studies; and</w:t>
      </w:r>
    </w:p>
    <w:p>
      <w:pPr>
        <w:ind w:left="980" w:right="80" w:hanging="648"/>
        <w:spacing w:after="0" w:line="254" w:lineRule="auto"/>
        <w:tabs>
          <w:tab w:leader="none" w:pos="5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taken temporary precautionary measures intended to help minimize the risk of the coronavirus to our employees, including temporarily permitting certain employees to work remotely, suspending all non-essential travel worldwide for our employees and discouraging employee attendance at industry events and in-person work-related meetings, which could negatively affect our business. We cannot presently predict the scope and severity of the planned and potential shutdowns or disruptions of businesses and government agencies, such as the Securities and Exchange Commission, or the SEC, or FDA.</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These and other factors arising from the coronavirus could worsen in countries that are already afflicted with the coronavirus or could continue to spread to additional countries. Any of these factors,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drug candidates.</w:t>
      </w:r>
    </w:p>
    <w:p>
      <w:pPr>
        <w:spacing w:after="0" w:line="21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If we fail to sufficiently manage and improve our technical hardware infrastructure we may experience errors, delays and other performance problems.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experienced significant growth in the complexity of our data and the software tools that our hardware infrastructure supports. In addition, we need to properly manage and improve our technological hardware infrastructure in order to support changes in hardware and software parameters and the evolution of our tools. We have experienced, and may in the future experience, disruptions, outages, failures and other performance problems with our software tools or hardware infrastructure. These types of problems may be caused by a variety of factors, including infrastructure changes, human, mechanical, or software errors, viruses, security attacks, and fraud. In some instances, we may not be able to identify the cause or causes of these problems within an acceptable period of time or at all. If we do not accurately predict and identify our infrastructure requirements and failures, including acquisition of newer infrastructure, our team may experience performance problems that may cause delays in our research and development programs, which could adversely affect our business, financial condition, results of operations, and prospects.</w:t>
      </w:r>
    </w:p>
    <w:p>
      <w:pPr>
        <w:spacing w:after="0" w:line="2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Even if any drug candidates we develop receive marketing approval, they may fail to achieve the degree of market acceptance by physicians, patients, healthcare payors, and others in the medical community necessary for commercial success.</w:t>
      </w:r>
    </w:p>
    <w:p>
      <w:pPr>
        <w:spacing w:after="0" w:line="20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The commercial success of our drug candidates will depend upon their degree of market acceptance by physicians, patients, third-party payors, and others in the medical community. Even if any drug candidates we may develop receive marketing approval, they may nonetheless fail to gain sufficient market acceptance by physicians, patients, healthcare payors, and others in the medical community. The degree of market acceptance of any drug candidates we may develop, if approved for commercial sale, will depend on a number of factors, including:</w:t>
      </w:r>
    </w:p>
    <w:p>
      <w:pPr>
        <w:spacing w:after="0" w:line="2" w:lineRule="exact"/>
        <w:rPr>
          <w:sz w:val="20"/>
          <w:szCs w:val="20"/>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of such drug candidates as demonstrated in pivotal clinical trials and published in peer-reviewed journals;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 including any similar generic treatments;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offer these products for sale at competitive prices;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53" w:name="page54"/>
    <w:bookmarkEnd w:id="53"/>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drug candidate is approved by FDA or comparable regulatory agencies;</w:t>
      </w:r>
    </w:p>
    <w:p>
      <w:pPr>
        <w:spacing w:after="0" w:line="9" w:lineRule="exact"/>
        <w:rPr>
          <w:rFonts w:ascii="Arial" w:cs="Arial" w:eastAsia="Arial" w:hAnsi="Arial"/>
          <w:sz w:val="18"/>
          <w:szCs w:val="18"/>
          <w:color w:val="auto"/>
        </w:rPr>
      </w:pPr>
    </w:p>
    <w:p>
      <w:pPr>
        <w:ind w:left="980" w:right="720" w:hanging="648"/>
        <w:spacing w:after="0" w:line="250" w:lineRule="auto"/>
        <w:tabs>
          <w:tab w:leader="none" w:pos="5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comparable foreign regulatory authorities, including any limitations, contraindications or warnings contained in a product’s approved labeling;</w:t>
      </w: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concerning these products or competing products and treatments;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favorable third-party coverage and sufficient reimbursement; and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 or adverse events.</w:t>
      </w:r>
    </w:p>
    <w:p>
      <w:pPr>
        <w:spacing w:after="0" w:line="25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any product we may develop is safe, therapeutically effective and cost effective as compared with competing treatments. If any drug candidates we develop do not achieve an adequate level of acceptance, we may not generate significant product revenue, and we may not become profitable.</w:t>
      </w: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any drug candidates we may develop, we may not be successful in commercializing those drug candidates if and when they are approved.</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do not have a sales or marketing infrastructure and have little experience in the sale, marketing, or distribution of pharmaceutical products. To achieve commercial success for any approved product for which we retain sales and marketing responsibilities, we must either develop a sales and marketing organization, sales and marketing software solutions, or outsource these functions to third parties. In the future, we may choose to build a focused sales, marketing, and commercial support infrastructure to market and sell our drug candidates, if and when they are approved. We may also elect to enter into collaborations or strategic partnerships with third parties to engage in commercialization activities with respect to selected drug candidates, indications or geographic territories, including territories outside the United States, although there is no guarantee we will be able to enter into these arrangements even if the intent is to do so.</w:t>
      </w:r>
    </w:p>
    <w:p>
      <w:pPr>
        <w:spacing w:after="0" w:line="23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drug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9" w:lineRule="exact"/>
        <w:rPr>
          <w:sz w:val="20"/>
          <w:szCs w:val="20"/>
          <w:color w:val="auto"/>
        </w:rPr>
      </w:pPr>
    </w:p>
    <w:p>
      <w:pPr>
        <w:ind w:left="980" w:right="100" w:hanging="648"/>
        <w:spacing w:after="0" w:line="250" w:lineRule="auto"/>
        <w:tabs>
          <w:tab w:leader="none" w:pos="5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recruit and retain adequate numbers of effective sales, marketing, reimbursement, customer service, medical affairs, and other support personnel;</w:t>
      </w:r>
    </w:p>
    <w:p>
      <w:pPr>
        <w:ind w:left="980" w:right="420" w:hanging="648"/>
        <w:spacing w:after="0" w:line="250" w:lineRule="auto"/>
        <w:tabs>
          <w:tab w:leader="none" w:pos="5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sales personnel or software tools to obtain access to physicians or persuade adequate numbers of physicians to prescribe any future approved products;</w:t>
      </w:r>
    </w:p>
    <w:p>
      <w:pPr>
        <w:ind w:left="980" w:right="80" w:hanging="648"/>
        <w:spacing w:after="0" w:line="250" w:lineRule="auto"/>
        <w:tabs>
          <w:tab w:leader="none" w:pos="5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ind w:left="600" w:hanging="268"/>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price products at a sufficient price point to ensure an adequate and attractive level of profitability;</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9" w:lineRule="exact"/>
        <w:rPr>
          <w:rFonts w:ascii="Arial" w:cs="Arial" w:eastAsia="Arial" w:hAnsi="Arial"/>
          <w:sz w:val="18"/>
          <w:szCs w:val="18"/>
          <w:color w:val="auto"/>
        </w:rPr>
      </w:pPr>
    </w:p>
    <w:p>
      <w:pPr>
        <w:ind w:left="980" w:right="280" w:hanging="648"/>
        <w:spacing w:after="0" w:line="261" w:lineRule="auto"/>
        <w:tabs>
          <w:tab w:leader="none" w:pos="5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49" w:right="499" w:bottom="1440" w:gutter="0" w:footer="0" w:header="0"/>
        </w:sectPr>
      </w:pPr>
    </w:p>
    <w:bookmarkStart w:id="54" w:name="page55"/>
    <w:bookmarkEnd w:id="54"/>
    <w:p>
      <w:pPr>
        <w:ind w:left="600" w:hanging="268"/>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internally. In addition, we may not be successful in entering into arrangements with third parties to commercialize our drug candidates or may be unable to do so on terms that are favorable to us or them. We may have little control over such third parties, and any of them may fail to devote the necessary resources and attention to sell and market our products effectively or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our drug candidates, if approved.</w:t>
      </w:r>
    </w:p>
    <w:p>
      <w:pPr>
        <w:spacing w:after="0" w:line="2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As our drug development pipeline increases and matures, the increased demand for clinical and commercial supplies from our facilities and third parties may impact our ability to operate. We will require increased capacity across our entire supply chain. Furthermore, we rely on many service providers, including those that provide manufacturing or testing services, all of whom have inherent risks in their operations that may adversely impact our operations.</w:t>
      </w: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currently utilize, and expect to continue to utilize, third parties to, among other things, manufacture raw materials, components, parts, and consumables, and to perform quality testing, including such materials for our automated robotics platform. If the field of technology-enabled drug discovery continues to expand, we may encounter increasing competition for these materials and services. Demand for third-party manufacturing or testing facilities may grow at a faster rate than their existing capacity, which could disrupt our ability to find and retain third-party suppliers and manufacturers capable of producing sufficient quantities of such raw materials, components, parts, and consumables required for our drug candidates and to maintain our automated robotics platform. The use of service providers and suppliers could expose us to risks, including, but not limited to:</w:t>
      </w:r>
    </w:p>
    <w:p>
      <w:pPr>
        <w:spacing w:after="0" w:line="3" w:lineRule="exact"/>
        <w:rPr>
          <w:sz w:val="20"/>
          <w:szCs w:val="20"/>
          <w:color w:val="auto"/>
        </w:rPr>
      </w:pPr>
    </w:p>
    <w:p>
      <w:pPr>
        <w:ind w:left="980" w:right="140" w:hanging="648"/>
        <w:spacing w:after="0" w:line="250" w:lineRule="auto"/>
        <w:tabs>
          <w:tab w:leader="none" w:pos="5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non-renewal of supply and service agreements with third parties in a manner or at a time that is costly or damaging to us;</w:t>
      </w:r>
    </w:p>
    <w:p>
      <w:pPr>
        <w:ind w:left="980" w:right="200" w:hanging="648"/>
        <w:spacing w:after="0" w:line="265" w:lineRule="auto"/>
        <w:tabs>
          <w:tab w:leader="none" w:pos="5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disruptions to the operations of these suppliers and service providers caused by conditions unrelated to our business or operations, including the bankruptcy of the supplier or service provider or force majeure events, such as the COVID-19 pandemic; and</w:t>
      </w:r>
    </w:p>
    <w:p>
      <w:pPr>
        <w:ind w:left="980" w:right="160" w:hanging="648"/>
        <w:spacing w:after="0" w:line="261" w:lineRule="auto"/>
        <w:tabs>
          <w:tab w:leader="none" w:pos="5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inspections of third-party facilities by regulatory authorities that could have a negative outcome and result in delays to or termination of their ability to supply our requirements.</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Additional risks to our automated robotics platform include reliance on third-party equipment and instrument suppliers and consumable and reagent suppliers. The failure of third-party suppliers to fulfill our needs could adversely affect our ability to continue to operate our drug discovery platform and generate new insights that lead to successful drug candidates.</w:t>
      </w:r>
    </w:p>
    <w:p>
      <w:pPr>
        <w:spacing w:after="0" w:line="20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We are subject to regulatory and operational risks associated with the physical and digital infrastructure at both our internal facilities and those of our external service providers.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facilities in Salt Lake City, Utah have not been reviewed or pre-approved by any regulatory agency, nor has the facility been inspected by any Federal regulatory agency such as the FDA. An inspection by the FDA could disrupt our ability to generate data and develop drug candidates. Our laboratory facilities are designed to incorporate a significant level of automation of equipment with integration of several digital systems to improve efficiency of research operations. We have attempted to achieve a high level of digitization for a research operation relative to industry standards. While this is meant to improve operational efficiency, this may pose additional risk of equipment malfunction and even overall system failure or shutdown due to internal or external factors including, but not limited to, design issues, system compatibility, or potential cybersecurity breaches. This may lead to delay in potential drug candidate identification or shutdown of our facility. Any disruption in our data generation capabilities could cause delays in advancing new drug candidates into our pipeline, advancing existing programs, or enhancing the capabilities of our platform, including expanding our data, the occurrence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55" w:name="page56"/>
    <w:bookmarkEnd w:id="55"/>
    <w:p>
      <w:pPr>
        <w:ind w:right="80"/>
        <w:spacing w:after="0" w:line="287" w:lineRule="auto"/>
        <w:rPr>
          <w:sz w:val="20"/>
          <w:szCs w:val="20"/>
          <w:color w:val="auto"/>
        </w:rPr>
      </w:pPr>
      <w:r>
        <w:rPr>
          <w:rFonts w:ascii="Arial" w:cs="Arial" w:eastAsia="Arial" w:hAnsi="Arial"/>
          <w:sz w:val="18"/>
          <w:szCs w:val="18"/>
          <w:b w:val="1"/>
          <w:bCs w:val="1"/>
          <w:i w:val="1"/>
          <w:iCs w:val="1"/>
          <w:color w:val="auto"/>
        </w:rPr>
        <w:t>In the future, we may manufacture drug substances or products for preclinical and clinical use at our facilities and we have limited prior manufacturing experience.</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in the future, we decide to produce drug substances or products, we will have no prior experience producing it at our facilities for preclinical and clinical use. We could incur delays in implementing the full operational state of the facility, causing delays to preclinical or clinical supply or need to rely on third-party service providers, resulting in unplanned expenses.</w:t>
      </w:r>
    </w:p>
    <w:p>
      <w:pPr>
        <w:spacing w:after="0" w:line="22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 we expand our development and commercial capacity, we may establish manufacturing capabilities inside the Salt Lake City footprint or expand to other locations or geographies, which may lead to regulatory delays or prove costly. If we fail to select the correct location, complete the construction in an efficient manner, recruit the appropriate personnel, and generally manage our growth effectively, the development and production of our investigational medicines could be delayed or curtailed. Additional investments may be needed if changes in our manufacturing process lead to required changes in the facility’s infrastructure.</w:t>
      </w:r>
    </w:p>
    <w:p>
      <w:pPr>
        <w:spacing w:after="0" w:line="21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current operations are located in Utah and California; and we or the third parties upon whom we depend may be adversely affected by natural disasters and our business continuity and disaster recovery plans may not adequately protect us from a serious disaster.</w:t>
      </w:r>
    </w:p>
    <w:p>
      <w:pPr>
        <w:spacing w:after="0" w:line="2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current operations are located in Salt Lake City, Utah and Milpitas, California. Any unplanned event, such as flood, fire, explosion, earthquake, extreme weather condition, medical epidemics, including any potential effects from the current global spread of COVID-19,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drug candidates or interruption of our business operations. Natural disasters or pandemics such as the COVID-19 outbreak could further disrupt our operations, and have a material and adverse effect on our business, financial condition, results of operations and prospects. For example, we have instituted a temporary work from home policy for non-essential office personnel and it is possible that this could have a negative impact on the execution of our business plans and operations, especially because we rely on validating some of the drug discovery biology in our wet lab. Furthermore, our wet lab houses the robots used to produce our dataset that builds the Recursion Data Universe which is a key means by which we conduct drug candidate discovery. If a natural disaster, power outage or other event occurred that prevented us from using all or a significant portion of our headquarters or the datacenter where we collocate our GPU cluster, or damaged critical infrastructure or our robots,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Furthermore, we do not have a disaster recovery and business continuity plan for systems related to chemistry.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Furthermore, our facilities in Salt Lake City, Utah are located in a busy downtown area. Although we believe we have taken the necessary steps to ensure our operations are safe to the surrounding area, there could be a risk to the public if we were to conduct hazardous material research, including use of flammable chemicals and materials, at our facilities. To date, we have not received any complaints from the public associated with our operations. From time to time, we also hold public events in our Salt Lake City facilities. We have protocols in place to protect our facilities and the confidential information and assets inside; however, it is difficult to secure certain portions of our facilities and security of our confidential and proprietary information could be compromised. Despite the steps we have taken, the surrounding community may still perceive our facility as unsafe, which could have a material and adverse effect on our reputation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ind w:right="560"/>
        <w:spacing w:after="0" w:line="28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or other laws and regulations, we could become subject to fines or penalties or incur costs that could have a material adverse effect on the success of our business.</w:t>
      </w:r>
    </w:p>
    <w:p>
      <w:pPr>
        <w:spacing w:after="0" w:line="20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We are subject to numerous environmental, health and safety, and other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which is generally defined as a greater than 50% change by value in the ownership of its equity over a three-year period, our ability to use our pre-change net operating loss carryforwards and certain other pre-change tax attributes to offset its post-change income could be subject to an annual limitation. Such annual limitation could result in the expiration of a portion of the net operating loss carryforward before utilization. If not utilized the carryforwards will begin to expire in 2036. We may have experienced such ownership changes in the past, and we may experience ownership changes in the future as a result of our initial public offering or subsequent shifts in our stock ownership, some of which are outside of our control; however, we have not determined whether an ownership change has occurred. As of December 31, 2020, we had federal net operating loss carryforwards of approximately $193.8million, and our ability to utilize those net operating loss carryforwards could be limited by enacted legislation or an “ownership change” as described above, which could result in increased tax liability to us.</w:t>
      </w:r>
    </w:p>
    <w:p>
      <w:pPr>
        <w:spacing w:after="0" w:line="21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stock-based compensation and valuation of our equity investments in early-stage biotechnology companies.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3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7" w:name="page58"/>
    <w:bookmarkEnd w:id="57"/>
    <w:p>
      <w:pPr>
        <w:ind w:right="60"/>
        <w:spacing w:after="0" w:line="268"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22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currently rely and expect to continue to rely on third parties, such as clinical research organizations, clinical data management organizations, medical institutions, and clinical investigators, to conduct some aspects of research and preclinical testing and clinical trials. Any of these third parties may terminate their engagements with us or be unable to fulfill their contractual obligations. If any of our relationships with these third parties terminate, we may not be able to enter into arrangements with alternative third parties on commercially reasonable terms, or at all. If we need to enter into alternative arrangements, it would delay product development activities.</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reliance on these third parties for research and development activities reduces control over these activities but does not relieve us of our responsibilities. For example, we remain responsible for ensuring that each of our respective clinical trials is conducted in accordance with the general investigational plan and protocols for the trial and applicable legal, regulatory, and scientific standards, and our reliance on third parties does not relieve us of our regulatory responsibilities. In addition, the FDA and comparable foreign regulatory authorities require compliance with good clinical practices, or GCP guidelines, for conducting, recording, and reporting the results of clinical trials to assure that data and reported results are credible, reproducible and accurate and that the rights, integrity, and confidentiality of trial participants are protected. Regulatory authorities enforce GCP compliance through periodic inspections of trial sponsors, principal investigators, and trial sites. If we or any of these third parties fail to comply with applicable GCP regulations, some or all of the clinical data generated in our clinical trials may be deemed unreliable and the FDA or comparable foreign regulatory authorities may require us to perform additional nonclinical or clinical trials or to enroll additional patients before approving our marketing applications. We cannot be certain that, upon inspection, such regulatory authorities will determine that any of our clinical trials complies with the GCP regulations. For any violations of laws and regulations during the conduct of clinical trials, we could be subject to untitled and warning letters or enforcement action that may include civil penalties up to and including criminal prosecution. We also are required to register ongoing clinical trials and post the results of completed clinical trials on a government-sponsored database within certain timeframes. Failure to do so can result in fines, adverse publicity, and civil and criminal sanctions.</w:t>
      </w:r>
    </w:p>
    <w:p>
      <w:pPr>
        <w:spacing w:after="0" w:line="23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clinical trials in accordance with regulatory requirements or our stated protocols, we will not be able to obtain, or may be delayed in obtaining, marketing approvals for any drug candidates we may develop and will not be able to, or may be delayed in our efforts to, successfully commercialize our medicines. Our failure or the failure of these third parties to comply with applicable regulatory requirements or our stated protocols could also subject us to enforcement action.</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i w:val="1"/>
          <w:iCs w:val="1"/>
          <w:color w:val="auto"/>
        </w:rPr>
        <w:t>We contract with third parties for the manufacture of our drug candidates for preclinical development, clinical testing, and expect to continue to do so for commercialization. This reliance on third parties increases the risk that we will not have sufficient quantities of our drug candidates or products or such quantities at an acceptable cost, which could delay, prevent or impair our development or commercialization efforts.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do not currently own or operate any manufacturing facilities or personnel, although we are in the process of securing a facility to establish production capabilities for preclinical animal studies and early human clinical trials. We rely, and could expect to continue to rely, on third parties for the manufacture of many of our drug candidates for preclinical development and clinical testing, as well as for the commercial manufacture of our products if any of our drug candidates receive marketing approval. This reliance on third parties increases the risk that we will not have sufficient quantities of our drug candidates or products or such quantities at an acceptable cost or quality, which could delay, prevent or impair our development or commercialization efforts.</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facilities used by our contract manufacturers to manufacture our drug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current good manufacturing practice guidelines, or cGMP, in connection with the manufacture of our drug candidates in the near to intermediate term or possibly long term. If our contract manufacturers cannot successfully manufacture material that conforms to our specifications and the strict regulatory requirements of the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8" w:name="page59"/>
    <w:bookmarkEnd w:id="58"/>
    <w:p>
      <w:pPr>
        <w:ind w:right="40"/>
        <w:spacing w:after="0" w:line="251" w:lineRule="auto"/>
        <w:rPr>
          <w:sz w:val="20"/>
          <w:szCs w:val="20"/>
          <w:color w:val="auto"/>
        </w:rPr>
      </w:pPr>
      <w:r>
        <w:rPr>
          <w:rFonts w:ascii="Arial" w:cs="Arial" w:eastAsia="Arial" w:hAnsi="Arial"/>
          <w:sz w:val="18"/>
          <w:szCs w:val="18"/>
          <w:color w:val="auto"/>
        </w:rPr>
        <w:t>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drug candidates or if it finds deficiencies or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drug candidates or products, if approved, operating restrictions and criminal prosecutions, any of which could significantly and adversely affect our business and supplies of our drug candidates. Our third-party manufacturers may be subject to third-party litigation which could disrupt our supply chain, result in liability and harm our business, including the need to increase prices in connection with the commercialization of future drug candidates.</w:t>
      </w:r>
    </w:p>
    <w:p>
      <w:pPr>
        <w:spacing w:after="0" w:line="238"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 w:lineRule="exact"/>
        <w:rPr>
          <w:sz w:val="20"/>
          <w:szCs w:val="20"/>
          <w:color w:val="auto"/>
        </w:rPr>
      </w:pPr>
    </w:p>
    <w:p>
      <w:pPr>
        <w:ind w:left="600" w:hanging="268"/>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drug candidates and any products that we may develop may compete with other drug candidates and approved products for access to manufacturing facilities or capacity. There are a limited number of manufacturers that operate under cGMP regulations and that might be capable of manufacturing for us.</w:t>
      </w:r>
    </w:p>
    <w:p>
      <w:pPr>
        <w:spacing w:after="0" w:line="229"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If our current contract manufacturers cannot perform as agreed, we may be required to replace such manufacturers. We may incur added costs and delays in identifying and qualifying any such replacement.</w:t>
      </w: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drug candidates we may develop or commercialization of our medicines, producing additional losses and depriving us of potential product revenue.</w:t>
      </w:r>
    </w:p>
    <w:p>
      <w:pPr>
        <w:spacing w:after="0" w:line="20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The third parties upon whom we rely for certain equipment and the supply of the active pharmaceutical ingredients used in our drug candidates are our only source of supply, and the loss of any of these suppliers could significantly harm our business.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of our specialized equipment and the active pharmaceutical ingredients, or API, used in our drug candidates are supplied to us from single-source suppliers. Our ability to successfully develop our drug candidates, and to ultimately supply our commercial products in quantities sufficient to meet the market demand, depends in part on our ability to obtain equipment and the API for these products in accordance with regulatory requirements and in sufficient quantities for clinical testing and commercialization. We do not currently have arrangements in place for a redundant or second-source supply of any such equipment or API in the event any of our current suppliers of such equipment or API ceases their operations for any reason. We are also unable to predict how changing global economic conditions or potential global health concerns such as the COVID-19 pandemic will affect our third-party suppliers and manufacturers. Any negative impact of such matters on our third-party suppliers and manufacturers may also have an adverse impact on our results of operations or financial condition.</w:t>
      </w:r>
    </w:p>
    <w:p>
      <w:pPr>
        <w:spacing w:after="0" w:line="2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all of our drug candidates, we intend to identify and qualify additional vendors and manufacturers to provide such equipment or API prior to submission of an NDA to the FDA and/or an MAA to the EMA. We are not certain,</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59" w:name="page60"/>
    <w:bookmarkEnd w:id="59"/>
    <w:p>
      <w:pPr>
        <w:ind w:right="100"/>
        <w:spacing w:after="0" w:line="254" w:lineRule="auto"/>
        <w:rPr>
          <w:sz w:val="20"/>
          <w:szCs w:val="20"/>
          <w:color w:val="auto"/>
        </w:rPr>
      </w:pPr>
      <w:r>
        <w:rPr>
          <w:rFonts w:ascii="Arial" w:cs="Arial" w:eastAsia="Arial" w:hAnsi="Arial"/>
          <w:sz w:val="18"/>
          <w:szCs w:val="18"/>
          <w:color w:val="auto"/>
        </w:rPr>
        <w:t>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Establishing additional or replacement suppliers for certain equipment and the API used in our drug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drug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2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may seek to establish additional collaborations for clinical development or commercialization of our drug candidates, and, if we are not able to establish them on commercially reasonable terms, or at all, we may have to alter our development and commercialization plans.</w:t>
      </w:r>
    </w:p>
    <w:p>
      <w:pPr>
        <w:spacing w:after="0" w:line="2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product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 In the near term, the value of our company will depend in part, on the number of and the quality of the collaborations that we create.</w:t>
      </w:r>
    </w:p>
    <w:p>
      <w:pPr>
        <w:spacing w:after="0" w:line="2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Potential collaborators may reject collaborations based upon their assessment of our financial, regulatory or intellectual property position.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238"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Collaborative relationships with third parties could cause us to expend significant resources and incur substantial business risk with no assurance of financial return. Management of our relationships with collaborators will require:</w:t>
      </w:r>
    </w:p>
    <w:p>
      <w:pPr>
        <w:spacing w:after="0" w:line="1" w:lineRule="exact"/>
        <w:rPr>
          <w:sz w:val="20"/>
          <w:szCs w:val="20"/>
          <w:color w:val="auto"/>
        </w:rPr>
      </w:pPr>
    </w:p>
    <w:p>
      <w:pPr>
        <w:ind w:left="600" w:hanging="268"/>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9" w:lineRule="exact"/>
        <w:rPr>
          <w:rFonts w:ascii="Arial" w:cs="Arial" w:eastAsia="Arial" w:hAnsi="Arial"/>
          <w:sz w:val="18"/>
          <w:szCs w:val="18"/>
          <w:color w:val="auto"/>
        </w:rPr>
      </w:pPr>
    </w:p>
    <w:p>
      <w:pPr>
        <w:ind w:left="980" w:hanging="648"/>
        <w:spacing w:after="0" w:line="250" w:lineRule="auto"/>
        <w:tabs>
          <w:tab w:leader="none" w:pos="5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coordination of our marketing and research and development programs with the marketing and research and development priorities of our collaborators; and</w:t>
      </w:r>
    </w:p>
    <w:p>
      <w:pPr>
        <w:ind w:left="600" w:hanging="268"/>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5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If we are unable to establish or maintain such strategic collaborations on terms favorable to us in the future, our research and development efforts and potential to generate revenue may be limited.</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may also be restricted under collaboration agreements from entering into future agreements on certain terms with potential collaborators. Collaborations are complex and time-consuming to negotiate and document. In addition, the significant number of recent business combinations among large pharmaceutical companies has resulted in a reduced number of potential future collaborators.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0" w:name="page61"/>
    <w:bookmarkEnd w:id="60"/>
    <w:p>
      <w:pPr>
        <w:spacing w:after="0" w:line="251" w:lineRule="auto"/>
        <w:rPr>
          <w:sz w:val="20"/>
          <w:szCs w:val="20"/>
          <w:color w:val="auto"/>
        </w:rPr>
      </w:pPr>
      <w:r>
        <w:rPr>
          <w:rFonts w:ascii="Arial" w:cs="Arial" w:eastAsia="Arial" w:hAnsi="Arial"/>
          <w:sz w:val="18"/>
          <w:szCs w:val="18"/>
          <w:color w:val="auto"/>
        </w:rPr>
        <w:t>capital, which may not be available to us on acceptable terms or at all. If we do not have sufficient funds, we may not be able to further develop our drug candidates or bring them to market and generate product revenue. Even if we successfully establish new collaborations, these relationships may never result in the successful development or commercialization of drug candidates or the generation of sales revenue. The success of our collaboration arrangements will depend heavily on the efforts and activities of our collaborators. Collaborators generally have significant discretion in determining the efforts and resources that they will apply to these collaborations. To the extent that we enter into collaborative arrangements, the related product revenues are likely to be lower than if we directly marketed and sold products. Such collaborators may also consider alternative drug candidates or technologies for similar indications that may be available to collaborate on and whether such a collaboration could be more attractive than the one with us for any future drug candidate. Disagreements between parties to a collaboration arrangement regarding clinical development or commercialization matters can lead to delays in the development process or commercialization of the applicable drug candidate and, in some cases, the termination of the collaboration arrangement. These disagreements can be difficult to resolve if neither of the parties has final decision-making authority. Collaborations with pharmaceutical or biotechnology companies or other third parties often are terminated or allowed to expire by the other party. Any such termination or expiration would adversely affect us financially and could harm our business reputation. If we were to become involved in arbitration or litigation with any of our collaborators it would consume time and divert management resources away from operations, damage our reputation and impact our ability to enter into future collaboration agreements and may result in substantial payments from us to our collaborators to settle any disputes.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If we are unable to adequately protect and enforce our intellectual property and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commercial success will depend in part on our ability to obtain, maintain, protect and enforce our proprietary and intellectual property rights in the United States and other countries for our drug candidates, and our core technologies, including our phenomic platform, preclinical and clinical assets, composition of matter, methods of use and formulation patents and related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However, the patent process is expensive, time consuming and complex, and we may not be able to apply for patents on certain aspects of our technology and products in a timely fashion, at a reasonable cost, in all jurisdictions or at all, and any potential patent coverage we obtain may not be sufficient to prevent substantial competition. In addition, we also rely on trade secrets, know-how and continuing technological innovation to develop and maintain our proprietary and intellectual property position. We do not own or in-license any issued patents with respect to certain of our programs, including our REC-3599 product candidate, our lead molecules for the treatment of C. difficile colitis (REC-163964, REC-164014, and REC-164067), our lead molecules for the treatment of neuroinflammation (REC-648455, REC-648597, and REC-648677), our lead molecules for the treatment of Batten disease (REC-648190, REC-259618, and REC-648647), or the lead molecules for the treatment of CMT2A (REC-64810, REC-648458, REC-1262, and REC-150357), REC-64151 for the treatment of STK11-mutant immune checkpoint resistance in non-small cell lung cancer and MYC inhibitory molecules for the treatment of solid and hematological malignancies we can provide no assurance that any of our current or future patent applications will result in issued patents or that any issued patents will provide us with any competitive advantage.</w:t>
      </w:r>
    </w:p>
    <w:p>
      <w:pPr>
        <w:spacing w:after="0" w:line="21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The patent position of biotechnology and pharmaceutical companies generally is highly uncertain, involves complex legal and factual questions and has in recent years been the subject of much litigation.</w:t>
      </w:r>
    </w:p>
    <w:p>
      <w:pPr>
        <w:spacing w:after="0" w:line="252" w:lineRule="auto"/>
        <w:rPr>
          <w:sz w:val="20"/>
          <w:szCs w:val="20"/>
          <w:color w:val="auto"/>
        </w:rPr>
      </w:pPr>
      <w:r>
        <w:rPr>
          <w:rFonts w:ascii="Arial" w:cs="Arial" w:eastAsia="Arial" w:hAnsi="Arial"/>
          <w:sz w:val="18"/>
          <w:szCs w:val="18"/>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pending patent applications will issue, or that any of our pending patent applications that mature into issued patents will include claims with a scope sufficient to protect our drug candidates from competition. In addition, the laws of foreign countries may not protect our rights to the same extent as the laws of the United States, and many companies have encountered significant challenges in establishing and enforcing their proprietary rights outside of the United States. Furthermore, patents have a</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61" w:name="page62"/>
    <w:bookmarkEnd w:id="61"/>
    <w:p>
      <w:pPr>
        <w:ind w:right="140"/>
        <w:spacing w:after="0" w:line="252" w:lineRule="auto"/>
        <w:rPr>
          <w:sz w:val="20"/>
          <w:szCs w:val="20"/>
          <w:color w:val="auto"/>
        </w:rPr>
      </w:pPr>
      <w:r>
        <w:rPr>
          <w:rFonts w:ascii="Arial" w:cs="Arial" w:eastAsia="Arial" w:hAnsi="Arial"/>
          <w:sz w:val="18"/>
          <w:szCs w:val="18"/>
          <w:color w:val="auto"/>
        </w:rPr>
        <w:t>limited lifespan. In the United States, the natural expiration of a patent is generally twenty years after its first effective non-provisional filing date.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and any patent portfolio we may license in the future may not provide us with adequate and continuing patent protection sufficient to exclude others from commercializing products similar or identical to our drug candidates, including generic versions of such products.</w:t>
      </w:r>
    </w:p>
    <w:p>
      <w:pPr>
        <w:spacing w:after="0" w:line="2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cannot be predicted with any certainty.</w:t>
      </w:r>
    </w:p>
    <w:p>
      <w:pPr>
        <w:spacing w:after="0" w:line="23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addition, the patent prosecution process is expensive, time-consuming and complex, and we may not be able to file, prosecute, maintain, enforce or license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may be significantly narrowed by the time they issue, if at all. It is also possible that we will fail to identify patentable aspects of our research and development output in time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w:t>
      </w:r>
    </w:p>
    <w:p>
      <w:pPr>
        <w:spacing w:after="0" w:line="2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currently own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23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Further, inadvertent or intentional public disclosures of our inventions prior to the filing of a patent application have precluded, and in the future may preclude us from obtaining patent protection in certain jurisdictions. We may become involved in opposition, derivation, reexamination, inter parties review, post-grant review or interference proceedings challenging our patent rights or the patent rights of others from whom we have obtained licenses to such rights. Such proceedings could result in revocation of or amendment to our patents in such a way that they no longer cover our technology or drug candidates.</w:t>
      </w:r>
    </w:p>
    <w:p>
      <w:pPr>
        <w:spacing w:after="0" w:line="2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2" w:name="page63"/>
    <w:bookmarkEnd w:id="62"/>
    <w:p>
      <w:pPr>
        <w:ind w:right="420"/>
        <w:spacing w:after="0" w:line="261" w:lineRule="auto"/>
        <w:rPr>
          <w:sz w:val="20"/>
          <w:szCs w:val="20"/>
          <w:color w:val="auto"/>
        </w:rPr>
      </w:pPr>
      <w:r>
        <w:rPr>
          <w:rFonts w:ascii="Arial" w:cs="Arial" w:eastAsia="Arial" w:hAnsi="Arial"/>
          <w:sz w:val="18"/>
          <w:szCs w:val="18"/>
          <w:color w:val="auto"/>
        </w:rPr>
        <w:t>was obvious. In litigation, a competitor could claim that our patents, if issued, are not valid for a number of reasons. If a court agrees, we would lose our rights to those challenged patents.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 loss of exclusivity, in whole or in part, could allow others to compete with us and harm our business.</w:t>
      </w:r>
    </w:p>
    <w:p>
      <w:pPr>
        <w:spacing w:after="0" w:line="2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Even if they are unchallenged, our owned patent portfolio and any patent portfolio we may license in the future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2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and prosecution process. In addition, periodic maintenance fees, renewal fees, annuity fees and various other governmental fees on patents and/or patent applications often must be paid to the USPTO and foreign patent agencies over the lifetime of the patent and/or patent application.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drug candidates, which would have a material adverse effect on our business.</w:t>
      </w:r>
    </w:p>
    <w:p>
      <w:pPr>
        <w:spacing w:after="0" w:line="21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know-how, our business and competitive position may be harmed.</w:t>
      </w:r>
    </w:p>
    <w:p>
      <w:pPr>
        <w:spacing w:after="0" w:line="202"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In addition to the protection afforded by patents, we rely upon unpatented trade secret protection, unpatented know-how and continuing technological innovation to develop and maintain our competitive position. With respect to curating our data and our library of small molecules generally,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information which we consider to be confidential, our technical know-how or other trade secrets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3" w:name="page64"/>
    <w:bookmarkEnd w:id="63"/>
    <w:p>
      <w:pPr>
        <w:ind w:right="40"/>
        <w:spacing w:after="0" w:line="252" w:lineRule="auto"/>
        <w:rPr>
          <w:sz w:val="20"/>
          <w:szCs w:val="20"/>
          <w:color w:val="auto"/>
        </w:rPr>
      </w:pPr>
      <w:r>
        <w:rPr>
          <w:rFonts w:ascii="Arial" w:cs="Arial" w:eastAsia="Arial" w:hAnsi="Arial"/>
          <w:sz w:val="18"/>
          <w:szCs w:val="18"/>
          <w:color w:val="auto"/>
        </w:rPr>
        <w:t>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For example, if one of our employees publicly discloses information that we believe to be confidential or a trade secret we may be unable to protect it in the future. Even where remedies are available, enforcing a claim that a party illegally disclosed or misappropriated our trade secrets, like patent litigation, is expensive and time consuming, and the outcome is unpredictable. In addition, courts outside the United States are sometimes less willing to protect trade secrets.</w:t>
      </w:r>
    </w:p>
    <w:p>
      <w:pPr>
        <w:spacing w:after="0" w:line="23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or proprietary rights, the outcome of which would be uncertain and could have a material adverse effect on the success of our business.</w:t>
      </w:r>
    </w:p>
    <w:p>
      <w:pPr>
        <w:spacing w:after="0" w:line="22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drug candidates and use our proprietary technologies without infringing, misappropriating or otherwise violating the intellectual property or proprietary rights of third parties. The biotechnology and pharmaceutical industries are characterized by extensive and frequent litigation regarding patents and other intellectual property rights. For example, we sublicense CRISPR-Cas9 gene editing technology from a licensed vendor, which provides critical tools upon which portions of our drug discovery process relies, but there are ongoing disputes between third parties, which we are not party to, regarding the ownership of and licensing rights related to such technology. CRISPR-Cas9 gene editing is a field that is highly active for patent filings. In November 2018, it was reported that 211 patent families and 1835 patent family members worldwide referenced CRISPR or Cas in the title, abstracts or claims. The extensive patent filings related to CRISPR and Cas make it difficult for us to assess the full extent of relevant patents and pending applications that may cover CRISPR-Cas9. There may be third-party patents or pending patent applications with claims that may issue in the future, covering our use of CRISPR-Cas9. We may need access to such patents in order to continue using CRISPR-Cas9, however we cannot be certain that such patents will be available for license on commercially reasonable terms.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products or technologies are covered by their patents. Given the vast and continually-increasing number of patents in our field of technology, we cannot be certain that we do not infringe existing patents or that we will not infringe patents that may be granted in the future. Many companies have filed, and continue to file, patent applications related to artificial intelligence and deep learning, technology-aided drug discovery, CRISPR, high-throughput screening, and combinations of any or all of these fields. Some of these patent applications have already been allowed or issued, and others may issue in the future. Since these areas are competitive and of strong interest to pharmaceutical and biotechnology companies, there will likely be additional patent applications filed and additional patents granted in the future, as well as additional research and development programs expected in the future. If a patent holder believes our product or drug candidate infringes on its patent, the patent holder may sue us even if we have received patent protection for our technology. Moreover, we may face patent infringement claims from non-practicing entities that have no relevant product revenue and against whom our owned patent portfolio and any patent portfolio we may license in the future may thus have no deterrent effect. If any such claim or proceeding is brought against us, our collaborators or our third-party service providers, our development, manufacturing, marketing, sales and other commercialization activities could be similarly adversely affected. 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develop, manufacture, market, sell and commercialize any of our drug candidates or technology. In order to successfully challenge the validity of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4" w:name="page65"/>
    <w:bookmarkEnd w:id="64"/>
    <w:p>
      <w:pPr>
        <w:jc w:val="both"/>
        <w:ind w:right="440"/>
        <w:spacing w:after="0" w:line="256" w:lineRule="auto"/>
        <w:rPr>
          <w:sz w:val="20"/>
          <w:szCs w:val="20"/>
          <w:color w:val="auto"/>
        </w:rPr>
      </w:pPr>
      <w:r>
        <w:rPr>
          <w:rFonts w:ascii="Arial" w:cs="Arial" w:eastAsia="Arial" w:hAnsi="Arial"/>
          <w:sz w:val="18"/>
          <w:szCs w:val="18"/>
          <w:color w:val="auto"/>
        </w:rPr>
        <w:t>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we are found to infringe a third party’s patent or other intellectual property rights, we could be required to obtain a license from such third party to continue developing and marketing our drug candidates and technology. We may choose to obtain a license, even in the absence of an action or finding of infringement. In either case,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and it could require us to make substantial licensing, royalty and other payments.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or other intellectual property rights. A finding of infringement could prevent us from commercializing our drug candidates or force us to cease some of our business operations, which could materially harm our business. If we lose a foreign patent lawsuit, alleging our infringement of a competitor’s patents, we could be prevented from marketing our products in one or more foreign countries, which would have a materially adverse effect on our business.</w:t>
      </w:r>
    </w:p>
    <w:p>
      <w:pPr>
        <w:spacing w:after="0" w:line="2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 or claims asserting ownership of what we regard as our own intellectual property.</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23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an adverse effect on our business, results of operations and financial condition.</w:t>
      </w:r>
    </w:p>
    <w:p>
      <w:pPr>
        <w:spacing w:after="0" w:line="21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20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it. Further, such third parties could counterclaim</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5" w:name="page66"/>
    <w:bookmarkEnd w:id="65"/>
    <w:p>
      <w:pPr>
        <w:ind w:right="40"/>
        <w:spacing w:after="0" w:line="251" w:lineRule="auto"/>
        <w:rPr>
          <w:sz w:val="20"/>
          <w:szCs w:val="20"/>
          <w:color w:val="auto"/>
        </w:rPr>
      </w:pPr>
      <w:r>
        <w:rPr>
          <w:rFonts w:ascii="Arial" w:cs="Arial" w:eastAsia="Arial" w:hAnsi="Arial"/>
          <w:sz w:val="18"/>
          <w:szCs w:val="18"/>
          <w:color w:val="auto"/>
        </w:rPr>
        <w:t>that we infringe their intellectual property or that a patent we have asserted against them is invalid or unenforceable. In patent litigation in the United States, defendant counterclaims and inter partes reviews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any patents that may issue invalid. Moreover, it is also possible that prior art may exist that we are aware of but do not believe is relevant to our future patents, should they issue, but that could nevertheless be determined to render our patents invalid.</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or technology. Competing products may also be sold in other countries in which our patent coverage might not exist or be as strong.</w:t>
      </w:r>
    </w:p>
    <w:p>
      <w:pPr>
        <w:spacing w:after="0" w:line="209"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Such litigation or proceedings could substantially increase our operating losses and reduce the resources available for development activities or any future sales, marketing or distribution activities.</w:t>
      </w:r>
    </w:p>
    <w:p>
      <w:pPr>
        <w:spacing w:after="0" w:line="23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prosecute and enforce our intellectual property rights throughout the world.</w:t>
      </w:r>
    </w:p>
    <w:p>
      <w:pPr>
        <w:spacing w:after="0" w:line="274"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Patent protection must ultimately be sought on a country-by-country basis, which is an expensive and time-consuming process with uncertain outcomes.</w:t>
      </w:r>
    </w:p>
    <w:p>
      <w:pPr>
        <w:spacing w:after="0" w:line="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Accordingly, we may choose not to seek patent protection in certain countries, and we will not have the benefit of patent protection in such countries. Additionally, the patent laws of some foreign countries, including some jurisdictions of significant commercial interest, do not afford intellectual property protection to the same extent as the laws of the United States, particularly with regard to software technologies and methods of treatment involving existing drugs.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and/or which limit the enforceability of patents against third parties, including government agencies or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66" w:name="page67"/>
    <w:bookmarkEnd w:id="66"/>
    <w:p>
      <w:pPr>
        <w:ind w:right="100"/>
        <w:spacing w:after="0" w:line="254" w:lineRule="auto"/>
        <w:rPr>
          <w:sz w:val="20"/>
          <w:szCs w:val="20"/>
          <w:color w:val="auto"/>
        </w:rPr>
      </w:pPr>
      <w:r>
        <w:rPr>
          <w:rFonts w:ascii="Arial" w:cs="Arial" w:eastAsia="Arial" w:hAnsi="Arial"/>
          <w:sz w:val="18"/>
          <w:szCs w:val="18"/>
          <w:color w:val="auto"/>
        </w:rPr>
        <w:t>government contractors. Consequently, we may not be able to prevent third parties from practicing our inventions in all countries outside the United States and, in those foreign countries, patents may provide limited or no benefit. In addition, we and our licensors may have limited remedies in those foreign countries if patents are infringed or if we or our licensors are compelled to grant a license to a third party, which could materially diminish the value of those patents and could limit our potential revenue opportunities.</w:t>
      </w:r>
    </w:p>
    <w:p>
      <w:pPr>
        <w:spacing w:after="0" w:line="2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drug candidates,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or obtain similar patent scope, in all jurisdictions in which we may wish to market our drug candidates. Accordingly, our efforts to protect our intellectual property rights in such countries may be inadequate to obtain a significant commercial advantage from the intellectual property that we own or license.</w:t>
      </w:r>
    </w:p>
    <w:p>
      <w:pPr>
        <w:spacing w:after="0" w:line="217"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drug candidates we may develop, our business may be materially harmed.</w:t>
      </w:r>
    </w:p>
    <w:p>
      <w:pPr>
        <w:spacing w:after="0" w:line="251" w:lineRule="auto"/>
        <w:rPr>
          <w:sz w:val="20"/>
          <w:szCs w:val="20"/>
          <w:color w:val="auto"/>
        </w:rPr>
      </w:pPr>
      <w:r>
        <w:rPr>
          <w:rFonts w:ascii="Arial" w:cs="Arial" w:eastAsia="Arial" w:hAnsi="Arial"/>
          <w:sz w:val="18"/>
          <w:szCs w:val="18"/>
          <w:color w:val="auto"/>
        </w:rPr>
        <w:t>Depending upon the timing, duration and specifics of any FDA marketing approval of any drug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1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For example, when we explore repurposing molecules owned by our collaboration partners or other third parties, we in-license the rights to use those molecules for our use. If we were not able to obtain a license, or were not able to obtain a license on commercially reasonable terms or with sufficient breadth to cover the intended use of third-party intellectual property, our business could be materially harmed or we may become involved in disputes.</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collaborate with or license intellectual property rights from third parties, or otherwise experience disruptions to our business relationships with our collaborators or licensors, we could lose rights that are important to our business.</w:t>
      </w:r>
    </w:p>
    <w:p>
      <w:pPr>
        <w:spacing w:after="0" w:line="22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license certain intellectual property that is important to our business, and in the future we may enter into additional agreements that provide us with licenses to valuable intellectual property or technology. We expect our future license agreements will impose various development, diligence, commercialization, and other obligations on us in order to maintain the licenses. In spite of our efforts, a future licensor might conclude that we have materially breached our obligations under such license agreements and seek to terminate the license agreements, thereby removing or limiting our ability to develop and commercialize products and technology covered by these license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67" w:name="page68"/>
    <w:bookmarkEnd w:id="67"/>
    <w:p>
      <w:pPr>
        <w:ind w:right="160"/>
        <w:spacing w:after="0" w:line="254" w:lineRule="auto"/>
        <w:rPr>
          <w:sz w:val="20"/>
          <w:szCs w:val="20"/>
          <w:color w:val="auto"/>
        </w:rPr>
      </w:pPr>
      <w:r>
        <w:rPr>
          <w:rFonts w:ascii="Arial" w:cs="Arial" w:eastAsia="Arial" w:hAnsi="Arial"/>
          <w:sz w:val="18"/>
          <w:szCs w:val="18"/>
          <w:color w:val="auto"/>
        </w:rPr>
        <w:t>agreements.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drug candidates. Any of the foregoing could have a material adverse effect on our competitive position, business, financial conditions, results of operations, and prospects.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9" w:lineRule="exact"/>
        <w:rPr>
          <w:sz w:val="20"/>
          <w:szCs w:val="20"/>
          <w:color w:val="auto"/>
        </w:rPr>
      </w:pPr>
    </w:p>
    <w:p>
      <w:pPr>
        <w:ind w:left="600" w:hanging="268"/>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9" w:lineRule="exact"/>
        <w:rPr>
          <w:rFonts w:ascii="Arial" w:cs="Arial" w:eastAsia="Arial" w:hAnsi="Arial"/>
          <w:sz w:val="18"/>
          <w:szCs w:val="18"/>
          <w:color w:val="auto"/>
        </w:rPr>
      </w:pPr>
    </w:p>
    <w:p>
      <w:pPr>
        <w:ind w:left="980" w:right="320" w:hanging="648"/>
        <w:spacing w:after="0" w:line="250" w:lineRule="auto"/>
        <w:tabs>
          <w:tab w:leader="none" w:pos="5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ind w:left="600" w:hanging="268"/>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9" w:lineRule="exact"/>
        <w:rPr>
          <w:rFonts w:ascii="Arial" w:cs="Arial" w:eastAsia="Arial" w:hAnsi="Arial"/>
          <w:sz w:val="18"/>
          <w:szCs w:val="18"/>
          <w:color w:val="auto"/>
        </w:rPr>
      </w:pPr>
    </w:p>
    <w:p>
      <w:pPr>
        <w:ind w:left="980" w:right="460" w:hanging="648"/>
        <w:spacing w:after="0" w:line="250" w:lineRule="auto"/>
        <w:tabs>
          <w:tab w:leader="none" w:pos="5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ind w:left="600" w:hanging="268"/>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agreements under which we may license intellectual property or technology from third parties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drug candidates, which could have a material adverse effect on our business, financial conditions, results of operations, and prospects.</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These and similar issues may arise with respect to our collaboration agreements, such as the Bayer Agreement. Our collaboration with Bayer is one of our key collaborations, and there can be no assurance that this collaboration will continue past the current term, on favorable terms or at all, or that at any time while the collaboration is in effect the parties will operate under the agreement without disputes. Possible disputes may involve ownership or control of intellectual property rights, negotiations of licensing agreements resulting from the collaboration, exclusivity obligations, diligence and payment obligations, for example.</w:t>
      </w:r>
    </w:p>
    <w:p>
      <w:pPr>
        <w:spacing w:after="0" w:line="21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and compliance with such regulations may limit our exclusive rights and our ability to contract with non-U.S. manufacturers.</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intellectual property rights may be subject to a reservation of rights by one or more third parties. For example, certain intellectual property rights that we have licensed have been generated through the use of U.S. government funding and are therefore subject to certain federal regulations. As a result, the U.S. government may have certain rights to intellectual property embodied in our current or future processes and related products and services pursuant to the Bayh-Dole Act of 1980, or the Bayh-Dole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and achieve practical application of the government-funded technology, (2) government action is necessary to meet public health or safety needs, (3) government action is necessary to meet requirements for public use under federal regulations or (4) we fail to meet requirements of federal regulations (also referred to as “march-in rights”). The U.S. government also has the right to take title to these inventions if we or our licensors fail to disclose the invention to the government or fail to file an application to register the intellectual property within specified time limits. These rights may permit the government to disclose our confidential information to third parties. In addition, our rights in such inventions may be subject to certain requirements to manufacture products embodying such inventions in the United States. Intellectual property generated under a government funded program is also subject to certain reporting requirements, compliance with which may require us to expend substantial resources. To the extent any of our future owned or licensed intellectual property is also generated through the use of U.S. government funding, the provisions of the Bayh-Dole Act may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8" w:name="page69"/>
    <w:bookmarkEnd w:id="68"/>
    <w:p>
      <w:pPr>
        <w:ind w:right="340"/>
        <w:spacing w:after="0" w:line="261" w:lineRule="auto"/>
        <w:rPr>
          <w:sz w:val="20"/>
          <w:szCs w:val="20"/>
          <w:color w:val="auto"/>
        </w:rPr>
      </w:pPr>
      <w:r>
        <w:rPr>
          <w:rFonts w:ascii="Arial" w:cs="Arial" w:eastAsia="Arial" w:hAnsi="Arial"/>
          <w:sz w:val="18"/>
          <w:szCs w:val="18"/>
          <w:color w:val="auto"/>
        </w:rPr>
        <w:t>similarly apply. Any exercise by the government of such rights could have a material adverse effect on our competitive position, business, results of operations and financial condition.</w:t>
      </w:r>
    </w:p>
    <w:p>
      <w:pPr>
        <w:spacing w:after="0" w:line="20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and may impact the validity, scope or enforceability of our patent rights, thereby impairing our ability to protect our drug candidates.</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Our patent rights, their associated costs, and the enforcement or defense of such patent rights may be affected by developments or uncertainty in the patent statute, patent case law or USPTO rules and regulations. Changes in either the patent laws or interpretation of the patent laws could increase the uncertainties and costs surrounding the prosecution of patent applications and the enforcement or defense of our issued patents.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technology or drug candidates or invent any of the inventions claimed in our or our licensor’s patents or patent applications. The America Invents Act also includes a number of other significant changes to U.S. patent law, including provisions that affect the way patent applications will be prosecuted, allowing third party submission of prior art and establishing a new post-grant review system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effects of these changes are currently unclear as the USPTO continues to promulgate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25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rights in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any patents that we may obtain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74"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 w:lineRule="exact"/>
        <w:rPr>
          <w:sz w:val="20"/>
          <w:szCs w:val="20"/>
          <w:color w:val="auto"/>
        </w:rPr>
      </w:pPr>
    </w:p>
    <w:p>
      <w:pPr>
        <w:ind w:left="980" w:right="220" w:hanging="648"/>
        <w:spacing w:after="0" w:line="250" w:lineRule="auto"/>
        <w:tabs>
          <w:tab w:leader="none" w:pos="5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drug candidates or utilize similar technology but that are not covered by the claims of the patents that we license or may own;</w:t>
      </w:r>
    </w:p>
    <w:p>
      <w:pPr>
        <w:ind w:left="980" w:right="300" w:hanging="648"/>
        <w:spacing w:after="0" w:line="261" w:lineRule="auto"/>
        <w:tabs>
          <w:tab w:leader="none" w:pos="5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duplicate or utilize similar technology in a manner that infringes our patents but is undetectable, or done in a jurisdiction where we cannot secure or enforce patent rights;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9" w:name="page70"/>
    <w:bookmarkEnd w:id="69"/>
    <w:p>
      <w:pPr>
        <w:ind w:left="980" w:right="380" w:hanging="648"/>
        <w:spacing w:after="0" w:line="250" w:lineRule="auto"/>
        <w:tabs>
          <w:tab w:leader="none" w:pos="5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 or pending patent application that we license or own now or in the future;</w:t>
      </w:r>
    </w:p>
    <w:p>
      <w:pPr>
        <w:ind w:left="600" w:hanging="268"/>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or their inventions;</w:t>
      </w:r>
    </w:p>
    <w:p>
      <w:pPr>
        <w:spacing w:after="0" w:line="9" w:lineRule="exact"/>
        <w:rPr>
          <w:rFonts w:ascii="Arial" w:cs="Arial" w:eastAsia="Arial" w:hAnsi="Arial"/>
          <w:sz w:val="18"/>
          <w:szCs w:val="18"/>
          <w:color w:val="auto"/>
        </w:rPr>
      </w:pPr>
    </w:p>
    <w:p>
      <w:pPr>
        <w:ind w:left="980" w:hanging="648"/>
        <w:spacing w:after="0" w:line="250" w:lineRule="auto"/>
        <w:tabs>
          <w:tab w:leader="none" w:pos="5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ind w:left="600" w:hanging="268"/>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present or future pending patent applications (whether owned or licensed) will not lead to issued patents;</w:t>
      </w:r>
    </w:p>
    <w:p>
      <w:pPr>
        <w:spacing w:after="0" w:line="9" w:lineRule="exact"/>
        <w:rPr>
          <w:rFonts w:ascii="Arial" w:cs="Arial" w:eastAsia="Arial" w:hAnsi="Arial"/>
          <w:sz w:val="18"/>
          <w:szCs w:val="18"/>
          <w:color w:val="auto"/>
        </w:rPr>
      </w:pPr>
    </w:p>
    <w:p>
      <w:pPr>
        <w:ind w:left="980" w:right="20" w:hanging="648"/>
        <w:spacing w:after="0" w:line="250" w:lineRule="auto"/>
        <w:tabs>
          <w:tab w:leader="none" w:pos="5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ind w:left="980" w:right="60" w:hanging="648"/>
        <w:spacing w:after="0" w:line="250" w:lineRule="auto"/>
        <w:tabs>
          <w:tab w:leader="none" w:pos="5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Arial" w:cs="Arial" w:eastAsia="Arial" w:hAnsi="Arial"/>
          <w:sz w:val="18"/>
          <w:szCs w:val="18"/>
          <w:color w:val="auto"/>
        </w:rPr>
      </w:pPr>
    </w:p>
    <w:p>
      <w:pPr>
        <w:ind w:left="600" w:hanging="268"/>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9" w:lineRule="exact"/>
        <w:rPr>
          <w:rFonts w:ascii="Arial" w:cs="Arial" w:eastAsia="Arial" w:hAnsi="Arial"/>
          <w:sz w:val="18"/>
          <w:szCs w:val="18"/>
          <w:color w:val="auto"/>
        </w:rPr>
      </w:pPr>
    </w:p>
    <w:p>
      <w:pPr>
        <w:ind w:left="980" w:right="260" w:hanging="648"/>
        <w:spacing w:after="0" w:line="261" w:lineRule="auto"/>
        <w:tabs>
          <w:tab w:leader="none" w:pos="5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22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0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2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license patent rights from third-party owners. If such owners do not properly or successfully obtain, maintain, or enforce the patents underlying such licenses, our competitive position and business prospects may be harmed.</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are a party to license agreements that give us rights to third-party intellectual property that is necessary or useful for our business. For example, we have obtained licenses from third parties to patent rights covering a number of our clinical drug candidates and licenses (implied or explicit) from certain other parties for technology used in our drug discovery efforts. We may enter into additional license agreements to third-party intellectual property in the future.</w:t>
      </w:r>
    </w:p>
    <w:p>
      <w:pPr>
        <w:spacing w:after="0" w:line="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Our success will depend in part on the ability of our licensors to obtain, maintain, and enforce patent protection for our licensed products.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0" w:name="page71"/>
    <w:bookmarkEnd w:id="70"/>
    <w:p>
      <w:pPr>
        <w:ind w:right="80"/>
        <w:spacing w:after="0" w:line="261" w:lineRule="auto"/>
        <w:rPr>
          <w:sz w:val="20"/>
          <w:szCs w:val="20"/>
          <w:color w:val="auto"/>
        </w:rPr>
      </w:pPr>
      <w:r>
        <w:rPr>
          <w:rFonts w:ascii="Arial" w:cs="Arial" w:eastAsia="Arial" w:hAnsi="Arial"/>
          <w:sz w:val="18"/>
          <w:szCs w:val="18"/>
          <w:color w:val="auto"/>
        </w:rPr>
        <w:t>companies might be able to offer substantially identical products for sale, which could adversely affect our competitive business position and harm our business prospects.</w:t>
      </w:r>
    </w:p>
    <w:p>
      <w:pPr>
        <w:spacing w:after="0" w:line="203" w:lineRule="exact"/>
        <w:rPr>
          <w:sz w:val="20"/>
          <w:szCs w:val="20"/>
          <w:color w:val="auto"/>
        </w:rPr>
      </w:pPr>
    </w:p>
    <w:p>
      <w:pPr>
        <w:jc w:val="both"/>
        <w:ind w:right="680"/>
        <w:spacing w:after="0" w:line="291" w:lineRule="auto"/>
        <w:rPr>
          <w:sz w:val="20"/>
          <w:szCs w:val="20"/>
          <w:color w:val="auto"/>
        </w:rPr>
      </w:pPr>
      <w:r>
        <w:rPr>
          <w:rFonts w:ascii="Arial" w:cs="Arial" w:eastAsia="Arial" w:hAnsi="Arial"/>
          <w:sz w:val="17"/>
          <w:szCs w:val="17"/>
          <w:b w:val="1"/>
          <w:bCs w:val="1"/>
          <w:i w:val="1"/>
          <w:iCs w:val="1"/>
          <w:color w:val="auto"/>
        </w:rPr>
        <w:t>Our current proprietary position for certain drug candidates depends upon our owned or in-licensed patent filings covering components of such drug candidates, manufacturing-related methods, formulations and/or methods of use, which may not adequately prevent a competitor or other third party from using the same drug candidate for the same or a different use.</w:t>
      </w:r>
    </w:p>
    <w:p>
      <w:pPr>
        <w:spacing w:after="0" w:line="202"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Composition of matter patent protection is generally considered to be desirable for drug products because it provides protection without regard to any particular method of use or manufacture or formulation. For some of the molecules that we in-license from our collaboration partners, we cannot rely on composition of matter patent protection as the term on those patents has expired or is approximately expired.</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Method of use patents protect the use of a product for the specified method and formulation patents cover formulations to deliver therapeutics. While we file applications covering method of use for our programs at appropriate times in the development process, we cannot be certain that claims in any future patents issuing from these applications will cover all commercially-relevant applications of molecules in competing uses. These types of 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 Additionally, some commercially-relevant jurisdictions do not allow for patents covering a new method of use of an otherwise-known molecule.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5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will be subject to ongoing regulatory obligations and continued regulatory review, which may result in significant additional expense. Additionally, our drug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2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FDA may not approve any of our drug candidates derived from our platform given our novel approach to drug discovery and may elect to inspect our automated robotics platform used to generate our data. However, if the FDA or a comparable foreign regulatory authority approves any of our drug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drug candidates may also be subject to limitations on the approved indicated uses for which the product may be marketed or to the conditions of approval, or contain requirements for potentially costly post-marketing studies, and surveillance to monitor the safety and efficacy of the product.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4" w:lineRule="exact"/>
        <w:rPr>
          <w:sz w:val="20"/>
          <w:szCs w:val="20"/>
          <w:color w:val="auto"/>
        </w:rPr>
      </w:pPr>
    </w:p>
    <w:p>
      <w:pPr>
        <w:ind w:left="980" w:right="260" w:hanging="648"/>
        <w:spacing w:after="0" w:line="250" w:lineRule="auto"/>
        <w:tabs>
          <w:tab w:leader="none" w:pos="5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ind w:left="600" w:hanging="26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71" w:name="page72"/>
    <w:bookmarkEnd w:id="71"/>
    <w:p>
      <w:pPr>
        <w:ind w:right="20"/>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09"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certain of our drug candidates, and we may be unsuccessful or may be unable to maintain the benefits associated with orphan drug designation, including the potential for market exclusivity.</w:t>
      </w:r>
    </w:p>
    <w:p>
      <w:pPr>
        <w:spacing w:after="0" w:line="252" w:lineRule="auto"/>
        <w:rPr>
          <w:sz w:val="20"/>
          <w:szCs w:val="20"/>
          <w:color w:val="auto"/>
        </w:rPr>
      </w:pPr>
      <w:r>
        <w:rPr>
          <w:rFonts w:ascii="Arial" w:cs="Arial" w:eastAsia="Arial" w:hAnsi="Arial"/>
          <w:sz w:val="18"/>
          <w:szCs w:val="18"/>
          <w:color w:val="auto"/>
        </w:rPr>
        <w:t>As part of our business strategy, we may seek orphan drug designation for certain of our drug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23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part of the molecule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our drug candidates, we may never receive such designations. Even if we do receive such designations, there is no guarantee that we will enjoy the benefits of those designations.</w:t>
      </w:r>
    </w:p>
    <w:p>
      <w:pPr>
        <w:spacing w:after="0" w:line="21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202"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drug candidates with which we must comply prior to marketing in those jurisdictions. For example, our trials consist of small patient populations to date and some international</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2" w:name="page73"/>
    <w:bookmarkEnd w:id="72"/>
    <w:p>
      <w:pPr>
        <w:ind w:right="40"/>
        <w:spacing w:after="0" w:line="254" w:lineRule="auto"/>
        <w:rPr>
          <w:sz w:val="20"/>
          <w:szCs w:val="20"/>
          <w:color w:val="auto"/>
        </w:rPr>
      </w:pPr>
      <w:r>
        <w:rPr>
          <w:rFonts w:ascii="Arial" w:cs="Arial" w:eastAsia="Arial" w:hAnsi="Arial"/>
          <w:sz w:val="18"/>
          <w:szCs w:val="18"/>
          <w:color w:val="auto"/>
        </w:rPr>
        <w:t>regulatory filings may require larger patient populations.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drug candidates will be harmed.</w:t>
      </w:r>
    </w:p>
    <w:p>
      <w:pPr>
        <w:spacing w:after="0" w:line="23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Obtaining and maintaining regulatory approval of our drug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drug candidate must be approved for reimbursement before it can be approved for sale in that jurisdiction. In some cases, the price that we may intend to charge for our products will also be subject to approval.</w:t>
      </w:r>
    </w:p>
    <w:p>
      <w:pPr>
        <w:spacing w:after="0" w:line="4" w:lineRule="exact"/>
        <w:rPr>
          <w:sz w:val="20"/>
          <w:szCs w:val="20"/>
          <w:color w:val="auto"/>
        </w:rPr>
      </w:pPr>
    </w:p>
    <w:p>
      <w:pPr>
        <w:ind w:right="800"/>
        <w:spacing w:after="0" w:line="256"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r>
        <w:rPr>
          <w:rFonts w:ascii="Arial" w:cs="Arial" w:eastAsia="Arial" w:hAnsi="Arial"/>
          <w:sz w:val="18"/>
          <w:szCs w:val="18"/>
          <w:color w:val="auto"/>
        </w:rPr>
        <w:t>.</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3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drug candidates outside of the United States, which could limit our growth potential and increase our development costs.</w:t>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0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02"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3" w:name="page74"/>
    <w:bookmarkEnd w:id="73"/>
    <w:p>
      <w:pPr>
        <w:spacing w:after="0" w:line="250" w:lineRule="auto"/>
        <w:rPr>
          <w:sz w:val="20"/>
          <w:szCs w:val="20"/>
          <w:color w:val="auto"/>
        </w:rPr>
      </w:pPr>
      <w:r>
        <w:rPr>
          <w:rFonts w:ascii="Arial" w:cs="Arial" w:eastAsia="Arial" w:hAnsi="Arial"/>
          <w:sz w:val="18"/>
          <w:szCs w:val="18"/>
          <w:color w:val="auto"/>
        </w:rPr>
        <w:t>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other drug candidates, but we might not receive such designation, and even if we do, such designation may not lead to a faster regulatory review or approval process.</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the FDA determines that a drug candidate offers a treatment for a serious condition and, if approved, the product would provide a significant improvement in safety or effectiveness, the FDA may designate the drug candidate for priority review. A priority review designation means that the goal for the FDA to review an application is six months, rather than the standard review period of ten months. We may request priority review for our drug candidates. The FDA has broad discretion with respect to whether or not to grant priority review status to a drug candidate, so even if we believe a particular drug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1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Breakthrough therapy designation and fast track designation by the FDA, even if granted for any of our drug candidates, may not lead to a faster development, regulatory review or approval process, and each designation does not increase the likelihood that any of our drug candidates will receive marketing approval in the United States.</w:t>
      </w:r>
    </w:p>
    <w:p>
      <w:pPr>
        <w:spacing w:after="0" w:line="2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seek a breakthrough therapy designation for some of our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therapies considered for approval under conventional FDA procedures and does not assure ultimate approval by the FDA. In addition, even if one or more of our drug candidates qualify as breakthrough therapies, the FDA may later decide that such drug candidates no longer meet the conditions for qualification or decide that the time period for FDA review or approval will not be shortened.</w:t>
      </w:r>
    </w:p>
    <w:p>
      <w:pPr>
        <w:spacing w:after="0" w:line="23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may seek fast track designation for some of our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1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drug candidates, and such changes can be difficult to predict.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4" w:name="page75"/>
    <w:bookmarkEnd w:id="74"/>
    <w:p>
      <w:pPr>
        <w:ind w:right="20"/>
        <w:spacing w:after="0" w:line="251" w:lineRule="auto"/>
        <w:rPr>
          <w:sz w:val="20"/>
          <w:szCs w:val="20"/>
          <w:color w:val="auto"/>
        </w:rPr>
      </w:pPr>
      <w:r>
        <w:rPr>
          <w:rFonts w:ascii="Arial" w:cs="Arial" w:eastAsia="Arial" w:hAnsi="Arial"/>
          <w:sz w:val="18"/>
          <w:szCs w:val="18"/>
          <w:color w:val="auto"/>
        </w:rPr>
        <w:t>The FDA, the EMA and regulatory authorities in other countries have each expressed interest in further regulating small molecule pharmaceuticals. Agencies at both the federal and state level in the United States, as well as the U.S. Congressional committees and other governments or governing agencies, have also expressed interest in further regulating the small molecule pharmaceutical industry. Such action may delay or prevent commercialization of some or all of our drug candidates. Adverse developments in clinical trials of products conducted by others may cause the FDA or other oversight bodies to change the requirements for approval of any of our drug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drug candidates or lead to significant post-approval limitations or restrictions. As we advance our drug candidates, we will be required to consult with these regulatory agencies and comply with applicable requirements and guidelines. If we fail to do so, we may be required to delay or discontinue development of such drug candidates. These additional processes may result in a review and approval process that is longer than we otherwise would have expected. Delays as a result of an increased or lengthier regulatory approval process or further restrictions on the development of our drug candidates can be costly and could negatively impact our ability to complete clinical trials and commercialize our current and future drug candidates in a timely manner, if at all.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U.S. and many foreign jurisdictions have enacted or proposed legislative and regulatory changes affecting the healthcare system that could prevent or delay marketing approval of our current or future drug candidates or any future drug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the Affordable Care Act, or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w:t>
      </w:r>
    </w:p>
    <w:p>
      <w:pPr>
        <w:spacing w:after="0" w:line="2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Members of the U.S. Congress have expressed intent to pass legislation or adopt executive orders to fundamentally change or repeal parts of the ACA. While Congress has not passed repeal legislation to date, the TCJA,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TCJA, the remaining provisions of the ACA are invalid as well, and on December 18, 2019, the Fifth Circuit U.S. Court of Appeals held that the individual mandate is unconstitutional, and remanded the case to the lower court to reconsider its earlier invalidation of the full ACA. The Supreme Court of the United States granted certiorari on March 2, 2020, and heard oral arguments on the case on November 10, 2020, and the case is expected to be decided sometime in 2021. Pending review, the ACA remains in effect, but it is unclear at this time what effect the latest ruling will have on the status of the ACA. Litigation and legislation over the ACA are likely to continue, with unpredictable and uncertain results. We will continue to evaluate the effect that the ACA and its possible repeal and replacement has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Further, on January 20, 2017, an Executive Order was signed directing federal agencies with authorities and responsibilities under the ACA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waive, defer, grant exemptions from, or delay the implementation of any provision of the ACA that would impose a fiscal burden on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a cost, fee, tax, penalty or regulatory burden on individuals, healthcare providers, health insurers, or manufacturers of pharmaceuticals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medical devices. On October 13, 2017, an Executive Order was signed terminating the cost-sharing subsidies that reimburse insurers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ACA. The Trump administration has concluded that cost-sharing reduction, or CSR, payments to insurance companies required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ACA have not received necessary appropriations from Congress and announced that it will discontinue these payments immediately until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those appropriations are made. The loss of the CSR payments is expected to increase premiums on certain policies issued by qualified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health plans under the ACA. Several state Attorneys General filed suit to stop the administration from terminating the subsidies, but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 for a restraining order was denied by a federal judge in California on October 25, 2017. The loss of the cost share reduction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is expected to increase premiums on certain policies issued by qualified health plans under the ACA. Further, on June 14,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U.S. Court of Appeals for the Federal Circuit ruled that the federal government was not required to pay to third-party payors more than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billion in ACA risk corridor payments that they argued were owed to them. The effects of this gap in reimbursement on third-party payors,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viability of the ACA marketplace, providers, and potentially our business, are not yet known.</w:t>
      </w: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Moreover, on January 22, 2018, a continuing resolution on appropriations for fiscal year 2018 was approved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the Further Consolidated Appropriations Act (H.R. 1865) was signed into law, which repeals the Cadillac tax, the health insurance provider tax, and the medical device excise tax. It is impossible to determine whether similar taxes could be instituted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Other legislative changes have been proposed and adopted in the U.S.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2029 unless additional Congressional action is taken. The American Taxpayer Relief Act of 2012 among other things, reduced Medicare payments to several providers, including hospitals, imaging centers and treatment centers, and increased the statute of limitations period for the government to recover overpayments to providers from three to five years.</w:t>
      </w:r>
    </w:p>
    <w:p>
      <w:pPr>
        <w:spacing w:after="0" w:line="23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years 2019 and 2020 contain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 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candidates paid by consumers. The U.S. Department of Health and Human Services, or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a type of prior authorization, for Part B drugs beginning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6" w:name="page77"/>
    <w:bookmarkEnd w:id="76"/>
    <w:p>
      <w:pPr>
        <w:spacing w:after="0" w:line="251" w:lineRule="auto"/>
        <w:rPr>
          <w:sz w:val="20"/>
          <w:szCs w:val="20"/>
          <w:color w:val="auto"/>
        </w:rPr>
      </w:pPr>
      <w:r>
        <w:rPr>
          <w:rFonts w:ascii="Arial" w:cs="Arial" w:eastAsia="Arial" w:hAnsi="Arial"/>
          <w:sz w:val="18"/>
          <w:szCs w:val="18"/>
          <w:color w:val="auto"/>
        </w:rPr>
        <w:t>January 1, 2020. This final rule codified CMS’s policy change that was effective January 1, 2019. In addition, in September 2020, an Executive Order was issued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implemented, the “most-favored-nation” price would generally reflect the lowest price, after certain adjustments, for a pharmaceutical product sold in an economically comparable member country of the Organization for Economic Co-operation and Development. Congress has also continued to conduct inquiries into the prescription drug industry’s pricing practices. While several proposed reform measures will require Congress to pass legislation to become effective, Congress has indicated that it will continue to seek new legislative and/or regulatory measures to address prescription drug costs. 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23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candidates available to eligible patients as a result of the Right to Try Act.</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23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drug candidates or additional pricing pressures.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prospects could be affected by changes in healthcare spending and policy in the U.S. and abroad.</w:t>
      </w:r>
    </w:p>
    <w:p>
      <w:pPr>
        <w:spacing w:after="0" w:line="2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29"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2" w:lineRule="exact"/>
        <w:rPr>
          <w:sz w:val="20"/>
          <w:szCs w:val="20"/>
          <w:color w:val="auto"/>
        </w:rPr>
      </w:pPr>
    </w:p>
    <w:p>
      <w:pPr>
        <w:ind w:left="600" w:hanging="26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our current or future drug candidates, if we obtain regulatory approval;</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results of operations and future profitability.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77" w:name="page78"/>
    <w:bookmarkEnd w:id="77"/>
    <w:p>
      <w:pPr>
        <w:ind w:right="20"/>
        <w:spacing w:after="0" w:line="268" w:lineRule="auto"/>
        <w:rPr>
          <w:sz w:val="20"/>
          <w:szCs w:val="20"/>
          <w:color w:val="auto"/>
        </w:rPr>
      </w:pPr>
      <w:r>
        <w:rPr>
          <w:rFonts w:ascii="Arial" w:cs="Arial" w:eastAsia="Arial" w:hAnsi="Arial"/>
          <w:sz w:val="18"/>
          <w:szCs w:val="18"/>
          <w:b w:val="1"/>
          <w:bCs w:val="1"/>
          <w:i w:val="1"/>
          <w:iCs w:val="1"/>
          <w:color w:val="auto"/>
        </w:rPr>
        <w:t>Our relationships with healthcare providers, other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20"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Although we do not currently have any products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3" w:lineRule="exact"/>
        <w:rPr>
          <w:sz w:val="20"/>
          <w:szCs w:val="20"/>
          <w:color w:val="auto"/>
        </w:rPr>
      </w:pPr>
    </w:p>
    <w:p>
      <w:pPr>
        <w:ind w:left="980" w:hanging="648"/>
        <w:spacing w:after="0" w:line="250" w:lineRule="auto"/>
        <w:tabs>
          <w:tab w:leader="none" w:pos="5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ind w:left="980" w:right="20" w:hanging="648"/>
        <w:spacing w:after="0" w:line="250" w:lineRule="auto"/>
        <w:tabs>
          <w:tab w:leader="none" w:pos="5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w:t>
      </w:r>
    </w:p>
    <w:p>
      <w:pPr>
        <w:spacing w:after="0" w:line="2" w:lineRule="exact"/>
        <w:rPr>
          <w:rFonts w:ascii="Arial" w:cs="Arial" w:eastAsia="Arial" w:hAnsi="Arial"/>
          <w:sz w:val="18"/>
          <w:szCs w:val="18"/>
          <w:color w:val="auto"/>
        </w:rPr>
      </w:pPr>
    </w:p>
    <w:p>
      <w:pPr>
        <w:jc w:val="both"/>
        <w:ind w:left="980" w:right="40" w:hanging="648"/>
        <w:spacing w:after="0" w:line="250" w:lineRule="auto"/>
        <w:tabs>
          <w:tab w:leader="none" w:pos="5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ind w:left="980" w:right="80" w:hanging="648"/>
        <w:spacing w:after="0" w:line="250" w:lineRule="auto"/>
        <w:tabs>
          <w:tab w:leader="none" w:pos="5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 transparency provisions,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transfers of value made to licensed physicians (currently defined to include doctors, dentists, optometrists, podiatrists and chiropractors) and teaching hospitals, as well as ownership and investment interests of such physicians and their immediate family members. Effective January 1, 2022, these reporting obligations will extend to include transfers of value made to certain non-physician providers such as physician assistants and nurse practitioners;</w:t>
      </w:r>
    </w:p>
    <w:p>
      <w:pPr>
        <w:spacing w:after="0" w:line="2" w:lineRule="exact"/>
        <w:rPr>
          <w:rFonts w:ascii="Arial" w:cs="Arial" w:eastAsia="Arial" w:hAnsi="Arial"/>
          <w:sz w:val="18"/>
          <w:szCs w:val="18"/>
          <w:color w:val="auto"/>
        </w:rPr>
      </w:pPr>
    </w:p>
    <w:p>
      <w:pPr>
        <w:ind w:left="980" w:right="100" w:hanging="648"/>
        <w:spacing w:after="0" w:line="250" w:lineRule="auto"/>
        <w:tabs>
          <w:tab w:leader="none" w:pos="5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 w:lineRule="exact"/>
        <w:rPr>
          <w:rFonts w:ascii="Arial" w:cs="Arial" w:eastAsia="Arial" w:hAnsi="Arial"/>
          <w:sz w:val="18"/>
          <w:szCs w:val="18"/>
          <w:color w:val="auto"/>
        </w:rPr>
      </w:pPr>
    </w:p>
    <w:p>
      <w:pPr>
        <w:ind w:left="980" w:right="200" w:hanging="648"/>
        <w:spacing w:after="0" w:line="252" w:lineRule="auto"/>
        <w:tabs>
          <w:tab w:leader="none" w:pos="5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Further, many state laws governing the privacy and security of health information in certain circumstances, differ from each other in significant ways and often are not preempted by HIPAA, thus complicating compliance efforts.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78" w:name="page79"/>
    <w:bookmarkEnd w:id="78"/>
    <w:p>
      <w:pPr>
        <w:spacing w:after="0" w:line="251" w:lineRule="auto"/>
        <w:rPr>
          <w:sz w:val="20"/>
          <w:szCs w:val="20"/>
          <w:color w:val="auto"/>
        </w:rPr>
      </w:pPr>
      <w:r>
        <w:rPr>
          <w:rFonts w:ascii="Arial" w:cs="Arial" w:eastAsia="Arial" w:hAnsi="Arial"/>
          <w:sz w:val="18"/>
          <w:szCs w:val="18"/>
          <w:color w:val="auto"/>
        </w:rPr>
        <w:t>Efforts to ensure that our future business arrangements with third parties comply with applicable healthcare laws and regulations could involve substantial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privacy or data protection,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civil, criminal and administrative penalties, damages, fines, other damages,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16"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and employee data, is subject to the European Union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informs our obligations with respect to any clinical trials conducted in the EEA by expanding the definition of personal data to include coded data and requiring changes to informed consent practices and more detailed notices for clinical trial subjects and investigators. In addition, the GDPR imposes strict rules on the transfer of personal data to countries outside the European Union, including the United States and, as a result, increases the scrutiny that such rules should apply to transfers of personal data from any clinical trial sites located in the EEA to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23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European Union.</w:t>
      </w:r>
    </w:p>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Further, the United Kingdom exited the EU effective January 31, 2020, subject to a transition period that ended December 31, 2020. Brexit and ongoing developments in the United Kingdom have created uncertainty with regard to the regulation of data protection in the United Kingdom and could result in the application of new data privacy and protection laws and standards to our operations in the United Kingdom and our handling of personal data of individuals located in the United Kingdom. The United Kingdom has implemented legislation that substantially implements the GDPR, and the European Commission and the United Kingdom government announced a EU-UK Trade and Cooperation Agreement on December 24, 2020, providing for a temporary free flow of personal data between the EU and the United Kingdom, but it remains to be seen how the United Kingdom’s withdrawal from the EU will impact the manner in which United Kingdom data protection laws or regulations will develop and how data</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79" w:name="page80"/>
    <w:bookmarkEnd w:id="79"/>
    <w:p>
      <w:pPr>
        <w:ind w:right="260"/>
        <w:spacing w:after="0" w:line="261" w:lineRule="auto"/>
        <w:rPr>
          <w:sz w:val="20"/>
          <w:szCs w:val="20"/>
          <w:color w:val="auto"/>
        </w:rPr>
      </w:pPr>
      <w:r>
        <w:rPr>
          <w:rFonts w:ascii="Arial" w:cs="Arial" w:eastAsia="Arial" w:hAnsi="Arial"/>
          <w:sz w:val="18"/>
          <w:szCs w:val="18"/>
          <w:color w:val="auto"/>
        </w:rPr>
        <w:t>transfers to and from the United Kingdom will be regulated and enforced by the UK Information Commissioner’s Office, EU data protection authorities, or other regulatory bodies in the longer term.</w:t>
      </w:r>
    </w:p>
    <w:p>
      <w:pPr>
        <w:spacing w:after="0" w:line="22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the United States, a broad variety of laws and regulations relating to privacy and data security may be applicable to our activities. New laws also are being considered at both the state and federal levels, and state legislatures such as California have already passed and enacted privacy legislation. For example, the California Consumer Privacy Act, or CCPA, which became effective on January 1, 2020, creates individual privacy rights for California consumers and increases the privacy and security obligations of entities handling certain personal data. The CCPA, among other things, requires covered companies to provide new disclosures to California consumers, and afford such consumers new abilities to opt out of certain sales of personal information, access and require deletion of their personal information, and receive detailed information about how their personal information is used. The CCPA has been amended on multiple occasions and additional regulations of the California Attorney General came into effect on August 14, 2020. However, aspects of the CCPA and its interpretation remain unclear. The effects of the CCPA are significant and may require us to modify our data processing practices and policies and to incur substantial costs and expenses in an effort to comply. Failure to comply with the CCPA may result in attorney general enforcement action and damage to our reputation. The CCPA provides for civil penalties for violations, as well as a private right of action for data breaches that is expected to increase data breach litigation. Moreover, a ballot initiative from privacy rights advocates intended to augment and expand the CCPA called the California Privacy Rights Act, or CPRA, was approved by California voters in the November 2020 election. The CPRA imposes additional obligations relating to consumer data on companies doing business in California beginning January 1, 2022, with implementing regulations expected on or before July 1, 2022, and enforcement beginning July 1, 2023. The CPRA significantly modifies the CCPA, including by expanding consumers’ rights with respect to certain sensitive personal information, potentially resulting in further uncertainty and requiring us to incur additional costs and expenses in an effort to comply, as we may need to modify or augment our existing practices. The CPRA also creates a new state agency that will be vested with authority to implement and enforce the CCPA and the CPRA.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In addition, all 50 states have laws including obligations to provide notification of security breaches of computer databases that contain personal information to affected individuals, state officers and others.</w:t>
      </w:r>
    </w:p>
    <w:p>
      <w:pPr>
        <w:spacing w:after="0" w:line="25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myriad international and U.S. privacy and data breach laws are not consistent, and compliance in the event of a widespread data breach is difficult and may be costly. Moreover, states have been frequently amending existing laws, requiring attention to changing regulatory requirements.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putting in place additional compliance mechanisms and making necessary changes to our policies and practices, and may incur significant costs and expenses in an effort to do so.</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make public statements about our use and disclosure of personal information through our privacy policy, information provided on our website and press statements. Although we endeavor to comply with our public statements and documentation, we may at times fail to do so or be alleged to have failed to do so. We may be subject to potential government or legal action if such policies or statements are found to be deceptive, unfair or misrepresentative of our actual practices. In addition, from time to time, concerns may be expressed about whether our technology compromises the privacy of our customers and others. While we believe that we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to achieve and we could be subject to fines and penalties in the event of non-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0" w:name="page81"/>
    <w:bookmarkEnd w:id="80"/>
    <w:p>
      <w:pPr>
        <w:ind w:right="440"/>
        <w:spacing w:after="0" w:line="261" w:lineRule="auto"/>
        <w:rPr>
          <w:sz w:val="20"/>
          <w:szCs w:val="20"/>
          <w:color w:val="auto"/>
        </w:rPr>
      </w:pPr>
      <w:r>
        <w:rPr>
          <w:rFonts w:ascii="Arial" w:cs="Arial" w:eastAsia="Arial" w:hAnsi="Arial"/>
          <w:sz w:val="18"/>
          <w:szCs w:val="18"/>
          <w:color w:val="auto"/>
        </w:rPr>
        <w:t>compliance. Furthermore, enforcement actions and investigations by regulatory authorities related to data security incidents and privacy violations continue to increase.</w:t>
      </w:r>
    </w:p>
    <w:p>
      <w:pPr>
        <w:spacing w:after="0" w:line="22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addition, if third parties we work with, such as vendors or service providers, violate applicable laws or regulations or our policies, such violations may also put our data at risk and could in turn have an adverse effect on our business.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and could result in significant fines, penalties, and other liability. Additionally, defending against any claims, litigation, regulatory proceedings, or other proceedings can be costly, time-consuming and may require significant financial and personnel resources. Therefore, even if we are successful in defending against any such actions or proceedings that may be brought against us, our business may be impaired, and we may suffer reputational and other harm.</w:t>
      </w:r>
    </w:p>
    <w:p>
      <w:pPr>
        <w:spacing w:after="0" w:line="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exposed to the risk of fraud or other misconduct by our employees, independent contractors, KOLs, CROs, consultants, and vendors. Misconduct by these parties could include intentional, reckless and/or negligent conduct that causes us to fail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including inadvertent violations such as a sale of pledged shares by a lender when the pledgor is in possession of material nonpublic information.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Additionally, we are subject to the risk that a person could allege such fraud or other misconduct, even if none occurred and our employees may, from time to time, bring lawsuits against us for employment issues, including injury, discrimination, wage and hour disputes, sexual harassment, hostile work environment, or other employment issues.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experienced scientists and to attract, retain and motivate qualified personnel.</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highly dependent on the research and development, clinical and business development expertise of Christopher Gibson, our Chief Executive Officer, Tina Marriott Larson, our Chief Operating Officer and President, Michael Secora, our Chief Financial Officer, Shafique Virani, our Chief Corporate Development Officer, and Ramona Doyle, our Chief Medical Officer, as well as the other principal members of our management, scientific, technological and clinical team. Although we have entered into employment letter agreements with our executive officers, each of them may terminate their employment with us at any time or not be able to perform the services we need in the future. We do not maintain “key person” insurance for any of our executives or other employees. In addition, we rely on our employees to help operate and repair our robots and consultants and advisors, including scientific and clinical advisors, to assist us in formulating our research and development and commercialization strategy. Our consultants and advisors may be employed by employers other than us and may have commitments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81" w:name="page82"/>
    <w:bookmarkEnd w:id="81"/>
    <w:p>
      <w:pPr>
        <w:spacing w:after="0" w:line="250" w:lineRule="auto"/>
        <w:rPr>
          <w:sz w:val="20"/>
          <w:szCs w:val="20"/>
          <w:color w:val="auto"/>
        </w:rPr>
      </w:pPr>
      <w:r>
        <w:rPr>
          <w:rFonts w:ascii="Arial" w:cs="Arial" w:eastAsia="Arial" w:hAnsi="Arial"/>
          <w:sz w:val="18"/>
          <w:szCs w:val="18"/>
          <w:color w:val="auto"/>
        </w:rPr>
        <w:t>under consulting or advisory contracts with other entities that may limit their availability to us. If we are unable to continue to attract and retain high quality personnel, our ability to pursue our growth strategy will be limited.</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2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presence in Salt Lake City, where we are headquartered, may limit our ability to hire talent. Some of the employees we may want to hire in the future will reside in the greater San Francisco, New York, San Diego or Boston metro areas and may not want to relocate to Salt Lake City.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drug candidates and our business will be limited.</w:t>
      </w:r>
    </w:p>
    <w:p>
      <w:pPr>
        <w:spacing w:after="0" w:line="21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March 31, 2021, we had 218 full-time employees. We expect to experience significant growth in the number of our employees and the scope of our operations, particularly as we function as a public company and in the areas of product development, regulatory affairs and, if any of our drug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3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225" w:lineRule="exact"/>
        <w:rPr>
          <w:sz w:val="20"/>
          <w:szCs w:val="20"/>
          <w:color w:val="auto"/>
        </w:rPr>
      </w:pPr>
    </w:p>
    <w:p>
      <w:pPr>
        <w:jc w:val="both"/>
        <w:ind w:right="180"/>
        <w:spacing w:after="0" w:line="250" w:lineRule="auto"/>
        <w:rPr>
          <w:sz w:val="20"/>
          <w:szCs w:val="20"/>
          <w:color w:val="auto"/>
        </w:rPr>
      </w:pPr>
      <w:r>
        <w:rPr>
          <w:rFonts w:ascii="Arial" w:cs="Arial" w:eastAsia="Arial" w:hAnsi="Arial"/>
          <w:sz w:val="18"/>
          <w:szCs w:val="18"/>
          <w:color w:val="auto"/>
        </w:rPr>
        <w:t>We face an inherent risk of product liability exposure related to the testing of drug candidates in human clinical trials and will face an even greater risk if we commercially sell any medicines that we may develop. If we cannot successfully defend ourselves against claims that our drug candidates or medicines caused injuries, we could incur substantial liabilities. Regardless of merit or eventual outcome, liability claims may result in:</w:t>
      </w:r>
    </w:p>
    <w:p>
      <w:pPr>
        <w:spacing w:after="0" w:line="2" w:lineRule="exact"/>
        <w:rPr>
          <w:sz w:val="20"/>
          <w:szCs w:val="20"/>
          <w:color w:val="auto"/>
        </w:rPr>
      </w:pPr>
    </w:p>
    <w:p>
      <w:pPr>
        <w:ind w:left="600" w:hanging="268"/>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drug candidates or therapeutics that we may develop;</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82" w:name="page83"/>
    <w:bookmarkEnd w:id="82"/>
    <w:p>
      <w:pPr>
        <w:ind w:left="600" w:hanging="268"/>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our drug candidates.</w:t>
      </w:r>
    </w:p>
    <w:p>
      <w:pPr>
        <w:spacing w:after="0" w:line="2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Although we maintain product liability insurance, including coverage for clinical trials that we sponsor, it may not be adequate to cover all liabilities that we may incur. We anticipate that we will need to increase our insurance coverage as we commence additional clinical trials and if we successfully commercialize any drug candidates. The market for insurance coverage is increasingly expensive, and the costs of insurance coverage will increase as our clinical programs increase in size. We may not be able to maintain insurance coverage at a reasonable cost or in an amount adequate to satisfy any liability that may arise.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Class A Common Stock</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The dual-class structure of our common stock affects the concentration of voting power, which limits our Class A common stockholders’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225"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Our Class A common stock offered in our initial public offering has one vote per share, and our Class B common stock has 10 votes per share. Based on 168,320,745 shares of our Class A common stock and 9,467,883 shares of our Class B common stock outstanding as of April 30, 2021. Dr. Gibson and his affiliate hold all of the issued and outstanding shares of our Class B common stock and approximately</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37.3% of the voting power of our outstanding capital stock, which voting power may increase over time as Dr. Gibson exercises or vests in equity awards outstanding as of April 30, 2021. If all such equity awards held by Dr. Gibson had been exercised or vested and exchanged for shares of Class B common stock as of April 30, 2021, Dr. Gibson and his affiliate would hold 40.8% of the voting power of our outstanding capital stock. As a result, Dr. Gibson will be able to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Dr. Gibson may have interests that differ from our Class A common stockholders and may vote in a way with which our Class A stockholders disagree with and which may be adverse to our Class A stockholders’ interests. The concentrated control may have the effect of delaying, preventing, or deterring a change in control of our company, could deprive our stockholders of an opportunity to receive a premium for their capital stock as part of a sale in our company, and, thus, may affect the market price of our Class A common stock.</w:t>
      </w:r>
    </w:p>
    <w:p>
      <w:pPr>
        <w:spacing w:after="0" w:line="238"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Future transfers by the holders of Class B common stock will generally result in those shares automatically converting into shares of Class A common stock, subject to limited exceptions, such as certain transfers for estate planning. Transfers or exchanges of shares of Class B common stock may result in the issuance of additional shares of Class A common stock and such issuances will be dilutive to holders of our Class A common stock. In addition, each share of Class B common stock will convert automatically into one share of Class A common stock upon the earliest of (i) April 16, 2028, (ii) the date specified by written consent or agreement of the holders of 662⁄3% of our then outstanding shares of Class B common Stock, (iii) nine months after Dr. Gibson ceases to hold any positions as an officer or director of the Company, or</w:t>
      </w:r>
    </w:p>
    <w:p>
      <w:pPr>
        <w:spacing w:after="0" w:line="2" w:lineRule="exact"/>
        <w:rPr>
          <w:sz w:val="20"/>
          <w:szCs w:val="20"/>
          <w:color w:val="auto"/>
        </w:rPr>
      </w:pPr>
    </w:p>
    <w:p>
      <w:pPr>
        <w:ind w:right="320" w:firstLine="8"/>
        <w:spacing w:after="0" w:line="291"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nine months after the death or disability of Dr. Gibson. We refer to the date on which such final conversion of all outstanding shares of Class B common stock pursuant to the terms of amended and restated certificate of incorporation occurs as the Final Conversion Date.</w:t>
      </w:r>
    </w:p>
    <w:p>
      <w:pPr>
        <w:spacing w:after="0" w:line="17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April 30, 2021, our executive officers, directors, holders of 5% or more of our capital stock and their respective affiliates beneficially owned approximately 61.6% of our voting power.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investors may feel are in their best interest as one of our stockholders. The interests of this group of stockholders may not always coincide with each investor’s interests or the interests of other stockholders and they may act in a manner that advances their best interests and not necessarily those of other stockholders, including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seeking a premium value for their common stock, and might affect the prevailing market price for our common stock.</w:t>
      </w:r>
    </w:p>
    <w:p>
      <w:pPr>
        <w:spacing w:after="0" w:line="23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Class A common stock less attractive to investors and adversely affect the market price of our Class A common stock.</w:t>
      </w:r>
    </w:p>
    <w:p>
      <w:pPr>
        <w:spacing w:after="0" w:line="22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will remain an emerging growth company until the earlier of i) the last day of the fiscal year in which we have total annual gross revenues of $1.07 billion or more; ii) the last day of the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 which means the market value of our Class A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3" w:lineRule="exact"/>
        <w:rPr>
          <w:sz w:val="20"/>
          <w:szCs w:val="20"/>
          <w:color w:val="auto"/>
        </w:rPr>
      </w:pPr>
    </w:p>
    <w:p>
      <w:pPr>
        <w:ind w:left="980" w:right="220" w:hanging="648"/>
        <w:spacing w:after="0" w:line="250" w:lineRule="auto"/>
        <w:tabs>
          <w:tab w:leader="none" w:pos="5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or Section 404;</w:t>
      </w:r>
    </w:p>
    <w:p>
      <w:pPr>
        <w:ind w:left="980" w:right="280" w:hanging="648"/>
        <w:spacing w:after="0" w:line="250" w:lineRule="auto"/>
        <w:tabs>
          <w:tab w:leader="none" w:pos="5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Arial" w:cs="Arial" w:eastAsia="Arial" w:hAnsi="Arial"/>
          <w:sz w:val="18"/>
          <w:szCs w:val="18"/>
          <w:color w:val="auto"/>
        </w:rPr>
      </w:pPr>
    </w:p>
    <w:p>
      <w:pPr>
        <w:ind w:left="980" w:right="140" w:hanging="648"/>
        <w:spacing w:after="0" w:line="265" w:lineRule="auto"/>
        <w:tabs>
          <w:tab w:leader="none" w:pos="5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ind w:left="600" w:hanging="268"/>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9" w:lineRule="exact"/>
        <w:rPr>
          <w:rFonts w:ascii="Arial" w:cs="Arial" w:eastAsia="Arial" w:hAnsi="Arial"/>
          <w:sz w:val="18"/>
          <w:szCs w:val="18"/>
          <w:color w:val="auto"/>
        </w:rPr>
      </w:pPr>
    </w:p>
    <w:p>
      <w:pPr>
        <w:ind w:left="980" w:right="40" w:hanging="648"/>
        <w:spacing w:after="0" w:line="256" w:lineRule="auto"/>
        <w:tabs>
          <w:tab w:leader="none" w:pos="5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 In this Quarterly Report, we have not included all of the executive compensation-related information that would be required if we were not an emerging growth company.</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Quarterly Report. In particular, we have provided only two years of audited financial statements and have not included all of the executive compensation information that would be required if we were not an emerging growth company. We cannot predict whether our Class A common stockholders will find it less attractive if we rely on these exemptions. If some of our Class A common stockholders find it less attractive, as a result, there may be a less active trading market for our Class A common stock and our stock price may be more volatile.</w:t>
      </w:r>
    </w:p>
    <w:p>
      <w:pPr>
        <w:spacing w:after="0" w:line="2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Although we are still evaluating the JOBS Act, we currently intend to take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4" w:name="page85"/>
    <w:bookmarkEnd w:id="84"/>
    <w:p>
      <w:pPr>
        <w:spacing w:after="0" w:line="253" w:lineRule="auto"/>
        <w:rPr>
          <w:sz w:val="20"/>
          <w:szCs w:val="20"/>
          <w:color w:val="auto"/>
        </w:rPr>
      </w:pPr>
      <w:r>
        <w:rPr>
          <w:rFonts w:ascii="Arial" w:cs="Arial" w:eastAsia="Arial" w:hAnsi="Arial"/>
          <w:sz w:val="18"/>
          <w:szCs w:val="18"/>
          <w:color w:val="auto"/>
        </w:rPr>
        <w:t>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our Class A common stockholders will find it less attractive because we may rely on these exemptions. If our Class A common stockholders find it less attractive, as a result, there may be a less active trading market for our Class A common stock, and our stock price may be more volatile and may decline.</w:t>
      </w:r>
    </w:p>
    <w:p>
      <w:pPr>
        <w:spacing w:after="0" w:line="21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The price of our Class A common stock may be volatile and fluctuate substantially, which could result in substantial losses for holders of our Class A common stock.</w:t>
      </w:r>
    </w:p>
    <w:p>
      <w:pPr>
        <w:spacing w:after="0" w:line="20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Our stock price is likely to be volatile. The stock market in general and the market for biotechnology companies in particular have experienced extreme volatility that has often been unrelated to the operating performance of particular companies. As a result of this volatility, holders of our Class A common stock may not be able to sell their Class A common stock at or above the price they originally paid for it. The market price for our Class A common stock may be influenced by many factors, including:</w:t>
      </w:r>
    </w:p>
    <w:p>
      <w:pPr>
        <w:spacing w:after="0" w:line="2" w:lineRule="exact"/>
        <w:rPr>
          <w:sz w:val="20"/>
          <w:szCs w:val="20"/>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products;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Class A common stock in the public market could cause our stock price to fall.</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market price of our Class A common stock could decline at any time as a result of sales of a large number of shares of our Class A common stock in the market. These sales, or the perception that these sales could occur, may also depress the market price of our Class A common stock.</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April 30, 2021, we had 158,852,862 shares of our Class A common stock and 9,467,883 shares of our Class B common stock outstanding. Of these shares, the 27,878,787 shares of Class A common stock were sold in our initial public offering and may be resold in the public market immediately, unless such shares are purchased by our affiliates. The remaining 130,974,075 shares of Class A common stock, or 82.5% of our outstanding shares of Class A common stock, and all shares of our Class B common stock (and any shares of Class A common stock into which they are converted) are currently prohibited or otherwise restricted from being sold in the public market under securities laws, market standoff agreements entered into by our stockholders with us, or lock-up agreements entered into by our stockholders with the underwriters.</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lock-up agreements pertaining to our initial public offering are set to expire on October 13, 2021. The representatives of the underwriters in our initial public offering, however, may, in their sole discretion, permit our officers, directors and other stockholders who are subject to these lock-up agreements to sell shares prior to the expiration of the lock-up agreements. After the lock-up agreements expire, based upon the number of shares of Class A common stock issued and issuable upon exchange of shares of Class B common stock, on an as-converted basis, outstanding as of April 30, 2021, up to an additional 140,441,958 shares of Class A common stock will be eligible for sale in the public market, 44.0% of which shares are held by directors, executive officers and other affiliates and will be subject to certain limitations of Rule 144 under the Securities Act of 1933, as amended, or the Securities Act. Approximately 926,250 shares of our Class B common stock that are beneficially owned by Christopher Gibson, Ph.D., our Chief Executive Officer and a member of our board of directors, are not subject to a lock-up agreement and have been pledged to secure his obligations under a line of credit with UBS Credit Corp., or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5" w:name="page86"/>
    <w:bookmarkEnd w:id="85"/>
    <w:p>
      <w:pPr>
        <w:ind w:right="160"/>
        <w:spacing w:after="0" w:line="256" w:lineRule="auto"/>
        <w:rPr>
          <w:sz w:val="20"/>
          <w:szCs w:val="20"/>
          <w:color w:val="auto"/>
        </w:rPr>
      </w:pPr>
      <w:r>
        <w:rPr>
          <w:rFonts w:ascii="Arial" w:cs="Arial" w:eastAsia="Arial" w:hAnsi="Arial"/>
          <w:sz w:val="18"/>
          <w:szCs w:val="18"/>
          <w:color w:val="auto"/>
        </w:rPr>
        <w:t>UBS. If he defaults on his repayment obligations under the line of credit, UBS or any designee of UBS may exercise its rights to sell shares pledged to cover the amount due thereunder. Any transfers or sales of such pledged shares may cause the price of our Class A common stock to decline.</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April 30, 2021 42,531,759 shares of Class A common stock that are either subject to outstanding options and warrants or reserved for future issuance under our equity compensation plans will become eligible for sale in the public market to the extent permitted by the provisions of various vesting schedules, the lock-up agreements, and Rule 144 and Rule 701 under the Securities Act. If these additional shares of Class A common stock are sold, or if it is perceived that they will be sold, in the public market, the market price of our Class A common stock could decline.</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of March 31, 2021, the holders of approximately 135,870,793 shares of our Class A common stock issued and issuable upon conversion of Class B common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for our Class A common stock.</w:t>
      </w:r>
    </w:p>
    <w:p>
      <w:pPr>
        <w:spacing w:after="0" w:line="21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have broad discretion in how we use the proceeds from our initial public offering and may not use these proceeds effectively, which could affect our results of operations and cause our stock price to decline.</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will have considerable discretion in the application of the net proceeds from our initial public offering. We intend to use the net proceeds from our initial public offering to fund our drug discovery platform, pursue strategic collaborations and advance our drug candidates through clinical development efforts. We also intend to use the proceeds from our initial public offering to expand our infrastructure and facilities to support our development efforts, to fund new and ongoing research activities and new drug candidates and for working capital and other general corporate purposes, which may include funding for the hiring of additional personnel, capital expenditures and the costs of operating as a public company. Investors will be relying upon management’s judgment with only limited information about our specific intentions for the use of the balance of the net proceeds from our initial public offering. We may use the net proceeds from our initial public offering for purposes that do not yield a significant return or any return at all for our stockholders. In addition, pending their use, we may invest the net proceeds from our initial public offering in a manner that does not produce income or that loses value.</w:t>
      </w:r>
    </w:p>
    <w:p>
      <w:pPr>
        <w:spacing w:after="0" w:line="2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existing or future debt agreements may preclude us from paying dividends. As a result, capital appreciation, if any, of our Class A common stock will be the Class A common stockholders’ sole source of gain for the foreseeable future.</w:t>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have increased costs as a result of operating as a public company, and our management will be required to devote substantial time to new compliance initiatives.</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Securities and Exchange Commission and the Nasdaq Stock Market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86" w:name="page87"/>
    <w:bookmarkEnd w:id="86"/>
    <w:p>
      <w:pPr>
        <w:ind w:right="100"/>
        <w:spacing w:after="0" w:line="251" w:lineRule="auto"/>
        <w:rPr>
          <w:sz w:val="20"/>
          <w:szCs w:val="20"/>
          <w:color w:val="auto"/>
        </w:rPr>
      </w:pPr>
      <w:r>
        <w:rPr>
          <w:rFonts w:ascii="Arial" w:cs="Arial" w:eastAsia="Arial" w:hAnsi="Arial"/>
          <w:sz w:val="18"/>
          <w:szCs w:val="18"/>
          <w:color w:val="auto"/>
        </w:rPr>
        <w:t>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the Nasdaq Stock Market.</w:t>
      </w:r>
    </w:p>
    <w:p>
      <w:pPr>
        <w:spacing w:after="0" w:line="2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prices of our Class A common stock.</w:t>
      </w:r>
    </w:p>
    <w:p>
      <w:pPr>
        <w:spacing w:after="0" w:line="220"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prices of our Class A common stock by acting to discourage, delay or prevent a change in control of our company or changes in our management that the stockholders of our company may deem advantageous. These provisions, among other things:</w:t>
      </w:r>
    </w:p>
    <w:p>
      <w:pPr>
        <w:spacing w:after="0" w:line="1" w:lineRule="exact"/>
        <w:rPr>
          <w:sz w:val="20"/>
          <w:szCs w:val="20"/>
          <w:color w:val="auto"/>
        </w:rPr>
      </w:pP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9" w:lineRule="exact"/>
        <w:rPr>
          <w:rFonts w:ascii="Arial" w:cs="Arial" w:eastAsia="Arial" w:hAnsi="Arial"/>
          <w:sz w:val="18"/>
          <w:szCs w:val="18"/>
          <w:color w:val="auto"/>
        </w:rPr>
      </w:pPr>
    </w:p>
    <w:p>
      <w:pPr>
        <w:ind w:left="980" w:right="180" w:hanging="648"/>
        <w:spacing w:after="0" w:line="250" w:lineRule="auto"/>
        <w:tabs>
          <w:tab w:leader="none" w:pos="5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9" w:lineRule="exact"/>
        <w:rPr>
          <w:rFonts w:ascii="Arial" w:cs="Arial" w:eastAsia="Arial" w:hAnsi="Arial"/>
          <w:sz w:val="18"/>
          <w:szCs w:val="18"/>
          <w:color w:val="auto"/>
        </w:rPr>
      </w:pPr>
    </w:p>
    <w:p>
      <w:pPr>
        <w:ind w:left="980" w:right="240" w:hanging="648"/>
        <w:spacing w:after="0" w:line="250" w:lineRule="auto"/>
        <w:tabs>
          <w:tab w:leader="none" w:pos="5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ind w:left="600" w:hanging="26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5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amended and restated bylaws in effect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amended and restated bylaws filed in connection with our initial public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2" w:lineRule="exact"/>
        <w:rPr>
          <w:sz w:val="20"/>
          <w:szCs w:val="20"/>
          <w:color w:val="auto"/>
        </w:rPr>
      </w:pPr>
    </w:p>
    <w:p>
      <w:pPr>
        <w:ind w:left="600" w:hanging="268"/>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9" w:lineRule="exact"/>
        <w:rPr>
          <w:rFonts w:ascii="Arial" w:cs="Arial" w:eastAsia="Arial" w:hAnsi="Arial"/>
          <w:sz w:val="18"/>
          <w:szCs w:val="18"/>
          <w:color w:val="auto"/>
        </w:rPr>
      </w:pPr>
    </w:p>
    <w:p>
      <w:pPr>
        <w:ind w:left="600" w:hanging="268"/>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87" w:name="page88"/>
    <w:bookmarkEnd w:id="87"/>
    <w:p>
      <w:pPr>
        <w:ind w:left="980" w:right="700" w:hanging="648"/>
        <w:spacing w:after="0" w:line="250" w:lineRule="auto"/>
        <w:tabs>
          <w:tab w:leader="none" w:pos="5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ind w:left="600" w:hanging="268"/>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and may result in increased costs to stockholders of bringing a claim, each of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market price of our Class A common stock may be volatile. The stock market in general, and the Nasdaq Stock Market and biotechnology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any guidance that we provide.</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From time to time, we may provide guidance in our quarterly earnings conference calls, quarterly earnings releases, or otherwise, regarding our future performance that represents our management’s estimates as of the date of release. This guidance, which would include forward-looking statements, would be based on projections prepared by our management. Neither our registered public accountants nor any other independent expert or outside party would compile or examine the projections. Accordingly, no such person would express any opinion or any other form of assurance with respect to the projections.</w:t>
      </w:r>
    </w:p>
    <w:p>
      <w:pPr>
        <w:spacing w:after="0" w:line="2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principal reason that we would release guidance is to provide a basis for our management to discuss our business outlook with analysts and investors. We do not accept any responsibility for any projections or reports published by any such third parties.</w:t>
      </w:r>
    </w:p>
    <w:p>
      <w:pPr>
        <w:spacing w:after="0" w:line="2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any guidance furnished by us will not materialize or will vary significantly from actual results. Accordingly, our guidance would be only an estimate of what management believes is realizable as of the date of release. Actual results may vary from our guidance and the variations may be material.</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As a a public company, we are obligated to develop and maintain proper and effective internal controls over financial reporting. Any failure to maintain the adequacy of these internal controls may adversely affect investor confidence in our company and, as a result, the value of our Class A common stock.</w:t>
      </w:r>
    </w:p>
    <w:p>
      <w:pPr>
        <w:spacing w:after="0" w:line="22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chief financial officer has only been the chief financial officer of a publicly traded company since our initial public offering and our chief executive officer has only been the chief executive officer of a publicly traded company since our initial public offering. Neither has been involved in the long term operations of a public company. Pursuant to</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88" w:name="page89"/>
    <w:bookmarkEnd w:id="88"/>
    <w:p>
      <w:pPr>
        <w:ind w:right="140"/>
        <w:spacing w:after="0" w:line="252" w:lineRule="auto"/>
        <w:rPr>
          <w:sz w:val="20"/>
          <w:szCs w:val="20"/>
          <w:color w:val="auto"/>
        </w:rPr>
      </w:pPr>
      <w:r>
        <w:rPr>
          <w:rFonts w:ascii="Arial" w:cs="Arial" w:eastAsia="Arial" w:hAnsi="Arial"/>
          <w:sz w:val="18"/>
          <w:szCs w:val="18"/>
          <w:color w:val="auto"/>
        </w:rPr>
        <w:t>Section 404 of the Sarbanes-Oxley Act, we will be required to furnish a report by our management on our internal control over financial reporting beginning with our second filing of an Annual Report on Form 10-K with the SEC. This assessment will need to include disclosure of any material weaknesses identified by our management in our internal control over financial reporting. However,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At such time as we are required to obtain auditor attestation, if we then have a material weakness, we would receive an adverse opinion regarding our internal control over financial reporting from our independent registered accounting firm.</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During our evaluation of our internal control,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Class A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could result in a variety of risks to our business, including weakened demand for our drug candidates and impaired ability to raise additional capital when needed on acceptable terms, if at all. A weak or declining economy could also strain our suppliers or possibly result in supply disruption. Any of the foregoing could harm our business and we cannot anticipate all of the ways in which the current economic climate and financial market conditions could adversely impact our business.</w:t>
      </w:r>
    </w:p>
    <w:p>
      <w:pPr>
        <w:spacing w:after="0" w:line="212"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Current and future litigation against us, which may arise in the ordinary course of our business, could be costly and time consuming to defend.</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periodically subject to claims that arise in the ordinary course of business, such as claims brought by our collaborators or suppliers in connection with commercial disputes, employment claims made by our current or former employees, or claims brought by third parties for failure to adequately protect their personal data. Third parties may in the future assert intellectual property rights to technologies that are important to our business and demand back royalties or demand that we license their technology. Litigation may result in substantial costs and may divert management’s attention and resources, which may seriously harm our business, overall financial condition and operating results. Insurance may not cover such claims, may not be sufficient for one or more of such claims and may not continue to be available on terms acceptable to us. A claim brought against us that is uninsured or underinsured could result in unanticipated costs and management distraction, negatively affecting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89" w:name="page90"/>
    <w:bookmarkEnd w:id="89"/>
    <w:p>
      <w:pPr>
        <w:ind w:right="280"/>
        <w:spacing w:after="0" w:line="28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financial analysts publish about us or our business. If only a small number of analysts maintain coverage of us, the trading price of our stock would likely decrease. If an analyst covering our stock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three months ended March 31, 2021, we issued 1,722,027 shares of our common stock to our employees, directors, advisors and consultants upon the exercise of stock options outstanding under our 2016 Equity Incentive and Key Personnel Incentive Stock Plans for aggregate consideration of $2.2 million. The shares of common stock issued upon the exercise of stock options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Grants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three months ended March 31, 2021, we issued to employees, directors, advisors and consultants, options to purchase an aggregate of 1,849,311 shares of our Class A common stock at a weighted-average exercise price of $4.44 per share in reliance on the exemption provided by Rule 701 promulgated under the Securities Act, or pursuant to Section 4(a)(2) under the Securities Act, relative to transactions by an issuer not involving any public offering, to the extent an exemption from such registration was required.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Proceeds from Public Offering of Class A Common Stock</w:t>
      </w:r>
    </w:p>
    <w:p>
      <w:pPr>
        <w:spacing w:after="0" w:line="27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On April 15, 2021, the Registration Statements on Form S-1 (File No. 333-254576) for our initial public offering of our Class A common stock was declared effective by the SEC. Shares of our Class A common stock began trading on the Nasdaq Global Market on April 16, 2021. The offering closed on April 20, 2021.</w:t>
      </w:r>
    </w:p>
    <w:p>
      <w:pPr>
        <w:spacing w:after="0" w:line="22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underwriters of our initial public offering were Goldman Sachs &amp; Co. LLC, J.P. Morgan, BofA Securities, SVB Leerink, Allen &amp; Company LLC and KeyBanc Capital Markets.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paid to the underwriters of our initial public offering an underwriting discount totaling approximately $35.1 million. In addition, we incurred expenses of approximately $4.1 million which, when added to the underwriting discount, amount to total expenses of approximately $39.2 million. Thus, the net offering proceeds, after deducting underwriting discounts and offering expenses, were approximately $462.6 million. No offering expenses were paid directly or indirectly to any of our directors or officers (or their associates) or persons owning 10.0% or more of any class of our equity securities or to any other affiliates.</w:t>
      </w:r>
    </w:p>
    <w:p>
      <w:pPr>
        <w:spacing w:after="0" w:line="23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are holding a significant portion of the balance of the net proceeds in bank deposits held in checking accounts. There has been no material change in the planned use of proceeds from our IPO from those that were described in the final prospectus filed pursuant to Rule 424(b) under the Securities Act and other periodic reports previously filed with the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Issuer Purchases of Equity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6.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1480" w:type="dxa"/>
            <w:vAlign w:val="bottom"/>
          </w:tcPr>
          <w:p>
            <w:pPr>
              <w:spacing w:after="0"/>
              <w:rPr>
                <w:sz w:val="14"/>
                <w:szCs w:val="14"/>
                <w:color w:val="auto"/>
              </w:rPr>
            </w:pPr>
          </w:p>
        </w:tc>
        <w:tc>
          <w:tcPr>
            <w:tcW w:w="1160" w:type="dxa"/>
            <w:vAlign w:val="bottom"/>
          </w:tcPr>
          <w:p>
            <w:pPr>
              <w:jc w:val="center"/>
              <w:ind w:left="14"/>
              <w:spacing w:after="0"/>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35"/>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 number</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20" w:type="dxa"/>
            <w:vAlign w:val="bottom"/>
            <w:gridSpan w:val="20"/>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6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File No.</w:t>
            </w:r>
          </w:p>
        </w:tc>
        <w:tc>
          <w:tcPr>
            <w:tcW w:w="840" w:type="dxa"/>
            <w:vAlign w:val="bottom"/>
            <w:vMerge w:val="continue"/>
          </w:tcPr>
          <w:p>
            <w:pPr>
              <w:spacing w:after="0"/>
              <w:rPr>
                <w:sz w:val="11"/>
                <w:szCs w:val="11"/>
                <w:color w:val="auto"/>
              </w:rPr>
            </w:pP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Filing Date</w:t>
            </w:r>
          </w:p>
        </w:tc>
        <w:tc>
          <w:tcPr>
            <w:tcW w:w="1160" w:type="dxa"/>
            <w:vAlign w:val="bottom"/>
          </w:tcPr>
          <w:p>
            <w:pPr>
              <w:jc w:val="center"/>
              <w:ind w:left="14"/>
              <w:spacing w:after="0" w:line="13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6"/>
        </w:trPr>
        <w:tc>
          <w:tcPr>
            <w:tcW w:w="11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0"/>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No.</w:t>
            </w:r>
          </w:p>
        </w:tc>
        <w:tc>
          <w:tcPr>
            <w:tcW w:w="14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rPr>
              <w:t>3.1</w:t>
            </w:r>
          </w:p>
        </w:tc>
        <w:tc>
          <w:tcPr>
            <w:tcW w:w="4440" w:type="dxa"/>
            <w:vAlign w:val="bottom"/>
            <w:gridSpan w:val="24"/>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Amended and Restated Certificate of Incorporation of</w:t>
              </w:r>
            </w:hyperlink>
          </w:p>
        </w:tc>
        <w:tc>
          <w:tcPr>
            <w:tcW w:w="660" w:type="dxa"/>
            <w:vAlign w:val="bottom"/>
          </w:tcPr>
          <w:p>
            <w:pPr>
              <w:ind w:left="40"/>
              <w:spacing w:after="0" w:line="182" w:lineRule="exact"/>
              <w:rPr>
                <w:sz w:val="20"/>
                <w:szCs w:val="20"/>
                <w:color w:val="auto"/>
              </w:rPr>
            </w:pPr>
            <w:r>
              <w:rPr>
                <w:rFonts w:ascii="Arial" w:cs="Arial" w:eastAsia="Arial" w:hAnsi="Arial"/>
                <w:sz w:val="18"/>
                <w:szCs w:val="18"/>
                <w:color w:val="auto"/>
              </w:rPr>
              <w:t>8-K</w:t>
            </w:r>
          </w:p>
        </w:tc>
        <w:tc>
          <w:tcPr>
            <w:tcW w:w="1240" w:type="dxa"/>
            <w:vAlign w:val="bottom"/>
          </w:tcPr>
          <w:p>
            <w:pPr>
              <w:ind w:left="100"/>
              <w:spacing w:after="0" w:line="182" w:lineRule="exact"/>
              <w:rPr>
                <w:sz w:val="20"/>
                <w:szCs w:val="20"/>
                <w:color w:val="auto"/>
              </w:rPr>
            </w:pPr>
            <w:r>
              <w:rPr>
                <w:rFonts w:ascii="Arial" w:cs="Arial" w:eastAsia="Arial" w:hAnsi="Arial"/>
                <w:sz w:val="18"/>
                <w:szCs w:val="18"/>
                <w:color w:val="auto"/>
              </w:rPr>
              <w:t>001-40323</w:t>
            </w:r>
          </w:p>
        </w:tc>
        <w:tc>
          <w:tcPr>
            <w:tcW w:w="840" w:type="dxa"/>
            <w:vAlign w:val="bottom"/>
          </w:tcPr>
          <w:p>
            <w:pPr>
              <w:jc w:val="right"/>
              <w:ind w:right="316"/>
              <w:spacing w:after="0" w:line="182" w:lineRule="exact"/>
              <w:rPr>
                <w:sz w:val="20"/>
                <w:szCs w:val="20"/>
                <w:color w:val="auto"/>
              </w:rPr>
            </w:pPr>
            <w:r>
              <w:rPr>
                <w:rFonts w:ascii="Arial" w:cs="Arial" w:eastAsia="Arial" w:hAnsi="Arial"/>
                <w:sz w:val="18"/>
                <w:szCs w:val="18"/>
                <w:color w:val="auto"/>
              </w:rPr>
              <w:t>3.1</w:t>
            </w:r>
          </w:p>
        </w:tc>
        <w:tc>
          <w:tcPr>
            <w:tcW w:w="1480" w:type="dxa"/>
            <w:vAlign w:val="bottom"/>
          </w:tcPr>
          <w:p>
            <w:pPr>
              <w:ind w:left="60"/>
              <w:spacing w:after="0" w:line="182" w:lineRule="exact"/>
              <w:rPr>
                <w:sz w:val="20"/>
                <w:szCs w:val="20"/>
                <w:color w:val="auto"/>
              </w:rPr>
            </w:pPr>
            <w:r>
              <w:rPr>
                <w:rFonts w:ascii="Arial" w:cs="Arial" w:eastAsia="Arial" w:hAnsi="Arial"/>
                <w:sz w:val="18"/>
                <w:szCs w:val="18"/>
                <w:color w:val="auto"/>
              </w:rPr>
              <w:t>April 21, 2021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02">
              <w:r>
                <w:rPr>
                  <w:rFonts w:ascii="Arial" w:cs="Arial" w:eastAsia="Arial" w:hAnsi="Arial"/>
                  <w:sz w:val="18"/>
                  <w:szCs w:val="18"/>
                  <w:color w:val="0000FF"/>
                  <w:w w:val="99"/>
                </w:rPr>
                <w:t>Recursion Pharmaceuticals, Inc.</w:t>
              </w:r>
            </w:hyperlink>
          </w:p>
        </w:tc>
        <w:tc>
          <w:tcPr>
            <w:tcW w:w="16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rPr>
              <w:t>3.2</w:t>
            </w:r>
          </w:p>
        </w:tc>
        <w:tc>
          <w:tcPr>
            <w:tcW w:w="4440" w:type="dxa"/>
            <w:vAlign w:val="bottom"/>
            <w:gridSpan w:val="24"/>
          </w:tcPr>
          <w:p>
            <w:pPr>
              <w:spacing w:after="0"/>
              <w:rPr>
                <w:rFonts w:ascii="Arial" w:cs="Arial" w:eastAsia="Arial" w:hAnsi="Arial"/>
                <w:sz w:val="18"/>
                <w:szCs w:val="18"/>
                <w:color w:val="0000FF"/>
              </w:rPr>
            </w:pPr>
            <w:hyperlink r:id="rId103">
              <w:r>
                <w:rPr>
                  <w:rFonts w:ascii="Arial" w:cs="Arial" w:eastAsia="Arial" w:hAnsi="Arial"/>
                  <w:sz w:val="18"/>
                  <w:szCs w:val="18"/>
                  <w:color w:val="0000FF"/>
                </w:rPr>
                <w:t>Amended and Restated Bylaws of Recursion</w:t>
              </w:r>
            </w:hyperlink>
          </w:p>
        </w:tc>
        <w:tc>
          <w:tcPr>
            <w:tcW w:w="660" w:type="dxa"/>
            <w:vAlign w:val="bottom"/>
          </w:tcPr>
          <w:p>
            <w:pPr>
              <w:ind w:left="40"/>
              <w:spacing w:after="0"/>
              <w:rPr>
                <w:sz w:val="20"/>
                <w:szCs w:val="20"/>
                <w:color w:val="auto"/>
              </w:rPr>
            </w:pPr>
            <w:r>
              <w:rPr>
                <w:rFonts w:ascii="Arial" w:cs="Arial" w:eastAsia="Arial" w:hAnsi="Arial"/>
                <w:sz w:val="18"/>
                <w:szCs w:val="18"/>
                <w:color w:val="auto"/>
              </w:rPr>
              <w:t>8-K</w:t>
            </w:r>
          </w:p>
        </w:tc>
        <w:tc>
          <w:tcPr>
            <w:tcW w:w="1240" w:type="dxa"/>
            <w:vAlign w:val="bottom"/>
          </w:tcPr>
          <w:p>
            <w:pPr>
              <w:ind w:left="100"/>
              <w:spacing w:after="0"/>
              <w:rPr>
                <w:sz w:val="20"/>
                <w:szCs w:val="20"/>
                <w:color w:val="auto"/>
              </w:rPr>
            </w:pPr>
            <w:r>
              <w:rPr>
                <w:rFonts w:ascii="Arial" w:cs="Arial" w:eastAsia="Arial" w:hAnsi="Arial"/>
                <w:sz w:val="18"/>
                <w:szCs w:val="18"/>
                <w:color w:val="auto"/>
              </w:rPr>
              <w:t>001-40323</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3.2</w:t>
            </w:r>
          </w:p>
        </w:tc>
        <w:tc>
          <w:tcPr>
            <w:tcW w:w="1480" w:type="dxa"/>
            <w:vAlign w:val="bottom"/>
          </w:tcPr>
          <w:p>
            <w:pPr>
              <w:ind w:left="60"/>
              <w:spacing w:after="0"/>
              <w:rPr>
                <w:sz w:val="20"/>
                <w:szCs w:val="20"/>
                <w:color w:val="auto"/>
              </w:rPr>
            </w:pPr>
            <w:r>
              <w:rPr>
                <w:rFonts w:ascii="Arial" w:cs="Arial" w:eastAsia="Arial" w:hAnsi="Arial"/>
                <w:sz w:val="18"/>
                <w:szCs w:val="18"/>
                <w:color w:val="auto"/>
              </w:rPr>
              <w:t>April 21, 2021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103">
              <w:r>
                <w:rPr>
                  <w:rFonts w:ascii="Arial" w:cs="Arial" w:eastAsia="Arial" w:hAnsi="Arial"/>
                  <w:sz w:val="18"/>
                  <w:szCs w:val="18"/>
                  <w:color w:val="0000FF"/>
                  <w:w w:val="98"/>
                </w:rPr>
                <w:t>Pharmaceuticals, Inc.</w:t>
              </w:r>
            </w:hyperlink>
          </w:p>
        </w:tc>
        <w:tc>
          <w:tcPr>
            <w:tcW w:w="1840" w:type="dxa"/>
            <w:vAlign w:val="bottom"/>
            <w:tcBorders>
              <w:top w:val="single" w:sz="8" w:color="0000FF"/>
            </w:tcBorders>
            <w:gridSpan w:val="6"/>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rPr>
              <w:t>4.1</w:t>
            </w:r>
          </w:p>
        </w:tc>
        <w:tc>
          <w:tcPr>
            <w:tcW w:w="5100" w:type="dxa"/>
            <w:vAlign w:val="bottom"/>
            <w:gridSpan w:val="25"/>
          </w:tcPr>
          <w:p>
            <w:pPr>
              <w:spacing w:after="0"/>
              <w:rPr>
                <w:rFonts w:ascii="Arial" w:cs="Arial" w:eastAsia="Arial" w:hAnsi="Arial"/>
                <w:sz w:val="18"/>
                <w:szCs w:val="18"/>
                <w:color w:val="0000FF"/>
              </w:rPr>
            </w:pPr>
            <w:hyperlink r:id="rId104">
              <w:r>
                <w:rPr>
                  <w:rFonts w:ascii="Arial" w:cs="Arial" w:eastAsia="Arial" w:hAnsi="Arial"/>
                  <w:sz w:val="18"/>
                  <w:szCs w:val="18"/>
                  <w:color w:val="0000FF"/>
                </w:rPr>
                <w:t xml:space="preserve">Amended and Restated Investors’ Rights Agreement by </w:t>
              </w:r>
            </w:hyperlink>
            <w:r>
              <w:rPr>
                <w:rFonts w:ascii="Arial" w:cs="Arial" w:eastAsia="Arial" w:hAnsi="Arial"/>
                <w:sz w:val="18"/>
                <w:szCs w:val="18"/>
                <w:color w:val="000000"/>
              </w:rPr>
              <w:t>S-1/A</w:t>
            </w:r>
          </w:p>
        </w:tc>
        <w:tc>
          <w:tcPr>
            <w:tcW w:w="1240" w:type="dxa"/>
            <w:vAlign w:val="bottom"/>
          </w:tcPr>
          <w:p>
            <w:pPr>
              <w:ind w:left="100"/>
              <w:spacing w:after="0"/>
              <w:rPr>
                <w:sz w:val="20"/>
                <w:szCs w:val="20"/>
                <w:color w:val="auto"/>
              </w:rPr>
            </w:pPr>
            <w:r>
              <w:rPr>
                <w:rFonts w:ascii="Arial" w:cs="Arial" w:eastAsia="Arial" w:hAnsi="Arial"/>
                <w:sz w:val="18"/>
                <w:szCs w:val="18"/>
                <w:color w:val="auto"/>
              </w:rPr>
              <w:t>333-254576</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4.1</w:t>
            </w:r>
          </w:p>
        </w:tc>
        <w:tc>
          <w:tcPr>
            <w:tcW w:w="1480" w:type="dxa"/>
            <w:vAlign w:val="bottom"/>
          </w:tcPr>
          <w:p>
            <w:pPr>
              <w:ind w:left="60"/>
              <w:spacing w:after="0"/>
              <w:rPr>
                <w:sz w:val="20"/>
                <w:szCs w:val="20"/>
                <w:color w:val="auto"/>
              </w:rPr>
            </w:pPr>
            <w:r>
              <w:rPr>
                <w:rFonts w:ascii="Arial" w:cs="Arial" w:eastAsia="Arial" w:hAnsi="Arial"/>
                <w:sz w:val="18"/>
                <w:szCs w:val="18"/>
                <w:color w:val="auto"/>
              </w:rPr>
              <w:t>April 15, 2021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4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and among the Registrant and certain of its</w:t>
              </w:r>
            </w:hyperlink>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stockholders, dated September 1, 2020.</w:t>
              </w:r>
            </w:hyperlink>
          </w:p>
        </w:tc>
        <w:tc>
          <w:tcPr>
            <w:tcW w:w="240" w:type="dxa"/>
            <w:vAlign w:val="bottom"/>
            <w:tcBorders>
              <w:top w:val="single" w:sz="8" w:color="0000FF"/>
            </w:tcBorders>
          </w:tcPr>
          <w:p>
            <w:pPr>
              <w:spacing w:after="0"/>
              <w:rPr>
                <w:sz w:val="13"/>
                <w:szCs w:val="13"/>
                <w:color w:val="auto"/>
              </w:rPr>
            </w:pPr>
          </w:p>
        </w:tc>
        <w:tc>
          <w:tcPr>
            <w:tcW w:w="5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center"/>
              <w:spacing w:after="0"/>
              <w:rPr>
                <w:sz w:val="20"/>
                <w:szCs w:val="20"/>
                <w:color w:val="auto"/>
              </w:rPr>
            </w:pPr>
            <w:r>
              <w:rPr>
                <w:rFonts w:ascii="Arial" w:cs="Arial" w:eastAsia="Arial" w:hAnsi="Arial"/>
                <w:sz w:val="18"/>
                <w:szCs w:val="18"/>
                <w:color w:val="auto"/>
              </w:rPr>
              <w:t>4.2</w:t>
            </w:r>
          </w:p>
        </w:tc>
        <w:tc>
          <w:tcPr>
            <w:tcW w:w="4440" w:type="dxa"/>
            <w:vAlign w:val="bottom"/>
            <w:gridSpan w:val="24"/>
          </w:tcPr>
          <w:p>
            <w:pPr>
              <w:spacing w:after="0"/>
              <w:rPr>
                <w:rFonts w:ascii="Arial" w:cs="Arial" w:eastAsia="Arial" w:hAnsi="Arial"/>
                <w:sz w:val="18"/>
                <w:szCs w:val="18"/>
                <w:color w:val="0000FF"/>
              </w:rPr>
            </w:pPr>
            <w:hyperlink r:id="rId105">
              <w:r>
                <w:rPr>
                  <w:rFonts w:ascii="Arial" w:cs="Arial" w:eastAsia="Arial" w:hAnsi="Arial"/>
                  <w:sz w:val="18"/>
                  <w:szCs w:val="18"/>
                  <w:color w:val="0000FF"/>
                </w:rPr>
                <w:t>Specimen Class A common stock certificate of the</w:t>
              </w:r>
            </w:hyperlink>
          </w:p>
        </w:tc>
        <w:tc>
          <w:tcPr>
            <w:tcW w:w="660" w:type="dxa"/>
            <w:vAlign w:val="bottom"/>
          </w:tcPr>
          <w:p>
            <w:pPr>
              <w:ind w:left="40"/>
              <w:spacing w:after="0"/>
              <w:rPr>
                <w:sz w:val="20"/>
                <w:szCs w:val="20"/>
                <w:color w:val="auto"/>
              </w:rPr>
            </w:pPr>
            <w:r>
              <w:rPr>
                <w:rFonts w:ascii="Arial" w:cs="Arial" w:eastAsia="Arial" w:hAnsi="Arial"/>
                <w:sz w:val="18"/>
                <w:szCs w:val="18"/>
                <w:color w:val="auto"/>
              </w:rPr>
              <w:t>S-1/A</w:t>
            </w:r>
          </w:p>
        </w:tc>
        <w:tc>
          <w:tcPr>
            <w:tcW w:w="1240" w:type="dxa"/>
            <w:vAlign w:val="bottom"/>
          </w:tcPr>
          <w:p>
            <w:pPr>
              <w:ind w:left="100"/>
              <w:spacing w:after="0"/>
              <w:rPr>
                <w:sz w:val="20"/>
                <w:szCs w:val="20"/>
                <w:color w:val="auto"/>
              </w:rPr>
            </w:pPr>
            <w:r>
              <w:rPr>
                <w:rFonts w:ascii="Arial" w:cs="Arial" w:eastAsia="Arial" w:hAnsi="Arial"/>
                <w:sz w:val="18"/>
                <w:szCs w:val="18"/>
                <w:color w:val="auto"/>
              </w:rPr>
              <w:t>333-254576</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4.2</w:t>
            </w:r>
          </w:p>
        </w:tc>
        <w:tc>
          <w:tcPr>
            <w:tcW w:w="1480" w:type="dxa"/>
            <w:vAlign w:val="bottom"/>
          </w:tcPr>
          <w:p>
            <w:pPr>
              <w:ind w:left="60"/>
              <w:spacing w:after="0"/>
              <w:rPr>
                <w:sz w:val="20"/>
                <w:szCs w:val="20"/>
                <w:color w:val="auto"/>
              </w:rPr>
            </w:pPr>
            <w:r>
              <w:rPr>
                <w:rFonts w:ascii="Arial" w:cs="Arial" w:eastAsia="Arial" w:hAnsi="Arial"/>
                <w:sz w:val="18"/>
                <w:szCs w:val="18"/>
                <w:color w:val="auto"/>
              </w:rPr>
              <w:t>April 15, 2021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0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Registrant.</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center"/>
              <w:spacing w:after="0"/>
              <w:rPr>
                <w:sz w:val="20"/>
                <w:szCs w:val="20"/>
                <w:color w:val="auto"/>
              </w:rPr>
            </w:pPr>
            <w:r>
              <w:rPr>
                <w:rFonts w:ascii="Arial" w:cs="Arial" w:eastAsia="Arial" w:hAnsi="Arial"/>
                <w:sz w:val="18"/>
                <w:szCs w:val="18"/>
                <w:color w:val="auto"/>
              </w:rPr>
              <w:t>10.1+</w:t>
            </w:r>
          </w:p>
        </w:tc>
        <w:tc>
          <w:tcPr>
            <w:tcW w:w="4440" w:type="dxa"/>
            <w:vAlign w:val="bottom"/>
            <w:gridSpan w:val="24"/>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Exchange Agreement dated April 20, 2021 among the</w:t>
              </w:r>
            </w:hyperlink>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9"/>
              </w:rPr>
            </w:pPr>
            <w:hyperlink w:anchor="page93">
              <w:r>
                <w:rPr>
                  <w:rFonts w:ascii="Arial" w:cs="Arial" w:eastAsia="Arial" w:hAnsi="Arial"/>
                  <w:sz w:val="18"/>
                  <w:szCs w:val="18"/>
                  <w:color w:val="0000FF"/>
                  <w:w w:val="99"/>
                </w:rPr>
                <w:t>Registrant, Christopher Gibson, Ph.D., and the Gibson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40" w:type="dxa"/>
            <w:vAlign w:val="bottom"/>
            <w:tcBorders>
              <w:bottom w:val="single" w:sz="8" w:color="0000FF"/>
            </w:tcBorders>
            <w:gridSpan w:val="2"/>
          </w:tcPr>
          <w:p>
            <w:pPr>
              <w:spacing w:after="0" w:line="156" w:lineRule="exact"/>
              <w:rPr>
                <w:rFonts w:ascii="Arial" w:cs="Arial" w:eastAsia="Arial" w:hAnsi="Arial"/>
                <w:sz w:val="18"/>
                <w:szCs w:val="18"/>
                <w:color w:val="0000FF"/>
                <w:w w:val="98"/>
              </w:rPr>
            </w:pPr>
            <w:hyperlink w:anchor="page93">
              <w:r>
                <w:rPr>
                  <w:rFonts w:ascii="Arial" w:cs="Arial" w:eastAsia="Arial" w:hAnsi="Arial"/>
                  <w:sz w:val="18"/>
                  <w:szCs w:val="18"/>
                  <w:color w:val="0000FF"/>
                  <w:w w:val="98"/>
                </w:rPr>
                <w:t>Family Trust.</w:t>
              </w:r>
            </w:hyperlink>
          </w:p>
        </w:tc>
        <w:tc>
          <w:tcPr>
            <w:tcW w:w="332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center"/>
              <w:spacing w:after="0"/>
              <w:rPr>
                <w:sz w:val="20"/>
                <w:szCs w:val="20"/>
                <w:color w:val="auto"/>
              </w:rPr>
            </w:pPr>
            <w:r>
              <w:rPr>
                <w:rFonts w:ascii="Arial" w:cs="Arial" w:eastAsia="Arial" w:hAnsi="Arial"/>
                <w:sz w:val="18"/>
                <w:szCs w:val="18"/>
                <w:color w:val="auto"/>
              </w:rPr>
              <w:t>10.2+</w:t>
            </w:r>
          </w:p>
        </w:tc>
        <w:tc>
          <w:tcPr>
            <w:tcW w:w="4440" w:type="dxa"/>
            <w:vAlign w:val="bottom"/>
            <w:gridSpan w:val="24"/>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Equity Exchange Right Agreement dated April 20, 2021</w:t>
              </w:r>
            </w:hyperlink>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4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102">
              <w:r>
                <w:rPr>
                  <w:rFonts w:ascii="Arial" w:cs="Arial" w:eastAsia="Arial" w:hAnsi="Arial"/>
                  <w:sz w:val="18"/>
                  <w:szCs w:val="18"/>
                  <w:color w:val="0000FF"/>
                </w:rPr>
                <w:t>among the Registrant, Christopher Gibson, Ph.D., and</w:t>
              </w:r>
            </w:hyperlink>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8"/>
              </w:rPr>
            </w:pPr>
            <w:hyperlink w:anchor="page102">
              <w:r>
                <w:rPr>
                  <w:rFonts w:ascii="Arial" w:cs="Arial" w:eastAsia="Arial" w:hAnsi="Arial"/>
                  <w:sz w:val="18"/>
                  <w:szCs w:val="18"/>
                  <w:color w:val="0000FF"/>
                  <w:w w:val="98"/>
                </w:rPr>
                <w:t>the Gibson Family Trust.</w:t>
              </w:r>
            </w:hyperlink>
          </w:p>
        </w:tc>
        <w:tc>
          <w:tcPr>
            <w:tcW w:w="238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4440" w:type="dxa"/>
            <w:vAlign w:val="bottom"/>
            <w:gridSpan w:val="24"/>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Certification of Principal Executive Officer Pursuant to</w:t>
              </w:r>
            </w:hyperlink>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3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13">
              <w:r>
                <w:rPr>
                  <w:rFonts w:ascii="Arial" w:cs="Arial" w:eastAsia="Arial" w:hAnsi="Arial"/>
                  <w:sz w:val="18"/>
                  <w:szCs w:val="18"/>
                  <w:color w:val="0000FF"/>
                </w:rPr>
                <w:t>Rules 13a-14(a) and 15d-14(a) under the Securities</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20" w:type="dxa"/>
            <w:vAlign w:val="bottom"/>
          </w:tcPr>
          <w:p>
            <w:pPr>
              <w:spacing w:after="0"/>
              <w:rPr>
                <w:sz w:val="13"/>
                <w:szCs w:val="13"/>
                <w:color w:val="auto"/>
              </w:rPr>
            </w:pPr>
          </w:p>
        </w:tc>
        <w:tc>
          <w:tcPr>
            <w:tcW w:w="4440" w:type="dxa"/>
            <w:vAlign w:val="bottom"/>
            <w:gridSpan w:val="24"/>
          </w:tcPr>
          <w:p>
            <w:pPr>
              <w:spacing w:after="0" w:line="156" w:lineRule="exact"/>
              <w:rPr>
                <w:rFonts w:ascii="Arial" w:cs="Arial" w:eastAsia="Arial" w:hAnsi="Arial"/>
                <w:sz w:val="18"/>
                <w:szCs w:val="18"/>
                <w:color w:val="0000FF"/>
              </w:rPr>
            </w:pPr>
            <w:hyperlink w:anchor="page113">
              <w:r>
                <w:rPr>
                  <w:rFonts w:ascii="Arial" w:cs="Arial" w:eastAsia="Arial" w:hAnsi="Arial"/>
                  <w:sz w:val="18"/>
                  <w:szCs w:val="18"/>
                  <w:color w:val="0000FF"/>
                </w:rPr>
                <w:t>Exchange Act of 1934, as Adopted Pursuant to Section</w:t>
              </w:r>
            </w:hyperlink>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113">
              <w:r>
                <w:rPr>
                  <w:rFonts w:ascii="Arial" w:cs="Arial" w:eastAsia="Arial" w:hAnsi="Arial"/>
                  <w:sz w:val="18"/>
                  <w:szCs w:val="18"/>
                  <w:color w:val="0000FF"/>
                  <w:w w:val="99"/>
                </w:rPr>
                <w:t>302 of the Sarbanes-Oxley Act of 2002.</w:t>
              </w:r>
            </w:hyperlink>
          </w:p>
        </w:tc>
        <w:tc>
          <w:tcPr>
            <w:tcW w:w="12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4440" w:type="dxa"/>
            <w:vAlign w:val="bottom"/>
            <w:gridSpan w:val="24"/>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Certification of Principal Financial Officer Pursuant to</w:t>
              </w:r>
            </w:hyperlink>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2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Rules 13a-14(a) and 15d-14(a) under the Securities</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660" w:type="dxa"/>
            <w:vAlign w:val="bottom"/>
            <w:gridSpan w:val="9"/>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tcPr>
          <w:p>
            <w:pPr>
              <w:spacing w:after="0"/>
              <w:rPr>
                <w:sz w:val="13"/>
                <w:szCs w:val="13"/>
                <w:color w:val="auto"/>
              </w:rPr>
            </w:pPr>
          </w:p>
        </w:tc>
        <w:tc>
          <w:tcPr>
            <w:tcW w:w="4440" w:type="dxa"/>
            <w:vAlign w:val="bottom"/>
            <w:gridSpan w:val="24"/>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Exchange Act of 1934, as Adopted Pursuant to Section</w:t>
              </w:r>
            </w:hyperlink>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114">
              <w:r>
                <w:rPr>
                  <w:rFonts w:ascii="Arial" w:cs="Arial" w:eastAsia="Arial" w:hAnsi="Arial"/>
                  <w:sz w:val="18"/>
                  <w:szCs w:val="18"/>
                  <w:color w:val="0000FF"/>
                  <w:w w:val="99"/>
                </w:rPr>
                <w:t>302 of the Sarbanes-Oxley Act of 2002.</w:t>
              </w:r>
            </w:hyperlink>
          </w:p>
        </w:tc>
        <w:tc>
          <w:tcPr>
            <w:tcW w:w="12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440" w:type="dxa"/>
            <w:vAlign w:val="bottom"/>
            <w:gridSpan w:val="24"/>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Certification of Principal Executive Officer and Principal</w:t>
              </w:r>
            </w:hyperlink>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3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115">
              <w:r>
                <w:rPr>
                  <w:rFonts w:ascii="Arial" w:cs="Arial" w:eastAsia="Arial" w:hAnsi="Arial"/>
                  <w:sz w:val="18"/>
                  <w:szCs w:val="18"/>
                  <w:color w:val="0000FF"/>
                </w:rPr>
                <w:t>Financial Officer Pursuant to 18 U.S.C. Section 1350,</w:t>
              </w:r>
            </w:hyperlink>
          </w:p>
        </w:tc>
        <w:tc>
          <w:tcPr>
            <w:tcW w:w="6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8"/>
              </w:rPr>
            </w:pPr>
            <w:hyperlink w:anchor="page115">
              <w:r>
                <w:rPr>
                  <w:rFonts w:ascii="Arial" w:cs="Arial" w:eastAsia="Arial" w:hAnsi="Arial"/>
                  <w:sz w:val="18"/>
                  <w:szCs w:val="18"/>
                  <w:color w:val="0000FF"/>
                  <w:w w:val="98"/>
                </w:rPr>
                <w:t>as Adopted Pursuant to Section 906 of the Sarbanes-</w:t>
              </w:r>
            </w:hyperlink>
          </w:p>
        </w:tc>
        <w:tc>
          <w:tcPr>
            <w:tcW w:w="40" w:type="dxa"/>
            <w:vAlign w:val="bottom"/>
            <w:tcBorders>
              <w:bottom w:val="single" w:sz="8" w:color="0000FF"/>
            </w:tcBorders>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280" w:type="dxa"/>
            <w:vAlign w:val="bottom"/>
            <w:gridSpan w:val="16"/>
          </w:tcPr>
          <w:p>
            <w:pPr>
              <w:spacing w:after="0" w:line="156" w:lineRule="exact"/>
              <w:rPr>
                <w:rFonts w:ascii="Arial" w:cs="Arial" w:eastAsia="Arial" w:hAnsi="Arial"/>
                <w:sz w:val="18"/>
                <w:szCs w:val="18"/>
                <w:color w:val="0000FF"/>
              </w:rPr>
            </w:pPr>
            <w:hyperlink w:anchor="page115">
              <w:r>
                <w:rPr>
                  <w:rFonts w:ascii="Arial" w:cs="Arial" w:eastAsia="Arial" w:hAnsi="Arial"/>
                  <w:sz w:val="18"/>
                  <w:szCs w:val="18"/>
                  <w:color w:val="0000FF"/>
                </w:rPr>
                <w:t>Oxley Act of 2002.</w:t>
              </w:r>
            </w:hyperlink>
          </w:p>
        </w:tc>
        <w:tc>
          <w:tcPr>
            <w:tcW w:w="160" w:type="dxa"/>
            <w:vAlign w:val="bottom"/>
            <w:gridSpan w:val="8"/>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980" w:type="dxa"/>
            <w:vAlign w:val="bottom"/>
            <w:gridSpan w:val="2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jc w:val="center"/>
              <w:spacing w:after="0"/>
              <w:rPr>
                <w:sz w:val="20"/>
                <w:szCs w:val="20"/>
                <w:color w:val="auto"/>
              </w:rPr>
            </w:pPr>
            <w:r>
              <w:rPr>
                <w:rFonts w:ascii="Arial" w:cs="Arial" w:eastAsia="Arial" w:hAnsi="Arial"/>
                <w:sz w:val="18"/>
                <w:szCs w:val="18"/>
                <w:color w:val="auto"/>
              </w:rPr>
              <w:t>101.INS</w:t>
            </w:r>
          </w:p>
        </w:tc>
        <w:tc>
          <w:tcPr>
            <w:tcW w:w="444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120" w:type="dxa"/>
            <w:vAlign w:val="bottom"/>
          </w:tcPr>
          <w:p>
            <w:pPr>
              <w:jc w:val="center"/>
              <w:spacing w:after="0"/>
              <w:rPr>
                <w:sz w:val="20"/>
                <w:szCs w:val="20"/>
                <w:color w:val="auto"/>
              </w:rPr>
            </w:pPr>
            <w:r>
              <w:rPr>
                <w:rFonts w:ascii="Arial" w:cs="Arial" w:eastAsia="Arial" w:hAnsi="Arial"/>
                <w:sz w:val="18"/>
                <w:szCs w:val="18"/>
                <w:color w:val="auto"/>
              </w:rPr>
              <w:t>101.SCH</w:t>
            </w:r>
          </w:p>
        </w:tc>
        <w:tc>
          <w:tcPr>
            <w:tcW w:w="444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8"/>
        </w:trPr>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w w:val="99"/>
              </w:rPr>
              <w:t>101.CAL</w:t>
            </w:r>
          </w:p>
        </w:tc>
        <w:tc>
          <w:tcPr>
            <w:tcW w:w="4440" w:type="dxa"/>
            <w:vAlign w:val="bottom"/>
            <w:gridSpan w:val="24"/>
          </w:tcPr>
          <w:p>
            <w:pPr>
              <w:spacing w:after="0" w:line="189" w:lineRule="exact"/>
              <w:rPr>
                <w:sz w:val="20"/>
                <w:szCs w:val="20"/>
                <w:color w:val="auto"/>
              </w:rPr>
            </w:pPr>
            <w:r>
              <w:rPr>
                <w:rFonts w:ascii="Arial" w:cs="Arial" w:eastAsia="Arial" w:hAnsi="Arial"/>
                <w:sz w:val="18"/>
                <w:szCs w:val="18"/>
                <w:color w:val="auto"/>
              </w:rPr>
              <w:t>XBRL Taxonomy Extension Calculation Linkbase</w:t>
            </w: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44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8"/>
        </w:trPr>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w w:val="98"/>
              </w:rPr>
              <w:t>101.DEF</w:t>
            </w:r>
          </w:p>
        </w:tc>
        <w:tc>
          <w:tcPr>
            <w:tcW w:w="4440" w:type="dxa"/>
            <w:vAlign w:val="bottom"/>
            <w:gridSpan w:val="24"/>
          </w:tcPr>
          <w:p>
            <w:pPr>
              <w:spacing w:after="0" w:line="189" w:lineRule="exact"/>
              <w:rPr>
                <w:sz w:val="20"/>
                <w:szCs w:val="20"/>
                <w:color w:val="auto"/>
              </w:rPr>
            </w:pPr>
            <w:r>
              <w:rPr>
                <w:rFonts w:ascii="Arial" w:cs="Arial" w:eastAsia="Arial" w:hAnsi="Arial"/>
                <w:sz w:val="18"/>
                <w:szCs w:val="18"/>
                <w:color w:val="auto"/>
              </w:rPr>
              <w:t>XBRL Taxonomy Extension Definition Linkbase</w:t>
            </w: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44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20" w:type="dxa"/>
            <w:vAlign w:val="bottom"/>
          </w:tcPr>
          <w:p>
            <w:pPr>
              <w:jc w:val="center"/>
              <w:spacing w:after="0"/>
              <w:rPr>
                <w:sz w:val="20"/>
                <w:szCs w:val="20"/>
                <w:color w:val="auto"/>
              </w:rPr>
            </w:pPr>
            <w:r>
              <w:rPr>
                <w:rFonts w:ascii="Arial" w:cs="Arial" w:eastAsia="Arial" w:hAnsi="Arial"/>
                <w:sz w:val="18"/>
                <w:szCs w:val="18"/>
                <w:color w:val="auto"/>
              </w:rPr>
              <w:t>101.LAB</w:t>
            </w:r>
          </w:p>
        </w:tc>
        <w:tc>
          <w:tcPr>
            <w:tcW w:w="444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8"/>
        </w:trPr>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w w:val="99"/>
              </w:rPr>
              <w:t>101.PRE</w:t>
            </w:r>
          </w:p>
        </w:tc>
        <w:tc>
          <w:tcPr>
            <w:tcW w:w="4440" w:type="dxa"/>
            <w:vAlign w:val="bottom"/>
            <w:gridSpan w:val="24"/>
          </w:tcPr>
          <w:p>
            <w:pPr>
              <w:spacing w:after="0" w:line="189" w:lineRule="exact"/>
              <w:rPr>
                <w:sz w:val="20"/>
                <w:szCs w:val="20"/>
                <w:color w:val="auto"/>
              </w:rPr>
            </w:pPr>
            <w:r>
              <w:rPr>
                <w:rFonts w:ascii="Arial" w:cs="Arial" w:eastAsia="Arial" w:hAnsi="Arial"/>
                <w:sz w:val="18"/>
                <w:szCs w:val="18"/>
                <w:color w:val="auto"/>
              </w:rPr>
              <w:t>XBRL Taxonomy Extension Presentation Linkbase</w:t>
            </w: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44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jc w:val="center"/>
              <w:ind w:left="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8"/>
        </w:trPr>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w w:val="99"/>
              </w:rPr>
              <w:t>104</w:t>
            </w:r>
          </w:p>
        </w:tc>
        <w:tc>
          <w:tcPr>
            <w:tcW w:w="4440" w:type="dxa"/>
            <w:vAlign w:val="bottom"/>
            <w:gridSpan w:val="24"/>
          </w:tcPr>
          <w:p>
            <w:pPr>
              <w:spacing w:after="0" w:line="189" w:lineRule="exact"/>
              <w:rPr>
                <w:sz w:val="20"/>
                <w:szCs w:val="20"/>
                <w:color w:val="auto"/>
              </w:rPr>
            </w:pPr>
            <w:r>
              <w:rPr>
                <w:rFonts w:ascii="Arial" w:cs="Arial" w:eastAsia="Arial" w:hAnsi="Arial"/>
                <w:sz w:val="18"/>
                <w:szCs w:val="18"/>
                <w:color w:val="auto"/>
              </w:rPr>
              <w:t>Cover Page Interactive Data File (formatted as Inline</w:t>
            </w: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jc w:val="center"/>
              <w:ind w:left="34"/>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440" w:type="dxa"/>
            <w:vAlign w:val="bottom"/>
            <w:gridSpan w:val="24"/>
          </w:tcPr>
          <w:p>
            <w:pPr>
              <w:spacing w:after="0"/>
              <w:rPr>
                <w:sz w:val="20"/>
                <w:szCs w:val="20"/>
                <w:color w:val="auto"/>
              </w:rPr>
            </w:pPr>
            <w:r>
              <w:rPr>
                <w:rFonts w:ascii="Arial" w:cs="Arial" w:eastAsia="Arial" w:hAnsi="Arial"/>
                <w:sz w:val="18"/>
                <w:szCs w:val="18"/>
                <w:color w:val="auto"/>
              </w:rPr>
              <w:t>XBRL and contained in Exhibit 101)</w:t>
            </w: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120" w:right="160" w:hanging="600"/>
        <w:spacing w:after="0" w:line="213"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3" w:lineRule="exact"/>
        <w:rPr>
          <w:sz w:val="20"/>
          <w:szCs w:val="20"/>
          <w:color w:val="auto"/>
        </w:rPr>
      </w:pPr>
    </w:p>
    <w:p>
      <w:pPr>
        <w:ind w:left="1120" w:hanging="618"/>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1" w:right="639" w:bottom="1440" w:gutter="0" w:footer="0" w:header="0"/>
        </w:sectPr>
      </w:pPr>
    </w:p>
    <w:bookmarkStart w:id="91" w:name="page92"/>
    <w:bookmarkEnd w:id="91"/>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Act of 1934, the registrant has duly caused this registration statement to be signed on its behalf by the undersigned thereunto duly authorized on May 12, 2021.</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RECURSION PHARMACEUTICALS, INC.</w:t>
      </w:r>
    </w:p>
    <w:p>
      <w:pPr>
        <w:spacing w:after="0" w:line="90"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2143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Christopher Gibson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Secora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2143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Michael Secora</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60"/>
          </w:cols>
          <w:pgMar w:left="320" w:top="927" w:right="41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EXCHANGE 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THIS EXCHANGE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April 20, 2021, by and between Recursion Pharmaceuticals,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stockholders of the Company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(collectively, the “</w:t>
      </w:r>
      <w:r>
        <w:rPr>
          <w:rFonts w:ascii="Arial" w:cs="Arial" w:eastAsia="Arial" w:hAnsi="Arial"/>
          <w:sz w:val="20"/>
          <w:szCs w:val="20"/>
          <w:b w:val="1"/>
          <w:bCs w:val="1"/>
          <w:color w:val="auto"/>
        </w:rPr>
        <w:t>Exchange Stockholders</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WHEREAS, the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has determined that it is in the best interests of the Company and its stockholders to implement a dual class common stock structure in connection with the Company’s initial public offering of its capital stock (the “</w:t>
      </w:r>
      <w:r>
        <w:rPr>
          <w:rFonts w:ascii="Arial" w:cs="Arial" w:eastAsia="Arial" w:hAnsi="Arial"/>
          <w:sz w:val="20"/>
          <w:szCs w:val="20"/>
          <w:b w:val="1"/>
          <w:bCs w:val="1"/>
          <w:color w:val="auto"/>
        </w:rPr>
        <w:t>IPO</w:t>
      </w:r>
      <w:r>
        <w:rPr>
          <w:rFonts w:ascii="Arial" w:cs="Arial" w:eastAsia="Arial" w:hAnsi="Arial"/>
          <w:sz w:val="20"/>
          <w:szCs w:val="20"/>
          <w:color w:val="auto"/>
        </w:rPr>
        <w:t>”) to, among other things, enable the Company to execute its long-term vision;</w:t>
      </w:r>
    </w:p>
    <w:p>
      <w:pPr>
        <w:spacing w:after="0" w:line="1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WHEREAS, in connection with the IPO, the Board has approved an Amended and Restated Certificate of Incorporation of the Company (the “</w:t>
      </w:r>
      <w:r>
        <w:rPr>
          <w:rFonts w:ascii="Arial" w:cs="Arial" w:eastAsia="Arial" w:hAnsi="Arial"/>
          <w:sz w:val="18"/>
          <w:szCs w:val="18"/>
          <w:b w:val="1"/>
          <w:bCs w:val="1"/>
          <w:color w:val="auto"/>
        </w:rPr>
        <w:t>Amended and Restated Certificate of Incorporation</w:t>
      </w:r>
      <w:r>
        <w:rPr>
          <w:rFonts w:ascii="Arial" w:cs="Arial" w:eastAsia="Arial" w:hAnsi="Arial"/>
          <w:sz w:val="18"/>
          <w:szCs w:val="18"/>
          <w:color w:val="auto"/>
        </w:rPr>
        <w:t>”), which, among other things, if effected, would create two series within a class of common stock of the Company, denominated Class A Common Stock, par value $0.00001 per share (“</w:t>
      </w:r>
      <w:r>
        <w:rPr>
          <w:rFonts w:ascii="Arial" w:cs="Arial" w:eastAsia="Arial" w:hAnsi="Arial"/>
          <w:sz w:val="18"/>
          <w:szCs w:val="18"/>
          <w:b w:val="1"/>
          <w:bCs w:val="1"/>
          <w:color w:val="auto"/>
        </w:rPr>
        <w:t>Class A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entitling holders to one (1) vote for each share thereof held and Class B Common Stock, par value $0.00001 per share (“</w:t>
      </w:r>
      <w:r>
        <w:rPr>
          <w:rFonts w:ascii="Arial" w:cs="Arial" w:eastAsia="Arial" w:hAnsi="Arial"/>
          <w:sz w:val="18"/>
          <w:szCs w:val="18"/>
          <w:b w:val="1"/>
          <w:bCs w:val="1"/>
          <w:color w:val="auto"/>
        </w:rPr>
        <w:t>Class B Common Stock</w:t>
      </w:r>
      <w:r>
        <w:rPr>
          <w:rFonts w:ascii="Arial" w:cs="Arial" w:eastAsia="Arial" w:hAnsi="Arial"/>
          <w:sz w:val="18"/>
          <w:szCs w:val="18"/>
          <w:color w:val="auto"/>
        </w:rPr>
        <w:t>”), entitling holders to ten (10) votes for each share thereof held, unless otherwise required by applicable law;</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the Amended and Restated Certificate of Incorporation further provides that each share of the Company’s common stock, par value $0.00001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will, upon the effectiveness of the filing of the Amended and Restated Certificate of Incorporation (the </w:t>
      </w:r>
      <w:r>
        <w:rPr>
          <w:rFonts w:ascii="Arial" w:cs="Arial" w:eastAsia="Arial" w:hAnsi="Arial"/>
          <w:sz w:val="18"/>
          <w:szCs w:val="18"/>
          <w:b w:val="1"/>
          <w:bCs w:val="1"/>
          <w:color w:val="auto"/>
        </w:rPr>
        <w:t>“Effective Time</w:t>
      </w:r>
      <w:r>
        <w:rPr>
          <w:rFonts w:ascii="Arial" w:cs="Arial" w:eastAsia="Arial" w:hAnsi="Arial"/>
          <w:sz w:val="18"/>
          <w:szCs w:val="18"/>
          <w:color w:val="auto"/>
        </w:rPr>
        <w:t>”), be reclassified as, and will become, one share of Class A Common Stock;</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Exchange Stockholders hold or will hold shares of Common Stock as of immediately prior to the Effective Time and all such shares of Common Stock will be reclassified as, and will become, an equal number of shares of Class A Common Stock at the Effective Time;</w:t>
      </w:r>
    </w:p>
    <w:p>
      <w:pPr>
        <w:spacing w:after="0" w:line="18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 xml:space="preserve">WHEREAS, the Board has determined that exchanging shares of Class A Common Stock that will be held by the Exchange Stockholders at the Effective Time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for shares of Class B Common Stock as part of the implementation of the dual class common stock structure is advisable and in the best interest of the Company and all of its stockholders, including its stockholders other than the Exchange Stockholders; and</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Parties intend that no gain or loss shall be recognized in the Exchange pursuant to Sections 368(a)(1)(E) and/or 1036 of the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foregoing recitals and the mutual promises, representations and covenants set forth herein, and for other good and valuable consideration, the receipt and sufficiency of which are hereby acknowledged and accepted, the parties hereto agree as follows:</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EXCHANGE AND ISSUANCE OF CLASS B COMMON STOCK</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Exchange of Class A Common Stock</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91" w:lineRule="auto"/>
        <w:tabs>
          <w:tab w:leader="none" w:pos="12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immediately following the Effective Time each Exchange Stockholder shall be deemed to have automatically transferred to the Company the shares of Class A Common Stock held by such Exchange Stockholder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Class A Shares</w:t>
      </w:r>
      <w:r>
        <w:rPr>
          <w:rFonts w:ascii="Arial" w:cs="Arial" w:eastAsia="Arial" w:hAnsi="Arial"/>
          <w:sz w:val="18"/>
          <w:szCs w:val="18"/>
          <w:color w:val="auto"/>
        </w:rPr>
        <w:t>”) and the Company shall issue, and shall be deemed to issue, to</w:t>
      </w:r>
    </w:p>
    <w:p>
      <w:pPr>
        <w:sectPr>
          <w:pgSz w:w="11900" w:h="16838" w:orient="portrait"/>
          <w:cols w:equalWidth="0" w:num="1">
            <w:col w:w="11240"/>
          </w:cols>
          <w:pgMar w:left="320" w:top="126" w:right="339" w:bottom="1440" w:gutter="0" w:footer="0" w:header="0"/>
        </w:sectPr>
      </w:pPr>
    </w:p>
    <w:bookmarkStart w:id="93" w:name="page94"/>
    <w:bookmarkEnd w:id="93"/>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each Exchange Stockholder shares of Class B Common Stock (the “</w:t>
      </w:r>
      <w:r>
        <w:rPr>
          <w:rFonts w:ascii="Arial" w:cs="Arial" w:eastAsia="Arial" w:hAnsi="Arial"/>
          <w:sz w:val="16"/>
          <w:szCs w:val="16"/>
          <w:b w:val="1"/>
          <w:bCs w:val="1"/>
          <w:color w:val="auto"/>
        </w:rPr>
        <w:t>Class B Shares</w:t>
      </w:r>
      <w:r>
        <w:rPr>
          <w:rFonts w:ascii="Arial" w:cs="Arial" w:eastAsia="Arial" w:hAnsi="Arial"/>
          <w:sz w:val="16"/>
          <w:szCs w:val="16"/>
          <w:color w:val="auto"/>
        </w:rPr>
        <w:t>”), at an exchange ratio of one (1) Class A Share for one</w:t>
      </w:r>
    </w:p>
    <w:p>
      <w:pPr>
        <w:spacing w:after="0" w:line="68" w:lineRule="exact"/>
        <w:rPr>
          <w:sz w:val="20"/>
          <w:szCs w:val="20"/>
          <w:color w:val="auto"/>
        </w:rPr>
      </w:pPr>
    </w:p>
    <w:p>
      <w:pPr>
        <w:ind w:firstLine="8"/>
        <w:spacing w:after="0" w:line="244" w:lineRule="auto"/>
        <w:tabs>
          <w:tab w:leader="none" w:pos="283" w:val="left"/>
        </w:tabs>
        <w:numPr>
          <w:ilvl w:val="0"/>
          <w:numId w:val="46"/>
        </w:numPr>
        <w:rPr>
          <w:rFonts w:ascii="Arial" w:cs="Arial" w:eastAsia="Arial" w:hAnsi="Arial"/>
          <w:sz w:val="20"/>
          <w:szCs w:val="20"/>
          <w:color w:val="auto"/>
        </w:rPr>
      </w:pPr>
      <w:r>
        <w:rPr>
          <w:rFonts w:ascii="Arial" w:cs="Arial" w:eastAsia="Arial" w:hAnsi="Arial"/>
          <w:sz w:val="20"/>
          <w:szCs w:val="20"/>
          <w:color w:val="auto"/>
        </w:rPr>
        <w:t>Class B Share (the “</w:t>
      </w:r>
      <w:r>
        <w:rPr>
          <w:rFonts w:ascii="Arial" w:cs="Arial" w:eastAsia="Arial" w:hAnsi="Arial"/>
          <w:sz w:val="20"/>
          <w:szCs w:val="20"/>
          <w:b w:val="1"/>
          <w:bCs w:val="1"/>
          <w:color w:val="auto"/>
        </w:rPr>
        <w:t>Exchange</w:t>
      </w:r>
      <w:r>
        <w:rPr>
          <w:rFonts w:ascii="Arial" w:cs="Arial" w:eastAsia="Arial" w:hAnsi="Arial"/>
          <w:sz w:val="20"/>
          <w:szCs w:val="20"/>
          <w:color w:val="auto"/>
        </w:rPr>
        <w:t xml:space="preserve">”). The number of Class A Shares to be transferred and the number of Class B Shares to be received in the Exchange by each Exchange Stockholder are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91" w:lineRule="exact"/>
        <w:rPr>
          <w:rFonts w:ascii="Arial" w:cs="Arial" w:eastAsia="Arial" w:hAnsi="Arial"/>
          <w:sz w:val="20"/>
          <w:szCs w:val="20"/>
          <w:color w:val="auto"/>
        </w:rPr>
      </w:pPr>
    </w:p>
    <w:p>
      <w:pPr>
        <w:jc w:val="both"/>
        <w:ind w:firstLine="656"/>
        <w:spacing w:after="0" w:line="244" w:lineRule="auto"/>
        <w:tabs>
          <w:tab w:leader="none" w:pos="1284" w:val="left"/>
        </w:tabs>
        <w:numPr>
          <w:ilvl w:val="1"/>
          <w:numId w:val="46"/>
        </w:numPr>
        <w:rPr>
          <w:rFonts w:ascii="Arial" w:cs="Arial" w:eastAsia="Arial" w:hAnsi="Arial"/>
          <w:sz w:val="20"/>
          <w:szCs w:val="20"/>
          <w:color w:val="auto"/>
        </w:rPr>
      </w:pPr>
      <w:r>
        <w:rPr>
          <w:rFonts w:ascii="Arial" w:cs="Arial" w:eastAsia="Arial" w:hAnsi="Arial"/>
          <w:sz w:val="20"/>
          <w:szCs w:val="20"/>
          <w:color w:val="auto"/>
        </w:rPr>
        <w:t>Concurrently herewith, each Exchange Stockholder is delivering to the Company such instruments of transfer or other documentation as may be reasonably required to evidence that the shares of Common Stock (which will automatically be reclassified as, and will become, an equal number of shares of Class A Common Stock upon the Effective Time) have been duly transferred to the Company to be held in escrow until the Effective Time and such documents are automatically released without further action by the Company or the Exchange Stockholder at the Effective Time.</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Effective Time of the Exchange</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0" w:lineRule="auto"/>
        <w:tabs>
          <w:tab w:leader="none" w:pos="1284"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Exchange shall occur and be deemed effective without any further action by the Company or the Exchange Stockholders immediately following the Effective Time and prior to the consummation of the sale of the shares of the Company’s capital stock in the IPO as part of the closing thereof.</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47"/>
        </w:numPr>
        <w:rPr>
          <w:rFonts w:ascii="Arial" w:cs="Arial" w:eastAsia="Arial" w:hAnsi="Arial"/>
          <w:sz w:val="20"/>
          <w:szCs w:val="20"/>
          <w:color w:val="auto"/>
        </w:rPr>
      </w:pPr>
      <w:r>
        <w:rPr>
          <w:rFonts w:ascii="Arial" w:cs="Arial" w:eastAsia="Arial" w:hAnsi="Arial"/>
          <w:sz w:val="20"/>
          <w:szCs w:val="20"/>
          <w:color w:val="auto"/>
        </w:rPr>
        <w:t>Upon the effectiveness of the Exchange, the Company shall deliver to each Exchange Stockholder such documentation as may be reasonably required to evidence that the Class B Shares have been duly issued and transferred to the applicable Exchange Stockholder.</w:t>
      </w:r>
    </w:p>
    <w:p>
      <w:pPr>
        <w:spacing w:after="0" w:line="180"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2280"/>
        <w:spacing w:after="0"/>
        <w:rPr>
          <w:sz w:val="20"/>
          <w:szCs w:val="20"/>
          <w:color w:val="auto"/>
        </w:rPr>
      </w:pPr>
      <w:r>
        <w:rPr>
          <w:rFonts w:ascii="Arial" w:cs="Arial" w:eastAsia="Arial" w:hAnsi="Arial"/>
          <w:sz w:val="20"/>
          <w:szCs w:val="20"/>
          <w:b w:val="1"/>
          <w:bCs w:val="1"/>
          <w:u w:val="single" w:color="auto"/>
          <w:color w:val="auto"/>
        </w:rPr>
        <w:t>REPRESENTATIONS AND WARRANTIES OF THE EXCHANGE HOLDER</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Exchange Stockholder hereby represents and warrants to the Company, with respect to the transactions contemplated hereby, as follows:</w:t>
      </w:r>
    </w:p>
    <w:p>
      <w:pPr>
        <w:spacing w:after="0" w:line="177" w:lineRule="exact"/>
        <w:rPr>
          <w:sz w:val="20"/>
          <w:szCs w:val="20"/>
          <w:color w:val="auto"/>
        </w:rPr>
      </w:pPr>
    </w:p>
    <w:p>
      <w:pPr>
        <w:jc w:val="both"/>
        <w:ind w:firstLine="346"/>
        <w:spacing w:after="0" w:line="269"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Ownership; Authority</w:t>
      </w:r>
      <w:r>
        <w:rPr>
          <w:rFonts w:ascii="Arial" w:cs="Arial" w:eastAsia="Arial" w:hAnsi="Arial"/>
          <w:sz w:val="18"/>
          <w:szCs w:val="18"/>
          <w:color w:val="auto"/>
        </w:rPr>
        <w:t>. Each Exchange Stockholder will be, effective as of the Effective Time, the beneficial and legal owner of the Class A Shares exchanged hereunder, free and clear of all liens, encumbrances and restrictions (except as disclosed in the registration statement on Form S-1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in connection with the IPO, or for restrictions on transfer arising under applicable securities laws or as set forth or contemplated by this Agreement, the Amended and Restated Certificate of Incorporation or any other agreements to which such Exchange Stockholder and the Company are a party). Each Exchange Stockholder has the full right, power and authority to enter into this Agreement and, assuming the waiver or inapplicability of any and all rights of first refusal or co-sale by the Company and the Company’s stockholders that are applicable to the transactions contemplated hereby, to transfer, convey and exchange the Class A Shares in accordance with this Agreement. Assuming the due authorization, execution and delivery by the Company, this Agreement constitutes a valid and binding agreement of such Exchange Stockholder, enforceable against such Exchange Stockholder in accordance with its terms (subject to applicable bankruptcy, insolvency, fraudulent transfer, reorganization, moratorium and other laws affecting creditors’ rights generally and general principles of equity). Upon consummation of the Exchange contemplated hereby, the Company will acquire from each Exchange Stockholder good and marketable title to the Class A Shares, free and clear of any and all liens, encumbrances and restrictions (except as disclosed in the registration statement on Form S-1 under the Securities Act, in connection with the IPO, or for restrictions on transfer arising under applicable securities laws or as set forth or contemplated by this Agreement, the Amended and Restated Certificate of Incorporation or any other agreements to which such Exchange Stockholder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are a party, and subject to applicable bankruptcy, insolvency, fraudulent transfer, reorganization, moratorium and other laws affecting creditors’ rights generally and general principles of equity).</w:t>
      </w:r>
    </w:p>
    <w:p>
      <w:pPr>
        <w:spacing w:after="0" w:line="177" w:lineRule="exact"/>
        <w:rPr>
          <w:sz w:val="20"/>
          <w:szCs w:val="20"/>
          <w:color w:val="auto"/>
        </w:rPr>
      </w:pPr>
    </w:p>
    <w:p>
      <w:pPr>
        <w:jc w:val="both"/>
        <w:ind w:firstLine="291"/>
        <w:spacing w:after="0" w:line="257"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Governmental Authorization</w:t>
      </w:r>
      <w:r>
        <w:rPr>
          <w:rFonts w:ascii="Arial" w:cs="Arial" w:eastAsia="Arial" w:hAnsi="Arial"/>
          <w:sz w:val="19"/>
          <w:szCs w:val="19"/>
          <w:color w:val="auto"/>
        </w:rPr>
        <w:t>. The execution, delivery and performance by such Exchange Stockholder of this Agreement and the consummation of the transactions contemplated hereby require no action by or in respect of, or filing with, any governmental authority on the part of such Exchange Stockholder (excluding, for the avoidance of doubt (a) the filing by the Company of the Amended and Restated Certificate of Incorporation with the Secretary of State of the State of Delaware and (b) compliance by the Company with any applicable requirements of any applicable state or federal securities laws). For purposes of this Agreement, “</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transnational, domestic or foreign federal, state or local governmental, regulatory or administrative authority, department, court, agency or official, including any political subdivision thereof.</w:t>
      </w:r>
    </w:p>
    <w:p>
      <w:pPr>
        <w:spacing w:after="0" w:line="185" w:lineRule="exact"/>
        <w:rPr>
          <w:sz w:val="20"/>
          <w:szCs w:val="20"/>
          <w:color w:val="auto"/>
        </w:rPr>
      </w:pPr>
    </w:p>
    <w:p>
      <w:pPr>
        <w:jc w:val="both"/>
        <w:ind w:firstLine="236"/>
        <w:spacing w:after="0" w:line="271"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by such Exchange Stockholder of this Agreement and the consummation of the transactions contemplated hereby do not and will not (a) violate any governing document, including any trust agreement, applicable to such Exchange Stockholder, (b) subject to compliance with Section 2.2, violate any applicable law, (c) assuming the waiver or inapplicability of any and all rights of first refusal or co-sale held by the Company or the Company’s stockholders that are applicable to the transactions contemplated hereby, require any consent or other action under, constitute a default under, or give rise to any right of termination, cancellation or acceleration of any obligation of such Exchange Stockholder or to the loss of any benefit to which such Exchange Stockholder is entitled under any provision of any agreement or other instrument binding upon such Exchange Stockholder, other than as disclosed in the registration statement on Form S-1 under the Securities Act, in connection with the IPO or (d) result in the creation or imposition of any lien on such Exchange Stockholder’s Class B Shares, other than restrictions on transfer arising under applicable securities laws or as set forth or contemplated by this Agreement, the Amended and Restated Certificate of Incorporation or any other agreements to which such Exchange Stockholder and the Company are a party.</w:t>
      </w:r>
    </w:p>
    <w:p>
      <w:pPr>
        <w:spacing w:after="0" w:line="170" w:lineRule="exact"/>
        <w:rPr>
          <w:sz w:val="20"/>
          <w:szCs w:val="20"/>
          <w:color w:val="auto"/>
        </w:rPr>
      </w:pPr>
    </w:p>
    <w:p>
      <w:pPr>
        <w:jc w:val="both"/>
        <w:ind w:firstLine="247"/>
        <w:spacing w:after="0" w:line="256"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Restricted Securities; Rule 144</w:t>
      </w:r>
      <w:r>
        <w:rPr>
          <w:rFonts w:ascii="Arial" w:cs="Arial" w:eastAsia="Arial" w:hAnsi="Arial"/>
          <w:sz w:val="19"/>
          <w:szCs w:val="19"/>
          <w:color w:val="auto"/>
        </w:rPr>
        <w:t>. Such Exchange Stockholder understands that the Class B Shares are characterized as “restricted securities” under the Securities Act because such shares are being acquired from the Company in a transaction not involving a public offering and in exchange for shares acquired from the Company in a transaction not involving a public offering, and that under the Securities Act and the rules and regulations promulgated thereunder the Class B Shares may be resold without registration under the Securities Act only in certain limited circumstances, and subject to the restrictions under the Company’s certificate of incorporation. Such Exchange Stockholder understands and hereby acknowledges that the Class B Shares must be held indefinitely unless subsequently registered under the Securities Act or an exemption from such registration is otherwise available. Such Exchange Stockholder is aware of the provisions of Rule 144 promulgated under the Securities Act, which permit limited resales of shares purchased in a transaction not involving a public offering, subject to the satisfaction of certain conditions.</w:t>
      </w:r>
    </w:p>
    <w:p>
      <w:pPr>
        <w:spacing w:after="0" w:line="184" w:lineRule="exact"/>
        <w:rPr>
          <w:sz w:val="20"/>
          <w:szCs w:val="20"/>
          <w:color w:val="auto"/>
        </w:rPr>
      </w:pPr>
    </w:p>
    <w:p>
      <w:pPr>
        <w:jc w:val="both"/>
        <w:ind w:firstLine="301"/>
        <w:spacing w:after="0" w:line="250" w:lineRule="auto"/>
        <w:rPr>
          <w:sz w:val="20"/>
          <w:szCs w:val="20"/>
          <w:color w:val="auto"/>
        </w:rPr>
      </w:pPr>
      <w:r>
        <w:rPr>
          <w:rFonts w:ascii="Arial" w:cs="Arial" w:eastAsia="Arial" w:hAnsi="Arial"/>
          <w:sz w:val="20"/>
          <w:szCs w:val="20"/>
          <w:color w:val="auto"/>
        </w:rPr>
        <w:t>v.</w:t>
      </w:r>
      <w:r>
        <w:rPr>
          <w:rFonts w:ascii="Arial" w:cs="Arial" w:eastAsia="Arial" w:hAnsi="Arial"/>
          <w:sz w:val="20"/>
          <w:szCs w:val="20"/>
          <w:u w:val="single" w:color="auto"/>
          <w:color w:val="auto"/>
        </w:rPr>
        <w:t>Legends</w:t>
      </w:r>
      <w:r>
        <w:rPr>
          <w:rFonts w:ascii="Arial" w:cs="Arial" w:eastAsia="Arial" w:hAnsi="Arial"/>
          <w:sz w:val="20"/>
          <w:szCs w:val="20"/>
          <w:color w:val="auto"/>
        </w:rPr>
        <w:t>. It is understood that any certificate or book entry position representing the Class B Shares and any securities issued in respect thereof or exchange therefor, shall bear legends in substantially the following form (in addition to any legend required under applicable state securities laws or agreements to which the Exchange Stockholder is a party):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95" w:lineRule="exact"/>
        <w:rPr>
          <w:sz w:val="20"/>
          <w:szCs w:val="20"/>
          <w:color w:val="auto"/>
        </w:rPr>
      </w:pPr>
    </w:p>
    <w:p>
      <w:pPr>
        <w:jc w:val="both"/>
        <w:ind w:left="660" w:right="640"/>
        <w:spacing w:after="0" w:line="242" w:lineRule="auto"/>
        <w:rPr>
          <w:sz w:val="20"/>
          <w:szCs w:val="20"/>
          <w:color w:val="auto"/>
        </w:rPr>
      </w:pPr>
      <w:r>
        <w:rPr>
          <w:rFonts w:ascii="Arial" w:cs="Arial" w:eastAsia="Arial" w:hAnsi="Arial"/>
          <w:sz w:val="20"/>
          <w:szCs w:val="20"/>
          <w:color w:val="auto"/>
        </w:rPr>
        <w:t>“THE SECURITIES REPRESENTED HEREBY HAVE NOT BEEN REGISTERED UNDER THE SECURITIES ACT OF 1933, AS AMENDED (THE “</w:t>
      </w:r>
      <w:r>
        <w:rPr>
          <w:rFonts w:ascii="Arial" w:cs="Arial" w:eastAsia="Arial" w:hAnsi="Arial"/>
          <w:sz w:val="20"/>
          <w:szCs w:val="20"/>
          <w:b w:val="1"/>
          <w:bCs w:val="1"/>
          <w:color w:val="auto"/>
        </w:rPr>
        <w:t>ACT</w:t>
      </w:r>
      <w:r>
        <w:rPr>
          <w:rFonts w:ascii="Arial" w:cs="Arial" w:eastAsia="Arial" w:hAnsi="Arial"/>
          <w:sz w:val="20"/>
          <w:szCs w:val="20"/>
          <w:color w:val="auto"/>
        </w:rPr>
        <w:t>”), OR UNDER THE SECURITIES LAWS OF CERTAIN STATES. THESE SECURITIES MAY NOT BE OFFERED, SOLD OR OTHERWISE TRANSFERRED, PLEDGED OR HYPOTHECATED EXCEPT AS PERMITTED UNDER THE ACT AND APPLICABLE STATE SECURITIES LAWS PURSUANT TO REGISTRATION OR AN EXEMPTION THEREFROM. THE ISSUER OF THESE SECURITIES MAY REQUIRE AN OPINION OF COUNSEL SATISFACTORY TO THE ISSUER THAT SUCH OFFER, SALE OR TRANSFER, PLEDGE OR HYPOTHECATION OTHERWISE COMPLIES WITH THE ACT AND ANY APPLICABLE STATE SECURITIES LAWS.”</w:t>
      </w:r>
    </w:p>
    <w:p>
      <w:pPr>
        <w:spacing w:after="0" w:line="191" w:lineRule="exact"/>
        <w:rPr>
          <w:sz w:val="20"/>
          <w:szCs w:val="20"/>
          <w:color w:val="auto"/>
        </w:rPr>
      </w:pPr>
    </w:p>
    <w:p>
      <w:pPr>
        <w:jc w:val="center"/>
        <w:ind w:right="4060"/>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ind w:right="4060"/>
        <w:spacing w:after="0"/>
        <w:rPr>
          <w:sz w:val="20"/>
          <w:szCs w:val="20"/>
          <w:color w:val="auto"/>
        </w:rPr>
      </w:pPr>
      <w:r>
        <w:rPr>
          <w:rFonts w:ascii="Arial" w:cs="Arial" w:eastAsia="Arial" w:hAnsi="Arial"/>
          <w:sz w:val="20"/>
          <w:szCs w:val="20"/>
          <w:b w:val="1"/>
          <w:bCs w:val="1"/>
          <w:u w:val="single" w:color="auto"/>
          <w:color w:val="auto"/>
        </w:rPr>
        <w:t>REPRESENTATIONS AND WARRANTIES OF THE COMPANY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hereby represents and warrants to each Exchange Stockholder, with respect to the transactions contemplated hereby, as follows:</w:t>
      </w:r>
    </w:p>
    <w:p>
      <w:pPr>
        <w:spacing w:after="0" w:line="177" w:lineRule="exact"/>
        <w:rPr>
          <w:sz w:val="20"/>
          <w:szCs w:val="20"/>
          <w:color w:val="auto"/>
        </w:rPr>
      </w:pPr>
    </w:p>
    <w:p>
      <w:pPr>
        <w:jc w:val="both"/>
        <w:ind w:firstLine="346"/>
        <w:spacing w:after="0" w:line="260" w:lineRule="auto"/>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Corporate Existence and Power</w:t>
      </w:r>
      <w:r>
        <w:rPr>
          <w:rFonts w:ascii="Arial" w:cs="Arial" w:eastAsia="Arial" w:hAnsi="Arial"/>
          <w:sz w:val="20"/>
          <w:szCs w:val="20"/>
          <w:color w:val="auto"/>
        </w:rPr>
        <w:t>. The Company is a corporation duly incorporated, validly existing and in good standing under the laws of the State of Delaware.</w:t>
      </w:r>
    </w:p>
    <w:p>
      <w:pPr>
        <w:spacing w:after="0" w:line="177"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Corporate Authorization</w:t>
      </w:r>
      <w:r>
        <w:rPr>
          <w:rFonts w:ascii="Arial" w:cs="Arial" w:eastAsia="Arial" w:hAnsi="Arial"/>
          <w:sz w:val="18"/>
          <w:szCs w:val="18"/>
          <w:color w:val="auto"/>
        </w:rPr>
        <w:t>. (a) The execution, delivery and performance by the Company of this Agreement and the consummation of the transactions contemplated hereby, including the issuance and delivery of the Class B Shares (including the conversion thereof into Class A Common Stock upon the terms specified in the Amended and Restated Certificate of Incorporation and the reclassification of Common Stock into Class A Common Stock at the Effective Time) in accordance with the Amended and Restated Certificate of Incorporation, are within the corporate powers of the Company and have been duly authorized by all necessary corporate action on the part of the Company and the Company’s stockholders, subject to compliance with Section 3.3 and the approval of and adoption by the Company’s stockholders of the Amended and Restated Certificate of Incorporation. Any and all rights of first refusal or co-sale held by the Company or the Company’s stockholders that are applicable to the transactions contemplated hereby have been waived or are otherwise inapplicable. Assuming the due authorization, execution and delivery by each Exchange Stockholder, this Agreement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70" w:lineRule="exact"/>
        <w:rPr>
          <w:sz w:val="20"/>
          <w:szCs w:val="20"/>
          <w:color w:val="auto"/>
        </w:rPr>
      </w:pPr>
    </w:p>
    <w:p>
      <w:pPr>
        <w:jc w:val="both"/>
        <w:ind w:firstLine="236"/>
        <w:spacing w:after="0" w:line="282"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The execution, delivery and performance by the Company of this Agreement and the consummation of the transactions contemplated hereby require no action by or in respect of, or filing with, any governmental authority other than (a) the filing by the Company of the Amended and Restated Certificate of Incorporation with the Secretary of State of the State of Delaware and (b) compliance by the Company with any applicable requirements of any applicable state or federal securities laws.</w:t>
      </w:r>
    </w:p>
    <w:p>
      <w:pPr>
        <w:spacing w:after="0" w:line="161" w:lineRule="exact"/>
        <w:rPr>
          <w:sz w:val="20"/>
          <w:szCs w:val="20"/>
          <w:color w:val="auto"/>
        </w:rPr>
      </w:pPr>
    </w:p>
    <w:p>
      <w:pPr>
        <w:jc w:val="both"/>
        <w:ind w:firstLine="247"/>
        <w:spacing w:after="0" w:line="263"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Noncontravention</w:t>
      </w:r>
      <w:r>
        <w:rPr>
          <w:rFonts w:ascii="Arial" w:cs="Arial" w:eastAsia="Arial" w:hAnsi="Arial"/>
          <w:sz w:val="19"/>
          <w:szCs w:val="19"/>
          <w:color w:val="auto"/>
        </w:rPr>
        <w:t>. The execution, delivery and performance by the Company of this Agreement and the consummation of the transactions contemplated hereby do not and will not, assuming compliance with the matters referred to in Section 3.3 and approval of and adoption by the Company’s stockholders of the Amended and Restated Certificate of Incorporation, (a) violate the certificate of incorporation or bylaws of the Company, (b) violate any applicable law, (c) require any consent or other action by any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person under, constitute a default under, or give rise to any right of termination, cancellation or acceleration of any right or obligation of the Company or to the loss of any benefit to which the Company is entitled under any provision of any agreement or other instrument binding upon the Company or (d) result in the creation or imposition of any lien on the Class B Shares other than as set forth or contemplated by this Agreement or the Amended and Restated Certificate of Incorporation.</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0"/>
          <w:szCs w:val="20"/>
          <w:b w:val="1"/>
          <w:bCs w:val="1"/>
          <w:u w:val="single" w:color="auto"/>
          <w:color w:val="auto"/>
        </w:rPr>
        <w:t>COVENANTS</w:t>
      </w:r>
    </w:p>
    <w:p>
      <w:pPr>
        <w:spacing w:after="0" w:line="200" w:lineRule="exact"/>
        <w:rPr>
          <w:sz w:val="20"/>
          <w:szCs w:val="20"/>
          <w:color w:val="auto"/>
        </w:rPr>
      </w:pPr>
    </w:p>
    <w:p>
      <w:pPr>
        <w:jc w:val="both"/>
        <w:ind w:firstLine="346"/>
        <w:spacing w:after="0" w:line="260"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Each of the Exchange Stockholders has entered into a lock-up agreement with the underwriters of the IPO with respect to the sale, disposition or transfer of such Exchange Stockholder’s securities of the Company and each of the Exchange Stockholders agrees not to revoke such lock-up agreement. Each of the Exchange Stockholders also agrees that any other lock-up or market stand-off agreements applicable to the shares of Common Stock of the Company held by such Exchange Stockholders continue to apply to the Class B Shares in accordance with the terms of such agreements.</w:t>
      </w:r>
    </w:p>
    <w:p>
      <w:pPr>
        <w:spacing w:after="0" w:line="180"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Waiver of Right of First Refusal</w:t>
      </w:r>
      <w:r>
        <w:rPr>
          <w:rFonts w:ascii="Arial" w:cs="Arial" w:eastAsia="Arial" w:hAnsi="Arial"/>
          <w:sz w:val="20"/>
          <w:szCs w:val="20"/>
          <w:color w:val="auto"/>
        </w:rPr>
        <w:t>. The Company hereby waives any preexisting rights of first refusal applicable to the transactions contemplated hereby.</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u w:val="single" w:color="auto"/>
          <w:color w:val="auto"/>
        </w:rPr>
        <w:t>GENERAL PROVISIONS</w:t>
      </w:r>
    </w:p>
    <w:p>
      <w:pPr>
        <w:spacing w:after="0" w:line="200" w:lineRule="exact"/>
        <w:rPr>
          <w:sz w:val="20"/>
          <w:szCs w:val="20"/>
          <w:color w:val="auto"/>
        </w:rPr>
      </w:pPr>
    </w:p>
    <w:p>
      <w:pPr>
        <w:jc w:val="both"/>
        <w:ind w:firstLine="346"/>
        <w:spacing w:after="0" w:line="31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 all respects by the internal laws of the State of Delaware as applied to agreements entered into among Delaware residents to be performed entirely within Delaware, without regard to principles of conflicts of law.</w:t>
      </w:r>
    </w:p>
    <w:p>
      <w:pPr>
        <w:spacing w:after="0" w:line="130"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Except as otherwise provided herein, the provisions hereof shall inure to the benefit of, and be binding upon, the successors, assigns, heirs, executors and administrators of the parties hereto.</w:t>
      </w:r>
    </w:p>
    <w:p>
      <w:pPr>
        <w:spacing w:after="0" w:line="177" w:lineRule="exact"/>
        <w:rPr>
          <w:sz w:val="20"/>
          <w:szCs w:val="20"/>
          <w:color w:val="auto"/>
        </w:rPr>
      </w:pPr>
    </w:p>
    <w:p>
      <w:pPr>
        <w:jc w:val="both"/>
        <w:ind w:firstLine="236"/>
        <w:spacing w:after="0" w:line="282"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Other than the rights, restrictions and preferences provided for the Class B Common Stock pursuant to the Amended and Restated Certificate of Incorporation and bylaws, this Agreement, including the exhibits attached hereto, constitutes the full and entire understanding and agreement between the parties with respect to the subject matter hereof. Neither this Agreement nor any term hereof may be amended or, waived other than by a written instrument signed by the Exchange Stockholders and the Company.</w:t>
      </w:r>
    </w:p>
    <w:p>
      <w:pPr>
        <w:spacing w:after="0" w:line="161" w:lineRule="exact"/>
        <w:rPr>
          <w:sz w:val="20"/>
          <w:szCs w:val="20"/>
          <w:color w:val="auto"/>
        </w:rPr>
      </w:pPr>
    </w:p>
    <w:p>
      <w:pPr>
        <w:jc w:val="both"/>
        <w:ind w:firstLine="247"/>
        <w:spacing w:after="0" w:line="260" w:lineRule="auto"/>
        <w:rPr>
          <w:sz w:val="20"/>
          <w:szCs w:val="20"/>
          <w:color w:val="auto"/>
        </w:rPr>
      </w:pPr>
      <w:r>
        <w:rPr>
          <w:rFonts w:ascii="Arial" w:cs="Arial" w:eastAsia="Arial" w:hAnsi="Arial"/>
          <w:sz w:val="20"/>
          <w:szCs w:val="20"/>
          <w:color w:val="auto"/>
        </w:rPr>
        <w:t>iv.</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 be deemed an original, and all of which together shall constitute one and the same instrument.</w:t>
      </w:r>
    </w:p>
    <w:p>
      <w:pPr>
        <w:spacing w:after="0" w:line="177" w:lineRule="exact"/>
        <w:rPr>
          <w:sz w:val="20"/>
          <w:szCs w:val="20"/>
          <w:color w:val="auto"/>
        </w:rPr>
      </w:pPr>
    </w:p>
    <w:p>
      <w:pPr>
        <w:jc w:val="both"/>
        <w:ind w:firstLine="301"/>
        <w:spacing w:after="0" w:line="243" w:lineRule="auto"/>
        <w:rPr>
          <w:sz w:val="20"/>
          <w:szCs w:val="20"/>
          <w:color w:val="auto"/>
        </w:rPr>
      </w:pPr>
      <w:r>
        <w:rPr>
          <w:rFonts w:ascii="Arial" w:cs="Arial" w:eastAsia="Arial" w:hAnsi="Arial"/>
          <w:sz w:val="20"/>
          <w:szCs w:val="20"/>
          <w:color w:val="auto"/>
        </w:rPr>
        <w:t>v.</w:t>
      </w:r>
      <w:r>
        <w:rPr>
          <w:rFonts w:ascii="Arial" w:cs="Arial" w:eastAsia="Arial" w:hAnsi="Arial"/>
          <w:sz w:val="20"/>
          <w:szCs w:val="20"/>
          <w:u w:val="single" w:color="auto"/>
          <w:color w:val="auto"/>
        </w:rPr>
        <w:t>Tax Consequences.</w:t>
      </w:r>
      <w:r>
        <w:rPr>
          <w:rFonts w:ascii="Arial" w:cs="Arial" w:eastAsia="Arial" w:hAnsi="Arial"/>
          <w:sz w:val="20"/>
          <w:szCs w:val="20"/>
          <w:color w:val="auto"/>
        </w:rPr>
        <w:t xml:space="preserve"> The Parties intend that no gain or loss shall be recognized in the Exchange pursuant to Sections 368(a)(1)(E) and/or 1036 of the Code. The Parties adopt this Agreement as a plan of reorganization within the meaning of Treasury Regulations Sections 1.368-2(g) and 1.368-3(a). Notwithstanding the foregoing, each Exchange Stockholder has reviewed with his own tax advisors the federal, state, local and foreign tax consequences of the Exchange, investment in the Class B Shares and the transactions contemplated by this Agreement. Each Exchange Stockholder is relying solely on such advisors and not on any statements or representations of the Company or any of its agents in connection with the transactions contemplated hereby, except for the representations and warranties of the Company expressly set forth in Article III.</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440" w:right="1440" w:bottom="1440" w:gutter="0" w:footer="0" w:header="0"/>
          <w:type w:val="continuous"/>
        </w:sectPr>
      </w:pPr>
    </w:p>
    <w:bookmarkStart w:id="98" w:name="page99"/>
    <w:bookmarkEnd w:id="98"/>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to be effective as of the date first above written.</w:t>
      </w:r>
    </w:p>
    <w:p>
      <w:pPr>
        <w:sectPr>
          <w:pgSz w:w="11900" w:h="16838" w:orient="portrait"/>
          <w:cols w:equalWidth="0" w:num="1">
            <w:col w:w="9720"/>
          </w:cols>
          <w:pgMar w:left="980" w:top="1440" w:right="1199" w:bottom="1440" w:gutter="0" w:footer="0" w:header="0"/>
        </w:sectPr>
      </w:pPr>
    </w:p>
    <w:p>
      <w:pPr>
        <w:spacing w:after="0" w:line="233"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RECURSION PHARMACEUTICALS,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Louisa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-14605</wp:posOffset>
            </wp:positionV>
            <wp:extent cx="10712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8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Louisa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-14605</wp:posOffset>
            </wp:positionV>
            <wp:extent cx="9144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8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2322195</wp:posOffset>
            </wp:positionH>
            <wp:positionV relativeFrom="paragraph">
              <wp:posOffset>-14605</wp:posOffset>
            </wp:positionV>
            <wp:extent cx="11455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Exchange Agreement]</w:t>
      </w:r>
    </w:p>
    <w:p>
      <w:pPr>
        <w:sectPr>
          <w:pgSz w:w="11900" w:h="16838" w:orient="portrait"/>
          <w:cols w:equalWidth="0" w:num="1">
            <w:col w:w="9720"/>
          </w:cols>
          <w:pgMar w:left="980" w:top="1440" w:right="1199" w:bottom="1440" w:gutter="0" w:footer="0" w:header="0"/>
          <w:type w:val="continuous"/>
        </w:sectPr>
      </w:pPr>
    </w:p>
    <w:bookmarkStart w:id="99" w:name="page100"/>
    <w:bookmarkEnd w:id="99"/>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to be effective as of the date first above written.</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CHRISTOPHER GIBSON</w:t>
      </w:r>
    </w:p>
    <w:p>
      <w:pPr>
        <w:spacing w:after="0" w:line="200" w:lineRule="exact"/>
        <w:rPr>
          <w:sz w:val="20"/>
          <w:szCs w:val="20"/>
          <w:color w:val="auto"/>
        </w:rPr>
      </w:pPr>
    </w:p>
    <w:p>
      <w:pPr>
        <w:spacing w:after="0" w:line="37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-14605</wp:posOffset>
            </wp:positionV>
            <wp:extent cx="1277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GIBSON FAMILY TRUST</w:t>
      </w:r>
    </w:p>
    <w:p>
      <w:pPr>
        <w:spacing w:after="0" w:line="200" w:lineRule="exact"/>
        <w:rPr>
          <w:sz w:val="20"/>
          <w:szCs w:val="20"/>
          <w:color w:val="auto"/>
        </w:rPr>
      </w:pPr>
    </w:p>
    <w:p>
      <w:pPr>
        <w:spacing w:after="0" w:line="373" w:lineRule="exact"/>
        <w:rPr>
          <w:sz w:val="20"/>
          <w:szCs w:val="20"/>
          <w:color w:val="auto"/>
        </w:rPr>
      </w:pPr>
    </w:p>
    <w:p>
      <w:pPr>
        <w:jc w:val="center"/>
        <w:ind w:right="-9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-14605</wp:posOffset>
            </wp:positionV>
            <wp:extent cx="1277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jc w:val="center"/>
        <w:ind w:right="-920"/>
        <w:spacing w:after="0"/>
        <w:rPr>
          <w:sz w:val="20"/>
          <w:szCs w:val="20"/>
          <w:color w:val="auto"/>
        </w:rPr>
      </w:pPr>
      <w:r>
        <w:rPr>
          <w:rFonts w:ascii="Arial" w:cs="Arial" w:eastAsia="Arial" w:hAnsi="Arial"/>
          <w:sz w:val="20"/>
          <w:szCs w:val="20"/>
          <w:color w:val="auto"/>
        </w:rPr>
        <w:t>Name: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-24765</wp:posOffset>
            </wp:positionV>
            <wp:extent cx="11131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jc w:val="center"/>
        <w:ind w:right="-920"/>
        <w:spacing w:after="0"/>
        <w:rPr>
          <w:sz w:val="20"/>
          <w:szCs w:val="20"/>
          <w:color w:val="auto"/>
        </w:rPr>
      </w:pPr>
      <w:r>
        <w:rPr>
          <w:rFonts w:ascii="Arial" w:cs="Arial" w:eastAsia="Arial" w:hAnsi="Arial"/>
          <w:sz w:val="20"/>
          <w:szCs w:val="20"/>
          <w:color w:val="auto"/>
        </w:rPr>
        <w:t>Title: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-24765</wp:posOffset>
            </wp:positionV>
            <wp:extent cx="4978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497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80"/>
        <w:spacing w:after="0"/>
        <w:rPr>
          <w:sz w:val="20"/>
          <w:szCs w:val="20"/>
          <w:color w:val="auto"/>
        </w:rPr>
      </w:pPr>
      <w:r>
        <w:rPr>
          <w:rFonts w:ascii="Arial" w:cs="Arial" w:eastAsia="Arial" w:hAnsi="Arial"/>
          <w:sz w:val="16"/>
          <w:szCs w:val="16"/>
          <w:i w:val="1"/>
          <w:iCs w:val="1"/>
          <w:color w:val="auto"/>
        </w:rPr>
        <w:t>[Signature Page to Exchange Agreement]</w:t>
      </w:r>
    </w:p>
    <w:p>
      <w:pPr>
        <w:sectPr>
          <w:pgSz w:w="11900" w:h="16838" w:orient="portrait"/>
          <w:cols w:equalWidth="0" w:num="1">
            <w:col w:w="10139"/>
          </w:cols>
          <w:pgMar w:left="320" w:top="1440" w:right="1440" w:bottom="1440" w:gutter="0" w:footer="0" w:header="0"/>
          <w:type w:val="continuous"/>
        </w:sectPr>
      </w:pPr>
    </w:p>
    <w:bookmarkStart w:id="100" w:name="page101"/>
    <w:bookmarkEnd w:id="100"/>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60" w:type="dxa"/>
            <w:vAlign w:val="bottom"/>
            <w:tcBorders>
              <w:top w:val="single" w:sz="8" w:color="auto"/>
              <w:left w:val="single" w:sz="8" w:color="auto"/>
            </w:tcBorders>
          </w:tcPr>
          <w:p>
            <w:pPr>
              <w:spacing w:after="0"/>
              <w:rPr>
                <w:sz w:val="19"/>
                <w:szCs w:val="19"/>
                <w:color w:val="auto"/>
              </w:rPr>
            </w:pPr>
          </w:p>
        </w:tc>
        <w:tc>
          <w:tcPr>
            <w:tcW w:w="30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Exchange Stockholder</w:t>
            </w:r>
          </w:p>
        </w:tc>
        <w:tc>
          <w:tcPr>
            <w:tcW w:w="336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20"/>
                <w:szCs w:val="20"/>
                <w:b w:val="1"/>
                <w:bCs w:val="1"/>
                <w:color w:val="auto"/>
                <w:w w:val="88"/>
              </w:rPr>
              <w:t>Number of Shares of Class B Common</w:t>
            </w:r>
          </w:p>
        </w:tc>
        <w:tc>
          <w:tcPr>
            <w:tcW w:w="368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20"/>
                <w:szCs w:val="20"/>
                <w:b w:val="1"/>
                <w:bCs w:val="1"/>
                <w:color w:val="auto"/>
                <w:w w:val="88"/>
              </w:rPr>
              <w:t>Number of Shares of Class A Common</w:t>
            </w:r>
          </w:p>
        </w:tc>
      </w:tr>
      <w:tr>
        <w:trPr>
          <w:trHeight w:val="210"/>
        </w:trPr>
        <w:tc>
          <w:tcPr>
            <w:tcW w:w="1160" w:type="dxa"/>
            <w:vAlign w:val="bottom"/>
            <w:tcBorders>
              <w:left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2"/>
          </w:tcPr>
          <w:p>
            <w:pPr>
              <w:jc w:val="center"/>
              <w:ind w:right="880"/>
              <w:spacing w:after="0" w:line="209" w:lineRule="exact"/>
              <w:rPr>
                <w:sz w:val="20"/>
                <w:szCs w:val="20"/>
                <w:color w:val="auto"/>
              </w:rPr>
            </w:pPr>
            <w:r>
              <w:rPr>
                <w:rFonts w:ascii="Arial" w:cs="Arial" w:eastAsia="Arial" w:hAnsi="Arial"/>
                <w:sz w:val="20"/>
                <w:szCs w:val="20"/>
                <w:b w:val="1"/>
                <w:bCs w:val="1"/>
                <w:color w:val="auto"/>
                <w:w w:val="85"/>
              </w:rPr>
              <w:t>Stock to be Issued</w:t>
            </w:r>
          </w:p>
        </w:tc>
        <w:tc>
          <w:tcPr>
            <w:tcW w:w="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2"/>
          </w:tcPr>
          <w:p>
            <w:pPr>
              <w:jc w:val="center"/>
              <w:ind w:right="900"/>
              <w:spacing w:after="0" w:line="209" w:lineRule="exact"/>
              <w:rPr>
                <w:sz w:val="20"/>
                <w:szCs w:val="20"/>
                <w:color w:val="auto"/>
              </w:rPr>
            </w:pPr>
            <w:r>
              <w:rPr>
                <w:rFonts w:ascii="Arial" w:cs="Arial" w:eastAsia="Arial" w:hAnsi="Arial"/>
                <w:sz w:val="20"/>
                <w:szCs w:val="20"/>
                <w:b w:val="1"/>
                <w:bCs w:val="1"/>
                <w:color w:val="auto"/>
                <w:w w:val="87"/>
              </w:rPr>
              <w:t>Stock Exchanged</w:t>
            </w:r>
          </w:p>
        </w:tc>
        <w:tc>
          <w:tcPr>
            <w:tcW w:w="220" w:type="dxa"/>
            <w:vAlign w:val="bottom"/>
            <w:tcBorders>
              <w:right w:val="single" w:sz="8" w:color="auto"/>
            </w:tcBorders>
          </w:tcPr>
          <w:p>
            <w:pPr>
              <w:spacing w:after="0"/>
              <w:rPr>
                <w:sz w:val="18"/>
                <w:szCs w:val="18"/>
                <w:color w:val="auto"/>
              </w:rPr>
            </w:pPr>
          </w:p>
        </w:tc>
      </w:tr>
      <w:tr>
        <w:trPr>
          <w:trHeight w:val="48"/>
        </w:trPr>
        <w:tc>
          <w:tcPr>
            <w:tcW w:w="1160" w:type="dxa"/>
            <w:vAlign w:val="bottom"/>
            <w:tcBorders>
              <w:left w:val="single" w:sz="8" w:color="auto"/>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520" w:type="dxa"/>
            <w:vAlign w:val="bottom"/>
            <w:tcBorders>
              <w:top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60" w:type="dxa"/>
            <w:vAlign w:val="bottom"/>
            <w:tcBorders>
              <w:top w:val="single" w:sz="8" w:color="auto"/>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497"/>
        </w:trPr>
        <w:tc>
          <w:tcPr>
            <w:tcW w:w="42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Christopher Gibson</w:t>
            </w:r>
          </w:p>
        </w:tc>
        <w:tc>
          <w:tcPr>
            <w:tcW w:w="2420" w:type="dxa"/>
            <w:vAlign w:val="bottom"/>
            <w:gridSpan w:val="3"/>
          </w:tcPr>
          <w:p>
            <w:pPr>
              <w:jc w:val="center"/>
              <w:ind w:left="821"/>
              <w:spacing w:after="0"/>
              <w:rPr>
                <w:sz w:val="20"/>
                <w:szCs w:val="20"/>
                <w:color w:val="auto"/>
              </w:rPr>
            </w:pPr>
            <w:r>
              <w:rPr>
                <w:rFonts w:ascii="Arial" w:cs="Arial" w:eastAsia="Arial" w:hAnsi="Arial"/>
                <w:sz w:val="20"/>
                <w:szCs w:val="20"/>
                <w:color w:val="auto"/>
                <w:w w:val="87"/>
              </w:rPr>
              <w:t>9,317,883</w:t>
            </w:r>
          </w:p>
        </w:tc>
        <w:tc>
          <w:tcPr>
            <w:tcW w:w="8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560" w:type="dxa"/>
            <w:vAlign w:val="bottom"/>
            <w:gridSpan w:val="3"/>
          </w:tcPr>
          <w:p>
            <w:pPr>
              <w:jc w:val="center"/>
              <w:ind w:left="1001"/>
              <w:spacing w:after="0"/>
              <w:rPr>
                <w:sz w:val="20"/>
                <w:szCs w:val="20"/>
                <w:color w:val="auto"/>
              </w:rPr>
            </w:pPr>
            <w:r>
              <w:rPr>
                <w:rFonts w:ascii="Arial" w:cs="Arial" w:eastAsia="Arial" w:hAnsi="Arial"/>
                <w:sz w:val="20"/>
                <w:szCs w:val="20"/>
                <w:color w:val="auto"/>
                <w:w w:val="87"/>
              </w:rPr>
              <w:t>9,317,883</w:t>
            </w:r>
          </w:p>
        </w:tc>
        <w:tc>
          <w:tcPr>
            <w:tcW w:w="9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23"/>
        </w:trPr>
        <w:tc>
          <w:tcPr>
            <w:tcW w:w="116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r>
      <w:tr>
        <w:trPr>
          <w:trHeight w:val="254"/>
        </w:trPr>
        <w:tc>
          <w:tcPr>
            <w:tcW w:w="42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Gibson Family Trust</w:t>
            </w:r>
          </w:p>
        </w:tc>
        <w:tc>
          <w:tcPr>
            <w:tcW w:w="2420" w:type="dxa"/>
            <w:vAlign w:val="bottom"/>
            <w:gridSpan w:val="3"/>
          </w:tcPr>
          <w:p>
            <w:pPr>
              <w:jc w:val="center"/>
              <w:ind w:left="821"/>
              <w:spacing w:after="0"/>
              <w:rPr>
                <w:sz w:val="20"/>
                <w:szCs w:val="20"/>
                <w:color w:val="auto"/>
              </w:rPr>
            </w:pPr>
            <w:r>
              <w:rPr>
                <w:rFonts w:ascii="Arial" w:cs="Arial" w:eastAsia="Arial" w:hAnsi="Arial"/>
                <w:sz w:val="20"/>
                <w:szCs w:val="20"/>
                <w:color w:val="auto"/>
                <w:w w:val="91"/>
              </w:rPr>
              <w:t>150,000</w:t>
            </w:r>
          </w:p>
        </w:tc>
        <w:tc>
          <w:tcPr>
            <w:tcW w:w="88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2560" w:type="dxa"/>
            <w:vAlign w:val="bottom"/>
            <w:gridSpan w:val="3"/>
          </w:tcPr>
          <w:p>
            <w:pPr>
              <w:jc w:val="center"/>
              <w:ind w:left="1021"/>
              <w:spacing w:after="0"/>
              <w:rPr>
                <w:sz w:val="20"/>
                <w:szCs w:val="20"/>
                <w:color w:val="auto"/>
              </w:rPr>
            </w:pPr>
            <w:r>
              <w:rPr>
                <w:rFonts w:ascii="Arial" w:cs="Arial" w:eastAsia="Arial" w:hAnsi="Arial"/>
                <w:sz w:val="20"/>
                <w:szCs w:val="20"/>
                <w:color w:val="auto"/>
                <w:w w:val="88"/>
              </w:rPr>
              <w:t>150,000</w:t>
            </w:r>
          </w:p>
        </w:tc>
        <w:tc>
          <w:tcPr>
            <w:tcW w:w="90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r>
      <w:tr>
        <w:trPr>
          <w:trHeight w:val="23"/>
        </w:trPr>
        <w:tc>
          <w:tcPr>
            <w:tcW w:w="116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r>
      <w:tr>
        <w:trPr>
          <w:trHeight w:val="254"/>
        </w:trPr>
        <w:tc>
          <w:tcPr>
            <w:tcW w:w="1160" w:type="dxa"/>
            <w:vAlign w:val="bottom"/>
            <w:tcBorders>
              <w:left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1160" w:type="dxa"/>
            <w:vAlign w:val="bottom"/>
            <w:tcBorders>
              <w:right w:val="single" w:sz="8" w:color="auto"/>
            </w:tcBorders>
          </w:tcPr>
          <w:p>
            <w:pPr>
              <w:ind w:left="620"/>
              <w:spacing w:after="0"/>
              <w:rPr>
                <w:sz w:val="20"/>
                <w:szCs w:val="20"/>
                <w:color w:val="auto"/>
              </w:rPr>
            </w:pPr>
            <w:r>
              <w:rPr>
                <w:rFonts w:ascii="Arial" w:cs="Arial" w:eastAsia="Arial" w:hAnsi="Arial"/>
                <w:sz w:val="20"/>
                <w:szCs w:val="20"/>
                <w:b w:val="1"/>
                <w:bCs w:val="1"/>
                <w:color w:val="auto"/>
                <w:w w:val="91"/>
              </w:rPr>
              <w:t>Total:</w:t>
            </w:r>
          </w:p>
        </w:tc>
        <w:tc>
          <w:tcPr>
            <w:tcW w:w="2420" w:type="dxa"/>
            <w:vAlign w:val="bottom"/>
            <w:gridSpan w:val="3"/>
          </w:tcPr>
          <w:p>
            <w:pPr>
              <w:jc w:val="center"/>
              <w:ind w:left="821"/>
              <w:spacing w:after="0"/>
              <w:rPr>
                <w:sz w:val="20"/>
                <w:szCs w:val="20"/>
                <w:color w:val="auto"/>
              </w:rPr>
            </w:pPr>
            <w:r>
              <w:rPr>
                <w:rFonts w:ascii="Arial" w:cs="Arial" w:eastAsia="Arial" w:hAnsi="Arial"/>
                <w:sz w:val="20"/>
                <w:szCs w:val="20"/>
                <w:b w:val="1"/>
                <w:bCs w:val="1"/>
                <w:color w:val="auto"/>
                <w:w w:val="87"/>
              </w:rPr>
              <w:t>9,467,883</w:t>
            </w:r>
          </w:p>
        </w:tc>
        <w:tc>
          <w:tcPr>
            <w:tcW w:w="88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2560" w:type="dxa"/>
            <w:vAlign w:val="bottom"/>
            <w:gridSpan w:val="3"/>
          </w:tcPr>
          <w:p>
            <w:pPr>
              <w:jc w:val="center"/>
              <w:ind w:left="1001"/>
              <w:spacing w:after="0"/>
              <w:rPr>
                <w:sz w:val="20"/>
                <w:szCs w:val="20"/>
                <w:color w:val="auto"/>
              </w:rPr>
            </w:pPr>
            <w:r>
              <w:rPr>
                <w:rFonts w:ascii="Arial" w:cs="Arial" w:eastAsia="Arial" w:hAnsi="Arial"/>
                <w:sz w:val="20"/>
                <w:szCs w:val="20"/>
                <w:b w:val="1"/>
                <w:bCs w:val="1"/>
                <w:color w:val="auto"/>
                <w:w w:val="87"/>
              </w:rPr>
              <w:t>9,467,883</w:t>
            </w:r>
          </w:p>
        </w:tc>
        <w:tc>
          <w:tcPr>
            <w:tcW w:w="90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r>
      <w:tr>
        <w:trPr>
          <w:trHeight w:val="23"/>
        </w:trPr>
        <w:tc>
          <w:tcPr>
            <w:tcW w:w="116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EQUITY EXCHANGE RIGHT AGREEMENT</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THIS EQUITY EXCHANGE RIGHT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April 20, 2021, by and between Recursion Pharmaceuticals,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Christopher Gibson (the “</w:t>
      </w:r>
      <w:r>
        <w:rPr>
          <w:rFonts w:ascii="Arial" w:cs="Arial" w:eastAsia="Arial" w:hAnsi="Arial"/>
          <w:sz w:val="19"/>
          <w:szCs w:val="19"/>
          <w:b w:val="1"/>
          <w:bCs w:val="1"/>
          <w:color w:val="auto"/>
        </w:rPr>
        <w:t>Founder</w:t>
      </w:r>
      <w:r>
        <w:rPr>
          <w:rFonts w:ascii="Arial" w:cs="Arial" w:eastAsia="Arial" w:hAnsi="Arial"/>
          <w:sz w:val="19"/>
          <w:szCs w:val="19"/>
          <w:color w:val="auto"/>
        </w:rPr>
        <w:t>”).</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WHEREAS, the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has determined that it is in the best interests of the Company and its stockholders to implement a dual class common stock structure in connection with the Company’s initial public offering of its capital stock (the “</w:t>
      </w:r>
      <w:r>
        <w:rPr>
          <w:rFonts w:ascii="Arial" w:cs="Arial" w:eastAsia="Arial" w:hAnsi="Arial"/>
          <w:sz w:val="20"/>
          <w:szCs w:val="20"/>
          <w:b w:val="1"/>
          <w:bCs w:val="1"/>
          <w:color w:val="auto"/>
        </w:rPr>
        <w:t>IPO</w:t>
      </w:r>
      <w:r>
        <w:rPr>
          <w:rFonts w:ascii="Arial" w:cs="Arial" w:eastAsia="Arial" w:hAnsi="Arial"/>
          <w:sz w:val="20"/>
          <w:szCs w:val="20"/>
          <w:color w:val="auto"/>
        </w:rPr>
        <w:t>”) to, among other things, enable the Company to execute its long-term vision;</w:t>
      </w:r>
    </w:p>
    <w:p>
      <w:pPr>
        <w:spacing w:after="0" w:line="1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WHEREAS, in connection with the IPO, the Board has approved an Amended and Restated Certificate of Incorporation of the Company (the “</w:t>
      </w:r>
      <w:r>
        <w:rPr>
          <w:rFonts w:ascii="Arial" w:cs="Arial" w:eastAsia="Arial" w:hAnsi="Arial"/>
          <w:sz w:val="18"/>
          <w:szCs w:val="18"/>
          <w:b w:val="1"/>
          <w:bCs w:val="1"/>
          <w:color w:val="auto"/>
        </w:rPr>
        <w:t>Amended and Restated Certificate of Incorporation</w:t>
      </w:r>
      <w:r>
        <w:rPr>
          <w:rFonts w:ascii="Arial" w:cs="Arial" w:eastAsia="Arial" w:hAnsi="Arial"/>
          <w:sz w:val="18"/>
          <w:szCs w:val="18"/>
          <w:color w:val="auto"/>
        </w:rPr>
        <w:t>”), which, among other things, if effected, would create two series within a class of common stock of the Company, denominated Class A Common Stock, par value $0.00001 per share (“</w:t>
      </w:r>
      <w:r>
        <w:rPr>
          <w:rFonts w:ascii="Arial" w:cs="Arial" w:eastAsia="Arial" w:hAnsi="Arial"/>
          <w:sz w:val="18"/>
          <w:szCs w:val="18"/>
          <w:b w:val="1"/>
          <w:bCs w:val="1"/>
          <w:color w:val="auto"/>
        </w:rPr>
        <w:t>Class A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entitling holders to one (1) vote for each share thereof held and Class B Common Stock, par value $0.00001 per share (“</w:t>
      </w:r>
      <w:r>
        <w:rPr>
          <w:rFonts w:ascii="Arial" w:cs="Arial" w:eastAsia="Arial" w:hAnsi="Arial"/>
          <w:sz w:val="18"/>
          <w:szCs w:val="18"/>
          <w:b w:val="1"/>
          <w:bCs w:val="1"/>
          <w:color w:val="auto"/>
        </w:rPr>
        <w:t>Class B Common Stock</w:t>
      </w:r>
      <w:r>
        <w:rPr>
          <w:rFonts w:ascii="Arial" w:cs="Arial" w:eastAsia="Arial" w:hAnsi="Arial"/>
          <w:sz w:val="18"/>
          <w:szCs w:val="18"/>
          <w:color w:val="auto"/>
        </w:rPr>
        <w:t>”), entitling holders to ten (10) votes for each share thereof held, unless otherwise required by applicable law;</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the Amended and Restated Certificate of Incorporation further provides that each share of the Company’s common stock, par value $0.00001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will, upon the effectiveness of the filing of the Amended and Restated Certificate of Incorporation (the “</w:t>
      </w:r>
      <w:r>
        <w:rPr>
          <w:rFonts w:ascii="Arial" w:cs="Arial" w:eastAsia="Arial" w:hAnsi="Arial"/>
          <w:sz w:val="18"/>
          <w:szCs w:val="18"/>
          <w:b w:val="1"/>
          <w:bCs w:val="1"/>
          <w:color w:val="auto"/>
        </w:rPr>
        <w:t>Effective Time</w:t>
      </w:r>
      <w:r>
        <w:rPr>
          <w:rFonts w:ascii="Arial" w:cs="Arial" w:eastAsia="Arial" w:hAnsi="Arial"/>
          <w:sz w:val="18"/>
          <w:szCs w:val="18"/>
          <w:color w:val="auto"/>
        </w:rPr>
        <w:t>”), be reclassified as, and will become, one share of Class A Common Stock;</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WHEREAS, Founder holds an award of options to purchase Common Stock that will be outstanding as of immediately prior to the Effective Time as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Founder Equity Award</w:t>
      </w:r>
      <w:r>
        <w:rPr>
          <w:rFonts w:ascii="Arial" w:cs="Arial" w:eastAsia="Arial" w:hAnsi="Arial"/>
          <w:sz w:val="20"/>
          <w:szCs w:val="20"/>
          <w:color w:val="auto"/>
        </w:rPr>
        <w:t>”) and the shares of Common Stock covered by the Founder Equity Award will be reclassified as, and will become, Class A Common Stock at the Effective Time, and the Founder Equity Award has been granted under the Company’s 2016 Equity Incentive Plan, as amended, and the option agreement memorializing the Founder Equity Award (collectively, the “</w:t>
      </w:r>
      <w:r>
        <w:rPr>
          <w:rFonts w:ascii="Arial" w:cs="Arial" w:eastAsia="Arial" w:hAnsi="Arial"/>
          <w:sz w:val="20"/>
          <w:szCs w:val="20"/>
          <w:b w:val="1"/>
          <w:bCs w:val="1"/>
          <w:color w:val="auto"/>
        </w:rPr>
        <w:t>Equity Documents</w:t>
      </w:r>
      <w:r>
        <w:rPr>
          <w:rFonts w:ascii="Arial" w:cs="Arial" w:eastAsia="Arial" w:hAnsi="Arial"/>
          <w:sz w:val="20"/>
          <w:szCs w:val="20"/>
          <w:color w:val="auto"/>
        </w:rPr>
        <w:t>”); and</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WHEREAS, as part of the implementation of the dual class common stock structure, the Board has determined that it is advisable and in the best interest of the Company and all of its stockholders, including its stockholders other than Founder, to provide Founder with the right to require the Company to exchange shares of Class A Common Stock that Founder acquires upon the exercise of his Founder Equity Award for a number of shares of Class B Common Stock of equivalent value as determined on the date of the exchange (which is expected to be on a one share-for-one share basis), subject to the terms and conditions set forth in this Agreement; and</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parties intend that no gain or loss will be recognized in any Exchange (as defined below) pursuant to Sections 368(a)(1)(E) and/or 1036 of the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foregoing recitals and the mutual promises, representations and covenants set forth herein, and for other good and valuable consideration, the receipt and sufficiency of which are hereby acknowledged and accepted, the parties hereto agree as follows:</w:t>
      </w:r>
    </w:p>
    <w:p>
      <w:pPr>
        <w:sectPr>
          <w:pgSz w:w="11900" w:h="16838" w:orient="portrait"/>
          <w:cols w:equalWidth="0" w:num="1">
            <w:col w:w="11240"/>
          </w:cols>
          <w:pgMar w:left="320" w:top="126" w:right="339" w:bottom="1440" w:gutter="0" w:footer="0" w:header="0"/>
        </w:sectPr>
      </w:pPr>
    </w:p>
    <w:bookmarkStart w:id="102" w:name="page103"/>
    <w:bookmarkEnd w:id="102"/>
    <w:p>
      <w:pPr>
        <w:spacing w:after="0" w:line="18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PUT RIGHT AND EXCHANGE AND ISSUANCE OF CLASS B COMMON STOCK</w:t>
      </w:r>
    </w:p>
    <w:p>
      <w:pPr>
        <w:spacing w:after="0" w:line="200" w:lineRule="exact"/>
        <w:rPr>
          <w:sz w:val="20"/>
          <w:szCs w:val="20"/>
          <w:color w:val="auto"/>
        </w:rPr>
      </w:pPr>
    </w:p>
    <w:p>
      <w:pPr>
        <w:jc w:val="both"/>
        <w:ind w:firstLine="346"/>
        <w:spacing w:after="0" w:line="243" w:lineRule="auto"/>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Grant of Put Right</w:t>
      </w:r>
      <w:r>
        <w:rPr>
          <w:rFonts w:ascii="Arial" w:cs="Arial" w:eastAsia="Arial" w:hAnsi="Arial"/>
          <w:sz w:val="20"/>
          <w:szCs w:val="20"/>
          <w:color w:val="auto"/>
        </w:rPr>
        <w:t>. Effective immediately following the Effective Time, and subject to the terms and provisions of this Agreement (including Section 1.2(a) below), the Company hereby irrevocably grants to Founder the right (the “</w:t>
      </w:r>
      <w:r>
        <w:rPr>
          <w:rFonts w:ascii="Arial" w:cs="Arial" w:eastAsia="Arial" w:hAnsi="Arial"/>
          <w:sz w:val="20"/>
          <w:szCs w:val="20"/>
          <w:b w:val="1"/>
          <w:bCs w:val="1"/>
          <w:color w:val="auto"/>
        </w:rPr>
        <w:t>Put Right</w:t>
      </w:r>
      <w:r>
        <w:rPr>
          <w:rFonts w:ascii="Arial" w:cs="Arial" w:eastAsia="Arial" w:hAnsi="Arial"/>
          <w:sz w:val="20"/>
          <w:szCs w:val="20"/>
          <w:color w:val="auto"/>
        </w:rPr>
        <w:t>”) to require the Company to exchange any shares of Class A Common Stock that Founder acquires following the Effective Time as a result of the exercise of his Founder Equity Award (each, a “</w:t>
      </w:r>
      <w:r>
        <w:rPr>
          <w:rFonts w:ascii="Arial" w:cs="Arial" w:eastAsia="Arial" w:hAnsi="Arial"/>
          <w:sz w:val="20"/>
          <w:szCs w:val="20"/>
          <w:b w:val="1"/>
          <w:bCs w:val="1"/>
          <w:color w:val="auto"/>
        </w:rPr>
        <w:t>Put Eligible Share</w:t>
      </w:r>
      <w:r>
        <w:rPr>
          <w:rFonts w:ascii="Arial" w:cs="Arial" w:eastAsia="Arial" w:hAnsi="Arial"/>
          <w:sz w:val="20"/>
          <w:szCs w:val="20"/>
          <w:color w:val="auto"/>
        </w:rPr>
        <w:t>”) for a number of shares of Class B Common Stock of equivalent value as determined on the date of the exchange (which is expected to be on a one share-for-one share basis), subject to the terms and conditions set forth in this Agreement (the “</w:t>
      </w:r>
      <w:r>
        <w:rPr>
          <w:rFonts w:ascii="Arial" w:cs="Arial" w:eastAsia="Arial" w:hAnsi="Arial"/>
          <w:sz w:val="20"/>
          <w:szCs w:val="20"/>
          <w:b w:val="1"/>
          <w:bCs w:val="1"/>
          <w:color w:val="auto"/>
        </w:rPr>
        <w:t>Exchange</w:t>
      </w:r>
      <w:r>
        <w:rPr>
          <w:rFonts w:ascii="Arial" w:cs="Arial" w:eastAsia="Arial" w:hAnsi="Arial"/>
          <w:sz w:val="20"/>
          <w:szCs w:val="20"/>
          <w:color w:val="auto"/>
        </w:rPr>
        <w:t>”).</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Exercise of Put Right</w:t>
      </w:r>
      <w:r>
        <w:rPr>
          <w:rFonts w:ascii="Arial" w:cs="Arial" w:eastAsia="Arial" w:hAnsi="Arial"/>
          <w:sz w:val="20"/>
          <w:szCs w:val="20"/>
          <w:color w:val="auto"/>
        </w:rPr>
        <w:t>.</w:t>
      </w:r>
    </w:p>
    <w:p>
      <w:pPr>
        <w:spacing w:after="0" w:line="216" w:lineRule="exact"/>
        <w:rPr>
          <w:sz w:val="20"/>
          <w:szCs w:val="20"/>
          <w:color w:val="auto"/>
        </w:rPr>
      </w:pPr>
    </w:p>
    <w:p>
      <w:pPr>
        <w:jc w:val="both"/>
        <w:ind w:firstLine="1304"/>
        <w:spacing w:after="0" w:line="250" w:lineRule="auto"/>
        <w:tabs>
          <w:tab w:leader="none" w:pos="1932" w:val="left"/>
        </w:tabs>
        <w:numPr>
          <w:ilvl w:val="0"/>
          <w:numId w:val="48"/>
        </w:numPr>
        <w:rPr>
          <w:rFonts w:ascii="Arial" w:cs="Arial" w:eastAsia="Arial" w:hAnsi="Arial"/>
          <w:sz w:val="20"/>
          <w:szCs w:val="20"/>
          <w:color w:val="auto"/>
        </w:rPr>
      </w:pPr>
      <w:r>
        <w:rPr>
          <w:rFonts w:ascii="Arial" w:cs="Arial" w:eastAsia="Arial" w:hAnsi="Arial"/>
          <w:sz w:val="20"/>
          <w:szCs w:val="20"/>
          <w:color w:val="auto"/>
        </w:rPr>
        <w:t>As a condition precedent to the exercise of the Put Right on any given date, the Company and Founder must mutually agree on the value-for-value exchange ratio and that no gain or loss will be required to be recognized for U.S. federal tax purposes on account of such exercise and related Exchange (the “</w:t>
      </w:r>
      <w:r>
        <w:rPr>
          <w:rFonts w:ascii="Arial" w:cs="Arial" w:eastAsia="Arial" w:hAnsi="Arial"/>
          <w:sz w:val="20"/>
          <w:szCs w:val="20"/>
          <w:b w:val="1"/>
          <w:bCs w:val="1"/>
          <w:color w:val="auto"/>
        </w:rPr>
        <w:t>Put Right Condition</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1304"/>
        <w:spacing w:after="0" w:line="282" w:lineRule="auto"/>
        <w:tabs>
          <w:tab w:leader="none" w:pos="19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If the Put Right Condition is satisfied, the Put Right will be exercisable by Founder by submitting a completed and fully-executed notice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Put Right Notice</w:t>
      </w:r>
      <w:r>
        <w:rPr>
          <w:rFonts w:ascii="Arial" w:cs="Arial" w:eastAsia="Arial" w:hAnsi="Arial"/>
          <w:sz w:val="18"/>
          <w:szCs w:val="18"/>
          <w:color w:val="auto"/>
        </w:rPr>
        <w:t>”) to the Company on or prior to the Put Right’s Expiration Date (as defined in Section 1.5 below). If the Put Right Condition is satisfied, the Put Right will be deemed to have been exercised immediately prior to 5:00 p.m. Mountain Time on the date of timely delivery of a Put Right Notice with respect to the Put Right.</w:t>
      </w:r>
    </w:p>
    <w:p>
      <w:pPr>
        <w:spacing w:after="0" w:line="161" w:lineRule="exact"/>
        <w:rPr>
          <w:rFonts w:ascii="Arial" w:cs="Arial" w:eastAsia="Arial" w:hAnsi="Arial"/>
          <w:sz w:val="18"/>
          <w:szCs w:val="18"/>
          <w:color w:val="auto"/>
        </w:rPr>
      </w:pPr>
    </w:p>
    <w:p>
      <w:pPr>
        <w:jc w:val="both"/>
        <w:ind w:firstLine="1304"/>
        <w:spacing w:after="0" w:line="250" w:lineRule="auto"/>
        <w:tabs>
          <w:tab w:leader="none" w:pos="1932" w:val="left"/>
        </w:tabs>
        <w:numPr>
          <w:ilvl w:val="0"/>
          <w:numId w:val="48"/>
        </w:numPr>
        <w:rPr>
          <w:rFonts w:ascii="Arial" w:cs="Arial" w:eastAsia="Arial" w:hAnsi="Arial"/>
          <w:sz w:val="20"/>
          <w:szCs w:val="20"/>
          <w:color w:val="auto"/>
        </w:rPr>
      </w:pPr>
      <w:r>
        <w:rPr>
          <w:rFonts w:ascii="Arial" w:cs="Arial" w:eastAsia="Arial" w:hAnsi="Arial"/>
          <w:sz w:val="20"/>
          <w:szCs w:val="20"/>
          <w:color w:val="auto"/>
        </w:rPr>
        <w:t>Failure to satisfy the Put Right Condition or to deliver a Put Right Notice prior to 5:00 p.m. Mountain Time on a Put Right’s Expiration Date will constitute an irrevocable waiver of the Put Right with respect to any shares of Class A Common Stock that remain subject to the Founder Equity Award and any remaining Put Eligible Shares.</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32"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Put Right cannot be exercised by Founder with respect to any Put Eligible Share more than once. Further, Founder will have no Put Right pursuant to this Agreement with respect to any share of Class A Common Stock that is acquired by Founder following the Effective Time other than as a result of the exercise of the Founder Equity Award.</w:t>
      </w:r>
    </w:p>
    <w:p>
      <w:pPr>
        <w:spacing w:after="0" w:line="186" w:lineRule="exact"/>
        <w:rPr>
          <w:sz w:val="20"/>
          <w:szCs w:val="20"/>
          <w:color w:val="auto"/>
        </w:rPr>
      </w:pPr>
    </w:p>
    <w:p>
      <w:pPr>
        <w:jc w:val="both"/>
        <w:ind w:firstLine="236"/>
        <w:spacing w:after="0" w:line="257" w:lineRule="auto"/>
        <w:rPr>
          <w:sz w:val="20"/>
          <w:szCs w:val="20"/>
          <w:color w:val="auto"/>
        </w:rPr>
      </w:pPr>
      <w:r>
        <w:rPr>
          <w:rFonts w:ascii="Arial" w:cs="Arial" w:eastAsia="Arial" w:hAnsi="Arial"/>
          <w:sz w:val="19"/>
          <w:szCs w:val="19"/>
          <w:color w:val="auto"/>
        </w:rPr>
        <w:t>iii.</w:t>
      </w:r>
      <w:r>
        <w:rPr>
          <w:rFonts w:ascii="Arial" w:cs="Arial" w:eastAsia="Arial" w:hAnsi="Arial"/>
          <w:sz w:val="19"/>
          <w:szCs w:val="19"/>
          <w:u w:val="single" w:color="auto"/>
          <w:color w:val="auto"/>
        </w:rPr>
        <w:t>Exchange of Shares</w:t>
      </w:r>
      <w:r>
        <w:rPr>
          <w:rFonts w:ascii="Arial" w:cs="Arial" w:eastAsia="Arial" w:hAnsi="Arial"/>
          <w:sz w:val="19"/>
          <w:szCs w:val="19"/>
          <w:color w:val="auto"/>
        </w:rPr>
        <w:t>. Within ten (10) calendar days after the Company’s receipt of a properly executed Put Right Notice, and provided the Put Right Condition remains satisfied, the Company will complete the Exchange for the specified number of Put Eligible Shares indicated in the Put Right Notice (“</w:t>
      </w:r>
      <w:r>
        <w:rPr>
          <w:rFonts w:ascii="Arial" w:cs="Arial" w:eastAsia="Arial" w:hAnsi="Arial"/>
          <w:sz w:val="19"/>
          <w:szCs w:val="19"/>
          <w:b w:val="1"/>
          <w:bCs w:val="1"/>
          <w:color w:val="auto"/>
        </w:rPr>
        <w:t>Exercised Shares</w:t>
      </w:r>
      <w:r>
        <w:rPr>
          <w:rFonts w:ascii="Arial" w:cs="Arial" w:eastAsia="Arial" w:hAnsi="Arial"/>
          <w:sz w:val="19"/>
          <w:szCs w:val="19"/>
          <w:color w:val="auto"/>
        </w:rPr>
        <w:t>”) by issuing, out of authorized but unissued shares of Class B Common Stock legally available therefor, a number of shares of Class B Common Stock to Founder of equivalent value determined on the date of the Exchange (which is expected to be on a one share-for-one share basis). Upon the effectiveness of such Exchange, the Company will deliver to Founder such documentation as may be reasonably required to evidence that the shares of Class B Common Stock have been duly issued and transferred to the applicable Founder in exchange for the Exercised Shares.</w:t>
      </w:r>
    </w:p>
    <w:p>
      <w:pPr>
        <w:spacing w:after="0" w:line="185" w:lineRule="exact"/>
        <w:rPr>
          <w:sz w:val="20"/>
          <w:szCs w:val="20"/>
          <w:color w:val="auto"/>
        </w:rPr>
      </w:pPr>
    </w:p>
    <w:p>
      <w:pPr>
        <w:jc w:val="both"/>
        <w:ind w:firstLine="247"/>
        <w:spacing w:after="0" w:line="263"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Rights to Shares of Class A Common Stock Following Exchange</w:t>
      </w:r>
      <w:r>
        <w:rPr>
          <w:rFonts w:ascii="Arial" w:cs="Arial" w:eastAsia="Arial" w:hAnsi="Arial"/>
          <w:sz w:val="19"/>
          <w:szCs w:val="19"/>
          <w:color w:val="auto"/>
        </w:rPr>
        <w:t>. Upon the Exchange, Founder will no longer have any rights as a holder of the Exercised Shares that are the subject of the Exchange (other than the right to receive the shares of Class B Common Stock in accordance with this Agreement). Such Exercised Shares will be deemed to have been redeemed by the Company in accordance with the applicable provisions hereof, whether or not the certificate(s) therefor have been delivered to Founder.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9" w:lineRule="exact"/>
        <w:rPr>
          <w:sz w:val="20"/>
          <w:szCs w:val="20"/>
          <w:color w:val="auto"/>
        </w:rPr>
      </w:pPr>
    </w:p>
    <w:p>
      <w:pPr>
        <w:ind w:left="300"/>
        <w:spacing w:after="0"/>
        <w:rPr>
          <w:sz w:val="20"/>
          <w:szCs w:val="20"/>
          <w:color w:val="auto"/>
        </w:rPr>
      </w:pPr>
      <w:r>
        <w:rPr>
          <w:rFonts w:ascii="Arial" w:cs="Arial" w:eastAsia="Arial" w:hAnsi="Arial"/>
          <w:sz w:val="20"/>
          <w:szCs w:val="20"/>
          <w:color w:val="auto"/>
        </w:rPr>
        <w:t>v.</w:t>
      </w:r>
      <w:r>
        <w:rPr>
          <w:rFonts w:ascii="Arial" w:cs="Arial" w:eastAsia="Arial" w:hAnsi="Arial"/>
          <w:sz w:val="20"/>
          <w:szCs w:val="20"/>
          <w:u w:val="single" w:color="auto"/>
          <w:color w:val="auto"/>
        </w:rPr>
        <w:t>Termination of Put Right</w:t>
      </w:r>
      <w:r>
        <w:rPr>
          <w:rFonts w:ascii="Arial" w:cs="Arial" w:eastAsia="Arial" w:hAnsi="Arial"/>
          <w:sz w:val="20"/>
          <w:szCs w:val="20"/>
          <w:color w:val="auto"/>
        </w:rPr>
        <w:t>. The Put Right will terminate on the following date(s) (the “</w:t>
      </w:r>
      <w:r>
        <w:rPr>
          <w:rFonts w:ascii="Arial" w:cs="Arial" w:eastAsia="Arial" w:hAnsi="Arial"/>
          <w:sz w:val="20"/>
          <w:szCs w:val="20"/>
          <w:b w:val="1"/>
          <w:bCs w:val="1"/>
          <w:color w:val="auto"/>
        </w:rPr>
        <w:t>Expiration Date</w:t>
      </w:r>
      <w:r>
        <w:rPr>
          <w:rFonts w:ascii="Arial" w:cs="Arial" w:eastAsia="Arial" w:hAnsi="Arial"/>
          <w:sz w:val="20"/>
          <w:szCs w:val="20"/>
          <w:color w:val="auto"/>
        </w:rPr>
        <w:t>”):</w:t>
      </w:r>
    </w:p>
    <w:p>
      <w:pPr>
        <w:spacing w:after="0" w:line="222" w:lineRule="exact"/>
        <w:rPr>
          <w:sz w:val="20"/>
          <w:szCs w:val="20"/>
          <w:color w:val="auto"/>
        </w:rPr>
      </w:pPr>
    </w:p>
    <w:p>
      <w:pPr>
        <w:ind w:right="20" w:firstLine="1304"/>
        <w:spacing w:after="0" w:line="316" w:lineRule="auto"/>
        <w:tabs>
          <w:tab w:leader="none" w:pos="19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any shares of Class A Common Stock subject to the Founder Equity Award that have not become Put Eligible Shares, the Expiration Date will be the date such shares are forfeited pursuant to the applicable Equity Documents; and</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With respect to any Put Eligible Shares, the Expiration Date will be the earliest of the date on which:</w:t>
      </w:r>
    </w:p>
    <w:p>
      <w:pPr>
        <w:spacing w:after="0" w:line="215" w:lineRule="exact"/>
        <w:rPr>
          <w:rFonts w:ascii="Arial" w:cs="Arial" w:eastAsia="Arial" w:hAnsi="Arial"/>
          <w:sz w:val="20"/>
          <w:szCs w:val="20"/>
          <w:color w:val="auto"/>
        </w:rPr>
      </w:pPr>
    </w:p>
    <w:p>
      <w:pPr>
        <w:ind w:left="3240" w:hanging="802"/>
        <w:spacing w:after="0"/>
        <w:tabs>
          <w:tab w:leader="none" w:pos="3240" w:val="left"/>
        </w:tabs>
        <w:numPr>
          <w:ilvl w:val="1"/>
          <w:numId w:val="49"/>
        </w:numPr>
        <w:rPr>
          <w:rFonts w:ascii="Arial" w:cs="Arial" w:eastAsia="Arial" w:hAnsi="Arial"/>
          <w:sz w:val="20"/>
          <w:szCs w:val="20"/>
          <w:color w:val="auto"/>
        </w:rPr>
      </w:pPr>
      <w:r>
        <w:rPr>
          <w:rFonts w:ascii="Arial" w:cs="Arial" w:eastAsia="Arial" w:hAnsi="Arial"/>
          <w:sz w:val="20"/>
          <w:szCs w:val="20"/>
          <w:color w:val="auto"/>
        </w:rPr>
        <w:t>Founder sells, transfers, or otherwise disposes of such Put Eligible Shares; and</w:t>
      </w:r>
    </w:p>
    <w:p>
      <w:pPr>
        <w:spacing w:after="0" w:line="216" w:lineRule="exact"/>
        <w:rPr>
          <w:sz w:val="20"/>
          <w:szCs w:val="20"/>
          <w:color w:val="auto"/>
        </w:rPr>
      </w:pPr>
    </w:p>
    <w:p>
      <w:pPr>
        <w:ind w:left="3240" w:hanging="721"/>
        <w:spacing w:after="0"/>
        <w:tabs>
          <w:tab w:leader="none" w:pos="3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Final Conversion Date (as defined in the Amended and Restated Certificate of Incorporation).</w:t>
      </w:r>
    </w:p>
    <w:p>
      <w:pPr>
        <w:spacing w:after="0" w:line="233"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3260"/>
        <w:spacing w:after="0"/>
        <w:rPr>
          <w:sz w:val="20"/>
          <w:szCs w:val="20"/>
          <w:color w:val="auto"/>
        </w:rPr>
      </w:pPr>
      <w:r>
        <w:rPr>
          <w:rFonts w:ascii="Arial" w:cs="Arial" w:eastAsia="Arial" w:hAnsi="Arial"/>
          <w:sz w:val="20"/>
          <w:szCs w:val="20"/>
          <w:b w:val="1"/>
          <w:bCs w:val="1"/>
          <w:u w:val="single" w:color="auto"/>
          <w:color w:val="auto"/>
        </w:rPr>
        <w:t>REPRESENTATIONS AND WARRANTIES OF THE FOUNDER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Founder hereby represents and warrants to the Company, with respect to the transactions contemplated hereby, as follows:</w:t>
      </w:r>
    </w:p>
    <w:p>
      <w:pPr>
        <w:spacing w:after="0" w:line="227" w:lineRule="exact"/>
        <w:rPr>
          <w:sz w:val="20"/>
          <w:szCs w:val="20"/>
          <w:color w:val="auto"/>
        </w:rPr>
      </w:pPr>
    </w:p>
    <w:p>
      <w:pPr>
        <w:jc w:val="both"/>
        <w:ind w:firstLine="346"/>
        <w:spacing w:after="0" w:line="272"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Ownership; Authority</w:t>
      </w:r>
      <w:r>
        <w:rPr>
          <w:rFonts w:ascii="Arial" w:cs="Arial" w:eastAsia="Arial" w:hAnsi="Arial"/>
          <w:sz w:val="18"/>
          <w:szCs w:val="18"/>
          <w:color w:val="auto"/>
        </w:rPr>
        <w:t>. Founder has the full right, power and authority to enter into this Agreement. Assuming the due authorization, execution and delivery by the Company, this Agreement constitutes a valid and binding agreement of Founder, enforceable against Founder in accordance with its terms (subject to applicable bankruptcy, insolvency, fraudulent transfer, reorganization, moratorium and other laws affecting creditors’ rights generally and general principles of equity). Upon consummation of an Exchange contemplated hereby, the Company will acquire from Founder good and marketable title to the Exercised Shares subject to such Exchange, free and clear of any and all liens, encumbrances and restrictions (except for restrictions on transfer arising under applicable securities laws or as set forth or contemplated by this Agreement, the Amended and Restated Certificate of Incorporation or any other agreements to which Founder and the Company are a party, and subject to applicable bankruptcy, insolvency, fraudulent transfer, reorganization, moratorium and other laws affecting creditors’ rights generally and general principles of equity).</w:t>
      </w:r>
    </w:p>
    <w:p>
      <w:pPr>
        <w:spacing w:after="0" w:line="170" w:lineRule="exact"/>
        <w:rPr>
          <w:sz w:val="20"/>
          <w:szCs w:val="20"/>
          <w:color w:val="auto"/>
        </w:rPr>
      </w:pPr>
    </w:p>
    <w:p>
      <w:pPr>
        <w:jc w:val="both"/>
        <w:ind w:firstLine="291"/>
        <w:spacing w:after="0" w:line="243"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The execution, delivery and performance by Founder of this Agreement and the consummation of the transactions contemplated hereby require no action by or in respect of, or filing with, any governmental authority on the part of Founder (excluding, for the avoidance of doubt (a) the filing by the Company of the Amended and Restated Certificate of Incorporation with the Secretary of State of the State of Delaware and (b) compliance by the Company with any applicable requirements of any applicable state or federal securities laws). For purposes of this Agreement, “</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transnational, domestic or foreign federal, state or local governmental, regulatory or administrative authority, department, court, agency or official, including any political subdivision thereof.</w:t>
      </w:r>
    </w:p>
    <w:p>
      <w:pPr>
        <w:spacing w:after="0" w:line="193" w:lineRule="exact"/>
        <w:rPr>
          <w:sz w:val="20"/>
          <w:szCs w:val="20"/>
          <w:color w:val="auto"/>
        </w:rPr>
      </w:pPr>
    </w:p>
    <w:p>
      <w:pPr>
        <w:jc w:val="both"/>
        <w:ind w:firstLine="236"/>
        <w:spacing w:after="0" w:line="263" w:lineRule="auto"/>
        <w:rPr>
          <w:sz w:val="20"/>
          <w:szCs w:val="20"/>
          <w:color w:val="auto"/>
        </w:rPr>
      </w:pPr>
      <w:r>
        <w:rPr>
          <w:rFonts w:ascii="Arial" w:cs="Arial" w:eastAsia="Arial" w:hAnsi="Arial"/>
          <w:sz w:val="19"/>
          <w:szCs w:val="19"/>
          <w:color w:val="auto"/>
        </w:rPr>
        <w:t>iii.</w:t>
      </w:r>
      <w:r>
        <w:rPr>
          <w:rFonts w:ascii="Arial" w:cs="Arial" w:eastAsia="Arial" w:hAnsi="Arial"/>
          <w:sz w:val="19"/>
          <w:szCs w:val="19"/>
          <w:u w:val="single" w:color="auto"/>
          <w:color w:val="auto"/>
        </w:rPr>
        <w:t>Noncontravention</w:t>
      </w:r>
      <w:r>
        <w:rPr>
          <w:rFonts w:ascii="Arial" w:cs="Arial" w:eastAsia="Arial" w:hAnsi="Arial"/>
          <w:sz w:val="19"/>
          <w:szCs w:val="19"/>
          <w:color w:val="auto"/>
        </w:rPr>
        <w:t>. The execution, delivery and performance by Founder of this Agreement and the consummation of the transactions contemplated hereby do not and will not (a) violate any governing document, including any trust agreement, applicable to Founder, (b) subject to compliance with Section 2.2, violate any applicable law, (c) assuming the waiver or inapplicability of any and all rights of first refusal or co-sale held by the Company or the Company’s stockholders that are applicable to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transactions contemplated hereby, require any consent or other action under, constitute a default under, or give rise to any right of termination, cancellation or acceleration of any obligation of Founder or to the loss of any benefit to which Founder is entitled under any provision of any agreement or other instrument binding upon Founder or (d) result in the creation or imposition of any lien on Founder’s Founder Equity Award or the shares of Class A Common Stock underlying such awards, other than restrictions on transfer arising under applicable securities laws or as set forth or contemplated by this Agreement, the Amended and Restated Certificate of Incorporation or any other agreements to which Founder and the Company are a party.</w:t>
      </w:r>
    </w:p>
    <w:p>
      <w:pPr>
        <w:spacing w:after="0" w:line="172" w:lineRule="exact"/>
        <w:rPr>
          <w:sz w:val="20"/>
          <w:szCs w:val="20"/>
          <w:color w:val="auto"/>
        </w:rPr>
      </w:pPr>
    </w:p>
    <w:p>
      <w:pPr>
        <w:jc w:val="center"/>
        <w:ind w:right="4060"/>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ind w:right="4060"/>
        <w:spacing w:after="0"/>
        <w:rPr>
          <w:sz w:val="20"/>
          <w:szCs w:val="20"/>
          <w:color w:val="auto"/>
        </w:rPr>
      </w:pPr>
      <w:r>
        <w:rPr>
          <w:rFonts w:ascii="Arial" w:cs="Arial" w:eastAsia="Arial" w:hAnsi="Arial"/>
          <w:sz w:val="20"/>
          <w:szCs w:val="20"/>
          <w:b w:val="1"/>
          <w:bCs w:val="1"/>
          <w:u w:val="single" w:color="auto"/>
          <w:color w:val="auto"/>
        </w:rPr>
        <w:t>REPRESENTATIONS AND WARRANTIES OF THE COMPANY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hereby represents and warrants to Founder, with respect to the transactions contemplated hereby, as follows:</w:t>
      </w:r>
    </w:p>
    <w:p>
      <w:pPr>
        <w:spacing w:after="0" w:line="227" w:lineRule="exact"/>
        <w:rPr>
          <w:sz w:val="20"/>
          <w:szCs w:val="20"/>
          <w:color w:val="auto"/>
        </w:rPr>
      </w:pPr>
    </w:p>
    <w:p>
      <w:pPr>
        <w:jc w:val="both"/>
        <w:ind w:firstLine="346"/>
        <w:spacing w:after="0" w:line="260" w:lineRule="auto"/>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Corporate Existence and Power</w:t>
      </w:r>
      <w:r>
        <w:rPr>
          <w:rFonts w:ascii="Arial" w:cs="Arial" w:eastAsia="Arial" w:hAnsi="Arial"/>
          <w:sz w:val="20"/>
          <w:szCs w:val="20"/>
          <w:color w:val="auto"/>
        </w:rPr>
        <w:t>. The Company is a corporation duly incorporated, validly existing and in good standing under the laws of the State of Delaware.</w:t>
      </w:r>
    </w:p>
    <w:p>
      <w:pPr>
        <w:spacing w:after="0" w:line="177" w:lineRule="exact"/>
        <w:rPr>
          <w:sz w:val="20"/>
          <w:szCs w:val="20"/>
          <w:color w:val="auto"/>
        </w:rPr>
      </w:pPr>
    </w:p>
    <w:p>
      <w:pPr>
        <w:jc w:val="both"/>
        <w:ind w:firstLine="291"/>
        <w:spacing w:after="0" w:line="270"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Corporate Authorization</w:t>
      </w:r>
      <w:r>
        <w:rPr>
          <w:rFonts w:ascii="Arial" w:cs="Arial" w:eastAsia="Arial" w:hAnsi="Arial"/>
          <w:sz w:val="18"/>
          <w:szCs w:val="18"/>
          <w:color w:val="auto"/>
        </w:rPr>
        <w:t>. The execution, delivery and performance by the Company of this Agreement and the consummation of the transactions contemplated hereby, including the issuance and delivery of the shares of Class B Common Stock in connection with each Exchange hereunder (including the conversion of Class B Common Stock into Class A Common Stock upon the terms specified in the Amended and Restated Certificate of Incorporation and the reclassification of Common Stock into Class A Common Stock) in accordance with the Amended and Restated Certificate of Incorporation, are within the corporate powers of the Company and have been duly authorized by all necessary corporate action on the part of the Company and the Company’s stockholders, subject to compliance with Section 3.3 and the approval of and adoption by the Company’s stockholders of the Amended and Restated Certificate of Incorporation. Any and all rights of first refusal or co-sale held by the Company or the Company’s stockholders that are applicable to the transactions contemplated hereby have been waived or are otherwise inapplicable to the transactions contemplated in this Agreement. Assuming the due authorization, execution and delivery by Founder, this Agreement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76" w:lineRule="exact"/>
        <w:rPr>
          <w:sz w:val="20"/>
          <w:szCs w:val="20"/>
          <w:color w:val="auto"/>
        </w:rPr>
      </w:pPr>
    </w:p>
    <w:p>
      <w:pPr>
        <w:jc w:val="both"/>
        <w:ind w:firstLine="236"/>
        <w:spacing w:after="0" w:line="282"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The execution, delivery and performance by the Company of this Agreement and the consummation of the transactions contemplated hereby require no action by or in respect of, or filing with, any governmental authority other than (a) the filing by the Company of the Amended and Restated Certificate of Incorporation with the Secretary of State of the State of Delaware and (b) compliance by the Company with any applicable requirements of any applicable state or federal securities laws.</w:t>
      </w:r>
    </w:p>
    <w:p>
      <w:pPr>
        <w:spacing w:after="0" w:line="161" w:lineRule="exact"/>
        <w:rPr>
          <w:sz w:val="20"/>
          <w:szCs w:val="20"/>
          <w:color w:val="auto"/>
        </w:rPr>
      </w:pPr>
    </w:p>
    <w:p>
      <w:pPr>
        <w:jc w:val="both"/>
        <w:ind w:firstLine="247"/>
        <w:spacing w:after="0" w:line="243" w:lineRule="auto"/>
        <w:rPr>
          <w:sz w:val="20"/>
          <w:szCs w:val="20"/>
          <w:color w:val="auto"/>
        </w:rPr>
      </w:pPr>
      <w:r>
        <w:rPr>
          <w:rFonts w:ascii="Arial" w:cs="Arial" w:eastAsia="Arial" w:hAnsi="Arial"/>
          <w:sz w:val="20"/>
          <w:szCs w:val="20"/>
          <w:color w:val="auto"/>
        </w:rPr>
        <w:t>iv.</w:t>
      </w:r>
      <w:r>
        <w:rPr>
          <w:rFonts w:ascii="Arial" w:cs="Arial" w:eastAsia="Arial" w:hAnsi="Arial"/>
          <w:sz w:val="20"/>
          <w:szCs w:val="20"/>
          <w:u w:val="single" w:color="auto"/>
          <w:color w:val="auto"/>
        </w:rPr>
        <w:t>Noncontravention</w:t>
      </w:r>
      <w:r>
        <w:rPr>
          <w:rFonts w:ascii="Arial" w:cs="Arial" w:eastAsia="Arial" w:hAnsi="Arial"/>
          <w:sz w:val="20"/>
          <w:szCs w:val="20"/>
          <w:color w:val="auto"/>
        </w:rPr>
        <w:t>. The execution, delivery and performance by the Company of this Agreement and the consummation of the transactions contemplated hereby do not and will not, assuming compliance with the matters referred to in Section 3.3 and approval of and adoption by the Company’s stockholders of the Amended and Restated Certificate of Incorporation, (a) violate the certificate of incorporation or bylaws of the Company, (b) violate any applicable law, (c) require any consent or other action by any person under, constitute a default under, or give rise to any right of termination, cancellation or acceleration of any right or obligation of the Company or to the loss of any benefit to which the Company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is entitled under any provision of any agreement or other instrument binding upon the Company or (d) result in the creation or imposition of any lien on the shares of Class B Common Stock other than as set forth or contemplated by this Agreement or the Amended and Restated Certificate of Incorporation.</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20"/>
          <w:szCs w:val="20"/>
          <w:b w:val="1"/>
          <w:bCs w:val="1"/>
          <w:u w:val="single" w:color="auto"/>
          <w:color w:val="auto"/>
        </w:rPr>
        <w:t>COVENANTS</w:t>
      </w:r>
    </w:p>
    <w:p>
      <w:pPr>
        <w:spacing w:after="0" w:line="200" w:lineRule="exact"/>
        <w:rPr>
          <w:sz w:val="20"/>
          <w:szCs w:val="20"/>
          <w:color w:val="auto"/>
        </w:rPr>
      </w:pPr>
    </w:p>
    <w:p>
      <w:pPr>
        <w:jc w:val="both"/>
        <w:ind w:firstLine="346"/>
        <w:spacing w:after="0" w:line="282"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Founder has entered into a lock-up agreement with the underwriters of the IPO with respect to the sale, disposition or transfer of Founder’s securities of the Company and Founder agrees not to revoke such lock-up agreement. Founder also agrees that any other lock-up or market stand-off agreements applicable to the shares of Common Stock of the Company held by Founder will continue to apply to the shares of the Class B Common Stock in accordance with the terms of such agreements.</w:t>
      </w:r>
    </w:p>
    <w:p>
      <w:pPr>
        <w:spacing w:after="0" w:line="155"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b w:val="1"/>
          <w:bCs w:val="1"/>
          <w:u w:val="single" w:color="auto"/>
          <w:color w:val="auto"/>
        </w:rPr>
        <w:t>GENERAL PROVISIONS</w:t>
      </w:r>
    </w:p>
    <w:p>
      <w:pPr>
        <w:spacing w:after="0" w:line="200" w:lineRule="exact"/>
        <w:rPr>
          <w:sz w:val="20"/>
          <w:szCs w:val="20"/>
          <w:color w:val="auto"/>
        </w:rPr>
      </w:pPr>
    </w:p>
    <w:p>
      <w:pPr>
        <w:jc w:val="both"/>
        <w:ind w:firstLine="346"/>
        <w:spacing w:after="0" w:line="31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in all respects by the internal laws of the State of Delaware as applied to agreements entered into among Delaware residents to be performed entirely within Delaware, without regard to principles of conflicts of law.</w:t>
      </w:r>
    </w:p>
    <w:p>
      <w:pPr>
        <w:spacing w:after="0" w:line="130"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Except as otherwise provided herein, the provisions hereof will inure to the benefit of, and be binding upon, the successors, assigns, heirs, executors and administrators of the parties hereto.</w:t>
      </w:r>
    </w:p>
    <w:p>
      <w:pPr>
        <w:spacing w:after="0" w:line="177" w:lineRule="exact"/>
        <w:rPr>
          <w:sz w:val="20"/>
          <w:szCs w:val="20"/>
          <w:color w:val="auto"/>
        </w:rPr>
      </w:pPr>
    </w:p>
    <w:p>
      <w:pPr>
        <w:jc w:val="both"/>
        <w:ind w:firstLine="236"/>
        <w:spacing w:after="0" w:line="244" w:lineRule="auto"/>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Entire Agreement; Amendment</w:t>
      </w:r>
      <w:r>
        <w:rPr>
          <w:rFonts w:ascii="Arial" w:cs="Arial" w:eastAsia="Arial" w:hAnsi="Arial"/>
          <w:sz w:val="20"/>
          <w:szCs w:val="20"/>
          <w:color w:val="auto"/>
        </w:rPr>
        <w:t>. Other than the rights, restrictions and preferences provided for under the Equity Documents with respect to the Founder Equity Award and the Amended and Restated Certificate of Incorporation and bylaws with respect to the shares of Class B Common Stock, this Agreement, including the exhibits attached hereto, constitute the full and entire understanding and agreement between the parties with respect to the subject matter hereof. Neither this Agreement nor any term hereof may be amended or waived other than by a written instrument signed by Founder and the Company.</w:t>
      </w:r>
    </w:p>
    <w:p>
      <w:pPr>
        <w:spacing w:after="0" w:line="194" w:lineRule="exact"/>
        <w:rPr>
          <w:sz w:val="20"/>
          <w:szCs w:val="20"/>
          <w:color w:val="auto"/>
        </w:rPr>
      </w:pPr>
    </w:p>
    <w:p>
      <w:pPr>
        <w:jc w:val="both"/>
        <w:ind w:firstLine="247"/>
        <w:spacing w:after="0" w:line="260" w:lineRule="auto"/>
        <w:rPr>
          <w:sz w:val="20"/>
          <w:szCs w:val="20"/>
          <w:color w:val="auto"/>
        </w:rPr>
      </w:pPr>
      <w:r>
        <w:rPr>
          <w:rFonts w:ascii="Arial" w:cs="Arial" w:eastAsia="Arial" w:hAnsi="Arial"/>
          <w:sz w:val="20"/>
          <w:szCs w:val="20"/>
          <w:color w:val="auto"/>
        </w:rPr>
        <w:t>iv.</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will be deemed an original, and all of which together will constitute one and the same instrument.</w:t>
      </w:r>
    </w:p>
    <w:p>
      <w:pPr>
        <w:spacing w:after="0" w:line="177" w:lineRule="exact"/>
        <w:rPr>
          <w:sz w:val="20"/>
          <w:szCs w:val="20"/>
          <w:color w:val="auto"/>
        </w:rPr>
      </w:pPr>
    </w:p>
    <w:p>
      <w:pPr>
        <w:jc w:val="both"/>
        <w:ind w:firstLine="301"/>
        <w:spacing w:after="0" w:line="282" w:lineRule="auto"/>
        <w:rPr>
          <w:sz w:val="20"/>
          <w:szCs w:val="20"/>
          <w:color w:val="auto"/>
        </w:rPr>
      </w:pPr>
      <w:r>
        <w:rPr>
          <w:rFonts w:ascii="Arial" w:cs="Arial" w:eastAsia="Arial" w:hAnsi="Arial"/>
          <w:sz w:val="18"/>
          <w:szCs w:val="18"/>
          <w:color w:val="auto"/>
        </w:rPr>
        <w:t>v.</w:t>
      </w: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Founder acknowledges and agrees that neither the execution of this Agreement nor the existence of the Put Right granted hereunder constitutes an express or implied promise of continuous employment or service with the Company for any period, or at all, and that neither the execution of this Agreement nor the existence of the Put Right granted hereunder will interfere in any way with Founder’s right or the right of the Company to terminate Founder’s employment or service at any time, with or without cause.</w:t>
      </w:r>
    </w:p>
    <w:p>
      <w:pPr>
        <w:spacing w:after="0" w:line="161" w:lineRule="exact"/>
        <w:rPr>
          <w:sz w:val="20"/>
          <w:szCs w:val="20"/>
          <w:color w:val="auto"/>
        </w:rPr>
      </w:pPr>
    </w:p>
    <w:p>
      <w:pPr>
        <w:jc w:val="both"/>
        <w:ind w:firstLine="247"/>
        <w:spacing w:after="0" w:line="281" w:lineRule="auto"/>
        <w:rPr>
          <w:sz w:val="20"/>
          <w:szCs w:val="20"/>
          <w:color w:val="auto"/>
        </w:rPr>
      </w:pPr>
      <w:r>
        <w:rPr>
          <w:rFonts w:ascii="Arial" w:cs="Arial" w:eastAsia="Arial" w:hAnsi="Arial"/>
          <w:sz w:val="18"/>
          <w:szCs w:val="18"/>
          <w:color w:val="auto"/>
        </w:rPr>
        <w:t>vi.</w:t>
      </w:r>
      <w:r>
        <w:rPr>
          <w:rFonts w:ascii="Arial" w:cs="Arial" w:eastAsia="Arial" w:hAnsi="Arial"/>
          <w:sz w:val="18"/>
          <w:szCs w:val="18"/>
          <w:u w:val="single" w:color="auto"/>
          <w:color w:val="auto"/>
        </w:rPr>
        <w:t>Tax Consequences</w:t>
      </w:r>
      <w:r>
        <w:rPr>
          <w:rFonts w:ascii="Arial" w:cs="Arial" w:eastAsia="Arial" w:hAnsi="Arial"/>
          <w:sz w:val="18"/>
          <w:szCs w:val="18"/>
          <w:color w:val="auto"/>
        </w:rPr>
        <w:t>. The parties intend that no gain or loss will be recognized in any Exchange pursuant to Sections 368(a)(1)(E) and/or 1036 of the Code. The parties adopt this Agreement as a plan of reorganization within the meaning of Treasury Regulations Sections 1.368-</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2(g) and 1.368-3(a). Notwithstanding the foregoing, the Company and Founder each have reviewed with its/his own tax advisors the federal, state, local and foreign tax consequences of the Put Right and the Exchange, the Founder Equity Award and the potential acquisition of shares of Class A Common Stock thereunder, the potential exchange of such shares for shares of Class B Common Stock, and the transactions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contemplated by this Agreement. Each party hereto is relying solely on such advisors and not on any statements or representations of the Company or any of its agents, or Founder or any of his agents, as applicable, in connection with the transactions contemplated hereby, except for the representations and warranties of the Company and Founder expressly set forth in Articles II and III.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to be effective as of the date first above written.</w:t>
      </w:r>
    </w:p>
    <w:p>
      <w:pPr>
        <w:sectPr>
          <w:pgSz w:w="11900" w:h="16838" w:orient="portrait"/>
          <w:cols w:equalWidth="0" w:num="1">
            <w:col w:w="9720"/>
          </w:cols>
          <w:pgMar w:left="980" w:top="1440" w:right="1199" w:bottom="1440" w:gutter="0" w:footer="0" w:header="0"/>
        </w:sectPr>
      </w:pP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RECURSION PHARMACEUTICALS,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Louisa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-14605</wp:posOffset>
            </wp:positionV>
            <wp:extent cx="10712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88" w:lineRule="exact"/>
        <w:rPr>
          <w:sz w:val="20"/>
          <w:szCs w:val="20"/>
          <w:color w:val="auto"/>
        </w:rPr>
      </w:pPr>
    </w:p>
    <w:p>
      <w:pPr>
        <w:ind w:left="3240"/>
        <w:spacing w:after="0"/>
        <w:tabs>
          <w:tab w:leader="none" w:pos="3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Louisa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-14605</wp:posOffset>
            </wp:positionV>
            <wp:extent cx="10083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8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2322195</wp:posOffset>
            </wp:positionH>
            <wp:positionV relativeFrom="paragraph">
              <wp:posOffset>-14605</wp:posOffset>
            </wp:positionV>
            <wp:extent cx="11455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to Equity Exchange Right Agreement]</w:t>
      </w:r>
    </w:p>
    <w:p>
      <w:pPr>
        <w:sectPr>
          <w:pgSz w:w="11900" w:h="16838" w:orient="portrait"/>
          <w:cols w:equalWidth="0" w:num="1">
            <w:col w:w="9720"/>
          </w:cols>
          <w:pgMar w:left="980" w:top="1440" w:right="1199" w:bottom="1440" w:gutter="0" w:footer="0" w:header="0"/>
          <w:type w:val="continuous"/>
        </w:sectPr>
      </w:pPr>
    </w:p>
    <w:bookmarkStart w:id="108" w:name="page109"/>
    <w:bookmarkEnd w:id="108"/>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to be effective as of the date first above written.</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CHRISTOPHER GIBSON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-14605</wp:posOffset>
            </wp:positionV>
            <wp:extent cx="1277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Equity Exchange Right Agreement]</w:t>
      </w:r>
    </w:p>
    <w:p>
      <w:pPr>
        <w:sectPr>
          <w:pgSz w:w="11900" w:h="16838" w:orient="portrait"/>
          <w:cols w:equalWidth="0" w:num="1">
            <w:col w:w="10139"/>
          </w:cols>
          <w:pgMar w:left="320" w:top="1440" w:right="1440" w:bottom="1440" w:gutter="0" w:footer="0" w:header="0"/>
          <w:type w:val="continuous"/>
        </w:sectPr>
      </w:pPr>
    </w:p>
    <w:bookmarkStart w:id="109" w:name="page110"/>
    <w:bookmarkEnd w:id="109"/>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60" w:type="dxa"/>
            <w:vAlign w:val="bottom"/>
            <w:tcBorders>
              <w:top w:val="single" w:sz="8" w:color="auto"/>
              <w:left w:val="single" w:sz="8" w:color="auto"/>
            </w:tcBorders>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w w:val="91"/>
              </w:rPr>
              <w:t>Grant Date</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Expiration Date</w:t>
            </w:r>
          </w:p>
        </w:tc>
        <w:tc>
          <w:tcPr>
            <w:tcW w:w="620" w:type="dxa"/>
            <w:vAlign w:val="bottom"/>
            <w:tcBorders>
              <w:top w:val="single" w:sz="8" w:color="auto"/>
              <w:right w:val="single" w:sz="8" w:color="auto"/>
            </w:tcBorders>
          </w:tcPr>
          <w:p>
            <w:pPr>
              <w:spacing w:after="0"/>
              <w:rPr>
                <w:sz w:val="19"/>
                <w:szCs w:val="19"/>
                <w:color w:val="auto"/>
              </w:rPr>
            </w:pPr>
          </w:p>
        </w:tc>
        <w:tc>
          <w:tcPr>
            <w:tcW w:w="25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1"/>
              </w:rPr>
              <w:t>Equity Award Type</w:t>
            </w:r>
          </w:p>
        </w:tc>
        <w:tc>
          <w:tcPr>
            <w:tcW w:w="2840" w:type="dxa"/>
            <w:vAlign w:val="bottom"/>
            <w:tcBorders>
              <w:top w:val="single" w:sz="8" w:color="auto"/>
              <w:right w:val="single" w:sz="8" w:color="auto"/>
            </w:tcBorders>
            <w:gridSpan w:val="7"/>
          </w:tcPr>
          <w:p>
            <w:pPr>
              <w:jc w:val="center"/>
              <w:spacing w:after="0"/>
              <w:rPr>
                <w:sz w:val="20"/>
                <w:szCs w:val="20"/>
                <w:color w:val="auto"/>
              </w:rPr>
            </w:pPr>
            <w:r>
              <w:rPr>
                <w:rFonts w:ascii="Arial" w:cs="Arial" w:eastAsia="Arial" w:hAnsi="Arial"/>
                <w:sz w:val="20"/>
                <w:szCs w:val="20"/>
                <w:b w:val="1"/>
                <w:bCs w:val="1"/>
                <w:color w:val="auto"/>
                <w:w w:val="88"/>
              </w:rPr>
              <w:t>Number of Shares of Class A</w:t>
            </w:r>
          </w:p>
        </w:tc>
      </w:tr>
      <w:tr>
        <w:trPr>
          <w:trHeight w:val="210"/>
        </w:trPr>
        <w:tc>
          <w:tcPr>
            <w:tcW w:w="1160" w:type="dxa"/>
            <w:vAlign w:val="bottom"/>
            <w:tcBorders>
              <w:left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3"/>
          </w:tcPr>
          <w:p>
            <w:pPr>
              <w:jc w:val="center"/>
              <w:spacing w:after="0" w:line="209" w:lineRule="exact"/>
              <w:rPr>
                <w:sz w:val="20"/>
                <w:szCs w:val="20"/>
                <w:color w:val="auto"/>
              </w:rPr>
            </w:pPr>
            <w:r>
              <w:rPr>
                <w:rFonts w:ascii="Arial" w:cs="Arial" w:eastAsia="Arial" w:hAnsi="Arial"/>
                <w:sz w:val="20"/>
                <w:szCs w:val="20"/>
                <w:b w:val="1"/>
                <w:bCs w:val="1"/>
                <w:color w:val="auto"/>
                <w:w w:val="89"/>
              </w:rPr>
              <w:t>Common Stock Subject to</w:t>
            </w:r>
          </w:p>
        </w:tc>
        <w:tc>
          <w:tcPr>
            <w:tcW w:w="1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09"/>
        </w:trPr>
        <w:tc>
          <w:tcPr>
            <w:tcW w:w="1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Borders>
              <w:right w:val="single" w:sz="8" w:color="auto"/>
            </w:tcBorders>
            <w:gridSpan w:val="4"/>
          </w:tcPr>
          <w:p>
            <w:pPr>
              <w:jc w:val="center"/>
              <w:ind w:right="440"/>
              <w:spacing w:after="0" w:line="209" w:lineRule="exact"/>
              <w:rPr>
                <w:sz w:val="20"/>
                <w:szCs w:val="20"/>
                <w:color w:val="auto"/>
              </w:rPr>
            </w:pPr>
            <w:r>
              <w:rPr>
                <w:rFonts w:ascii="Arial" w:cs="Arial" w:eastAsia="Arial" w:hAnsi="Arial"/>
                <w:sz w:val="20"/>
                <w:szCs w:val="20"/>
                <w:b w:val="1"/>
                <w:bCs w:val="1"/>
                <w:color w:val="auto"/>
                <w:w w:val="92"/>
              </w:rPr>
              <w:t>Founder Equity Award</w:t>
            </w:r>
          </w:p>
        </w:tc>
      </w:tr>
      <w:tr>
        <w:trPr>
          <w:trHeight w:val="48"/>
        </w:trPr>
        <w:tc>
          <w:tcPr>
            <w:tcW w:w="116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98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r>
      <w:tr>
        <w:trPr>
          <w:trHeight w:val="254"/>
        </w:trPr>
        <w:tc>
          <w:tcPr>
            <w:tcW w:w="2120" w:type="dxa"/>
            <w:vAlign w:val="bottom"/>
            <w:tcBorders>
              <w:left w:val="single" w:sz="8" w:color="auto"/>
            </w:tcBorders>
            <w:gridSpan w:val="2"/>
          </w:tcPr>
          <w:p>
            <w:pPr>
              <w:ind w:left="1180"/>
              <w:spacing w:after="0"/>
              <w:rPr>
                <w:sz w:val="20"/>
                <w:szCs w:val="20"/>
                <w:color w:val="auto"/>
              </w:rPr>
            </w:pPr>
            <w:r>
              <w:rPr>
                <w:rFonts w:ascii="Arial" w:cs="Arial" w:eastAsia="Arial" w:hAnsi="Arial"/>
                <w:sz w:val="20"/>
                <w:szCs w:val="20"/>
                <w:color w:val="auto"/>
                <w:w w:val="91"/>
              </w:rPr>
              <w:t>12/31/2020</w:t>
            </w:r>
          </w:p>
        </w:tc>
        <w:tc>
          <w:tcPr>
            <w:tcW w:w="3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20"/>
                <w:szCs w:val="20"/>
                <w:color w:val="auto"/>
              </w:rPr>
              <w:t>12/30/2030</w:t>
            </w:r>
          </w:p>
        </w:tc>
        <w:tc>
          <w:tcPr>
            <w:tcW w:w="620" w:type="dxa"/>
            <w:vAlign w:val="bottom"/>
            <w:tcBorders>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20"/>
                <w:szCs w:val="20"/>
                <w:color w:val="auto"/>
                <w:w w:val="91"/>
              </w:rPr>
              <w:t>ISO/NSO</w:t>
            </w:r>
          </w:p>
        </w:tc>
        <w:tc>
          <w:tcPr>
            <w:tcW w:w="2400" w:type="dxa"/>
            <w:vAlign w:val="bottom"/>
            <w:gridSpan w:val="4"/>
          </w:tcPr>
          <w:p>
            <w:pPr>
              <w:jc w:val="center"/>
              <w:ind w:left="321"/>
              <w:spacing w:after="0"/>
              <w:rPr>
                <w:sz w:val="20"/>
                <w:szCs w:val="20"/>
                <w:color w:val="auto"/>
              </w:rPr>
            </w:pPr>
            <w:r>
              <w:rPr>
                <w:rFonts w:ascii="Arial" w:cs="Arial" w:eastAsia="Arial" w:hAnsi="Arial"/>
                <w:sz w:val="20"/>
                <w:szCs w:val="20"/>
                <w:color w:val="auto"/>
                <w:w w:val="87"/>
              </w:rPr>
              <w:t>1,500,000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116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54"/>
        </w:trPr>
        <w:tc>
          <w:tcPr>
            <w:tcW w:w="1160" w:type="dxa"/>
            <w:vAlign w:val="bottom"/>
            <w:tcBorders>
              <w:left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Borders>
              <w:right w:val="single" w:sz="8" w:color="auto"/>
            </w:tcBorders>
          </w:tcPr>
          <w:p>
            <w:pPr>
              <w:ind w:left="300"/>
              <w:spacing w:after="0"/>
              <w:rPr>
                <w:sz w:val="20"/>
                <w:szCs w:val="20"/>
                <w:color w:val="auto"/>
              </w:rPr>
            </w:pPr>
            <w:r>
              <w:rPr>
                <w:rFonts w:ascii="Arial" w:cs="Arial" w:eastAsia="Arial" w:hAnsi="Arial"/>
                <w:sz w:val="20"/>
                <w:szCs w:val="20"/>
                <w:b w:val="1"/>
                <w:bCs w:val="1"/>
                <w:color w:val="auto"/>
                <w:w w:val="91"/>
              </w:rPr>
              <w:t>Total:</w:t>
            </w:r>
          </w:p>
        </w:tc>
        <w:tc>
          <w:tcPr>
            <w:tcW w:w="6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2400" w:type="dxa"/>
            <w:vAlign w:val="bottom"/>
            <w:gridSpan w:val="4"/>
          </w:tcPr>
          <w:p>
            <w:pPr>
              <w:jc w:val="center"/>
              <w:ind w:left="321"/>
              <w:spacing w:after="0"/>
              <w:rPr>
                <w:sz w:val="20"/>
                <w:szCs w:val="20"/>
                <w:color w:val="auto"/>
              </w:rPr>
            </w:pPr>
            <w:r>
              <w:rPr>
                <w:rFonts w:ascii="Arial" w:cs="Arial" w:eastAsia="Arial" w:hAnsi="Arial"/>
                <w:sz w:val="20"/>
                <w:szCs w:val="20"/>
                <w:b w:val="1"/>
                <w:bCs w:val="1"/>
                <w:color w:val="auto"/>
                <w:w w:val="87"/>
              </w:rPr>
              <w:t>1,500,000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r>
      <w:tr>
        <w:trPr>
          <w:trHeight w:val="23"/>
        </w:trPr>
        <w:tc>
          <w:tcPr>
            <w:tcW w:w="116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10" w:name="page111"/>
    <w:bookmarkEnd w:id="110"/>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Put Right Notice (the “Notice”)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be signed only upon exercise of a Put Right)</w:t>
      </w:r>
    </w:p>
    <w:p>
      <w:pPr>
        <w:spacing w:after="0" w:line="21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6"/>
          <w:szCs w:val="16"/>
          <w:color w:val="auto"/>
        </w:rPr>
        <w:t>Recursion Pharmaceuticals, Inc.</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Chief Legal Officer</w:t>
      </w:r>
    </w:p>
    <w:p>
      <w:pPr>
        <w:spacing w:after="0" w:line="1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undersigned (the “</w:t>
      </w:r>
      <w:r>
        <w:rPr>
          <w:rFonts w:ascii="Arial" w:cs="Arial" w:eastAsia="Arial" w:hAnsi="Arial"/>
          <w:sz w:val="18"/>
          <w:szCs w:val="18"/>
          <w:b w:val="1"/>
          <w:bCs w:val="1"/>
          <w:color w:val="auto"/>
        </w:rPr>
        <w:t>Founder</w:t>
      </w:r>
      <w:r>
        <w:rPr>
          <w:rFonts w:ascii="Arial" w:cs="Arial" w:eastAsia="Arial" w:hAnsi="Arial"/>
          <w:sz w:val="18"/>
          <w:szCs w:val="18"/>
          <w:color w:val="auto"/>
        </w:rPr>
        <w:t>”), hereby irrevocably elects to exercise its right under the Put Right pursuant to the Equity Exchange Right Agreement dated as of April 20, 2021 (the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Recursion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and Founder, to require the Company to exchange ___________________ Put Eligible Shares (the “</w:t>
      </w:r>
      <w:r>
        <w:rPr>
          <w:rFonts w:ascii="Arial" w:cs="Arial" w:eastAsia="Arial" w:hAnsi="Arial"/>
          <w:sz w:val="18"/>
          <w:szCs w:val="18"/>
          <w:b w:val="1"/>
          <w:bCs w:val="1"/>
          <w:color w:val="auto"/>
        </w:rPr>
        <w:t>Exercised Shares</w:t>
      </w:r>
      <w:r>
        <w:rPr>
          <w:rFonts w:ascii="Arial" w:cs="Arial" w:eastAsia="Arial" w:hAnsi="Arial"/>
          <w:sz w:val="18"/>
          <w:szCs w:val="18"/>
          <w:color w:val="auto"/>
        </w:rPr>
        <w:t>”) for a number of shares</w:t>
      </w:r>
    </w:p>
    <w:p>
      <w:pPr>
        <w:spacing w:after="0" w:line="2"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of Class B Common Stock of equivalent value as determined on the date of the Exchange, subject to the terms of this Notice and the Agreement. Capitalized terms not otherwise defined in the Notice will have the meaning ascribed to them in the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executing this Notice, Founder hereby represents and warrants to the Purchaser as follows:</w:t>
      </w:r>
    </w:p>
    <w:p>
      <w:pPr>
        <w:spacing w:after="0" w:line="216" w:lineRule="exact"/>
        <w:rPr>
          <w:sz w:val="20"/>
          <w:szCs w:val="20"/>
          <w:color w:val="auto"/>
        </w:rPr>
      </w:pPr>
    </w:p>
    <w:p>
      <w:pPr>
        <w:ind w:firstLine="656"/>
        <w:spacing w:after="0" w:line="316" w:lineRule="auto"/>
        <w:tabs>
          <w:tab w:leader="none" w:pos="1296" w:val="left"/>
        </w:tabs>
        <w:numPr>
          <w:ilvl w:val="0"/>
          <w:numId w:val="51"/>
        </w:numPr>
        <w:rPr>
          <w:rFonts w:ascii="Arial" w:cs="Arial" w:eastAsia="Arial" w:hAnsi="Arial"/>
          <w:sz w:val="16"/>
          <w:szCs w:val="16"/>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s. Founder acknowledges and affirms that the representations and warranties set forth in Article II of the Agreement as of the date of this Notice are true and correct, and agrees to the covenants set forth in Article IV of the Agreement.</w:t>
      </w:r>
    </w:p>
    <w:p>
      <w:pPr>
        <w:spacing w:after="0" w:line="129" w:lineRule="exact"/>
        <w:rPr>
          <w:rFonts w:ascii="Arial" w:cs="Arial" w:eastAsia="Arial" w:hAnsi="Arial"/>
          <w:sz w:val="16"/>
          <w:szCs w:val="16"/>
          <w:color w:val="auto"/>
        </w:rPr>
      </w:pPr>
    </w:p>
    <w:p>
      <w:pPr>
        <w:jc w:val="both"/>
        <w:ind w:right="20" w:firstLine="656"/>
        <w:spacing w:after="0" w:line="250" w:lineRule="auto"/>
        <w:tabs>
          <w:tab w:leader="none" w:pos="1296" w:val="left"/>
        </w:tabs>
        <w:numPr>
          <w:ilvl w:val="0"/>
          <w:numId w:val="51"/>
        </w:numPr>
        <w:rPr>
          <w:rFonts w:ascii="Arial" w:cs="Arial" w:eastAsia="Arial" w:hAnsi="Arial"/>
          <w:sz w:val="18"/>
          <w:szCs w:val="18"/>
          <w:color w:val="auto"/>
        </w:rPr>
      </w:pPr>
      <w:r>
        <w:rPr>
          <w:rFonts w:ascii="Arial" w:cs="Arial" w:eastAsia="Arial" w:hAnsi="Arial"/>
          <w:sz w:val="20"/>
          <w:szCs w:val="20"/>
          <w:u w:val="single" w:color="auto"/>
          <w:color w:val="auto"/>
        </w:rPr>
        <w:t>Legends</w:t>
      </w:r>
      <w:r>
        <w:rPr>
          <w:rFonts w:ascii="Arial" w:cs="Arial" w:eastAsia="Arial" w:hAnsi="Arial"/>
          <w:sz w:val="20"/>
          <w:szCs w:val="20"/>
          <w:color w:val="auto"/>
        </w:rPr>
        <w:t>. It is understood that any certificate or book entry position representing the shares of Class B Common Stock and any securities issued in respect thereof or exchange therefor, will bear legends in substantially the following form (in addition to any legend required under applicable state securities laws or agreements to which Founder is a party):</w:t>
      </w:r>
    </w:p>
    <w:p>
      <w:pPr>
        <w:spacing w:after="0" w:line="186" w:lineRule="exact"/>
        <w:rPr>
          <w:sz w:val="20"/>
          <w:szCs w:val="20"/>
          <w:color w:val="auto"/>
        </w:rPr>
      </w:pPr>
    </w:p>
    <w:p>
      <w:pPr>
        <w:jc w:val="both"/>
        <w:ind w:left="660" w:right="640"/>
        <w:spacing w:after="0" w:line="242" w:lineRule="auto"/>
        <w:rPr>
          <w:sz w:val="20"/>
          <w:szCs w:val="20"/>
          <w:color w:val="auto"/>
        </w:rPr>
      </w:pPr>
      <w:r>
        <w:rPr>
          <w:rFonts w:ascii="Arial" w:cs="Arial" w:eastAsia="Arial" w:hAnsi="Arial"/>
          <w:sz w:val="20"/>
          <w:szCs w:val="20"/>
          <w:color w:val="auto"/>
        </w:rPr>
        <w:t>“THE SECURITIES REPRESENTED HEREBY HAVE NOT BEEN REGISTERED UNDER THE SECURITIES ACT OF 1933, AS AMENDED (THE “</w:t>
      </w:r>
      <w:r>
        <w:rPr>
          <w:rFonts w:ascii="Arial" w:cs="Arial" w:eastAsia="Arial" w:hAnsi="Arial"/>
          <w:sz w:val="20"/>
          <w:szCs w:val="20"/>
          <w:b w:val="1"/>
          <w:bCs w:val="1"/>
          <w:color w:val="auto"/>
        </w:rPr>
        <w:t>ACT</w:t>
      </w:r>
      <w:r>
        <w:rPr>
          <w:rFonts w:ascii="Arial" w:cs="Arial" w:eastAsia="Arial" w:hAnsi="Arial"/>
          <w:sz w:val="20"/>
          <w:szCs w:val="20"/>
          <w:color w:val="auto"/>
        </w:rPr>
        <w:t>”), OR UNDER THE SECURITIES LAWS OF CERTAIN STATES. THESE SECURITIES MAY NOT BE OFFERED, SOLD OR OTHERWISE TRANSFERRED, PLEDGED OR HYPOTHECATED EXCEPT AS PERMITTED UNDER THE ACT AND APPLICABLE STATE SECURITIES LAWS PURSUANT TO REGISTRATION OR AN EXEMPTION THEREFROM. THE ISSUER OF THESE SECURITIES MAY REQUIRE AN OPINION OF COUNSEL SATISFACTORY TO THE ISSUER THAT SUCH OFFER, SALE OR TRANSFER, PLEDGE OR HYPOTHECATION OTHERWISE COMPLIES WITH THE ACT AND ANY APPLICABLE STATE SECURITIES LAWS.”</w:t>
      </w:r>
    </w:p>
    <w:p>
      <w:pPr>
        <w:spacing w:after="0" w:line="197" w:lineRule="exact"/>
        <w:rPr>
          <w:sz w:val="20"/>
          <w:szCs w:val="20"/>
          <w:color w:val="auto"/>
        </w:rPr>
      </w:pPr>
    </w:p>
    <w:p>
      <w:pPr>
        <w:jc w:val="both"/>
        <w:ind w:firstLine="656"/>
        <w:spacing w:after="0" w:line="273" w:lineRule="auto"/>
        <w:tabs>
          <w:tab w:leader="none" w:pos="1296" w:val="left"/>
        </w:tabs>
        <w:numPr>
          <w:ilvl w:val="0"/>
          <w:numId w:val="52"/>
        </w:numPr>
        <w:rPr>
          <w:rFonts w:ascii="Arial" w:cs="Arial" w:eastAsia="Arial" w:hAnsi="Arial"/>
          <w:sz w:val="16"/>
          <w:szCs w:val="16"/>
          <w:color w:val="auto"/>
        </w:rPr>
      </w:pPr>
      <w:r>
        <w:rPr>
          <w:rFonts w:ascii="Arial" w:cs="Arial" w:eastAsia="Arial" w:hAnsi="Arial"/>
          <w:sz w:val="18"/>
          <w:szCs w:val="18"/>
          <w:u w:val="single" w:color="auto"/>
          <w:color w:val="auto"/>
        </w:rPr>
        <w:t>Restricted Securities; Rule 144</w:t>
      </w:r>
      <w:r>
        <w:rPr>
          <w:rFonts w:ascii="Arial" w:cs="Arial" w:eastAsia="Arial" w:hAnsi="Arial"/>
          <w:sz w:val="18"/>
          <w:szCs w:val="18"/>
          <w:color w:val="auto"/>
        </w:rPr>
        <w:t>. Except as otherwise permitted by applicable law, Founder understands that any shares of Class B Common Stock issued to Founder in an Exchange will be characterized as “restricted securities” under the Act because such shares are being acquired from the Company in a transaction not involving a public offering and in exchange for shares acquired from the Company in a transaction not involving a public offering, and that under the Securities Act and the rules and regulations promulgated thereunder the shares of Class B Common Stock may be resold without registration under the Act only in certain limited circumstances, and subject to the restrictions under the Company’s certificate of incorporation. Founder understands and hereby acknowledges that the shares of Class B Common Stock must be held indefinitely unless subsequently registered under the Act or an exemption from such registration is otherwise available. Founder is aware of the provisions of Rule 144 promulgated under</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Act, which permit limited resales of shares purchased in a transaction not involving a public offering, subject to the satisfaction of certain conditions.</w:t>
      </w:r>
    </w:p>
    <w:p>
      <w:pPr>
        <w:spacing w:after="0" w:line="177" w:lineRule="exact"/>
        <w:rPr>
          <w:sz w:val="20"/>
          <w:szCs w:val="20"/>
          <w:color w:val="auto"/>
        </w:rPr>
      </w:pPr>
    </w:p>
    <w:p>
      <w:pPr>
        <w:jc w:val="both"/>
        <w:ind w:firstLine="656"/>
        <w:spacing w:after="0" w:line="243" w:lineRule="auto"/>
        <w:tabs>
          <w:tab w:leader="none" w:pos="1296" w:val="left"/>
        </w:tabs>
        <w:numPr>
          <w:ilvl w:val="0"/>
          <w:numId w:val="53"/>
        </w:numPr>
        <w:rPr>
          <w:rFonts w:ascii="Arial" w:cs="Arial" w:eastAsia="Arial" w:hAnsi="Arial"/>
          <w:sz w:val="18"/>
          <w:szCs w:val="18"/>
          <w:color w:val="auto"/>
        </w:rPr>
      </w:pPr>
      <w:r>
        <w:rPr>
          <w:rFonts w:ascii="Arial" w:cs="Arial" w:eastAsia="Arial" w:hAnsi="Arial"/>
          <w:sz w:val="20"/>
          <w:szCs w:val="20"/>
          <w:u w:val="single" w:color="auto"/>
          <w:color w:val="auto"/>
        </w:rPr>
        <w:t>Tax Matters</w:t>
      </w:r>
      <w:r>
        <w:rPr>
          <w:rFonts w:ascii="Arial" w:cs="Arial" w:eastAsia="Arial" w:hAnsi="Arial"/>
          <w:sz w:val="20"/>
          <w:szCs w:val="20"/>
          <w:color w:val="auto"/>
        </w:rPr>
        <w:t>. Founder has reviewed with his own tax advisors the federal, state, local and foreign tax consequences of the Put Right and the Exchange, the Founder Equity Award and the potential acquisition of shares of Class A Common Stock thereunder, the potential exchange of such shares for shares of Class B Common Stock, and the transactions contemplated by this Agreement. Founder is relying solely on such advisors and not on any statements or representations of the Company or any of its agents in connection with the transactions contemplated hereby, except for the representations and warranties of the Company expressly set forth in Article III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-14605</wp:posOffset>
            </wp:positionV>
            <wp:extent cx="1257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267335</wp:posOffset>
            </wp:positionV>
            <wp:extent cx="1257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Christopher Gibson</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-14605</wp:posOffset>
            </wp:positionV>
            <wp:extent cx="125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267335</wp:posOffset>
            </wp:positionV>
            <wp:extent cx="1257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Put Right Notice]</w:t>
      </w:r>
    </w:p>
    <w:p>
      <w:pPr>
        <w:sectPr>
          <w:pgSz w:w="11900" w:h="16838" w:orient="portrait"/>
          <w:cols w:equalWidth="0" w:num="1">
            <w:col w:w="11240"/>
          </w:cols>
          <w:pgMar w:left="320" w:top="1440" w:right="3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580" w:firstLine="8"/>
        <w:spacing w:after="0" w:line="261"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right="60" w:hanging="4"/>
        <w:spacing w:after="0" w:line="256" w:lineRule="auto"/>
        <w:tabs>
          <w:tab w:leader="none" w:pos="9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660" w:right="200" w:hanging="4"/>
        <w:spacing w:after="0" w:line="256" w:lineRule="auto"/>
        <w:tabs>
          <w:tab w:leader="none" w:pos="9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660" w:right="120" w:hanging="4"/>
        <w:spacing w:after="0" w:line="256"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right="460" w:firstLine="8"/>
        <w:spacing w:after="0" w:line="256"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660" w:right="300" w:hanging="4"/>
        <w:spacing w:after="0" w:line="291" w:lineRule="auto"/>
        <w:tabs>
          <w:tab w:leader="none" w:pos="93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660" w:right="220" w:hanging="4"/>
        <w:spacing w:after="0" w:line="261" w:lineRule="auto"/>
        <w:tabs>
          <w:tab w:leader="none" w:pos="9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ectPr>
          <w:pgSz w:w="11900" w:h="16838" w:orient="portrait"/>
          <w:cols w:equalWidth="0" w:num="1">
            <w:col w:w="11240"/>
          </w:cols>
          <w:pgMar w:left="320" w:top="1413"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Michael Secora, certify that:</w:t>
      </w:r>
    </w:p>
    <w:p>
      <w:pPr>
        <w:spacing w:after="0" w:line="252"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580" w:firstLine="8"/>
        <w:spacing w:after="0" w:line="261" w:lineRule="auto"/>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right="60" w:hanging="4"/>
        <w:spacing w:after="0" w:line="256" w:lineRule="auto"/>
        <w:tabs>
          <w:tab w:leader="none" w:pos="93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660" w:right="200" w:hanging="4"/>
        <w:spacing w:after="0" w:line="256" w:lineRule="auto"/>
        <w:tabs>
          <w:tab w:leader="none" w:pos="93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660" w:right="120" w:hanging="4"/>
        <w:spacing w:after="0" w:line="256"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right="460" w:firstLine="8"/>
        <w:spacing w:after="0" w:line="256" w:lineRule="auto"/>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660" w:right="300" w:hanging="4"/>
        <w:spacing w:after="0" w:line="291" w:lineRule="auto"/>
        <w:tabs>
          <w:tab w:leader="none" w:pos="93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660" w:right="220" w:hanging="4"/>
        <w:spacing w:after="0" w:line="261" w:lineRule="auto"/>
        <w:tabs>
          <w:tab w:leader="none" w:pos="93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ectPr>
          <w:pgSz w:w="11900" w:h="16838" w:orient="portrait"/>
          <w:cols w:equalWidth="0" w:num="1">
            <w:col w:w="11240"/>
          </w:cols>
          <w:pgMar w:left="320" w:top="1413" w:right="339" w:bottom="1440" w:gutter="0" w:footer="0" w:header="0"/>
        </w:sectPr>
      </w:pPr>
    </w:p>
    <w:bookmarkStart w:id="114" w:name="page115"/>
    <w:bookmarkEnd w:id="114"/>
    <w:p>
      <w:pPr>
        <w:ind w:left="10240"/>
        <w:spacing w:after="0"/>
        <w:rPr>
          <w:sz w:val="20"/>
          <w:szCs w:val="20"/>
          <w:color w:val="auto"/>
        </w:rPr>
      </w:pPr>
      <w:r>
        <w:rPr>
          <w:rFonts w:ascii="Arial" w:cs="Arial" w:eastAsia="Arial" w:hAnsi="Arial"/>
          <w:sz w:val="17"/>
          <w:szCs w:val="17"/>
          <w:b w:val="1"/>
          <w:bCs w:val="1"/>
          <w:color w:val="auto"/>
        </w:rPr>
        <w:t>Exhibit 32.1</w:t>
      </w:r>
    </w:p>
    <w:p>
      <w:pPr>
        <w:spacing w:after="0" w:line="264"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20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March 31, 2021 as filed with the Securities and Exchange Commission on the date hereof (the “Report”), I certify, pursuant to 18 U.S.C. Section 1350, as adopted pursuant to Section 906 of the Sarbanes-Oxley Act of 2002, that:</w:t>
      </w:r>
    </w:p>
    <w:p>
      <w:pPr>
        <w:spacing w:after="0" w:line="229"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61" w:lineRule="auto"/>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lowerRoman"/>
      <w:start w:val="4"/>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lvl w:ilvl="1">
      <w:lvlJc w:val="left"/>
      <w:lvlText w:val="(%2)"/>
      <w:numFmt w:val="decimal"/>
      <w:start w:val="2"/>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lvl w:ilvl="1">
      <w:lvlJc w:val="left"/>
      <w:lvlText w:val="(%2)"/>
      <w:numFmt w:val="lowerLetter"/>
      <w:start w:val="1"/>
    </w:lvl>
  </w:abstractNum>
  <w:abstractNum w:abstractNumId="49">
    <w:nsid w:val="70C6A529"/>
    <w:multiLevelType w:val="hybridMultilevel"/>
    <w:lvl w:ilvl="0">
      <w:lvlJc w:val="left"/>
      <w:lvlText w:val="(%1)"/>
      <w:numFmt w:val="lowerLetter"/>
      <w:start w:val="2"/>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3"/>
    </w:lvl>
  </w:abstractNum>
  <w:abstractNum w:abstractNumId="52">
    <w:nsid w:val="4F4EF005"/>
    <w:multiLevelType w:val="hybridMultilevel"/>
    <w:lvl w:ilvl="0">
      <w:lvlJc w:val="left"/>
      <w:lvlText w:val="%1."/>
      <w:numFmt w:val="decimal"/>
      <w:start w:val="4"/>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02" Type="http://schemas.openxmlformats.org/officeDocument/2006/relationships/hyperlink" Target="https://www.sec.gov/Archives/edgar/data/0001601830/000119312521123764/d149444dex31.htm" TargetMode="External"/><Relationship Id="rId103" Type="http://schemas.openxmlformats.org/officeDocument/2006/relationships/hyperlink" Target="https://www.sec.gov/Archives/edgar/data/0001601830/000119312521123764/d149444dex32.htm" TargetMode="External"/><Relationship Id="rId104" Type="http://schemas.openxmlformats.org/officeDocument/2006/relationships/hyperlink" Target="https://www.sec.gov/Archives/edgar/data/0001601830/000119312521089610/d89478dex41.htm" TargetMode="External"/><Relationship Id="rId105" Type="http://schemas.openxmlformats.org/officeDocument/2006/relationships/hyperlink" Target="https://www.sec.gov/Archives/edgar/data/0001601830/000119312521089610/d8947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2021-05-12T07:50:21Z</dcterms:created>
  <dcterms:modified xsi:type="dcterms:W3CDTF">2021-05-12T07:50:21Z</dcterms:modified>
</cp:coreProperties>
</file>