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9750" w:type="dxa"/>
        <w:jc w:val="left"/>
        <w:tblInd w:w="0" w:type="dxa"/>
        <w:tblLayout w:type="fixed"/>
        <w:tblCellMar>
          <w:top w:w="28" w:type="dxa"/>
          <w:left w:w="28" w:type="dxa"/>
          <w:bottom w:w="28" w:type="dxa"/>
          <w:right w:w="28" w:type="dxa"/>
        </w:tblCellMar>
      </w:tblPr>
      <w:tblGrid>
        <w:gridCol w:w="3120"/>
        <w:gridCol w:w="2746"/>
        <w:gridCol w:w="3884"/>
      </w:tblGrid>
      <w:tr>
        <w:trPr/>
        <w:tc>
          <w:tcPr>
            <w:tcW w:w="3120"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884" w:type="dxa"/>
            <w:tcBorders/>
            <w:vAlign w:val="center"/>
          </w:tcPr>
          <w:p>
            <w:pPr>
              <w:pStyle w:val="TableContents"/>
              <w:bidi w:val="0"/>
              <w:spacing w:before="0" w:after="283"/>
              <w:jc w:val="left"/>
              <w:rPr>
                <w:sz w:val="4"/>
                <w:szCs w:val="4"/>
              </w:rPr>
            </w:pPr>
            <w:r>
              <w:rPr>
                <w:sz w:val="4"/>
                <w:szCs w:val="4"/>
              </w:rPr>
            </w:r>
          </w:p>
        </w:tc>
      </w:tr>
      <w:tr>
        <w:trPr/>
        <w:tc>
          <w:tcPr>
            <w:tcW w:w="975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1E1E1E"/>
                <w:sz w:val="28"/>
              </w:rPr>
            </w:pPr>
            <w:r>
              <w:rPr>
                <w:rFonts w:ascii="Arial;sans-serif" w:hAnsi="Arial;sans-serif"/>
                <w:b/>
                <w:color w:val="1E1E1E"/>
                <w:sz w:val="28"/>
              </w:rPr>
              <w:t xml:space="preserve">UNITED STATES </w:t>
            </w:r>
          </w:p>
          <w:p>
            <w:pPr>
              <w:pStyle w:val="TableContents"/>
              <w:bidi w:val="0"/>
              <w:spacing w:lineRule="auto" w:line="288" w:before="0" w:after="60"/>
              <w:jc w:val="center"/>
              <w:rPr>
                <w:rFonts w:ascii="Arial;sans-serif" w:hAnsi="Arial;sans-serif"/>
                <w:b/>
                <w:color w:val="1E1E1E"/>
                <w:sz w:val="28"/>
              </w:rPr>
            </w:pPr>
            <w:r>
              <w:rPr>
                <w:rFonts w:ascii="Arial;sans-serif" w:hAnsi="Arial;sans-serif"/>
                <w:b/>
                <w:color w:val="1E1E1E"/>
                <w:sz w:val="28"/>
              </w:rPr>
              <w:t xml:space="preserve">SECURITIES AND EXCHANGE COMMISSION </w:t>
            </w:r>
          </w:p>
          <w:p>
            <w:pPr>
              <w:pStyle w:val="TableContents"/>
              <w:bidi w:val="0"/>
              <w:spacing w:lineRule="auto" w:line="288" w:before="0" w:after="60"/>
              <w:jc w:val="center"/>
              <w:rPr>
                <w:rFonts w:ascii="Arial;sans-serif" w:hAnsi="Arial;sans-serif"/>
                <w:b/>
                <w:color w:val="1E1E1E"/>
                <w:sz w:val="18"/>
              </w:rPr>
            </w:pPr>
            <w:r>
              <w:rPr>
                <w:rFonts w:ascii="Arial;sans-serif" w:hAnsi="Arial;sans-serif"/>
                <w:b/>
                <w:color w:val="1E1E1E"/>
                <w:sz w:val="18"/>
              </w:rPr>
              <w:t>Washington, D.C. 20549</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color w:val="1E1E1E"/>
                <w:sz w:val="28"/>
              </w:rPr>
            </w:pPr>
            <w:r>
              <w:rPr>
                <w:rFonts w:ascii="Arial;sans-serif" w:hAnsi="Arial;sans-serif"/>
                <w:b/>
                <w:color w:val="1E1E1E"/>
                <w:sz w:val="28"/>
              </w:rPr>
              <w:t>FORM 10-Q</w:t>
            </w:r>
          </w:p>
          <w:p>
            <w:pPr>
              <w:pStyle w:val="TableContents"/>
              <w:bidi w:val="0"/>
              <w:spacing w:before="0" w:after="0"/>
              <w:jc w:val="center"/>
              <w:rPr/>
            </w:pPr>
            <w:r>
              <w:rPr/>
            </w:r>
          </w:p>
          <w:p>
            <w:pPr>
              <w:pStyle w:val="TableContents"/>
              <w:bidi w:val="0"/>
              <w:spacing w:lineRule="auto" w:line="288" w:before="0" w:after="0"/>
              <w:jc w:val="left"/>
              <w:rPr>
                <w:rFonts w:ascii="Arial;sans-serif" w:hAnsi="Arial;sans-serif"/>
                <w:b w:val="false"/>
                <w:color w:val="1E1E1E"/>
                <w:sz w:val="18"/>
              </w:rPr>
            </w:pPr>
            <w:r>
              <w:rPr>
                <w:rFonts w:ascii="Arial;sans-serif" w:hAnsi="Arial;sans-serif"/>
                <w:b w:val="false"/>
                <w:color w:val="1E1E1E"/>
                <w:sz w:val="18"/>
              </w:rPr>
              <w:t>(Mark One)</w:t>
            </w:r>
          </w:p>
          <w:p>
            <w:pPr>
              <w:pStyle w:val="TableContents"/>
              <w:bidi w:val="0"/>
              <w:spacing w:lineRule="auto" w:line="240" w:before="0" w:after="0"/>
              <w:jc w:val="center"/>
              <w:rPr/>
            </w:pPr>
            <w:r>
              <w:rPr>
                <w:color w:val="000000"/>
              </w:rPr>
              <w:t>☒</w:t>
            </w:r>
            <w:r>
              <w:rPr>
                <w:color w:val="1E1E1E"/>
              </w:rPr>
              <w:t xml:space="preserve"> </w:t>
            </w:r>
            <w:r>
              <w:rPr>
                <w:rFonts w:ascii="Arial;sans-serif" w:hAnsi="Arial;sans-serif"/>
                <w:b/>
                <w:color w:val="1E1E1E"/>
                <w:sz w:val="18"/>
              </w:rPr>
              <w:t>QUARTERLY REPORT PURSUANT TO SECTION 13 OR 15(d) OF THE SECURITIES EXCHANGE ACT OF 1934</w:t>
            </w:r>
            <w:r>
              <w:rPr>
                <w:color w:val="1E1E1E"/>
              </w:rPr>
              <w:t xml:space="preserve"> </w:t>
            </w:r>
          </w:p>
          <w:p>
            <w:pPr>
              <w:pStyle w:val="TableContents"/>
              <w:bidi w:val="0"/>
              <w:spacing w:lineRule="auto" w:line="288" w:before="0" w:after="0"/>
              <w:jc w:val="left"/>
              <w:rPr>
                <w:rFonts w:ascii="Arial;sans-serif" w:hAnsi="Arial;sans-serif"/>
                <w:b w:val="false"/>
                <w:color w:val="1E1E1E"/>
                <w:sz w:val="18"/>
              </w:rPr>
            </w:pPr>
            <w:r>
              <w:rPr>
                <w:rFonts w:ascii="Arial;sans-serif" w:hAnsi="Arial;sans-serif"/>
                <w:b w:val="false"/>
                <w:color w:val="1E1E1E"/>
                <w:sz w:val="18"/>
              </w:rPr>
              <w:t>For the quarterly period ended June 30, 2026</w:t>
            </w:r>
          </w:p>
          <w:p>
            <w:pPr>
              <w:pStyle w:val="TableContents"/>
              <w:bidi w:val="0"/>
              <w:spacing w:lineRule="auto" w:line="288" w:before="0" w:after="0"/>
              <w:jc w:val="center"/>
              <w:rPr>
                <w:rFonts w:ascii="Arial;sans-serif" w:hAnsi="Arial;sans-serif"/>
                <w:b/>
                <w:color w:val="1E1E1E"/>
                <w:sz w:val="18"/>
              </w:rPr>
            </w:pPr>
            <w:r>
              <w:rPr>
                <w:rFonts w:ascii="Arial;sans-serif" w:hAnsi="Arial;sans-serif"/>
                <w:b/>
                <w:color w:val="1E1E1E"/>
                <w:sz w:val="18"/>
              </w:rPr>
              <w:t>or</w:t>
            </w:r>
          </w:p>
          <w:p>
            <w:pPr>
              <w:pStyle w:val="TableContents"/>
              <w:bidi w:val="0"/>
              <w:spacing w:lineRule="auto" w:line="288" w:before="0" w:after="0"/>
              <w:jc w:val="center"/>
              <w:rPr/>
            </w:pPr>
            <w:r>
              <w:rPr>
                <w:color w:val="1E1E1E"/>
              </w:rPr>
              <w:t> </w:t>
            </w:r>
            <w:r>
              <w:rPr>
                <w:color w:val="000000"/>
              </w:rPr>
              <w:t>☐</w:t>
            </w:r>
            <w:r>
              <w:rPr>
                <w:color w:val="1E1E1E"/>
              </w:rPr>
              <w:t xml:space="preserve"> </w:t>
            </w:r>
            <w:r>
              <w:rPr>
                <w:rFonts w:ascii="Arial;sans-serif" w:hAnsi="Arial;sans-serif"/>
                <w:b/>
                <w:color w:val="1E1E1E"/>
                <w:sz w:val="18"/>
              </w:rPr>
              <w:t>TRANSITION REPORT PURSUANT TO SECTION 13 OR 15(d) OF THE SECURITIES EXCHANGE ACT OF 1934</w:t>
            </w:r>
            <w:r>
              <w:rPr>
                <w:color w:val="1E1E1E"/>
              </w:rPr>
              <w:t xml:space="preserve"> </w:t>
            </w:r>
          </w:p>
          <w:p>
            <w:pPr>
              <w:pStyle w:val="TableContents"/>
              <w:bidi w:val="0"/>
              <w:spacing w:lineRule="auto" w:line="288" w:before="0" w:after="0"/>
              <w:jc w:val="left"/>
              <w:rPr>
                <w:rFonts w:ascii="Arial;sans-serif" w:hAnsi="Arial;sans-serif"/>
                <w:b w:val="false"/>
                <w:color w:val="1E1E1E"/>
                <w:sz w:val="18"/>
              </w:rPr>
            </w:pPr>
            <w:r>
              <w:rPr>
                <w:rFonts w:ascii="Arial;sans-serif" w:hAnsi="Arial;sans-serif"/>
                <w:b w:val="false"/>
                <w:color w:val="1E1E1E"/>
                <w:sz w:val="18"/>
              </w:rPr>
              <w:t xml:space="preserve">For the transition period from to </w:t>
            </w:r>
          </w:p>
          <w:p>
            <w:pPr>
              <w:pStyle w:val="TableContents"/>
              <w:bidi w:val="0"/>
              <w:spacing w:lineRule="auto" w:line="312" w:before="0" w:after="60"/>
              <w:jc w:val="center"/>
              <w:rPr>
                <w:color w:val="1E1E1E"/>
              </w:rPr>
            </w:pPr>
            <w:r>
              <w:rPr>
                <w:color w:val="1E1E1E"/>
              </w:rPr>
              <w:t>           </w:t>
            </w:r>
          </w:p>
          <w:p>
            <w:pPr>
              <w:pStyle w:val="TableContents"/>
              <w:bidi w:val="0"/>
              <w:spacing w:lineRule="auto" w:line="288" w:before="0" w:after="0"/>
              <w:jc w:val="center"/>
              <w:rPr>
                <w:rFonts w:ascii="Arial;sans-serif" w:hAnsi="Arial;sans-serif"/>
                <w:b/>
                <w:color w:val="1E1E1E"/>
                <w:sz w:val="18"/>
              </w:rPr>
            </w:pPr>
            <w:r>
              <w:rPr>
                <w:rFonts w:ascii="Arial;sans-serif" w:hAnsi="Arial;sans-serif"/>
                <w:b/>
                <w:color w:val="1E1E1E"/>
                <w:sz w:val="18"/>
              </w:rPr>
              <w:t>Commission File Number: 001-40323</w:t>
            </w:r>
          </w:p>
          <w:p>
            <w:pPr>
              <w:pStyle w:val="TableContents"/>
              <w:bidi w:val="0"/>
              <w:spacing w:before="0" w:after="0"/>
              <w:jc w:val="center"/>
              <w:rPr/>
            </w:pPr>
            <w:r>
              <w:rPr/>
            </w:r>
          </w:p>
          <w:p>
            <w:pPr>
              <w:pStyle w:val="TableContents"/>
              <w:bidi w:val="0"/>
              <w:spacing w:lineRule="auto" w:line="312" w:before="0" w:after="60"/>
              <w:jc w:val="center"/>
              <w:rPr>
                <w:rFonts w:ascii="Arial;sans-serif" w:hAnsi="Arial;sans-serif"/>
                <w:b/>
                <w:color w:val="1E1E1E"/>
                <w:sz w:val="18"/>
              </w:rPr>
            </w:pPr>
            <w:r>
              <w:rPr>
                <w:rFonts w:ascii="Arial;sans-serif" w:hAnsi="Arial;sans-serif"/>
                <w:b/>
                <w:color w:val="1E1E1E"/>
                <w:sz w:val="18"/>
              </w:rPr>
              <w:t xml:space="preserve">RECURSION PHARMACEUTICALS, INC. </w:t>
            </w:r>
          </w:p>
          <w:p>
            <w:pPr>
              <w:pStyle w:val="TableContents"/>
              <w:bidi w:val="0"/>
              <w:spacing w:lineRule="auto" w:line="288" w:before="0" w:after="0"/>
              <w:jc w:val="center"/>
              <w:rPr>
                <w:rFonts w:ascii="Arial;sans-serif" w:hAnsi="Arial;sans-serif"/>
                <w:b/>
                <w:color w:val="1E1E1E"/>
                <w:sz w:val="18"/>
              </w:rPr>
            </w:pPr>
            <w:r>
              <w:rPr>
                <w:rFonts w:ascii="Arial;sans-serif" w:hAnsi="Arial;sans-serif"/>
                <w:b/>
                <w:color w:val="1E1E1E"/>
                <w:sz w:val="18"/>
              </w:rPr>
              <w:t>(Exact name of registrant as specified in its charter)</w:t>
            </w:r>
          </w:p>
          <w:p>
            <w:pPr>
              <w:pStyle w:val="TableContents"/>
              <w:bidi w:val="0"/>
              <w:spacing w:before="0" w:after="0"/>
              <w:jc w:val="center"/>
              <w:rPr/>
            </w:pPr>
            <w:r>
              <w:rPr/>
            </w:r>
          </w:p>
          <w:p>
            <w:pPr>
              <w:pStyle w:val="TableContents"/>
              <w:bidi w:val="0"/>
              <w:spacing w:lineRule="auto" w:line="288" w:before="0" w:after="0"/>
              <w:jc w:val="center"/>
              <w:rPr/>
            </w:pPr>
            <w:r>
              <w:rPr>
                <w:color w:val="1E1E1E"/>
              </w:rPr>
              <w:t> </w:t>
            </w:r>
            <w:r>
              <w:rPr>
                <w:rFonts w:ascii="Arial;sans-serif" w:hAnsi="Arial;sans-serif"/>
                <w:b/>
                <w:color w:val="000000"/>
                <w:sz w:val="18"/>
              </w:rPr>
              <w:t>Delaware 46-4099738</w:t>
            </w:r>
            <w:r>
              <w:rPr>
                <w:color w:val="1E1E1E"/>
              </w:rPr>
              <w:t xml:space="preserve"> </w:t>
            </w:r>
          </w:p>
          <w:p>
            <w:pPr>
              <w:pStyle w:val="TableContents"/>
              <w:bidi w:val="0"/>
              <w:spacing w:lineRule="auto" w:line="312" w:before="0" w:after="6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 (I.R.S. Employer Identification No.)</w:t>
            </w:r>
          </w:p>
          <w:p>
            <w:pPr>
              <w:pStyle w:val="TableContents"/>
              <w:bidi w:val="0"/>
              <w:spacing w:before="0" w:after="0"/>
              <w:ind w:left="0" w:right="0" w:firstLine="720"/>
              <w:jc w:val="center"/>
              <w:rPr/>
            </w:pPr>
            <w:r>
              <w:rPr/>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41 S Rio Grande Street</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Salt Lake City, UT 84101</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(Address of principal executive offices) (Zip code)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(385) 269 - 0203</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(Registrant’s telephone number, including area code)</w:t>
            </w:r>
          </w:p>
        </w:tc>
      </w:tr>
    </w:tbl>
    <w:tbl>
      <w:tblPr>
        <w:tblW w:w="9313" w:type="dxa"/>
        <w:jc w:val="center"/>
        <w:tblInd w:w="0" w:type="dxa"/>
        <w:tblLayout w:type="fixed"/>
        <w:tblCellMar>
          <w:top w:w="28" w:type="dxa"/>
          <w:left w:w="28" w:type="dxa"/>
          <w:bottom w:w="28" w:type="dxa"/>
          <w:right w:w="28" w:type="dxa"/>
        </w:tblCellMar>
      </w:tblPr>
      <w:tblGrid>
        <w:gridCol w:w="1347"/>
        <w:gridCol w:w="1186"/>
        <w:gridCol w:w="1186"/>
        <w:gridCol w:w="550"/>
        <w:gridCol w:w="550"/>
        <w:gridCol w:w="550"/>
        <w:gridCol w:w="1154"/>
        <w:gridCol w:w="1154"/>
        <w:gridCol w:w="1636"/>
      </w:tblGrid>
      <w:tr>
        <w:trPr/>
        <w:tc>
          <w:tcPr>
            <w:tcW w:w="1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931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3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par value $0.00001</w:t>
            </w:r>
          </w:p>
        </w:tc>
        <w:tc>
          <w:tcPr>
            <w:tcW w:w="16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RXRX</w:t>
            </w:r>
          </w:p>
        </w:tc>
        <w:tc>
          <w:tcPr>
            <w:tcW w:w="39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 xml:space="preserve">Nasdaq Global Select Market </w:t>
            </w:r>
          </w:p>
        </w:tc>
      </w:tr>
    </w:tbl>
    <w:tbl>
      <w:tblPr>
        <w:tblW w:w="10205" w:type="dxa"/>
        <w:jc w:val="center"/>
        <w:tblInd w:w="0" w:type="dxa"/>
        <w:tblLayout w:type="fixed"/>
        <w:tblCellMar>
          <w:top w:w="28" w:type="dxa"/>
          <w:left w:w="28" w:type="dxa"/>
          <w:bottom w:w="28" w:type="dxa"/>
          <w:right w:w="28" w:type="dxa"/>
        </w:tblCellMar>
      </w:tblPr>
      <w:tblGrid>
        <w:gridCol w:w="3267"/>
        <w:gridCol w:w="2868"/>
        <w:gridCol w:w="4070"/>
      </w:tblGrid>
      <w:tr>
        <w:trPr/>
        <w:tc>
          <w:tcPr>
            <w:tcW w:w="3267"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ableContents"/>
              <w:bidi w:val="0"/>
              <w:spacing w:lineRule="auto" w:line="240" w:before="0" w:after="0"/>
              <w:jc w:val="right"/>
              <w:rPr/>
            </w:pPr>
            <w:r>
              <w:rPr>
                <w:color w:val="000000"/>
              </w:rPr>
              <w:t xml:space="preserve">             </w:t>
            </w:r>
            <w:r>
              <w:rPr>
                <w:rFonts w:ascii="Arial;sans-serif" w:hAnsi="Arial;sans-serif"/>
                <w:b w:val="false"/>
                <w:color w:val="000000"/>
                <w:sz w:val="18"/>
              </w:rPr>
              <w:t xml:space="preserve">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No ☐</w:t>
            </w:r>
          </w:p>
          <w:p>
            <w:pPr>
              <w:pStyle w:val="TableContents"/>
              <w:bidi w:val="0"/>
              <w:spacing w:before="0" w:after="0"/>
              <w:jc w:val="center"/>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ableContents"/>
              <w:bidi w:val="0"/>
              <w:spacing w:lineRule="auto" w:line="240" w:before="0" w:after="0"/>
              <w:jc w:val="right"/>
              <w:rPr/>
            </w:pPr>
            <w:r>
              <w:rPr>
                <w:color w:val="000000"/>
              </w:rPr>
              <w:t xml:space="preserve">                             </w:t>
            </w:r>
            <w:r>
              <w:rPr>
                <w:rFonts w:ascii="Arial;sans-serif" w:hAnsi="Arial;sans-serif"/>
                <w:b w:val="false"/>
                <w:color w:val="000000"/>
                <w:sz w:val="18"/>
              </w:rPr>
              <w:t xml:space="preserve">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No ☐</w:t>
            </w:r>
          </w:p>
          <w:p>
            <w:pPr>
              <w:pStyle w:val="TableContents"/>
              <w:bidi w:val="0"/>
              <w:spacing w:before="0" w:after="0"/>
              <w:jc w:val="center"/>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bl>
    <w:tbl>
      <w:tblPr>
        <w:tblW w:w="5285" w:type="dxa"/>
        <w:jc w:val="center"/>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 of July 31, 2026, there were 535,342,170 of the registrant’s Class A common stock outstanding.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1E1E1E"/>
          <w:sz w:val="20"/>
        </w:rPr>
      </w:pPr>
      <w:r>
        <w:rPr>
          <w:rFonts w:ascii="Arial;sans-serif" w:hAnsi="Arial;sans-serif"/>
          <w:b/>
          <w:color w:val="1E1E1E"/>
          <w:sz w:val="20"/>
        </w:rPr>
        <w:t xml:space="preserve">TABLE OF CONTENTS </w:t>
      </w:r>
    </w:p>
    <w:tbl>
      <w:tblPr>
        <w:tblW w:w="9299" w:type="dxa"/>
        <w:jc w:val="center"/>
        <w:tblInd w:w="0" w:type="dxa"/>
        <w:tblLayout w:type="fixed"/>
        <w:tblCellMar>
          <w:top w:w="28" w:type="dxa"/>
          <w:left w:w="28" w:type="dxa"/>
          <w:bottom w:w="28" w:type="dxa"/>
          <w:right w:w="28" w:type="dxa"/>
        </w:tblCellMar>
      </w:tblPr>
      <w:tblGrid>
        <w:gridCol w:w="335"/>
        <w:gridCol w:w="296"/>
        <w:gridCol w:w="298"/>
        <w:gridCol w:w="2607"/>
        <w:gridCol w:w="2607"/>
        <w:gridCol w:w="2615"/>
        <w:gridCol w:w="158"/>
        <w:gridCol w:w="158"/>
        <w:gridCol w:w="225"/>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u w:val="single"/>
              </w:rPr>
            </w:pPr>
            <w:r>
              <w:rPr>
                <w:rFonts w:ascii="Arial;sans-serif" w:hAnsi="Arial;sans-serif"/>
                <w:b/>
                <w:color w:val="000000"/>
                <w:sz w:val="16"/>
                <w:u w:val="single"/>
              </w:rPr>
              <w:t>Page</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3">
              <w:r>
                <w:rPr>
                  <w:rStyle w:val="InternetLink"/>
                  <w:rFonts w:ascii="Arial;sans-serif" w:hAnsi="Arial;sans-serif"/>
                  <w:b/>
                  <w:color w:val="0000EE"/>
                  <w:sz w:val="20"/>
                  <w:u w:val="single"/>
                </w:rPr>
                <w:t xml:space="preserve">Part I </w:t>
              </w:r>
            </w:hyperlink>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3">
              <w:r>
                <w:rPr>
                  <w:rStyle w:val="InternetLink"/>
                  <w:rFonts w:ascii="Arial;sans-serif" w:hAnsi="Arial;sans-serif"/>
                  <w:b/>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3">
              <w:r>
                <w:rPr>
                  <w:rStyle w:val="InternetLink"/>
                  <w:rFonts w:ascii="Arial;sans-serif" w:hAnsi="Arial;sans-serif"/>
                  <w:b w:val="false"/>
                  <w:color w:val="0000EE"/>
                  <w:sz w:val="20"/>
                  <w:u w:val="single"/>
                </w:rPr>
                <w:t>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1.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6">
              <w:r>
                <w:rPr>
                  <w:rStyle w:val="InternetLink"/>
                  <w:rFonts w:ascii="Arial;sans-serif" w:hAnsi="Arial;sans-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6">
              <w:r>
                <w:rPr>
                  <w:rStyle w:val="InternetLink"/>
                  <w:rFonts w:ascii="Arial;sans-serif" w:hAnsi="Arial;sans-serif"/>
                  <w:b w:val="false"/>
                  <w:color w:val="0000EE"/>
                  <w:sz w:val="20"/>
                  <w:u w:val="single"/>
                </w:rPr>
                <w:t>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2.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82">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82">
              <w:r>
                <w:rPr>
                  <w:rStyle w:val="InternetLink"/>
                  <w:rFonts w:ascii="Arial;sans-serif" w:hAnsi="Arial;sans-serif"/>
                  <w:b w:val="false"/>
                  <w:color w:val="0000EE"/>
                  <w:sz w:val="20"/>
                  <w:u w:val="single"/>
                </w:rPr>
                <w:t>20</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3.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12">
              <w:r>
                <w:rPr>
                  <w:rStyle w:val="InternetLink"/>
                  <w:rFonts w:ascii="Arial;sans-serif" w:hAnsi="Arial;sans-serif"/>
                  <w:b w:val="false"/>
                  <w:color w:val="0000EE"/>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12">
              <w:r>
                <w:rPr>
                  <w:rStyle w:val="InternetLink"/>
                  <w:rFonts w:ascii="Arial;sans-serif" w:hAnsi="Arial;sans-serif"/>
                  <w:b w:val="false"/>
                  <w:color w:val="0000EE"/>
                  <w:sz w:val="20"/>
                  <w:u w:val="single"/>
                </w:rPr>
                <w:t>29</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15">
              <w:r>
                <w:rPr>
                  <w:rStyle w:val="InternetLink"/>
                  <w:rFonts w:ascii="Arial;sans-serif" w:hAnsi="Arial;sans-serif"/>
                  <w:b w:val="false"/>
                  <w:color w:val="0000EE"/>
                  <w:sz w:val="20"/>
                  <w:u w:val="single"/>
                </w:rPr>
                <w:t xml:space="preserve">Controls and Procedures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15">
              <w:r>
                <w:rPr>
                  <w:rStyle w:val="InternetLink"/>
                  <w:rFonts w:ascii="Arial;sans-serif" w:hAnsi="Arial;sans-serif"/>
                  <w:b w:val="false"/>
                  <w:color w:val="0000EE"/>
                  <w:sz w:val="20"/>
                  <w:u w:val="single"/>
                </w:rPr>
                <w:t>29</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18">
              <w:r>
                <w:rPr>
                  <w:rStyle w:val="InternetLink"/>
                  <w:rFonts w:ascii="Arial;sans-serif" w:hAnsi="Arial;sans-serif"/>
                  <w:b/>
                  <w:color w:val="0000EE"/>
                  <w:sz w:val="20"/>
                  <w:u w:val="single"/>
                </w:rPr>
                <w:t xml:space="preserve">Part II </w:t>
              </w:r>
            </w:hyperlink>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18">
              <w:r>
                <w:rPr>
                  <w:rStyle w:val="InternetLink"/>
                  <w:rFonts w:ascii="Arial;sans-serif" w:hAnsi="Arial;sans-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18">
              <w:r>
                <w:rPr>
                  <w:rStyle w:val="InternetLink"/>
                  <w:rFonts w:ascii="Arial;sans-serif" w:hAnsi="Arial;sans-serif"/>
                  <w:b w:val="false"/>
                  <w:color w:val="0000EE"/>
                  <w:sz w:val="20"/>
                  <w:u w:val="single"/>
                </w:rPr>
                <w:t>31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21">
              <w:r>
                <w:rPr>
                  <w:rStyle w:val="InternetLink"/>
                  <w:rFonts w:ascii="Arial;sans-serif" w:hAnsi="Arial;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21">
              <w:r>
                <w:rPr>
                  <w:rStyle w:val="InternetLink"/>
                  <w:rFonts w:ascii="Arial;sans-serif" w:hAnsi="Arial;sans-serif"/>
                  <w:b w:val="false"/>
                  <w:color w:val="0000EE"/>
                  <w:sz w:val="20"/>
                  <w:u w:val="single"/>
                </w:rPr>
                <w:t>31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1A.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24">
              <w:r>
                <w:rPr>
                  <w:rStyle w:val="InternetLink"/>
                  <w:rFonts w:ascii="Arial;sans-serif" w:hAnsi="Arial;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24">
              <w:r>
                <w:rPr>
                  <w:rStyle w:val="InternetLink"/>
                  <w:rFonts w:ascii="Arial;sans-serif" w:hAnsi="Arial;sans-serif"/>
                  <w:b w:val="false"/>
                  <w:color w:val="0000EE"/>
                  <w:sz w:val="20"/>
                  <w:u w:val="single"/>
                </w:rPr>
                <w:t>31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27">
              <w:r>
                <w:rPr>
                  <w:rStyle w:val="InternetLink"/>
                  <w:rFonts w:ascii="Arial;sans-serif" w:hAnsi="Arial;sans-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27">
              <w:r>
                <w:rPr>
                  <w:rStyle w:val="InternetLink"/>
                  <w:rFonts w:ascii="Arial;sans-serif" w:hAnsi="Arial;sans-serif"/>
                  <w:b w:val="false"/>
                  <w:color w:val="0000EE"/>
                  <w:sz w:val="20"/>
                  <w:u w:val="single"/>
                </w:rPr>
                <w:t>31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30">
              <w:r>
                <w:rPr>
                  <w:rStyle w:val="InternetLink"/>
                  <w:rFonts w:ascii="Arial;sans-serif" w:hAnsi="Arial;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24">
              <w:r>
                <w:rPr>
                  <w:rStyle w:val="InternetLink"/>
                  <w:rFonts w:ascii="Arial;sans-serif" w:hAnsi="Arial;sans-serif"/>
                  <w:b w:val="false"/>
                  <w:color w:val="0000EE"/>
                  <w:sz w:val="20"/>
                  <w:u w:val="single"/>
                </w:rPr>
                <w:t>31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6.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36">
              <w:r>
                <w:rPr>
                  <w:rStyle w:val="InternetLink"/>
                  <w:rFonts w:ascii="Arial;sans-serif" w:hAnsi="Arial;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36">
              <w:r>
                <w:rPr>
                  <w:rStyle w:val="InternetLink"/>
                  <w:rFonts w:ascii="Arial;sans-serif" w:hAnsi="Arial;sans-serif"/>
                  <w:b w:val="false"/>
                  <w:color w:val="0000EE"/>
                  <w:sz w:val="20"/>
                  <w:u w:val="single"/>
                </w:rPr>
                <w:t>31</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8c97d412a34cf885e9e82f6a5308ae_139">
              <w:r>
                <w:rPr>
                  <w:rStyle w:val="InternetLink"/>
                  <w:rFonts w:ascii="Arial;sans-serif" w:hAnsi="Arial;sans-serif"/>
                  <w:b w:val="false"/>
                  <w:color w:val="0000EE"/>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8c97d412a34cf885e9e82f6a5308ae_139">
              <w:r>
                <w:rPr>
                  <w:rStyle w:val="InternetLink"/>
                  <w:rFonts w:ascii="Arial;sans-serif" w:hAnsi="Arial;sans-serif"/>
                  <w:b w:val="false"/>
                  <w:color w:val="0000EE"/>
                  <w:sz w:val="20"/>
                  <w:u w:val="single"/>
                </w:rPr>
                <w:t>33</w:t>
              </w:r>
            </w:hyperlink>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research and development programs;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and key milestones will be met;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continued ability to achieve milestones and receive associated milestone payments and royalties from current and future collaborations;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ability to use our combined assets from our business combination to create a fully integrated, technology-first drug discovery platform;</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ability to reduce our cash burn;</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timing and likelihood of our ability to shift our wet-lab from a source of data generation to a model for validating data from AI-generated results and the projected impact of our ClinTech platform on our business;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ability and willingness of our collaborators to continue research and development activities relating to our development candidates and investigational medicines;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future agreements with third parties in connection with the commercialization of our investigational medicines and any other approved product;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timing, scope, or likelihood of foreign regulatory filings and approvals, including our ability to maintain any such approvals;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the size of the potential market opportunity for TechBio companies, including the expected impact of AI-enabled technologies;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size of the potential market opportunity for our drug candidates, including our estimates of the number of patients who suffer from the diseases we are targeting;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identify viable new drug candidates for clinical development and the rate at which we expect to identify such candidates, whether through an inferential approach or otherwise;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expectation that the assets that will drive the most value for us are those that we will identify in the future using our datasets and tools;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develop and advance our current drug candidates and programs into, and successfully complete, clinical studies;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reduce the time or cost or increase the likelihood of success of our research and development relative to the traditional drug discovery paradigm, including the use of data sets from our partners to accelerate the development of our AI-enabled technologies;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improve, and the rate of improvement in, our infrastructure, datasets, biology, technology tools, and drug discovery platform, and our ability to realize benefits from such improvements;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ability to effectively use machine learning and artificial intelligence in our drug development process;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ability to leverage our collaborations and partnerships to develop our products and grow our business;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expectations related to the performance and benefits of our BioHive-2 supercomputer, Recursion OS, and our digital chemistry platform;</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realize a return on our investment of resources and cash in our drug discovery collaborations;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ability to sell or license assets and re-invest proceeds into funding our long-term strategy;</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scale like a technology company and to add more programs to our pipeline each year;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ability to acquire and generate datasets to train and develop our AI-enabled technologies;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successfully compete in a highly competitive market;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manufacturing, commercialization, and marketing capabilities and strategies;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plans relating to commercializing our drug candidates, if approved, including the geographic areas of focus and sales strategy;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expectations regarding the approval and use of our drug candidates in combination with other drugs;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rate and degree of market acceptance and clinical utility of our current drug candidates, if approved, and other drug candidates we may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competitive position and the success of competing approaches that are or may become available, including with respect to our AI-enabled technologies;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estimates of the number of patients that we will enroll in our clinical trials and the timing of their enrollment;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beneficial characteristics, safety, efficacy, and therapeutic effects of our drug candidates;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plans for further development of our drug candidates, including additional indications we may pursue;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impact of any intellectual property disputes and our ability to defend against claims of infringement, misappropriation, or other violations of intellectual property rights;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keep pace with new technological developments, including with respect to AI;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utilize third-party open source software and cloud-based infrastructure, on which we are dependent;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adequacy of our insurance policies and the scope of their coverage;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maintain our technical operations infrastructure to avoid errors, delays, or cybersecurity breaches;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continued reliance on third parties to conduct additional clinical trials of our drug candidates, and for the manufacture of our drug candidates for preclinical studies and clinical trials;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obtain, and negotiate favorable terms of, any collaboration, licensing or other arrangements that may be necessary or desirable to research, develop, manufacture, or commercialize our platform and drug candidates;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pricing and reimbursement of our current drug candidates and other drug candidates we may develop, if approved;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estimates regarding expenses, future revenue, capital requirements, and need for additional financing;</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financial performance;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period over which we estimate our existing cash and cash equivalents will be sufficient to fund our future operating expenses and capital expenditure requirements;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ability to raise substantial additional funding;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impact of current and future laws and regulations, and our ability to comply with all regulations that we are, or may become, subject to;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need to hire additional personnel and our ability to attract and retain such personnel;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the impact of any current or future litigation, which may arise during the ordinary course of business and be costly to defend;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our ability to maintain effective internal control over financial reporting and disclosure controls and procedures, including our ability to remediate the material weaknesses in internal control over financial reporting;</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our anticipated use of our existing resources and the net proceeds from our public offerings; and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other risks and uncertainties, including those listed in the section titled “Risk Factors.” </w:t>
      </w:r>
    </w:p>
    <w:p>
      <w:pPr>
        <w:pStyle w:val="TextBody"/>
        <w:bidi w:val="0"/>
        <w:spacing w:before="0" w:after="0"/>
        <w:ind w:left="0" w:right="0" w:firstLine="9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997"/>
        <w:gridCol w:w="2294"/>
        <w:gridCol w:w="2274"/>
        <w:gridCol w:w="211"/>
        <w:gridCol w:w="976"/>
        <w:gridCol w:w="109"/>
        <w:gridCol w:w="211"/>
        <w:gridCol w:w="977"/>
        <w:gridCol w:w="156"/>
      </w:tblGrid>
      <w:tr>
        <w:trPr/>
        <w:tc>
          <w:tcPr>
            <w:tcW w:w="2997"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w:t>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7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data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812,845 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1,474,130 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payable and financing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payable and financing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343,265 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7)</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Common stock, $0.00001 par value; 2,000,000,000 shares (Class A 1,989,032,117 and Class B 10,967,883) authorized as of June 30, 2026 and December 31, 2025; 534,120,235 shares (Class A 533,191,318, Class B — and Exchangeable 928,917) and 528,182,693 shares (Class A 521,831,046, Class B 5,547,334 and Exchangeable 804,313) issued and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(2,076,002)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1,130,865 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1,474,130 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1E1E1E"/>
          <w:sz w:val="20"/>
        </w:rPr>
        <w:t>See the accompanying notes to these c</w:t>
      </w:r>
      <w:r>
        <w:rPr>
          <w:rFonts w:ascii="Arial;sans-serif" w:hAnsi="Arial;sans-serif"/>
          <w:b w:val="false"/>
          <w:color w:val="000000"/>
          <w:sz w:val="20"/>
        </w:rPr>
        <w:t xml:space="preserve">ondensed </w:t>
      </w:r>
      <w:r>
        <w:rPr>
          <w:rFonts w:ascii="Arial;sans-serif" w:hAnsi="Arial;sans-serif"/>
          <w:b w:val="false"/>
          <w:color w:val="1E1E1E"/>
          <w:sz w:val="20"/>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center"/>
        <w:rPr/>
      </w:pPr>
      <w:r>
        <w:rPr>
          <w:rFonts w:ascii="Arial;sans-serif" w:hAnsi="Arial;sans-serif"/>
          <w:b/>
          <w:i/>
          <w:color w:val="1E1E1E"/>
          <w:sz w:val="20"/>
        </w:rPr>
        <w:t>(</w:t>
      </w:r>
      <w:r>
        <w:rPr>
          <w:rFonts w:ascii="Arial;sans-serif" w:hAnsi="Arial;sans-serif"/>
          <w:b/>
          <w:color w:val="000000"/>
          <w:sz w:val="20"/>
        </w:rPr>
        <w:t>in thousands,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98"/>
        <w:gridCol w:w="1241"/>
        <w:gridCol w:w="1252"/>
        <w:gridCol w:w="244"/>
        <w:gridCol w:w="1016"/>
        <w:gridCol w:w="115"/>
        <w:gridCol w:w="244"/>
        <w:gridCol w:w="1016"/>
        <w:gridCol w:w="115"/>
        <w:gridCol w:w="109"/>
        <w:gridCol w:w="109"/>
        <w:gridCol w:w="109"/>
        <w:gridCol w:w="243"/>
        <w:gridCol w:w="988"/>
        <w:gridCol w:w="111"/>
        <w:gridCol w:w="243"/>
        <w:gridCol w:w="988"/>
        <w:gridCol w:w="164"/>
      </w:tblGrid>
      <w:tr>
        <w:trPr/>
        <w:tc>
          <w:tcPr>
            <w:tcW w:w="189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revenue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258,269 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costs and expenses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277,615 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401,563 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from operations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(134,968)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(176,227)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(263,472)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(367,595)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(loss), net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 benefit</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(131,006)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(171,897)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(253,113)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(374,542)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(131,005)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(171,897)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(248,509)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(374,384)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data</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per share of Class A, B and Exchangeable common stock, basic and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shares (Class A, B and Exchangeable) outstanding, basic and diluted</w:t>
            </w:r>
          </w:p>
        </w:tc>
        <w:tc>
          <w:tcPr>
            <w:tcW w:w="12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532,460,085 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417,361,147 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530,890,753 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410,268,199 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1E1E1E"/>
          <w:sz w:val="20"/>
        </w:rPr>
        <w:t>See the accompanying notes to these c</w:t>
      </w:r>
      <w:r>
        <w:rPr>
          <w:rFonts w:ascii="Arial;sans-serif" w:hAnsi="Arial;sans-serif"/>
          <w:b w:val="false"/>
          <w:color w:val="000000"/>
          <w:sz w:val="20"/>
        </w:rPr>
        <w:t>ondensed</w:t>
      </w:r>
      <w:r>
        <w:rPr>
          <w:color w:val="1E1E1E"/>
        </w:rPr>
        <w:t xml:space="preserve"> </w:t>
      </w:r>
      <w:r>
        <w:rPr>
          <w:rFonts w:ascii="Arial;sans-serif" w:hAnsi="Arial;sans-serif"/>
          <w:b w:val="false"/>
          <w:color w:val="1E1E1E"/>
          <w:sz w:val="20"/>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(in thousands) </w:t>
      </w:r>
    </w:p>
    <w:p>
      <w:pPr>
        <w:pStyle w:val="TextBody"/>
        <w:bidi w:val="0"/>
        <w:spacing w:before="0" w:after="0"/>
        <w:jc w:val="left"/>
        <w:rPr/>
      </w:pPr>
      <w:r>
        <w:rPr/>
      </w:r>
    </w:p>
    <w:tbl>
      <w:tblPr>
        <w:tblW w:w="8811" w:type="dxa"/>
        <w:jc w:val="left"/>
        <w:tblInd w:w="0" w:type="dxa"/>
        <w:tblLayout w:type="fixed"/>
        <w:tblCellMar>
          <w:top w:w="28" w:type="dxa"/>
          <w:left w:w="28" w:type="dxa"/>
          <w:bottom w:w="28" w:type="dxa"/>
          <w:right w:w="28" w:type="dxa"/>
        </w:tblCellMar>
      </w:tblPr>
      <w:tblGrid>
        <w:gridCol w:w="1264"/>
        <w:gridCol w:w="1108"/>
        <w:gridCol w:w="1123"/>
        <w:gridCol w:w="211"/>
        <w:gridCol w:w="916"/>
        <w:gridCol w:w="109"/>
        <w:gridCol w:w="211"/>
        <w:gridCol w:w="916"/>
        <w:gridCol w:w="109"/>
        <w:gridCol w:w="109"/>
        <w:gridCol w:w="109"/>
        <w:gridCol w:w="109"/>
        <w:gridCol w:w="211"/>
        <w:gridCol w:w="916"/>
        <w:gridCol w:w="109"/>
        <w:gridCol w:w="211"/>
        <w:gridCol w:w="916"/>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Other comprehensive income (loss):</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Other comprehensive income (loss)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(257,232)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(323,127)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09"/>
        <w:gridCol w:w="425"/>
        <w:gridCol w:w="427"/>
        <w:gridCol w:w="753"/>
        <w:gridCol w:w="433"/>
        <w:gridCol w:w="198"/>
        <w:gridCol w:w="410"/>
        <w:gridCol w:w="387"/>
        <w:gridCol w:w="154"/>
        <w:gridCol w:w="243"/>
        <w:gridCol w:w="1125"/>
        <w:gridCol w:w="125"/>
        <w:gridCol w:w="211"/>
        <w:gridCol w:w="1004"/>
        <w:gridCol w:w="109"/>
        <w:gridCol w:w="393"/>
        <w:gridCol w:w="1346"/>
        <w:gridCol w:w="206"/>
        <w:gridCol w:w="211"/>
        <w:gridCol w:w="976"/>
        <w:gridCol w:w="160"/>
      </w:tblGrid>
      <w:tr>
        <w:trPr/>
        <w:tc>
          <w:tcPr>
            <w:tcW w:w="9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Common Stock </w:t>
            </w:r>
          </w:p>
        </w:tc>
        <w:tc>
          <w:tcPr>
            <w:tcW w:w="149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 Paid-in-Capital</w:t>
            </w:r>
          </w:p>
        </w:tc>
        <w:tc>
          <w:tcPr>
            <w:tcW w:w="132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pPr>
            <w:r>
              <w:rPr>
                <w:rFonts w:ascii="Arial;sans-serif" w:hAnsi="Arial;sans-serif"/>
                <w:b/>
                <w:color w:val="000000"/>
                <w:sz w:val="16"/>
              </w:rPr>
              <w:t>Deficit</w:t>
            </w:r>
            <w:r>
              <w:rPr>
                <w:color w:val="000000"/>
              </w:rPr>
              <w:t xml:space="preserve"> </w:t>
            </w:r>
          </w:p>
        </w:tc>
        <w:tc>
          <w:tcPr>
            <w:tcW w:w="19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34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Stockholders’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Equity</w:t>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(Class A, B and Exchangeable)</w:t>
            </w:r>
          </w:p>
        </w:tc>
        <w:tc>
          <w:tcPr>
            <w:tcW w:w="1493" w:type="dxa"/>
            <w:gridSpan w:val="3"/>
            <w:vMerge w:val="continue"/>
            <w:tcBorders/>
            <w:tcMar>
              <w:top w:w="0" w:type="dxa"/>
              <w:left w:w="0" w:type="dxa"/>
              <w:bottom w:w="0" w:type="dxa"/>
              <w:right w:w="0" w:type="dxa"/>
            </w:tcMar>
            <w:vAlign w:val="center"/>
          </w:tcPr>
          <w:p>
            <w:pPr>
              <w:pStyle w:val="Normal"/>
              <w:bidi w:val="0"/>
              <w:jc w:val="left"/>
              <w:rPr/>
            </w:pPr>
            <w:r>
              <w:rPr/>
            </w:r>
          </w:p>
        </w:tc>
        <w:tc>
          <w:tcPr>
            <w:tcW w:w="1324" w:type="dxa"/>
            <w:gridSpan w:val="3"/>
            <w:vMerge w:val="continue"/>
            <w:tcBorders/>
            <w:tcMar>
              <w:top w:w="0" w:type="dxa"/>
              <w:left w:w="0" w:type="dxa"/>
              <w:bottom w:w="0" w:type="dxa"/>
              <w:right w:w="0" w:type="dxa"/>
            </w:tcMar>
            <w:vAlign w:val="center"/>
          </w:tcPr>
          <w:p>
            <w:pPr>
              <w:pStyle w:val="Normal"/>
              <w:bidi w:val="0"/>
              <w:jc w:val="left"/>
              <w:rPr/>
            </w:pPr>
            <w:r>
              <w:rPr/>
            </w:r>
          </w:p>
        </w:tc>
        <w:tc>
          <w:tcPr>
            <w:tcW w:w="1945" w:type="dxa"/>
            <w:gridSpan w:val="3"/>
            <w:vMerge w:val="continue"/>
            <w:tcBorders/>
            <w:tcMar>
              <w:top w:w="0" w:type="dxa"/>
              <w:left w:w="0" w:type="dxa"/>
              <w:bottom w:w="0" w:type="dxa"/>
              <w:right w:w="0" w:type="dxa"/>
            </w:tcMar>
            <w:vAlign w:val="center"/>
          </w:tcPr>
          <w:p>
            <w:pPr>
              <w:pStyle w:val="Normal"/>
              <w:bidi w:val="0"/>
              <w:jc w:val="left"/>
              <w:rPr/>
            </w:pPr>
            <w:r>
              <w:rPr/>
            </w:r>
          </w:p>
        </w:tc>
        <w:tc>
          <w:tcPr>
            <w:tcW w:w="1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Shares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Amount </w:t>
            </w:r>
          </w:p>
        </w:tc>
        <w:tc>
          <w:tcPr>
            <w:tcW w:w="1493" w:type="dxa"/>
            <w:gridSpan w:val="3"/>
            <w:vMerge w:val="continue"/>
            <w:tcBorders/>
            <w:tcMar>
              <w:top w:w="0" w:type="dxa"/>
              <w:left w:w="0" w:type="dxa"/>
              <w:bottom w:w="0" w:type="dxa"/>
              <w:right w:w="0" w:type="dxa"/>
            </w:tcMar>
            <w:vAlign w:val="center"/>
          </w:tcPr>
          <w:p>
            <w:pPr>
              <w:pStyle w:val="Normal"/>
              <w:bidi w:val="0"/>
              <w:jc w:val="left"/>
              <w:rPr/>
            </w:pPr>
            <w:r>
              <w:rPr/>
            </w:r>
          </w:p>
        </w:tc>
        <w:tc>
          <w:tcPr>
            <w:tcW w:w="1324" w:type="dxa"/>
            <w:gridSpan w:val="3"/>
            <w:vMerge w:val="continue"/>
            <w:tcBorders/>
            <w:tcMar>
              <w:top w:w="0" w:type="dxa"/>
              <w:left w:w="0" w:type="dxa"/>
              <w:bottom w:w="0" w:type="dxa"/>
              <w:right w:w="0" w:type="dxa"/>
            </w:tcMar>
            <w:vAlign w:val="center"/>
          </w:tcPr>
          <w:p>
            <w:pPr>
              <w:pStyle w:val="Normal"/>
              <w:bidi w:val="0"/>
              <w:jc w:val="left"/>
              <w:rPr/>
            </w:pPr>
            <w:r>
              <w:rPr/>
            </w:r>
          </w:p>
        </w:tc>
        <w:tc>
          <w:tcPr>
            <w:tcW w:w="1945" w:type="dxa"/>
            <w:gridSpan w:val="3"/>
            <w:vMerge w:val="continue"/>
            <w:tcBorders/>
            <w:tcMar>
              <w:top w:w="0" w:type="dxa"/>
              <w:left w:w="0" w:type="dxa"/>
              <w:bottom w:w="0" w:type="dxa"/>
              <w:right w:w="0" w:type="dxa"/>
            </w:tcMar>
            <w:vAlign w:val="center"/>
          </w:tcPr>
          <w:p>
            <w:pPr>
              <w:pStyle w:val="Normal"/>
              <w:bidi w:val="0"/>
              <w:jc w:val="left"/>
              <w:rPr/>
            </w:pPr>
            <w:r>
              <w:rPr/>
            </w:r>
          </w:p>
        </w:tc>
        <w:tc>
          <w:tcPr>
            <w:tcW w:w="1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2026</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530,796,103 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3,191,608 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26,662 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1,024,769 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 exercises and 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3,491,582 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534,287,685 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3,211,515 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(2,324,511)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915,003 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4"/>
        <w:gridCol w:w="472"/>
        <w:gridCol w:w="474"/>
        <w:gridCol w:w="753"/>
        <w:gridCol w:w="433"/>
        <w:gridCol w:w="198"/>
        <w:gridCol w:w="410"/>
        <w:gridCol w:w="387"/>
        <w:gridCol w:w="154"/>
        <w:gridCol w:w="243"/>
        <w:gridCol w:w="1125"/>
        <w:gridCol w:w="125"/>
        <w:gridCol w:w="211"/>
        <w:gridCol w:w="1004"/>
        <w:gridCol w:w="109"/>
        <w:gridCol w:w="393"/>
        <w:gridCol w:w="1346"/>
        <w:gridCol w:w="206"/>
        <w:gridCol w:w="211"/>
        <w:gridCol w:w="976"/>
        <w:gridCol w:w="161"/>
      </w:tblGrid>
      <w:tr>
        <w:trPr/>
        <w:tc>
          <w:tcPr>
            <w:tcW w:w="8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Common Stock </w:t>
            </w:r>
          </w:p>
        </w:tc>
        <w:tc>
          <w:tcPr>
            <w:tcW w:w="149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 Paid-in-Capital</w:t>
            </w:r>
          </w:p>
        </w:tc>
        <w:tc>
          <w:tcPr>
            <w:tcW w:w="132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pPr>
            <w:r>
              <w:rPr>
                <w:rFonts w:ascii="Arial;sans-serif" w:hAnsi="Arial;sans-serif"/>
                <w:b/>
                <w:color w:val="000000"/>
                <w:sz w:val="16"/>
              </w:rPr>
              <w:t>Deficit</w:t>
            </w:r>
            <w:r>
              <w:rPr>
                <w:color w:val="000000"/>
              </w:rPr>
              <w:t xml:space="preserve"> </w:t>
            </w:r>
          </w:p>
        </w:tc>
        <w:tc>
          <w:tcPr>
            <w:tcW w:w="19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34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Stockholders’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Equity</w:t>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(Class A, B and Exchangeable)</w:t>
            </w:r>
          </w:p>
        </w:tc>
        <w:tc>
          <w:tcPr>
            <w:tcW w:w="1493" w:type="dxa"/>
            <w:gridSpan w:val="3"/>
            <w:vMerge w:val="continue"/>
            <w:tcBorders/>
            <w:tcMar>
              <w:top w:w="0" w:type="dxa"/>
              <w:left w:w="0" w:type="dxa"/>
              <w:bottom w:w="0" w:type="dxa"/>
              <w:right w:w="0" w:type="dxa"/>
            </w:tcMar>
            <w:vAlign w:val="center"/>
          </w:tcPr>
          <w:p>
            <w:pPr>
              <w:pStyle w:val="Normal"/>
              <w:bidi w:val="0"/>
              <w:jc w:val="left"/>
              <w:rPr/>
            </w:pPr>
            <w:r>
              <w:rPr/>
            </w:r>
          </w:p>
        </w:tc>
        <w:tc>
          <w:tcPr>
            <w:tcW w:w="1324" w:type="dxa"/>
            <w:gridSpan w:val="3"/>
            <w:vMerge w:val="continue"/>
            <w:tcBorders/>
            <w:tcMar>
              <w:top w:w="0" w:type="dxa"/>
              <w:left w:w="0" w:type="dxa"/>
              <w:bottom w:w="0" w:type="dxa"/>
              <w:right w:w="0" w:type="dxa"/>
            </w:tcMar>
            <w:vAlign w:val="center"/>
          </w:tcPr>
          <w:p>
            <w:pPr>
              <w:pStyle w:val="Normal"/>
              <w:bidi w:val="0"/>
              <w:jc w:val="left"/>
              <w:rPr/>
            </w:pPr>
            <w:r>
              <w:rPr/>
            </w:r>
          </w:p>
        </w:tc>
        <w:tc>
          <w:tcPr>
            <w:tcW w:w="1945" w:type="dxa"/>
            <w:gridSpan w:val="3"/>
            <w:vMerge w:val="continue"/>
            <w:tcBorders/>
            <w:tcMar>
              <w:top w:w="0" w:type="dxa"/>
              <w:left w:w="0" w:type="dxa"/>
              <w:bottom w:w="0" w:type="dxa"/>
              <w:right w:w="0" w:type="dxa"/>
            </w:tcMar>
            <w:vAlign w:val="center"/>
          </w:tcPr>
          <w:p>
            <w:pPr>
              <w:pStyle w:val="Normal"/>
              <w:bidi w:val="0"/>
              <w:jc w:val="left"/>
              <w:rPr/>
            </w:pPr>
            <w:r>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Shares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Amount </w:t>
            </w:r>
          </w:p>
        </w:tc>
        <w:tc>
          <w:tcPr>
            <w:tcW w:w="1493" w:type="dxa"/>
            <w:gridSpan w:val="3"/>
            <w:vMerge w:val="continue"/>
            <w:tcBorders/>
            <w:tcMar>
              <w:top w:w="0" w:type="dxa"/>
              <w:left w:w="0" w:type="dxa"/>
              <w:bottom w:w="0" w:type="dxa"/>
              <w:right w:w="0" w:type="dxa"/>
            </w:tcMar>
            <w:vAlign w:val="center"/>
          </w:tcPr>
          <w:p>
            <w:pPr>
              <w:pStyle w:val="Normal"/>
              <w:bidi w:val="0"/>
              <w:jc w:val="left"/>
              <w:rPr/>
            </w:pPr>
            <w:r>
              <w:rPr/>
            </w:r>
          </w:p>
        </w:tc>
        <w:tc>
          <w:tcPr>
            <w:tcW w:w="1324" w:type="dxa"/>
            <w:gridSpan w:val="3"/>
            <w:vMerge w:val="continue"/>
            <w:tcBorders/>
            <w:tcMar>
              <w:top w:w="0" w:type="dxa"/>
              <w:left w:w="0" w:type="dxa"/>
              <w:bottom w:w="0" w:type="dxa"/>
              <w:right w:w="0" w:type="dxa"/>
            </w:tcMar>
            <w:vAlign w:val="center"/>
          </w:tcPr>
          <w:p>
            <w:pPr>
              <w:pStyle w:val="Normal"/>
              <w:bidi w:val="0"/>
              <w:jc w:val="left"/>
              <w:rPr/>
            </w:pPr>
            <w:r>
              <w:rPr/>
            </w:r>
          </w:p>
        </w:tc>
        <w:tc>
          <w:tcPr>
            <w:tcW w:w="1945" w:type="dxa"/>
            <w:gridSpan w:val="3"/>
            <w:vMerge w:val="continue"/>
            <w:tcBorders/>
            <w:tcMar>
              <w:top w:w="0" w:type="dxa"/>
              <w:left w:w="0" w:type="dxa"/>
              <w:bottom w:w="0" w:type="dxa"/>
              <w:right w:w="0" w:type="dxa"/>
            </w:tcMar>
            <w:vAlign w:val="center"/>
          </w:tcPr>
          <w:p>
            <w:pPr>
              <w:pStyle w:val="Normal"/>
              <w:bidi w:val="0"/>
              <w:jc w:val="left"/>
              <w:rPr/>
            </w:pPr>
            <w:r>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528,182,693 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3,170,145 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1,130,865 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 exercises and 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6,104,992 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94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94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534,287,685 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3,211,515 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(2,324,511)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915,003 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11"/>
        <w:gridCol w:w="501"/>
        <w:gridCol w:w="503"/>
        <w:gridCol w:w="753"/>
        <w:gridCol w:w="433"/>
        <w:gridCol w:w="194"/>
        <w:gridCol w:w="404"/>
        <w:gridCol w:w="376"/>
        <w:gridCol w:w="149"/>
        <w:gridCol w:w="239"/>
        <w:gridCol w:w="1107"/>
        <w:gridCol w:w="123"/>
        <w:gridCol w:w="211"/>
        <w:gridCol w:w="1003"/>
        <w:gridCol w:w="109"/>
        <w:gridCol w:w="378"/>
        <w:gridCol w:w="1296"/>
        <w:gridCol w:w="198"/>
        <w:gridCol w:w="213"/>
        <w:gridCol w:w="838"/>
        <w:gridCol w:w="166"/>
      </w:tblGrid>
      <w:tr>
        <w:trPr/>
        <w:tc>
          <w:tcPr>
            <w:tcW w:w="10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Common Stock </w:t>
            </w:r>
          </w:p>
        </w:tc>
        <w:tc>
          <w:tcPr>
            <w:tcW w:w="14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 Paid-in-Capital</w:t>
            </w:r>
          </w:p>
        </w:tc>
        <w:tc>
          <w:tcPr>
            <w:tcW w:w="132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pPr>
            <w:r>
              <w:rPr>
                <w:rFonts w:ascii="Arial;sans-serif" w:hAnsi="Arial;sans-serif"/>
                <w:b/>
                <w:color w:val="000000"/>
                <w:sz w:val="16"/>
              </w:rPr>
              <w:t>Deficit</w:t>
            </w:r>
            <w:r>
              <w:rPr>
                <w:color w:val="000000"/>
              </w:rPr>
              <w:t xml:space="preserve"> </w:t>
            </w:r>
          </w:p>
        </w:tc>
        <w:tc>
          <w:tcPr>
            <w:tcW w:w="187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21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Stockholders’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Equity</w:t>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(Class A, B and Exchangeable)</w:t>
            </w:r>
          </w:p>
        </w:tc>
        <w:tc>
          <w:tcPr>
            <w:tcW w:w="1469"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vMerge w:val="continue"/>
            <w:tcBorders/>
            <w:tcMar>
              <w:top w:w="0" w:type="dxa"/>
              <w:left w:w="0" w:type="dxa"/>
              <w:bottom w:w="0" w:type="dxa"/>
              <w:right w:w="0" w:type="dxa"/>
            </w:tcMar>
            <w:vAlign w:val="center"/>
          </w:tcPr>
          <w:p>
            <w:pPr>
              <w:pStyle w:val="Normal"/>
              <w:bidi w:val="0"/>
              <w:jc w:val="left"/>
              <w:rPr/>
            </w:pPr>
            <w:r>
              <w:rPr/>
            </w:r>
          </w:p>
        </w:tc>
        <w:tc>
          <w:tcPr>
            <w:tcW w:w="1872" w:type="dxa"/>
            <w:gridSpan w:val="3"/>
            <w:vMerge w:val="continue"/>
            <w:tcBorders/>
            <w:tcMar>
              <w:top w:w="0" w:type="dxa"/>
              <w:left w:w="0" w:type="dxa"/>
              <w:bottom w:w="0" w:type="dxa"/>
              <w:right w:w="0" w:type="dxa"/>
            </w:tcMar>
            <w:vAlign w:val="center"/>
          </w:tcPr>
          <w:p>
            <w:pPr>
              <w:pStyle w:val="Normal"/>
              <w:bidi w:val="0"/>
              <w:jc w:val="left"/>
              <w:rPr/>
            </w:pPr>
            <w:r>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Shares </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Amount </w:t>
            </w:r>
          </w:p>
        </w:tc>
        <w:tc>
          <w:tcPr>
            <w:tcW w:w="1469"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vMerge w:val="continue"/>
            <w:tcBorders/>
            <w:tcMar>
              <w:top w:w="0" w:type="dxa"/>
              <w:left w:w="0" w:type="dxa"/>
              <w:bottom w:w="0" w:type="dxa"/>
              <w:right w:w="0" w:type="dxa"/>
            </w:tcMar>
            <w:vAlign w:val="center"/>
          </w:tcPr>
          <w:p>
            <w:pPr>
              <w:pStyle w:val="Normal"/>
              <w:bidi w:val="0"/>
              <w:jc w:val="left"/>
              <w:rPr/>
            </w:pPr>
            <w:r>
              <w:rPr/>
            </w:r>
          </w:p>
        </w:tc>
        <w:tc>
          <w:tcPr>
            <w:tcW w:w="1872" w:type="dxa"/>
            <w:gridSpan w:val="3"/>
            <w:vMerge w:val="continue"/>
            <w:tcBorders/>
            <w:tcMar>
              <w:top w:w="0" w:type="dxa"/>
              <w:left w:w="0" w:type="dxa"/>
              <w:bottom w:w="0" w:type="dxa"/>
              <w:right w:w="0" w:type="dxa"/>
            </w:tcMar>
            <w:vAlign w:val="center"/>
          </w:tcPr>
          <w:p>
            <w:pPr>
              <w:pStyle w:val="Normal"/>
              <w:bidi w:val="0"/>
              <w:jc w:val="left"/>
              <w:rPr/>
            </w:pPr>
            <w:r>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406,410,733 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2,553,492 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933,947 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 exercises and 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4,665,500 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sales issuances, net of issuance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21,754,409 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432,830,642 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2,681,111 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919,146 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7"/>
        <w:gridCol w:w="532"/>
        <w:gridCol w:w="534"/>
        <w:gridCol w:w="753"/>
        <w:gridCol w:w="433"/>
        <w:gridCol w:w="192"/>
        <w:gridCol w:w="399"/>
        <w:gridCol w:w="368"/>
        <w:gridCol w:w="146"/>
        <w:gridCol w:w="237"/>
        <w:gridCol w:w="1096"/>
        <w:gridCol w:w="122"/>
        <w:gridCol w:w="211"/>
        <w:gridCol w:w="1002"/>
        <w:gridCol w:w="109"/>
        <w:gridCol w:w="369"/>
        <w:gridCol w:w="1264"/>
        <w:gridCol w:w="193"/>
        <w:gridCol w:w="211"/>
        <w:gridCol w:w="976"/>
        <w:gridCol w:w="161"/>
      </w:tblGrid>
      <w:tr>
        <w:trPr/>
        <w:tc>
          <w:tcPr>
            <w:tcW w:w="89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Common Stock </w:t>
            </w:r>
          </w:p>
        </w:tc>
        <w:tc>
          <w:tcPr>
            <w:tcW w:w="145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 Paid-in-Capital</w:t>
            </w:r>
          </w:p>
        </w:tc>
        <w:tc>
          <w:tcPr>
            <w:tcW w:w="132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pPr>
            <w:r>
              <w:rPr>
                <w:rFonts w:ascii="Arial;sans-serif" w:hAnsi="Arial;sans-serif"/>
                <w:b/>
                <w:color w:val="000000"/>
                <w:sz w:val="16"/>
              </w:rPr>
              <w:t>Deficit</w:t>
            </w:r>
            <w:r>
              <w:rPr>
                <w:color w:val="000000"/>
              </w:rPr>
              <w:t xml:space="preserve"> </w:t>
            </w:r>
          </w:p>
        </w:tc>
        <w:tc>
          <w:tcPr>
            <w:tcW w:w="18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34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Stockholders’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Equity</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(Class A, B and Exchangeable)</w:t>
            </w:r>
          </w:p>
        </w:tc>
        <w:tc>
          <w:tcPr>
            <w:tcW w:w="1455" w:type="dxa"/>
            <w:gridSpan w:val="3"/>
            <w:vMerge w:val="continue"/>
            <w:tcBorders/>
            <w:tcMar>
              <w:top w:w="0" w:type="dxa"/>
              <w:left w:w="0" w:type="dxa"/>
              <w:bottom w:w="0" w:type="dxa"/>
              <w:right w:w="0" w:type="dxa"/>
            </w:tcMar>
            <w:vAlign w:val="center"/>
          </w:tcPr>
          <w:p>
            <w:pPr>
              <w:pStyle w:val="Normal"/>
              <w:bidi w:val="0"/>
              <w:jc w:val="left"/>
              <w:rPr/>
            </w:pPr>
            <w:r>
              <w:rPr/>
            </w:r>
          </w:p>
        </w:tc>
        <w:tc>
          <w:tcPr>
            <w:tcW w:w="1322" w:type="dxa"/>
            <w:gridSpan w:val="3"/>
            <w:vMerge w:val="continue"/>
            <w:tcBorders/>
            <w:tcMar>
              <w:top w:w="0" w:type="dxa"/>
              <w:left w:w="0" w:type="dxa"/>
              <w:bottom w:w="0" w:type="dxa"/>
              <w:right w:w="0" w:type="dxa"/>
            </w:tcMar>
            <w:vAlign w:val="center"/>
          </w:tcPr>
          <w:p>
            <w:pPr>
              <w:pStyle w:val="Normal"/>
              <w:bidi w:val="0"/>
              <w:jc w:val="left"/>
              <w:rPr/>
            </w:pPr>
            <w:r>
              <w:rPr/>
            </w:r>
          </w:p>
        </w:tc>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Shares </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Amount </w:t>
            </w:r>
          </w:p>
        </w:tc>
        <w:tc>
          <w:tcPr>
            <w:tcW w:w="1455" w:type="dxa"/>
            <w:gridSpan w:val="3"/>
            <w:vMerge w:val="continue"/>
            <w:tcBorders/>
            <w:tcMar>
              <w:top w:w="0" w:type="dxa"/>
              <w:left w:w="0" w:type="dxa"/>
              <w:bottom w:w="0" w:type="dxa"/>
              <w:right w:w="0" w:type="dxa"/>
            </w:tcMar>
            <w:vAlign w:val="center"/>
          </w:tcPr>
          <w:p>
            <w:pPr>
              <w:pStyle w:val="Normal"/>
              <w:bidi w:val="0"/>
              <w:jc w:val="left"/>
              <w:rPr/>
            </w:pPr>
            <w:r>
              <w:rPr/>
            </w:r>
          </w:p>
        </w:tc>
        <w:tc>
          <w:tcPr>
            <w:tcW w:w="1322" w:type="dxa"/>
            <w:gridSpan w:val="3"/>
            <w:vMerge w:val="continue"/>
            <w:tcBorders/>
            <w:tcMar>
              <w:top w:w="0" w:type="dxa"/>
              <w:left w:w="0" w:type="dxa"/>
              <w:bottom w:w="0" w:type="dxa"/>
              <w:right w:w="0" w:type="dxa"/>
            </w:tcMar>
            <w:vAlign w:val="center"/>
          </w:tcPr>
          <w:p>
            <w:pPr>
              <w:pStyle w:val="Normal"/>
              <w:bidi w:val="0"/>
              <w:jc w:val="left"/>
              <w:rPr/>
            </w:pPr>
            <w:r>
              <w:rPr/>
            </w:r>
          </w:p>
        </w:tc>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396,802,394 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2,473,698 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1,034,782 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51,257 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 exercises and 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8,774,159 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sales issuances, net of issuance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27,254,089 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432,830,642 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2,681,111 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919,146 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(unaudited) (in thousands) </w:t>
      </w:r>
    </w:p>
    <w:tbl>
      <w:tblPr>
        <w:tblW w:w="10064" w:type="dxa"/>
        <w:jc w:val="center"/>
        <w:tblInd w:w="0" w:type="dxa"/>
        <w:tblLayout w:type="fixed"/>
        <w:tblCellMar>
          <w:top w:w="28" w:type="dxa"/>
          <w:left w:w="28" w:type="dxa"/>
          <w:bottom w:w="28" w:type="dxa"/>
          <w:right w:w="28" w:type="dxa"/>
        </w:tblCellMar>
      </w:tblPr>
      <w:tblGrid>
        <w:gridCol w:w="2671"/>
        <w:gridCol w:w="2347"/>
        <w:gridCol w:w="2362"/>
        <w:gridCol w:w="225"/>
        <w:gridCol w:w="977"/>
        <w:gridCol w:w="116"/>
        <w:gridCol w:w="225"/>
        <w:gridCol w:w="977"/>
        <w:gridCol w:w="164"/>
      </w:tblGrid>
      <w:tr>
        <w:trPr/>
        <w:tc>
          <w:tcPr>
            <w:tcW w:w="2671"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7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(374,384)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a business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 and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data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data liability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development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(187,048)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(208,375)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 of an intangible asset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Decrease in cash related to disposal of a business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investments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(13,078)</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common shares, net of issuance costs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Equity incentive plans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long-term debt and finance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an intangible asset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cash provided by (used in) financing activities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138,186 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exchange rate changes on cash, cash equivalents and restricted cash</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change in cash, cash equivalents and restricted cash</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(197,101)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(69,179)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753,921 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603,024 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end of period</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556,820 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533,845 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schedule of non-cash investing and financing activities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property and equipment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an equity investment</w:t>
            </w:r>
          </w:p>
        </w:tc>
        <w:tc>
          <w:tcPr>
            <w:tcW w:w="12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4,438 </w:t>
            </w:r>
          </w:p>
        </w:tc>
        <w:tc>
          <w:tcPr>
            <w:tcW w:w="16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    Description of the Business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Recursion Pharmaceuticals, Inc. (Recursion, the Company, we or our) is a clinical stage TechBio company decoding biology and chemistry to industrialize drug discovery. The Recursion Operating System (Recursion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sans-serif" w:hAnsi="Arial;sans-serif"/>
          <w:b w:val="false"/>
          <w:i/>
          <w:color w:val="000000"/>
          <w:sz w:val="20"/>
        </w:rPr>
        <w:t xml:space="preserve">in silico </w:t>
      </w:r>
      <w:r>
        <w:rPr>
          <w:rFonts w:ascii="Arial;sans-serif" w:hAnsi="Arial;sans-serif"/>
          <w:b w:val="false"/>
          <w:color w:val="000000"/>
          <w:sz w:val="20"/>
        </w:rPr>
        <w:t>hypotheses into validated insights and novel chemistry.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June 30, 2026, the Company had an accumulated deficit of $2.3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June 30, 2026,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believes that the Company’s existing cash and cash equivalents will be sufficient to fund the Company’s operating expenses and capital expenditures for at least the next 12 months from the issuance date of these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Basis of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 is management’s opinion that these condensed consolidated financial statements include all normal and recurring adjustments necessary for a fair statement of the financial position, results of operations and cash flows for the periods presented. Revenue and net loss for any interim period are not necessarily indicative of future or annual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Recent Accounting Pronouncements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December 2025, the Financial Accounting Standards Board (FASB) issued ASU No. 2025-10, </w:t>
      </w:r>
      <w:r>
        <w:rPr>
          <w:rFonts w:ascii="Arial;sans-serif" w:hAnsi="Arial;sans-serif"/>
          <w:b w:val="false"/>
          <w:i/>
          <w:color w:val="000000"/>
          <w:sz w:val="20"/>
        </w:rPr>
        <w:t xml:space="preserve">Government Grants (Topic 832). </w:t>
      </w:r>
      <w:r>
        <w:rPr>
          <w:rFonts w:ascii="Arial;sans-serif" w:hAnsi="Arial;sans-serif"/>
          <w:b w:val="false"/>
          <w:color w:val="000000"/>
          <w:sz w:val="20"/>
        </w:rPr>
        <w:t xml:space="preserve">The new standard adds guidance to ASC 832 on the recognition, measurement and presentation of government grants. This standard will be effective for Recursion starting the annual period of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for interim reporting periods within that annual reporting period. Early adoption is permitted. The amendments can be applied on a prospective, modified prospective or retrospective basis. Recursion is currently assessing the impact of adopting this guidance on its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September 2025, the Financial Accounting Standards Board (FASB) issued Accounting Standards Update (ASU) No. 2025-07, </w:t>
      </w:r>
      <w:r>
        <w:rPr>
          <w:rFonts w:ascii="Arial;sans-serif" w:hAnsi="Arial;sans-serif"/>
          <w:b w:val="false"/>
          <w:i/>
          <w:color w:val="000000"/>
          <w:sz w:val="20"/>
        </w:rPr>
        <w:t>Derivatives and Hedging (Topic 815) and Revenue from Contracts with Customers (Topic 606).</w:t>
      </w:r>
      <w:r>
        <w:rPr>
          <w:color w:val="000000"/>
        </w:rPr>
        <w:t xml:space="preserve"> </w:t>
      </w:r>
      <w:r>
        <w:rPr>
          <w:rFonts w:ascii="Arial;sans-serif" w:hAnsi="Arial;sans-serif"/>
          <w:b w:val="false"/>
          <w:color w:val="000000"/>
          <w:sz w:val="20"/>
        </w:rPr>
        <w:t xml:space="preserve">The new standard refines the scope of the guidance on derivatives in Topic 815 and clarifies the guidance on share-based payments from a customer in ASC 606. This standard will be effective for Recursion starting the annual period of 2027 and for interim reporting periods within that annual reporting period. Early adoption is permitted. Recursion is currently assessing the impact of adopting this guidance on its consolidated financial statements.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September 2025, the Financial Accounting Standards Board (FASB) issued Accounting Standards Update (ASU) No. 2025-06, </w:t>
      </w:r>
      <w:r>
        <w:rPr>
          <w:rFonts w:ascii="Arial;sans-serif" w:hAnsi="Arial;sans-serif"/>
          <w:b w:val="false"/>
          <w:i/>
          <w:color w:val="000000"/>
          <w:sz w:val="20"/>
        </w:rPr>
        <w:t>Accounting for internal-use software costs (Topic 350)</w:t>
      </w:r>
      <w:r>
        <w:rPr>
          <w:rFonts w:ascii="Arial;sans-serif" w:hAnsi="Arial;sans-serif"/>
          <w:b w:val="false"/>
          <w:color w:val="000000"/>
          <w:sz w:val="20"/>
        </w:rPr>
        <w:t>. The new standard amends specific aspects of the accounting for internal-use software costs including the criteria for capitalizing software costs. It also amends the related disclosure requirements. This standard will be effective for Recursion starting the annual period ending 2028 and for interim reporting periods within that annual reporting period. Early adoption is permitted. The amendments can be applied on a prospective, modified prospective or retrospective basis. Recursion is currently assessing the impact of adopting this guidance on its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November 2024, the Financial Accounting Standards Board (FASB) issued Accounting Standards Update (ASU) No. 2024-03, </w:t>
      </w:r>
      <w:r>
        <w:rPr>
          <w:rFonts w:ascii="Arial;sans-serif" w:hAnsi="Arial;sans-serif"/>
          <w:b w:val="false"/>
          <w:i/>
          <w:color w:val="000000"/>
          <w:sz w:val="20"/>
        </w:rPr>
        <w:t>Disaggregation of Income Statement Expenses (Topic 220)</w:t>
      </w:r>
      <w:r>
        <w:rPr>
          <w:rFonts w:ascii="Arial;sans-serif" w:hAnsi="Arial;sans-serif"/>
          <w:b w:val="false"/>
          <w:color w:val="000000"/>
          <w:sz w:val="20"/>
        </w:rPr>
        <w:t>. The standard requires new disclosures in the notes to the financial statements about certain caption expenses presented on the face of the Income Statement including information on: purchases of inventory; employee compensation; depreciation and intangible asset amortization. Recursion must also disclose a qualitative description of the amounts remaining in expense captions that are not separately disaggregated. This standard will be effective for Recursion starting the annual period of 2027. Early adoption is permitted. The amendments can be applied on a prospective or retrospective basis. Recursion is currently assessing the impact of adopting this guidance on its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3.    Supplemental Financial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Tempus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November 2023, Recursion entered into a five-year agreement (the Tempus Agreement) with Tempus AI, Inc. (Tempus) to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$22.0 million and $42.0 million, up to $160.0 million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is expensing the record purchases based on a contractually agreed price as “Research and Development” expenses in the Condensed Consolidated Statements of Operations as the records are downloaded. To the extent that the Recursion payments to Tempus are greater than or less than the records purchased amount, Recursion records the applicable amount to “Prepaid data assets” or “Accrued data liability” on the Condensed Consolidated Balance Sheet, respectively. For the three and six months ended June 30, 2026, record purchases were $3.1 million. For the three and six months ended June 30, 2025, record purchases were $22.7 million and $49.9 million, respectively.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Accrued Expenses and Other Liabilities</w:t>
      </w:r>
    </w:p>
    <w:p>
      <w:pPr>
        <w:pStyle w:val="TextBody"/>
        <w:bidi w:val="0"/>
        <w:spacing w:before="0" w:after="0"/>
        <w:jc w:val="left"/>
        <w:rPr/>
      </w:pPr>
      <w:r>
        <w:rPr/>
      </w:r>
    </w:p>
    <w:tbl>
      <w:tblPr>
        <w:tblW w:w="6080" w:type="dxa"/>
        <w:jc w:val="left"/>
        <w:tblInd w:w="0" w:type="dxa"/>
        <w:tblLayout w:type="fixed"/>
        <w:tblCellMar>
          <w:top w:w="28" w:type="dxa"/>
          <w:left w:w="28" w:type="dxa"/>
          <w:bottom w:w="28" w:type="dxa"/>
          <w:right w:w="28" w:type="dxa"/>
        </w:tblCellMar>
      </w:tblPr>
      <w:tblGrid>
        <w:gridCol w:w="1301"/>
        <w:gridCol w:w="1146"/>
        <w:gridCol w:w="1153"/>
        <w:gridCol w:w="211"/>
        <w:gridCol w:w="751"/>
        <w:gridCol w:w="109"/>
        <w:gridCol w:w="266"/>
        <w:gridCol w:w="949"/>
        <w:gridCol w:w="194"/>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31,771 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compute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development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early discovery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professional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Materials received not invoiced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 other than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grants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license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other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 and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70,230 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 Income, Net</w:t>
      </w:r>
    </w:p>
    <w:p>
      <w:pPr>
        <w:pStyle w:val="TextBody"/>
        <w:bidi w:val="0"/>
        <w:spacing w:before="0" w:after="0"/>
        <w:jc w:val="left"/>
        <w:rPr/>
      </w:pPr>
      <w:r>
        <w:rPr/>
      </w:r>
    </w:p>
    <w:tbl>
      <w:tblPr>
        <w:tblW w:w="7237" w:type="dxa"/>
        <w:jc w:val="left"/>
        <w:tblInd w:w="0" w:type="dxa"/>
        <w:tblLayout w:type="fixed"/>
        <w:tblCellMar>
          <w:top w:w="28" w:type="dxa"/>
          <w:left w:w="28" w:type="dxa"/>
          <w:bottom w:w="28" w:type="dxa"/>
          <w:right w:w="28" w:type="dxa"/>
        </w:tblCellMar>
      </w:tblPr>
      <w:tblGrid>
        <w:gridCol w:w="672"/>
        <w:gridCol w:w="593"/>
        <w:gridCol w:w="594"/>
        <w:gridCol w:w="313"/>
        <w:gridCol w:w="958"/>
        <w:gridCol w:w="161"/>
        <w:gridCol w:w="313"/>
        <w:gridCol w:w="958"/>
        <w:gridCol w:w="161"/>
        <w:gridCol w:w="109"/>
        <w:gridCol w:w="109"/>
        <w:gridCol w:w="109"/>
        <w:gridCol w:w="211"/>
        <w:gridCol w:w="751"/>
        <w:gridCol w:w="109"/>
        <w:gridCol w:w="211"/>
        <w:gridCol w:w="751"/>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 interest income primarily related to earnings on cash and cash equivalents in money market funds. Interest expense primarily related to the Company’s supercomputer financing lease. Interest income, net was included in “Other income (loss), net” on the Condensed Consolidated Statements of Operations.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Acquisitions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 Ventures I</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July 2025, Recursion acquired Rallybio’s interest in the joint venture, RE Ventures I, such that Recursion now owns 100% of the interest in RE Ventures I for total consideration of $20.2 million. Recursion determined that this transaction met the criteria to be accounted for as an asset acquisition since the lead asset, ENPP1 (Rec-102), an inhibitor program for the treatment of hypophosphatasia (HPP), represented substantially all of the fair value of the gross assets acquired.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Subsequent to closing, in August 2025, Recursion issued additional consideration as part of a required milestone payment. As a result, Recursion recorded an additional expense of $2.4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part of the agreement, Rallybio is eligible to receive additional milestone payments under certain conditions. Milestone payment obligations that are incurred prior to regulatory approval of the compound will be expensed as acquired IPR&amp;D when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Sale of Exscientia GmbH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March 2025, Recursion completed the sale of its Austrian operations (Exscientia GmbH) to Alpha Biotechnology GmbH (Alpha). As part of the sale, Recursion obtained a 49% equity interest in Alpha. For the year ended December 31, 2025, Recursion recorded a loss on the disposal of Exscientia GmbH of $4.5 million, which was classified as “Other income (loss), net” on the Condensed Consolidated Statement of Operations. Recursion also recorded a $4.4 million investment on the Condensed Consolidated Balance Sheet within “Other assets, non-current” related to its 49% equity interest in Alpha, which was determined to be an equity method investment.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5.    Leases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entered into various long-term real estate operating leases primarily related to office, research and development and operating activities and an equipment financing lease related to the supercomputer. The Company’s leases have remaining terms from under one year to six years and some of those leases include options that provide Recursion with the ability to extend the lease term, generally for five years. The options are included in the lease term when it is reasonably certain that the option will be exercised.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For the </w:t>
      </w:r>
      <w:r>
        <w:rPr>
          <w:rFonts w:ascii="Arial;sans-serif" w:hAnsi="Arial;sans-serif"/>
          <w:b w:val="false"/>
          <w:color w:val="000000"/>
          <w:sz w:val="20"/>
        </w:rPr>
        <w:t>six months ended June 30, 2025,</w:t>
      </w:r>
      <w:r>
        <w:rPr>
          <w:color w:val="000000"/>
          <w:shd w:fill="FFFFFF" w:val="clear"/>
        </w:rPr>
        <w:t xml:space="preserve"> </w:t>
      </w:r>
      <w:r>
        <w:rPr>
          <w:rFonts w:ascii="Arial;sans-serif" w:hAnsi="Arial;sans-serif"/>
          <w:b w:val="false"/>
          <w:color w:val="000000"/>
          <w:sz w:val="20"/>
          <w:shd w:fill="FFFFFF" w:val="clear"/>
        </w:rPr>
        <w:t>Recursion entered into operating lease modifications and terminations resulting in a decrease to the right-of-use asset and lease liability of $10.1 million. The modifications had no impact to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Supplemental cash flow information related to leases were:</w:t>
      </w:r>
    </w:p>
    <w:tbl>
      <w:tblPr>
        <w:tblW w:w="8908" w:type="dxa"/>
        <w:jc w:val="left"/>
        <w:tblInd w:w="0" w:type="dxa"/>
        <w:tblLayout w:type="fixed"/>
        <w:tblCellMar>
          <w:top w:w="28" w:type="dxa"/>
          <w:left w:w="28" w:type="dxa"/>
          <w:bottom w:w="28" w:type="dxa"/>
          <w:right w:w="28" w:type="dxa"/>
        </w:tblCellMar>
      </w:tblPr>
      <w:tblGrid>
        <w:gridCol w:w="2250"/>
        <w:gridCol w:w="1983"/>
        <w:gridCol w:w="1992"/>
        <w:gridCol w:w="264"/>
        <w:gridCol w:w="810"/>
        <w:gridCol w:w="136"/>
        <w:gridCol w:w="264"/>
        <w:gridCol w:w="1016"/>
        <w:gridCol w:w="193"/>
      </w:tblGrid>
      <w:tr>
        <w:trPr/>
        <w:tc>
          <w:tcPr>
            <w:tcW w:w="2250"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6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Cash paid for amount included in the measurement of lease liabilities: </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financing leases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Financing cash flows from financing leases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Right-of-use assets additions, modifications and termination:</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6.    Goodwill and Intangible Assets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changes in the carrying amount of goodwill: </w:t>
      </w:r>
    </w:p>
    <w:tbl>
      <w:tblPr>
        <w:tblW w:w="4880" w:type="dxa"/>
        <w:jc w:val="left"/>
        <w:tblInd w:w="0" w:type="dxa"/>
        <w:tblLayout w:type="fixed"/>
        <w:tblCellMar>
          <w:top w:w="28" w:type="dxa"/>
          <w:left w:w="28" w:type="dxa"/>
          <w:bottom w:w="28" w:type="dxa"/>
          <w:right w:w="28" w:type="dxa"/>
        </w:tblCellMar>
      </w:tblPr>
      <w:tblGrid>
        <w:gridCol w:w="1323"/>
        <w:gridCol w:w="1166"/>
        <w:gridCol w:w="1170"/>
        <w:gridCol w:w="211"/>
        <w:gridCol w:w="856"/>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 goodwill impairment was recorded during the three and six months ended June 30, 2026 and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Intangible Assets,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intangible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4"/>
        <w:gridCol w:w="570"/>
        <w:gridCol w:w="537"/>
        <w:gridCol w:w="238"/>
        <w:gridCol w:w="966"/>
        <w:gridCol w:w="123"/>
        <w:gridCol w:w="269"/>
        <w:gridCol w:w="961"/>
        <w:gridCol w:w="141"/>
        <w:gridCol w:w="230"/>
        <w:gridCol w:w="936"/>
        <w:gridCol w:w="119"/>
        <w:gridCol w:w="109"/>
        <w:gridCol w:w="109"/>
        <w:gridCol w:w="109"/>
        <w:gridCol w:w="238"/>
        <w:gridCol w:w="966"/>
        <w:gridCol w:w="123"/>
        <w:gridCol w:w="269"/>
        <w:gridCol w:w="961"/>
        <w:gridCol w:w="141"/>
        <w:gridCol w:w="230"/>
        <w:gridCol w:w="933"/>
        <w:gridCol w:w="173"/>
      </w:tblGrid>
      <w:tr>
        <w:trPr/>
        <w:tc>
          <w:tcPr>
            <w:tcW w:w="75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1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Definite-lived technology intangible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(90,223)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236,497 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(69,156)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167,341 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Definite-lived licensed intangible assets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382,248 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(99,360)</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282,888 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385,678 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(75,775)</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309,903 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Amortization expense was $11.7 million and $24.4 million during the three and six months ended June 30, 2026, respectively. Amortization expense was $12.3 million and $24.0 million during the three and six months ended June 30, 2025, respectively. Amortization expense was included in “Research and Development” in the Condensed Consolidated Statements of Operations. Intangible assets, net decreased by $27.0 million during the six months ended June 30, 2026 of which $4.5 million was attributable to foreign currency translation adjustments.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 indefinite-lived intangible asset impairment charges were recorded during the three and six months ended June 30, 2026 and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7. Commitments and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Contract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Indemnification</w:t>
      </w:r>
      <w:r>
        <w:rPr>
          <w:color w:val="1E1E1E"/>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 it pays under its indemnification obligations. The Company had no liabilities recorded for these agreements as of June 30, 2026 and December 31, 2025, as no amounts were probable.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Employee Agreements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signed employment agreements with certain key employees pursuant to which, if their employment is terminated following a change of control of the Company, the employees are entitled to receive certain benefits, including accelerated vesting of equity incentives.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Legal Matters</w:t>
      </w:r>
      <w:r>
        <w:rPr>
          <w:color w:val="1E1E1E"/>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may, from time to time, be involved in various legal proceedings arising in the normal course of business. An unfavorable resolution of any such matter could materially affect the Company’s future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and/or non-conforming conditions with applicable building codes (collectively, the Claims). On June 23, 2023, the landlord filed a lawsuit against the Company (Industry Office SLC, LLC v. Recursion Pharmaceuticals, Inc., Case No. 230904627) amended in October 2023, in the Third District Court for Salt Lake County, State of Utah (the Court), alleging anticipatory repudiation, breach of contract and breach of the implied covenant of good faith and fair dealing and seeks monetary damages and attorney’s fees. As of June 30, 2026, the Company had no liability recorded for these events as an unfavorable outcome was not probable.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The Company is unable to estimate the possible amount or range of damages associated with the Counterclaims.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Pledged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June 30, 2026, assets pledged as collateral against finance leases totaled $13.8 million. Assets pledged as collateral are Lab Equipment reported in “Property and Equipment, net” on the Condensed Consolidated Balance Sheet. As of June 30, 2026, the liabilities associated with collateral pledged were solely comprised of a finance lease and had a carrying value of $13.9 million. The collateral pledged under the lease agreement may only be operated by the Company within the continental United States and must maintain a good title. The assets cannot be sold, disposed of or repledged by the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8.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June 30, 2026 and December 31, 2025, no dividends had been declared.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At-The-Market Offerings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February 2026</w:t>
      </w:r>
      <w:r>
        <w:rPr>
          <w:rFonts w:ascii="Arial;sans-serif" w:hAnsi="Arial;sans-serif"/>
          <w:b w:val="false"/>
          <w:color w:val="000000"/>
          <w:sz w:val="20"/>
        </w:rPr>
        <w:t xml:space="preserve">, the Company entered into a Sales Agreement (the TD Cowen Sales Agreement) with TD Securities (USA), LLC (the TD Cowen Sales Agent), to provide for the offering, issuance and sale of up to an aggregate amount of $300.0 million of its Class A common stock from time to time in at-the-market offerings (the TD Cowen ATM Offering). The TD Cowen ATM Offering was made under a prospectus supplement dated February 24, 2026 and related prospectus filed with the Securities and Exchange Commission pursuant to the Company’s automatically effective shelf registration statement on Form S-3 (Registration No. 333-284878).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six months ended June 30, 2026, the Company sold no shares. As of June 30, 2026, an amount of $300.0 million remained available for future sales under the Sales Agreement.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Prior to </w:t>
      </w:r>
      <w:r>
        <w:rPr>
          <w:rFonts w:ascii="Arial;sans-serif" w:hAnsi="Arial;sans-serif"/>
          <w:b w:val="false"/>
          <w:color w:val="1E1E1E"/>
          <w:sz w:val="20"/>
        </w:rPr>
        <w:t xml:space="preserve">February 2026, Recursion had entered into sales agreements with Citigroup Capital Markets Inc. and Jefferies LLC. See Note 8, “Common Stock,” in the Company’s Annual Report on Form 10-K for the year ended </w:t>
      </w:r>
      <w:r>
        <w:rPr>
          <w:rFonts w:ascii="Arial;sans-serif" w:hAnsi="Arial;sans-serif"/>
          <w:b w:val="false"/>
          <w:color w:val="000000"/>
          <w:sz w:val="20"/>
        </w:rPr>
        <w:t>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Valence Acquisition Exchangeable Shares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May 2023</w:t>
      </w:r>
      <w:r>
        <w:rPr>
          <w:rFonts w:ascii="Arial;sans-serif" w:hAnsi="Arial;sans-serif"/>
          <w:b w:val="false"/>
          <w:color w:val="000000"/>
          <w:sz w:val="20"/>
        </w:rPr>
        <w:t>, in connection with the acquisition of Valence Discovery Inc. (Valence), the Company entered into an agreement to issue up to 5.9 million shares of Class A common stock (the Exchangeable Shares), that may be issued upon exchange of exchangeable shares of a subsidiary of Recursion. The Exchangeable Shares are substantially the economic equivalent of the Class A shares and classified as common stock within the Company’s stockholders’ equity. The Company’s calculation of weighted-average shares outstanding includes the exchangeable shares. As of June 30, 2026, 4.9 million Exchangeable Shares have been redeemed for Class A shares.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Registration Rights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Tempus agreement</w:t>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November 2023</w:t>
      </w:r>
      <w:r>
        <w:rPr>
          <w:rFonts w:ascii="Arial;sans-serif" w:hAnsi="Arial;sans-serif"/>
          <w:b w:val="false"/>
          <w:color w:val="000000"/>
          <w:sz w:val="20"/>
        </w:rPr>
        <w:t>, in connection with the Tempus Agreement, the Company filed a registration statement for resale of the shares of Class A common stock issued or issuable under the Tempus Agreement. A new registration statement (333-284878) was filed in February 2025 and a prospectus supplement covering all shares that have been issued under the Tempus Agreement and remained held by Tempus was filed in May 2025 and in November 2025, a prospectus supplement was filed to register shares issued to Tempus in payment for the 2025 annual fee.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Acquisitions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November 2024, in connection with the acquisition of Exscientia plc (Exscientia), the Company filed a Registration Agreement providing for the resale of the shares of Class A common stock issued for Recursion stock options and RSUs. A registration statement on Form S-8 (File No. 333-283347) was filed to register the shares for resale by the holders. The registration statement must remain effective as long as such Recursion stock options and RSUs remain outstanding.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May 2023, in connection with the acquisition of Valence, the Company entered into a Registration Agreement providing for the resale of the shares of Class A common stock and Exchange Shares issued or issuable in such transaction. A registration statement on Form S-3ASR (File No. 333-272281) was filed to register the shares for resale by the holders. The Company’s obligation to keep the registration statement effective expired in May 2026 in accordance with the terms of the Registration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Class A and B Common Shares Authorization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April 2021,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 For the three months ended June 30, 2026, all previously outstanding Class B shares converted into Class A shares. As of June 30, 2026, there were no Class B shares outstanding.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9. Collaborative Development Contracts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Sanofi</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Description</w:t>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January 2022</w:t>
      </w:r>
      <w:r>
        <w:rPr>
          <w:rFonts w:ascii="Arial;sans-serif" w:hAnsi="Arial;sans-serif"/>
          <w:b w:val="false"/>
          <w:color w:val="000000"/>
          <w:sz w:val="20"/>
        </w:rPr>
        <w:t>, the Company and Sanofi entered into a collaboration agreement to develop an AI-driven pipeline of precision-engineered medicines. The research is focused on up to 15 novel small molecule candidates across oncology and immunology and utilizes the Company’s AI platform. The Company is leading small molecule drug design and lead optimization activities with Sanofi assuming responsibility for preclinical and clinical development, manufacturing and commercialization.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Pricing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received a $100.0 million non-refundable upfront payment. The Company has received multiple milestone payments related to this agreement totaling approximately $34.0 million. These related to the advancement of several of the discovery programs within the collaboration and the addition of an existing Company program into the collaboration. Recursion is eligible for additional milestone payments based on performance progress of the collaboration and tiered royalties ranging from high-single-digits to mid-teens. Recursion could earn a maximum of $555.0 million from all research milestones and $1.8 billion from all development and regulatory milestones.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Accounting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has determined that it has at least eight performance obligations related to the small molecule projects. These performance obligations are for performing research and development services for Sanofi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determined the transaction price to be $154.7 million, for the initial performance obligations, comprised of the upfront payment, several milestones that have been achieved and estimated additional target exercises. Recursion has fully constrained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recognizes revenue over time based on costs incurred relative to total expected costs to perform the research and development services. Recursion was unable to estimate the completion date of the performance obligations due to the current stage of work.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Merck KGaA (Merck)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Description</w:t>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1E1E1E"/>
          <w:sz w:val="20"/>
        </w:rPr>
        <w:t>September 2023</w:t>
      </w:r>
      <w:r>
        <w:rPr>
          <w:rFonts w:ascii="Arial;sans-serif" w:hAnsi="Arial;sans-serif"/>
          <w:b w:val="false"/>
          <w:color w:val="000000"/>
          <w:sz w:val="20"/>
        </w:rPr>
        <w:t>, the Company and Merck entered into a collaboration agreement to discover novel small molecule drug candidates across oncology, neuroinflammation and immunology. The collaboration utilizes the Company’s AI platform and the Company is performing drug design and discovery while Merck will be assuming responsibility for the preclinical and clinical development.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Pricing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received a $20.1 million non-refundable upfront payment. Recursion is eligible for additional milestone payments based on performance progress of the collaboration and tiered royalties from the mid-single-digits to low-double-digits. The Company could earn a maximum of $73.0 million for discovery, development and sales milestones per project.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Accounting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Recursion has determined that it has three performance obligations related to the small molecule projects and the transaction price to be $20.1 million. Recursion has fully constrained the amounts of remaining variable consideration to be received from potential milestones. Recursion will re-evaluate the transaction price each reporting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recognizes revenue over time based on costs incurred relative to total expected costs to perform the research and development services. Recursion was unable to estimate the completion date of the performance obligations due to the current stage of work.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Roche and Genentech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Description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Pricing</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January 2022, Recursion received a $150.0 million non-refundable upfront payment from the Company’s collaboration with Roche. In September 2024, Recursion received a $30.0 million milestone payment ( “acceptance fee 1”), which was an acceptance fee related to the first accepted neuroscience Phenomap. In October 2025, Recursion received another $30.0 million milestone payment (“acceptance fee 2”), which was an acceptance fee related to the second accepted neuroscience Phenomap. Recursion is eligible for additional milestone payments based on performance progress of the collaboration. Each of the Phenomaps requested by Roche and created by Recursion may be subject to either an initiation fee, acceptance fee or both. Such fees could exceed $250.0 million for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Accounting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has determined the transaction price to be $210.0 million, comprised of the upfront payment and the acceptance fees. The consideration did not include the $30.0 million variable consideration for the first acceptance fee until the map was accepted, which was during the third quarter of 2024. As a result of Roche’s acceptance of the neuroscience Phenomap, Recursion is now recognizing the acceptance fee as part of the transaction price over the completion period of one of the neuroscience performance obligations. The consideration did not include the $30.0 million variable consideration for the second acceptance fee until the map was accepted, which was during the fourth quarter of 2025. As a result of Roche’s acceptance of the neuroscience Phenomap, Recursion is now recognizing the acceptance fees as part of the transaction price over the completion period of one of the neuroscience performance obligations. Recursion has fully constrained the remaining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recognizes revenue over time based on costs incurred relative to total expected costs to perform the research and development services. Recursion has estimated the completion of the performance obligations by 2028.</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Additional Revenue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Of the revenue recognized during the three and six months ended June 30, 2026, $7.0 million and $11.4 million was included in the unearned revenue balance as of December 31, 2025. Of the revenue recognized during the three and six months ended June 30, 2025, $15.4 million and $30.2 million was included in the unearned revenue balance as of December 31, 2024, respectively. Revenue recognized was from the upfront and variable consideration payments received from the related contracts, which decreased the aggregate unearned revenue recognized. As of June 30, 2026, the Company had $5.3 million of costs incurred to fulfill a contract on its Condensed Consolidated Balance Sheet within “Other Current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Unearned revenue was classified as short-term and long-term on the Condensed Consolidated Balance Sheets based on the Company’s estimate of revenue that will be recognized during the next twelve months.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10. Stock-Based Compensation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June 30, 2026, 29.3 million shares of Class A common stock were available for grant in the 2021 plan. In November 2024, the Board of Directors and the stockholders of the Company adopted the 2024 Inducement Equity Incentive Plan (the 2024 Plan) as part of the Exscientia acquisition. As of June 30, 2026, 8.5 million shares of Class A common stock were available for grant in the 2024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the classification of stock-based compensation expense for stock options and RSUs for employees and non-employees within the Condensed Consolidated Statements of Operations: </w:t>
      </w:r>
    </w:p>
    <w:p>
      <w:pPr>
        <w:pStyle w:val="TextBody"/>
        <w:bidi w:val="0"/>
        <w:spacing w:before="0" w:after="0"/>
        <w:jc w:val="left"/>
        <w:rPr/>
      </w:pPr>
      <w:r>
        <w:rPr/>
      </w:r>
    </w:p>
    <w:tbl>
      <w:tblPr>
        <w:tblW w:w="8362" w:type="dxa"/>
        <w:jc w:val="left"/>
        <w:tblInd w:w="0" w:type="dxa"/>
        <w:tblLayout w:type="fixed"/>
        <w:tblCellMar>
          <w:top w:w="28" w:type="dxa"/>
          <w:left w:w="28" w:type="dxa"/>
          <w:bottom w:w="28" w:type="dxa"/>
          <w:right w:w="28" w:type="dxa"/>
        </w:tblCellMar>
      </w:tblPr>
      <w:tblGrid>
        <w:gridCol w:w="900"/>
        <w:gridCol w:w="794"/>
        <w:gridCol w:w="795"/>
        <w:gridCol w:w="282"/>
        <w:gridCol w:w="1004"/>
        <w:gridCol w:w="145"/>
        <w:gridCol w:w="282"/>
        <w:gridCol w:w="1004"/>
        <w:gridCol w:w="145"/>
        <w:gridCol w:w="109"/>
        <w:gridCol w:w="109"/>
        <w:gridCol w:w="109"/>
        <w:gridCol w:w="259"/>
        <w:gridCol w:w="922"/>
        <w:gridCol w:w="133"/>
        <w:gridCol w:w="259"/>
        <w:gridCol w:w="922"/>
        <w:gridCol w:w="189"/>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w:t>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revenue</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25,737 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19,305 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41,300 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61,390 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RSUs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Recursion’s RSU activity during the six months ended June 30, 2026: </w:t>
      </w:r>
    </w:p>
    <w:p>
      <w:pPr>
        <w:pStyle w:val="TextBody"/>
        <w:bidi w:val="0"/>
        <w:spacing w:before="0" w:after="0"/>
        <w:jc w:val="left"/>
        <w:rPr/>
      </w:pPr>
      <w:r>
        <w:rPr/>
      </w:r>
    </w:p>
    <w:tbl>
      <w:tblPr>
        <w:tblW w:w="8636" w:type="dxa"/>
        <w:jc w:val="left"/>
        <w:tblInd w:w="0" w:type="dxa"/>
        <w:tblLayout w:type="fixed"/>
        <w:tblCellMar>
          <w:top w:w="28" w:type="dxa"/>
          <w:left w:w="28" w:type="dxa"/>
          <w:bottom w:w="28" w:type="dxa"/>
          <w:right w:w="28" w:type="dxa"/>
        </w:tblCellMar>
      </w:tblPr>
      <w:tblGrid>
        <w:gridCol w:w="1238"/>
        <w:gridCol w:w="1089"/>
        <w:gridCol w:w="1092"/>
        <w:gridCol w:w="563"/>
        <w:gridCol w:w="563"/>
        <w:gridCol w:w="386"/>
        <w:gridCol w:w="862"/>
        <w:gridCol w:w="2212"/>
        <w:gridCol w:w="631"/>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Stock units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 grant date fair value</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December 31, 2025</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27,489,925 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9,920,891 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(5,519,151)</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(4,423,590)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June 30, 2026</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27,468,075 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market value of RSUs vested was $36.1 million during the six months ended June 30, 2026. As of June 30, 2026, $142.6 million of unrecognized compensation cost related to RSUs is expected to be recognized as expense over approximately the next three years.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11. Income Taxes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did not incur a significant amount of U.S. income tax expense during the three and six months ended June 30, 2026 and 2025. The Company has historically incurred operating losses and continues to maintain a full valuation allowance against most of its U.S. net deferred tax assets. Foreign income tax benefits were insignificant for the three months ended June 30, 2026 and $5.5 million for the six months ended June 30, 2026. The Company did not incur a significant amount for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U.S. net operating loss (“NOL”) and tax credit carryforwards are subject to review and adjustment by the Internal Revenue Service (“IRS”) and may be subject to annual limitations under Section 382 of the Internal Revenue Code, as amended and similar state provisions in the event of certain ownership changes. These ownership changes may limit the amount of NOLs and other tax attributes that can be utilized annually to offset future taxable income. In general, an ownership change, as defined by Section 382, occurs when the ownership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certain shareholders or public groups increases by more than 50% over a rolling three-year period. As of June 30, 2026, the Company completed a Section 382 study covering the period through January 31, 2025 and concluded that a deemed ownership change occurred on September 25, 2017. As a result, the Company’s ability to utilize its NOLs and other tax attributes may be subject to annual limitations. The Company is currently working to update the study and review ownership changes that could result in additional limitations on the utilization of its tax attributes.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Note 12. Net Loss Per Share</w:t>
      </w:r>
      <w:r>
        <w:rPr>
          <w:color w:val="1E1E1E"/>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 Recursion calculated net loss per share of Class A, Class B and the Exchangeable common stock.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For the three and six months ended June 30, 2026 and 2025, the Company reported a net loss and therefore basic and diluted loss per share were the same.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and the Exchangeable common stock as if the earnings for the period had been distributed. As the liquidation and dividend rights are identical, the undistributed earnings are allocated on a proportionate basis and the resulting amount per share for Class A, Class B and the Exchangeable common stock was the same during the three and six months ended June 30, 2026 and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set forth the computation of basic and diluted net loss per share of Class A, Class B and Exchangeable common stock: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3"/>
        <w:gridCol w:w="1355"/>
        <w:gridCol w:w="1359"/>
        <w:gridCol w:w="245"/>
        <w:gridCol w:w="1066"/>
        <w:gridCol w:w="126"/>
        <w:gridCol w:w="245"/>
        <w:gridCol w:w="1066"/>
        <w:gridCol w:w="126"/>
        <w:gridCol w:w="109"/>
        <w:gridCol w:w="109"/>
        <w:gridCol w:w="109"/>
        <w:gridCol w:w="243"/>
        <w:gridCol w:w="988"/>
        <w:gridCol w:w="115"/>
        <w:gridCol w:w="243"/>
        <w:gridCol w:w="988"/>
        <w:gridCol w:w="170"/>
      </w:tblGrid>
      <w:tr>
        <w:trPr/>
        <w:tc>
          <w:tcPr>
            <w:tcW w:w="15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 except share and per share amounts)</w:t>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(171,897)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(374,384)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532,460,085 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417,361,147 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530,890,753 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410,268,199 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excluded the following potential common shares from the computation of diluted net loss per share for the periods indicated because including them would have had an anti-dilutive effect: </w:t>
      </w:r>
    </w:p>
    <w:p>
      <w:pPr>
        <w:pStyle w:val="TextBody"/>
        <w:bidi w:val="0"/>
        <w:spacing w:before="0" w:after="0"/>
        <w:jc w:val="left"/>
        <w:rPr/>
      </w:pPr>
      <w:r>
        <w:rPr/>
      </w:r>
    </w:p>
    <w:tbl>
      <w:tblPr>
        <w:tblW w:w="9349" w:type="dxa"/>
        <w:jc w:val="left"/>
        <w:tblInd w:w="0" w:type="dxa"/>
        <w:tblLayout w:type="fixed"/>
        <w:tblCellMar>
          <w:top w:w="28" w:type="dxa"/>
          <w:left w:w="28" w:type="dxa"/>
          <w:bottom w:w="28" w:type="dxa"/>
          <w:right w:w="28" w:type="dxa"/>
        </w:tblCellMar>
      </w:tblPr>
      <w:tblGrid>
        <w:gridCol w:w="902"/>
        <w:gridCol w:w="792"/>
        <w:gridCol w:w="796"/>
        <w:gridCol w:w="678"/>
        <w:gridCol w:w="477"/>
        <w:gridCol w:w="477"/>
        <w:gridCol w:w="675"/>
        <w:gridCol w:w="477"/>
        <w:gridCol w:w="492"/>
        <w:gridCol w:w="109"/>
        <w:gridCol w:w="109"/>
        <w:gridCol w:w="109"/>
        <w:gridCol w:w="675"/>
        <w:gridCol w:w="417"/>
        <w:gridCol w:w="417"/>
        <w:gridCol w:w="731"/>
        <w:gridCol w:w="417"/>
        <w:gridCol w:w="599"/>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3,469,936 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7,273,308 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3,761,944 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9,658,580 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Tempus agreement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6,286,466 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6,286,466 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3,469,936 </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13,559,774 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3,761,944 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15,945,046 </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13.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 hierarchy consists of the following three levels: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 — Valuations based on unadjusted quoted prices in active markets for identical assets that the Company has the ability to access;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 — Valuations using significant inputs that are unobservable in the market and include the use of judgment by the Company's management about the assumptions market participants would use in pricing the asset or liability.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as required by a lease agreement. The Company also holds restricted cash as required by several grant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summarize the Company’s assets and liabilities that are measured at fair value on a recurring basis:</w:t>
      </w:r>
    </w:p>
    <w:p>
      <w:pPr>
        <w:pStyle w:val="TextBody"/>
        <w:bidi w:val="0"/>
        <w:spacing w:before="0" w:after="0"/>
        <w:jc w:val="left"/>
        <w:rPr/>
      </w:pPr>
      <w:r>
        <w:rPr/>
      </w:r>
    </w:p>
    <w:tbl>
      <w:tblPr>
        <w:tblW w:w="7030" w:type="dxa"/>
        <w:jc w:val="left"/>
        <w:tblInd w:w="0" w:type="dxa"/>
        <w:tblLayout w:type="fixed"/>
        <w:tblCellMar>
          <w:top w:w="28" w:type="dxa"/>
          <w:left w:w="28" w:type="dxa"/>
          <w:bottom w:w="28" w:type="dxa"/>
          <w:right w:w="28" w:type="dxa"/>
        </w:tblCellMar>
      </w:tblPr>
      <w:tblGrid>
        <w:gridCol w:w="916"/>
        <w:gridCol w:w="808"/>
        <w:gridCol w:w="810"/>
        <w:gridCol w:w="245"/>
        <w:gridCol w:w="994"/>
        <w:gridCol w:w="126"/>
        <w:gridCol w:w="247"/>
        <w:gridCol w:w="1004"/>
        <w:gridCol w:w="127"/>
        <w:gridCol w:w="247"/>
        <w:gridCol w:w="476"/>
        <w:gridCol w:w="127"/>
        <w:gridCol w:w="247"/>
        <w:gridCol w:w="476"/>
        <w:gridCol w:w="180"/>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Basis of fair value measurement</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65" w:type="dxa"/>
            <w:gridSpan w:val="3"/>
            <w:vMerge w:val="continue"/>
            <w:tcBorders/>
            <w:tcMar>
              <w:top w:w="0" w:type="dxa"/>
              <w:left w:w="0" w:type="dxa"/>
              <w:bottom w:w="0" w:type="dxa"/>
              <w:right w:w="0" w:type="dxa"/>
            </w:tcMar>
            <w:vAlign w:val="center"/>
          </w:tcPr>
          <w:p>
            <w:pPr>
              <w:pStyle w:val="Normal"/>
              <w:bidi w:val="0"/>
              <w:jc w:val="left"/>
              <w:rPr/>
            </w:pPr>
            <w:r>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536,138 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536,138 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556,820 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556,820 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510" w:type="dxa"/>
        <w:jc w:val="left"/>
        <w:tblInd w:w="0" w:type="dxa"/>
        <w:tblLayout w:type="fixed"/>
        <w:tblCellMar>
          <w:top w:w="28" w:type="dxa"/>
          <w:left w:w="28" w:type="dxa"/>
          <w:bottom w:w="28" w:type="dxa"/>
          <w:right w:w="28" w:type="dxa"/>
        </w:tblCellMar>
      </w:tblPr>
      <w:tblGrid>
        <w:gridCol w:w="916"/>
        <w:gridCol w:w="808"/>
        <w:gridCol w:w="810"/>
        <w:gridCol w:w="331"/>
        <w:gridCol w:w="1343"/>
        <w:gridCol w:w="171"/>
        <w:gridCol w:w="247"/>
        <w:gridCol w:w="1004"/>
        <w:gridCol w:w="127"/>
        <w:gridCol w:w="247"/>
        <w:gridCol w:w="476"/>
        <w:gridCol w:w="127"/>
        <w:gridCol w:w="247"/>
        <w:gridCol w:w="476"/>
        <w:gridCol w:w="180"/>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Basis of fair value measurement</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845" w:type="dxa"/>
            <w:gridSpan w:val="3"/>
            <w:vMerge w:val="continue"/>
            <w:tcBorders/>
            <w:tcMar>
              <w:top w:w="0" w:type="dxa"/>
              <w:left w:w="0" w:type="dxa"/>
              <w:bottom w:w="0" w:type="dxa"/>
              <w:right w:w="0" w:type="dxa"/>
            </w:tcMar>
            <w:vAlign w:val="center"/>
          </w:tcPr>
          <w:p>
            <w:pPr>
              <w:pStyle w:val="Normal"/>
              <w:bidi w:val="0"/>
              <w:jc w:val="left"/>
              <w:rPr/>
            </w:pPr>
            <w:r>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670,667 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670,667 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753,921 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753,921 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tables summarize the Company’s financial instruments that are not measured at fair value: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9"/>
        <w:gridCol w:w="1310"/>
        <w:gridCol w:w="1313"/>
        <w:gridCol w:w="244"/>
        <w:gridCol w:w="870"/>
        <w:gridCol w:w="126"/>
        <w:gridCol w:w="317"/>
        <w:gridCol w:w="1131"/>
        <w:gridCol w:w="164"/>
        <w:gridCol w:w="109"/>
        <w:gridCol w:w="109"/>
        <w:gridCol w:w="109"/>
        <w:gridCol w:w="244"/>
        <w:gridCol w:w="870"/>
        <w:gridCol w:w="126"/>
        <w:gridCol w:w="313"/>
        <w:gridCol w:w="1116"/>
        <w:gridCol w:w="235"/>
      </w:tblGrid>
      <w:tr>
        <w:trPr/>
        <w:tc>
          <w:tcPr>
            <w:tcW w:w="149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Book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values</w:t>
            </w:r>
          </w:p>
        </w:tc>
      </w:tr>
      <w:tr>
        <w:trPr/>
        <w:tc>
          <w:tcPr>
            <w:tcW w:w="4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 current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 non-current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18,655 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18,655 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Segment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Segment loss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operates as a single operating segment that is managed on a consolidated basis. The Company’s chief operating decision maker (CODM) is its Chief Executive Officer. The CODM uses segment net loss to evaluate the performance of its segment, analyze financial trends, compare the budget to the actual operating results and make resource allocation decisions. Segment net loss represents the Company’s consolidated net loss. All corporate costs, global function support costs, overhead costs and other shared costs are included within this segment. The salaries and consumables segment expenses contain all related Company amounts. The consumables category includes all Tempus record costs. Other segment items primarily include general and administrative expenses including facilities, information technology, professional fees (including auditing, tax and legal) and insurance.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Recursion’s segment revenue, significant segment expenses and segment net loss: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4"/>
        <w:gridCol w:w="1389"/>
        <w:gridCol w:w="1391"/>
        <w:gridCol w:w="253"/>
        <w:gridCol w:w="1030"/>
        <w:gridCol w:w="130"/>
        <w:gridCol w:w="253"/>
        <w:gridCol w:w="1030"/>
        <w:gridCol w:w="130"/>
        <w:gridCol w:w="109"/>
        <w:gridCol w:w="109"/>
        <w:gridCol w:w="109"/>
        <w:gridCol w:w="234"/>
        <w:gridCol w:w="951"/>
        <w:gridCol w:w="121"/>
        <w:gridCol w:w="234"/>
        <w:gridCol w:w="951"/>
        <w:gridCol w:w="177"/>
      </w:tblGrid>
      <w:tr>
        <w:trPr/>
        <w:tc>
          <w:tcPr>
            <w:tcW w:w="160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(In thousands)</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19,223 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33,968 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Significant segment expenses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Salaries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83,037 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166,591 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Consumables</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29,121 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83,798 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Platform</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13,792 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22,557 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Discovery</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15,380 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21,667 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Clinical development</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11,960 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22,524 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26,185 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45,516 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segment items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15,975 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38,910 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367,595 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non-operating income (loss), net</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Total segment loss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131,005 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171,897 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248,509 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374,384 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Supplemental asset information</w:t>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expenditures for additions to long-lived assets</w:t>
            </w:r>
          </w:p>
        </w:tc>
        <w:tc>
          <w:tcPr>
            <w:tcW w:w="2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2,266 </w:t>
            </w:r>
          </w:p>
        </w:tc>
        <w:tc>
          <w:tcPr>
            <w:tcW w:w="1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5,244 </w:t>
            </w:r>
          </w:p>
        </w:tc>
        <w:tc>
          <w:tcPr>
            <w:tcW w:w="1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color w:val="000000"/>
          <w:sz w:val="20"/>
        </w:rPr>
        <w:t>Item 2. Management’s Discussion and Analysis of Financial Condition and Results of Operations</w:t>
      </w:r>
      <w:r>
        <w:rPr>
          <w:rFonts w:ascii="Arial;sans-serif" w:hAnsi="Arial;sans-serif"/>
          <w:b/>
          <w:color w:val="1E1E1E"/>
          <w:sz w:val="20"/>
        </w:rPr>
        <w:t>.</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The following is a discussion and analysis of the financial condition of Recursion Pharmaceuticals, Inc. (Recursion, the Company, we, us or our) and the results of our operations.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2025 (the 2025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2025 Annual Report and in our subsequent Quarterly Reports on Form 10-Q, including this Quarterly Report on Form 10-Q,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Overview</w:t>
      </w:r>
      <w:r>
        <w:rPr>
          <w:color w:val="1E1E1E"/>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is a clinical-stage TechBio company with a mission to decode biology to radically improve lives. We have advanced a portfolio of differentiated internal programs and strategic partnerships powered by our integrated drug discovery and development platform, the Recursion Operating System (OS). This platform provides end-to-end, AI-native capabilities that span from novel biological ideas through the clinic, integrating multimodal biological data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generation, AI-powered small molecule synthesis, and AI-enabled clinical development. All of our technologies are designed to translate complex science into medicines that matter — faster, better, and at scale — for patients who are waiting.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Business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Genentech Advances First Neuroscience Target into Early Discovery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Genentech has exercised the first Validated Target Option under the companies' neuroscience collaboration, advancing a previously unexplored neuroscience target into a small molecule early discovery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milestone provides additional early evidence that Recursion's AI-native platform can both discover and play a key role experimentally validating novel therapeutic targets in neuroscience, one of medicine's most challenging therapeutic areas, where decades of research have largely focused on a limited number of well-studied targets.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partnership with Roche and Genentech, Recursion built the first whole-genome CRISPR knockout map generated from a subset of over 1 trillion internally manufactured iPSC-derived neuronal cells. Predictions generated from the Maps were experimentally evaluated through a rigorous validation process developed jointly with Genentech. Candidate targets advanced through successive stages of pathway validation, functional validation, and disease validation to determine whether modulating the target altered neurological disease phenotype. Only targets that consistently demonstrated compelling evidence across each stage advanced into a validation package.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Next steps will include advancing the target through small molecule design, hit generation and validation using Recursion's AI-native chemistry platform. More broadly, the neuronal and microglial maps of biology remain reusable assets capable of being utilized with biological, genetics, and computational expertise to generate and experimentally validate additional therapeutic hypotheses. To date, Recursion has achieved $216 million in upfront and milestones payments from the Roche and Genentech collaboration. The collaboration includes up to 40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potential small molecule discovery programs, each carrying the potential for more than $300 million in development, commercialization, and net sales milestones as well as tiered royalties up to high single digits per small molecule program for Recursion.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Advancing joint portfolio with Sanofi across I&amp;I and oncology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Recursion, in collaboration with Sanofi, made significant progress toward development candidate milestones over the past 12 months. Recursion and Sanofi are advancing a joint portfolio of differentiated molecules for challenging targets in I&amp;I and oncology.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date, Recursion has achieved $134 million in upfront and milestone payments from the Sanofi collaboration and has the potential for $343 million in milestone payments per program plus tiered double digit royalties.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Potential upcoming milestones across partnered discovery: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Potential for differentiated AI-enabled oral molecules to reach development candidate and late-stage discovery milestones with </w:t>
      </w:r>
      <w:r>
        <w:rPr>
          <w:rFonts w:ascii="Arial;sans-serif" w:hAnsi="Arial;sans-serif"/>
          <w:b/>
          <w:color w:val="000000"/>
          <w:sz w:val="20"/>
        </w:rPr>
        <w:t>Sanofi</w:t>
      </w:r>
      <w:r>
        <w:rPr>
          <w:color w:val="000000"/>
        </w:rPr>
        <w:t xml:space="preserve"> </w:t>
      </w:r>
      <w:r>
        <w:rPr>
          <w:rFonts w:ascii="Arial;sans-serif" w:hAnsi="Arial;sans-serif"/>
          <w:b w:val="false"/>
          <w:color w:val="000000"/>
          <w:sz w:val="20"/>
        </w:rPr>
        <w:t>over the next 6-12 months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Translating AI-driven insights from maps of biology into new potentially novel targets from reusable high-dimensional data/maps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Using Recursion’s Chemistry Platform to design a potential first-in-class molecule for the collaboration's neuroscience target announced today with </w:t>
      </w:r>
      <w:r>
        <w:rPr>
          <w:rFonts w:ascii="Arial;sans-serif" w:hAnsi="Arial;sans-serif"/>
          <w:b/>
          <w:color w:val="000000"/>
          <w:sz w:val="20"/>
        </w:rPr>
        <w:t>Genentech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Continuing to combine our phenomics dataset with </w:t>
      </w:r>
      <w:r>
        <w:rPr>
          <w:rFonts w:ascii="Arial;sans-serif" w:hAnsi="Arial;sans-serif"/>
          <w:b/>
          <w:color w:val="000000"/>
          <w:sz w:val="20"/>
        </w:rPr>
        <w:t>Genentech’s</w:t>
      </w:r>
      <w:r>
        <w:rPr>
          <w:color w:val="000000"/>
        </w:rPr>
        <w:t xml:space="preserve"> </w:t>
      </w:r>
      <w:r>
        <w:rPr>
          <w:rFonts w:ascii="Arial;sans-serif" w:hAnsi="Arial;sans-serif"/>
          <w:b w:val="false"/>
          <w:color w:val="000000"/>
          <w:sz w:val="20"/>
        </w:rPr>
        <w:t>proprietary transcriptomics data to build multi-modal maps designed to explore potential novel targets and pathways by systematically linking gene perturbations to cellular phenotypes</w:t>
      </w:r>
    </w:p>
    <w:p>
      <w:pPr>
        <w:pStyle w:val="TextBody"/>
        <w:bidi w:val="0"/>
        <w:spacing w:before="0" w:after="60"/>
        <w:jc w:val="left"/>
        <w:rPr/>
      </w:pPr>
      <w:r>
        <w:rPr/>
      </w:r>
    </w:p>
    <w:p>
      <w:pPr>
        <w:pStyle w:val="TextBody"/>
        <w:bidi w:val="0"/>
        <w:spacing w:lineRule="auto" w:line="288" w:before="0" w:after="60"/>
        <w:jc w:val="left"/>
        <w:rPr>
          <w:rFonts w:ascii="Arial;sans-serif" w:hAnsi="Arial;sans-serif"/>
          <w:b/>
          <w:color w:val="1E1E1E"/>
          <w:sz w:val="20"/>
          <w:shd w:fill="FFFFFF" w:val="clear"/>
        </w:rPr>
      </w:pPr>
      <w:r>
        <w:rPr>
          <w:rFonts w:ascii="Arial;sans-serif" w:hAnsi="Arial;sans-serif"/>
          <w:b/>
          <w:color w:val="1E1E1E"/>
          <w:sz w:val="20"/>
          <w:shd w:fill="FFFFFF" w:val="clear"/>
        </w:rPr>
        <w:t>Internal Pipeline Updates</w:t>
      </w:r>
    </w:p>
    <w:p>
      <w:pPr>
        <w:pStyle w:val="TextBody"/>
        <w:bidi w:val="0"/>
        <w:spacing w:before="0" w:after="60"/>
        <w:jc w:val="left"/>
        <w:rPr/>
      </w:pPr>
      <w:r>
        <w:rPr/>
      </w:r>
    </w:p>
    <w:p>
      <w:pPr>
        <w:pStyle w:val="TextBody"/>
        <w:bidi w:val="0"/>
        <w:spacing w:before="0" w:after="60"/>
        <w:jc w:val="left"/>
        <w:rPr/>
      </w:pPr>
      <w:r>
        <w:rPr/>
        <w:drawing>
          <wp:inline distT="0" distB="0" distL="0" distR="0">
            <wp:extent cx="6515100" cy="3057525"/>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6515100" cy="3057525"/>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Continued Momentum for REC-4881 (MEK1/2): </w:t>
      </w:r>
      <w:r>
        <w:rPr>
          <w:rFonts w:ascii="Arial;sans-serif" w:hAnsi="Arial;sans-serif"/>
          <w:b w:val="false"/>
          <w:color w:val="000000"/>
          <w:sz w:val="20"/>
        </w:rPr>
        <w:t xml:space="preserve">REC-4881, Recursion’s MEK1/2 inhibitor, is a potential first-in-class drug designed to address both known drivers of FAP polyp growth: the Wnt/β-catenin initiation pathway and the MAPK evolution pathway. This dual mechanism differentiates REC-4881 from other investigational FAP therapies, which to date have targeted only a single pathway.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REC-4881 is being developed for FAP, an orphan disease affecting an estimated &gt;50,000 diagnosed patients across the US and EU5, representing a &gt;$10 billion total addressable market opportunity. FAP is a serious, lifelong chronic disease with no approved medicines today. REC-4881 has received both Orphan Drug Designation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Fast Track Designation from the US FDA. REC-4881 has demonstrated meaningful activity across the GI tract, including the Upper GI, an area of particularly high unmet need.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Key updates: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Discussions with FDA were initiated in 1H26 and an update to define the registrational path is expected in 2H26</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TUPELO now enrolling patients ages 18 and older, as well as a cohort with an alternative dosing schedule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Additional Phase 2 safety and efficacy data from the TUPELO clinical trial contextualized with real world data will be presented at the Collaborative Group of the Americas on Inherited Gastrointestinal Cancer (CGA-IGC) Annual Meeting in November. CGA-IGC is a leading annual meeting dedicated specifically to hereditary GI cancer syndromes including FAP.</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Presentation title: Updated safety and efficacy data of REC-4881 monotherapy in familial adenomatous polyposis: Phase 1b/2 trial results contextualized with real-world registry data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Session name: Presidential Plenary I</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Session date and time: Monday November 2, 2026; 13:30 - 15:00 MST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Phase 1/2 Trial Initiation for REC-7735 expected in 2H26: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REC-7735, Recursion’s AI-designed PI3Kα H1047R inhibitor, was built to improve therapeutic index for a validated oncology target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REC-7735 was precision designed to show &gt;100-fold selectivity for the H1047R mutant over wild type in order to drive high, sustained target inhibition while avoiding hyperinsulinemia-driven reactivation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differentiated development candidate was delivered in 10 months and 242 compounds from first novel hit through Recursion’s AI-native design platform, demonstrating the Company’s ability to rapidly translate platform insights into optimized clinical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With the IND cleared, the Phase 1/2 ZINNIA clinical study for patients with select PIK3CA H1047R-mutant solid tumors will be initiated in the second half of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the rest of the portfolio, programs continue to progress as planned.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Additional expected upcoming milestones across Recursion’s internal pipeline: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REC-1245 (RBM39): Additional Phase 1 dose escalation data expected in 2H26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REC-617 (CDK7): Early Phase 1 safety and PK combination data expected in 1H27</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REC-3565 (MALT1): Early Phase 1 safety and PK monotherapy data expected in 1H27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REC-4539 (LSD1): Early Phase 1 safety and PK monotherapy data expected in 2H27</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Agentic AI is compounding Recursion's advantage across Biology, Design, and ClinTech:</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color w:val="000000"/>
          <w:sz w:val="20"/>
        </w:rPr>
        <w:t>Target Discovery Agent</w:t>
      </w:r>
      <w:r>
        <w:rPr>
          <w:color w:val="000000"/>
        </w:rPr>
        <w:t xml:space="preserve"> </w:t>
      </w:r>
      <w:r>
        <w:rPr>
          <w:rFonts w:ascii="Arial;sans-serif" w:hAnsi="Arial;sans-serif"/>
          <w:b w:val="false"/>
          <w:color w:val="000000"/>
          <w:sz w:val="20"/>
        </w:rPr>
        <w:t>pairs frontier AI reasoning with Recursion's proprietary multimodal maps to surface novel drug targets, enabling scientists to mine and extract insights from proprietary maps in hours rather than weeks.</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0"/>
        </w:rPr>
        <w:t>Drug Design Agents</w:t>
      </w:r>
      <w:r>
        <w:rPr>
          <w:color w:val="000000"/>
        </w:rPr>
        <w:t xml:space="preserve"> </w:t>
      </w:r>
      <w:r>
        <w:rPr>
          <w:rFonts w:ascii="Arial;sans-serif" w:hAnsi="Arial;sans-serif"/>
          <w:b w:val="false"/>
          <w:color w:val="000000"/>
          <w:sz w:val="20"/>
        </w:rPr>
        <w:t>reason across Recursion's full set of structure-activity relationship (SAR) and structural data to identify what to solve next and how, with structural analysis time reduced from 4 hours to 30 minutes and agent-generated hypotheses now driving design cycles in active programs.</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0"/>
        </w:rPr>
        <w:t>Clinical Strategy Orchestration Agent</w:t>
      </w:r>
      <w:r>
        <w:rPr>
          <w:color w:val="000000"/>
        </w:rPr>
        <w:t xml:space="preserve"> </w:t>
      </w:r>
      <w:r>
        <w:rPr>
          <w:rFonts w:ascii="Arial;sans-serif" w:hAnsi="Arial;sans-serif"/>
          <w:b w:val="false"/>
          <w:color w:val="000000"/>
          <w:sz w:val="20"/>
        </w:rPr>
        <w:t>coordinates patient, site, operational, CMC, and biometrics data to inform clinical development decisions, with agent-supported enrollment strategies contributing to a 1.3 to 1.6x increase in enrollment rates versus historical benchmarks.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Continuing to strengthen our leadership team: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Hoifung Poon, Ph.D., appointed Chief AI Officer:</w:t>
      </w:r>
      <w:r>
        <w:rPr>
          <w:color w:val="000000"/>
        </w:rPr>
        <w:t xml:space="preserve"> </w:t>
      </w:r>
      <w:r>
        <w:rPr>
          <w:rFonts w:ascii="Arial;sans-serif" w:hAnsi="Arial;sans-serif"/>
          <w:b w:val="false"/>
          <w:color w:val="000000"/>
          <w:sz w:val="20"/>
        </w:rPr>
        <w:t>Poon brings more than 15 years of experience at Microsoft, where he led groundbreaking work in biomedical AI, including foundation models in digital pathology and spatial omics published in Nature and Cell. His open-weight models have been downloaded tens of millions of times and deployed at major health systems.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Donovan Chin, Ph.D., appointed Senior Vice President, Drug Design:</w:t>
      </w:r>
      <w:r>
        <w:rPr>
          <w:color w:val="000000"/>
        </w:rPr>
        <w:t xml:space="preserve"> </w:t>
      </w:r>
      <w:r>
        <w:rPr>
          <w:rFonts w:ascii="Arial;sans-serif" w:hAnsi="Arial;sans-serif"/>
          <w:b w:val="false"/>
          <w:color w:val="000000"/>
          <w:sz w:val="20"/>
        </w:rPr>
        <w:t xml:space="preserve">Chin brings more than 20 years of experience spanning small molecules, RNA-targeted therapeutics, proximity approaches and novel peptide modalities. At Parabilis Medicines, he led the AI and physics-based computational drug discovery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strategy behind Helicons, a novel class of constrained ⍺-helical peptides. Earlier, at Arrakis Therapeutics, he pioneered computational approaches for RNA-targeted drug discovery, unlocking small-molecule engagement of previously inaccessible RNA structures.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Financing and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Since </w:t>
      </w:r>
      <w:r>
        <w:rPr>
          <w:rFonts w:ascii="Arial;sans-serif" w:hAnsi="Arial;sans-serif"/>
          <w:b w:val="false"/>
          <w:color w:val="1E1E1E"/>
          <w:sz w:val="20"/>
        </w:rPr>
        <w:t>2024</w:t>
      </w:r>
      <w:r>
        <w:rPr>
          <w:rFonts w:ascii="Arial;sans-serif" w:hAnsi="Arial;sans-serif"/>
          <w:b w:val="false"/>
          <w:color w:val="000000"/>
          <w:sz w:val="20"/>
        </w:rPr>
        <w:t xml:space="preserve">, our financing and operations activities include the following: In June 2024, we issued an aggregate of 35.4 million shares of our Class A common stock at a purchase price of </w:t>
      </w:r>
      <w:r>
        <w:rPr>
          <w:rFonts w:ascii="Arial;sans-serif" w:hAnsi="Arial;sans-serif"/>
          <w:b w:val="false"/>
          <w:color w:val="1E1E1E"/>
          <w:sz w:val="20"/>
        </w:rPr>
        <w:t>$6.50</w:t>
      </w:r>
      <w:r>
        <w:rPr>
          <w:color w:val="000000"/>
        </w:rPr>
        <w:t xml:space="preserve"> </w:t>
      </w:r>
      <w:r>
        <w:rPr>
          <w:rFonts w:ascii="Arial;sans-serif" w:hAnsi="Arial;sans-serif"/>
          <w:b w:val="false"/>
          <w:color w:val="000000"/>
          <w:sz w:val="20"/>
        </w:rPr>
        <w:t>per share and received net proceeds of $216.5 million</w:t>
      </w:r>
      <w:r>
        <w:rPr>
          <w:rFonts w:ascii="Arial;sans-serif" w:hAnsi="Arial;sans-serif"/>
          <w:b w:val="false"/>
          <w:color w:val="1E1E1E"/>
          <w:sz w:val="20"/>
        </w:rPr>
        <w:t xml:space="preserve">, after deducting </w:t>
      </w:r>
      <w:r>
        <w:rPr>
          <w:rFonts w:ascii="Arial;sans-serif" w:hAnsi="Arial;sans-serif"/>
          <w:b w:val="false"/>
          <w:color w:val="000000"/>
          <w:sz w:val="20"/>
        </w:rPr>
        <w:t xml:space="preserve">transaction costs of $13.6 million. </w:t>
      </w:r>
      <w:r>
        <w:rPr>
          <w:rFonts w:ascii="Arial;sans-serif" w:hAnsi="Arial;sans-serif"/>
          <w:b w:val="false"/>
          <w:color w:val="1E1E1E"/>
          <w:sz w:val="20"/>
        </w:rPr>
        <w:t xml:space="preserve">In September 2024, we received a Phenomap acceptance fee of </w:t>
      </w:r>
      <w:r>
        <w:rPr>
          <w:rFonts w:ascii="Arial;sans-serif" w:hAnsi="Arial;sans-serif"/>
          <w:b w:val="false"/>
          <w:color w:val="000000"/>
          <w:sz w:val="20"/>
        </w:rPr>
        <w:t>$30.0 million</w:t>
      </w:r>
      <w:r>
        <w:rPr>
          <w:color w:val="1E1E1E"/>
        </w:rPr>
        <w:t xml:space="preserve"> </w:t>
      </w:r>
      <w:r>
        <w:rPr>
          <w:rFonts w:ascii="Arial;sans-serif" w:hAnsi="Arial;sans-serif"/>
          <w:b w:val="false"/>
          <w:color w:val="1E1E1E"/>
          <w:sz w:val="20"/>
        </w:rPr>
        <w:t xml:space="preserve">from our collaboration with Roche. In February 2025, the Company terminated the Sales Agreement with Jefferies LLC and entered into a Sales Agreement with Citigroup Capital Markets Inc., to provide for the offering, issuance and sale of up to an aggregate amount of </w:t>
      </w:r>
      <w:r>
        <w:rPr>
          <w:rFonts w:ascii="Arial;sans-serif" w:hAnsi="Arial;sans-serif"/>
          <w:b w:val="false"/>
          <w:color w:val="000000"/>
          <w:sz w:val="20"/>
        </w:rPr>
        <w:t>$500.0 million</w:t>
      </w:r>
      <w:r>
        <w:rPr>
          <w:color w:val="1E1E1E"/>
        </w:rPr>
        <w:t xml:space="preserve"> </w:t>
      </w:r>
      <w:r>
        <w:rPr>
          <w:rFonts w:ascii="Arial;sans-serif" w:hAnsi="Arial;sans-serif"/>
          <w:b w:val="false"/>
          <w:color w:val="1E1E1E"/>
          <w:sz w:val="20"/>
        </w:rPr>
        <w:t xml:space="preserve">of its Class A common stock. In </w:t>
      </w:r>
      <w:r>
        <w:rPr>
          <w:rFonts w:ascii="Arial;sans-serif" w:hAnsi="Arial;sans-serif"/>
          <w:b w:val="false"/>
          <w:color w:val="000000"/>
          <w:sz w:val="20"/>
        </w:rPr>
        <w:t>2025</w:t>
      </w:r>
      <w:r>
        <w:rPr>
          <w:rFonts w:ascii="Arial;sans-serif" w:hAnsi="Arial;sans-serif"/>
          <w:b w:val="false"/>
          <w:color w:val="1E1E1E"/>
          <w:sz w:val="20"/>
        </w:rPr>
        <w:t xml:space="preserve">, the Company sold </w:t>
      </w:r>
      <w:r>
        <w:rPr>
          <w:rFonts w:ascii="Arial;sans-serif" w:hAnsi="Arial;sans-serif"/>
          <w:b w:val="false"/>
          <w:color w:val="000000"/>
          <w:sz w:val="20"/>
        </w:rPr>
        <w:t>99.9 million</w:t>
      </w:r>
      <w:r>
        <w:rPr>
          <w:color w:val="1E1E1E"/>
        </w:rPr>
        <w:t xml:space="preserve"> </w:t>
      </w:r>
      <w:r>
        <w:rPr>
          <w:rFonts w:ascii="Arial;sans-serif" w:hAnsi="Arial;sans-serif"/>
          <w:b w:val="false"/>
          <w:color w:val="1E1E1E"/>
          <w:sz w:val="20"/>
        </w:rPr>
        <w:t xml:space="preserve">shares and received net proceeds of </w:t>
      </w:r>
      <w:r>
        <w:rPr>
          <w:rFonts w:ascii="Arial;sans-serif" w:hAnsi="Arial;sans-serif"/>
          <w:b w:val="false"/>
          <w:color w:val="000000"/>
          <w:sz w:val="20"/>
        </w:rPr>
        <w:t>$491.7 million</w:t>
      </w:r>
      <w:r>
        <w:rPr>
          <w:color w:val="1E1E1E"/>
        </w:rPr>
        <w:t xml:space="preserve"> </w:t>
      </w:r>
      <w:r>
        <w:rPr>
          <w:rFonts w:ascii="Arial;sans-serif" w:hAnsi="Arial;sans-serif"/>
          <w:b w:val="false"/>
          <w:color w:val="1E1E1E"/>
          <w:sz w:val="20"/>
        </w:rPr>
        <w:t xml:space="preserve">under the agreement. Pursuant to its terms, the Sales Agreement was completed and no amount remained available for future sales. In </w:t>
      </w:r>
      <w:r>
        <w:rPr>
          <w:rFonts w:ascii="Arial;sans-serif" w:hAnsi="Arial;sans-serif"/>
          <w:b w:val="false"/>
          <w:color w:val="000000"/>
          <w:sz w:val="20"/>
        </w:rPr>
        <w:t>2025</w:t>
      </w:r>
      <w:r>
        <w:rPr>
          <w:rFonts w:ascii="Arial;sans-serif" w:hAnsi="Arial;sans-serif"/>
          <w:b w:val="false"/>
          <w:color w:val="1E1E1E"/>
          <w:sz w:val="20"/>
        </w:rPr>
        <w:t xml:space="preserve">, we received multiple milestone payments related to our collaborative development contracts totaling </w:t>
      </w:r>
      <w:r>
        <w:rPr>
          <w:rFonts w:ascii="Arial;sans-serif" w:hAnsi="Arial;sans-serif"/>
          <w:b w:val="false"/>
          <w:color w:val="000000"/>
          <w:sz w:val="20"/>
        </w:rPr>
        <w:t>$37.0 million, with aggregate milestone inflows in 2026 of $4.0 million.</w:t>
      </w:r>
      <w:r>
        <w:rPr>
          <w:color w:val="1E1E1E"/>
        </w:rPr>
        <w:t xml:space="preserve"> </w:t>
      </w:r>
      <w:r>
        <w:rPr>
          <w:rFonts w:ascii="Arial;sans-serif" w:hAnsi="Arial;sans-serif"/>
          <w:b w:val="false"/>
          <w:color w:val="1E1E1E"/>
          <w:sz w:val="20"/>
        </w:rPr>
        <w:t xml:space="preserve">In February 2026, the Company entered into a Sales Agreement with TD Securities (USA) LLC (TD Cowen), to provide for the offering, issuance and sale of up to an aggregate amount of </w:t>
      </w:r>
      <w:r>
        <w:rPr>
          <w:rFonts w:ascii="Arial;sans-serif" w:hAnsi="Arial;sans-serif"/>
          <w:b w:val="false"/>
          <w:color w:val="000000"/>
          <w:sz w:val="20"/>
        </w:rPr>
        <w:t>$300.0 million</w:t>
      </w:r>
      <w:r>
        <w:rPr>
          <w:color w:val="1E1E1E"/>
        </w:rPr>
        <w:t xml:space="preserve"> </w:t>
      </w:r>
      <w:r>
        <w:rPr>
          <w:rFonts w:ascii="Arial;sans-serif" w:hAnsi="Arial;sans-serif"/>
          <w:b w:val="false"/>
          <w:color w:val="1E1E1E"/>
          <w:sz w:val="20"/>
        </w:rPr>
        <w:t xml:space="preserve">of its Class A common stock. As of </w:t>
      </w:r>
      <w:r>
        <w:rPr>
          <w:rFonts w:ascii="Arial;sans-serif" w:hAnsi="Arial;sans-serif"/>
          <w:b w:val="false"/>
          <w:color w:val="000000"/>
          <w:sz w:val="20"/>
        </w:rPr>
        <w:t>June 30, 2026</w:t>
      </w:r>
      <w:r>
        <w:rPr>
          <w:rFonts w:ascii="Arial;sans-serif" w:hAnsi="Arial;sans-serif"/>
          <w:b w:val="false"/>
          <w:color w:val="1E1E1E"/>
          <w:sz w:val="20"/>
        </w:rPr>
        <w:t xml:space="preserve">, </w:t>
      </w:r>
      <w:r>
        <w:rPr>
          <w:rFonts w:ascii="Arial;sans-serif" w:hAnsi="Arial;sans-serif"/>
          <w:b w:val="false"/>
          <w:color w:val="000000"/>
          <w:sz w:val="20"/>
        </w:rPr>
        <w:t>no</w:t>
      </w:r>
      <w:r>
        <w:rPr>
          <w:color w:val="1E1E1E"/>
        </w:rPr>
        <w:t xml:space="preserve"> </w:t>
      </w:r>
      <w:r>
        <w:rPr>
          <w:rFonts w:ascii="Arial;sans-serif" w:hAnsi="Arial;sans-serif"/>
          <w:b w:val="false"/>
          <w:color w:val="1E1E1E"/>
          <w:sz w:val="20"/>
        </w:rPr>
        <w:t>amounts have been sold under the Sales Agreement with TD Cowen.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use the capital we have raised to fund operating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Cash, cash equivalents and restricted cash totaled $556.8 million as of June 30, 2026. Based on our current operating plan, we believe that our cash and cash equivalents will be sufficient to fund our operations for at least the next twelve months.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Since inception, we have incurred significant operating losses. Our net losses were $131.0 million and $248.5 million during the three and six months ended June 30, 2026, respectively. Our net losses were $171.9 million and $374.4 million during the three and six months ended June 30, 2025, respectively. As of June 30, 2026, our accumulated deficit was $2.3 billion.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June 30, 2026, we did not have any unconditional outstanding commitments for additional funding. 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had a valuation allowance against all of our Canadian subsidiary deferred tax assets (DTAs) as of June 30, 2026, and December 31, 2025. We intend to continue maintaining a full valuation allowance on the Canadian DTAs until there is sufficient evidence to support the reversal of all or some portion of these allowances. However, given our current earnings and anticipated future earnings of our Canadian operations, we believe that there is a reasonable possibility that within the next 12 months, sufficient positive evidence may become available to allow us to reach a conclusion that a significant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left"/>
        <w:rPr/>
      </w:pPr>
      <w:r>
        <w:rPr>
          <w:rFonts w:ascii="Arial;sans-serif" w:hAnsi="Arial;sans-serif"/>
          <w:b/>
          <w:color w:val="000000"/>
          <w:sz w:val="20"/>
        </w:rPr>
        <w:t>Results of Operations</w:t>
      </w:r>
      <w:r>
        <w:rPr>
          <w:color w:val="1E1E1E"/>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results of operations: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5"/>
        <w:gridCol w:w="651"/>
        <w:gridCol w:w="653"/>
        <w:gridCol w:w="206"/>
        <w:gridCol w:w="824"/>
        <w:gridCol w:w="114"/>
        <w:gridCol w:w="206"/>
        <w:gridCol w:w="824"/>
        <w:gridCol w:w="114"/>
        <w:gridCol w:w="196"/>
        <w:gridCol w:w="691"/>
        <w:gridCol w:w="109"/>
        <w:gridCol w:w="188"/>
        <w:gridCol w:w="188"/>
        <w:gridCol w:w="256"/>
        <w:gridCol w:w="109"/>
        <w:gridCol w:w="109"/>
        <w:gridCol w:w="109"/>
        <w:gridCol w:w="196"/>
        <w:gridCol w:w="784"/>
        <w:gridCol w:w="109"/>
        <w:gridCol w:w="196"/>
        <w:gridCol w:w="784"/>
        <w:gridCol w:w="109"/>
        <w:gridCol w:w="196"/>
        <w:gridCol w:w="736"/>
        <w:gridCol w:w="109"/>
        <w:gridCol w:w="188"/>
        <w:gridCol w:w="188"/>
        <w:gridCol w:w="308"/>
      </w:tblGrid>
      <w:tr>
        <w:trPr/>
        <w:tc>
          <w:tcPr>
            <w:tcW w:w="75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0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28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6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7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59" w:type="dxa"/>
            <w:gridSpan w:val="3"/>
            <w:vMerge w:val="continue"/>
            <w:tcBorders/>
            <w:tcMar>
              <w:top w:w="0" w:type="dxa"/>
              <w:left w:w="0" w:type="dxa"/>
              <w:bottom w:w="0" w:type="dxa"/>
              <w:right w:w="0" w:type="dxa"/>
            </w:tcMar>
            <w:vAlign w:val="center"/>
          </w:tcPr>
          <w:p>
            <w:pPr>
              <w:pStyle w:val="Normal"/>
              <w:bidi w:val="0"/>
              <w:jc w:val="left"/>
              <w:rPr/>
            </w:pPr>
            <w:r>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 revenue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&gt;100%</w:t>
            </w:r>
          </w:p>
        </w:tc>
      </w:tr>
      <w:tr>
        <w:trPr/>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195,450 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from operations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(134,968)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(176,227)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(263,472)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(loss), net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&gt;100%</w:t>
            </w:r>
          </w:p>
        </w:tc>
      </w:tr>
      <w:tr>
        <w:trPr/>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 benefit</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(131,006)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(171,897)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&gt;100%</w:t>
            </w:r>
          </w:p>
        </w:tc>
      </w:tr>
      <w:tr>
        <w:trPr/>
        <w:tc>
          <w:tcPr>
            <w:tcW w:w="20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(131,005)</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(171,897)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(248,509)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(374,384)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n/m = Not meaningful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components of revenue: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593"/>
        <w:gridCol w:w="595"/>
        <w:gridCol w:w="239"/>
        <w:gridCol w:w="700"/>
        <w:gridCol w:w="123"/>
        <w:gridCol w:w="239"/>
        <w:gridCol w:w="820"/>
        <w:gridCol w:w="123"/>
        <w:gridCol w:w="211"/>
        <w:gridCol w:w="761"/>
        <w:gridCol w:w="109"/>
        <w:gridCol w:w="200"/>
        <w:gridCol w:w="200"/>
        <w:gridCol w:w="271"/>
        <w:gridCol w:w="109"/>
        <w:gridCol w:w="109"/>
        <w:gridCol w:w="109"/>
        <w:gridCol w:w="224"/>
        <w:gridCol w:w="767"/>
        <w:gridCol w:w="115"/>
        <w:gridCol w:w="224"/>
        <w:gridCol w:w="767"/>
        <w:gridCol w:w="115"/>
        <w:gridCol w:w="211"/>
        <w:gridCol w:w="761"/>
        <w:gridCol w:w="109"/>
        <w:gridCol w:w="200"/>
        <w:gridCol w:w="200"/>
        <w:gridCol w:w="327"/>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75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80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 revenue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&gt;100%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&gt;100%</w:t>
            </w:r>
          </w:p>
        </w:tc>
      </w:tr>
      <w:tr>
        <w:trPr/>
        <w:tc>
          <w:tcPr>
            <w:tcW w:w="18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the decrease in revenue compared to the prior period was due to a decrease in revenue recognized from Roche due to the successful completion of certain project phases in the prior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cost of revenue: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4"/>
        <w:gridCol w:w="602"/>
        <w:gridCol w:w="603"/>
        <w:gridCol w:w="234"/>
        <w:gridCol w:w="802"/>
        <w:gridCol w:w="121"/>
        <w:gridCol w:w="234"/>
        <w:gridCol w:w="802"/>
        <w:gridCol w:w="121"/>
        <w:gridCol w:w="211"/>
        <w:gridCol w:w="657"/>
        <w:gridCol w:w="109"/>
        <w:gridCol w:w="201"/>
        <w:gridCol w:w="201"/>
        <w:gridCol w:w="271"/>
        <w:gridCol w:w="109"/>
        <w:gridCol w:w="109"/>
        <w:gridCol w:w="109"/>
        <w:gridCol w:w="224"/>
        <w:gridCol w:w="768"/>
        <w:gridCol w:w="115"/>
        <w:gridCol w:w="224"/>
        <w:gridCol w:w="768"/>
        <w:gridCol w:w="115"/>
        <w:gridCol w:w="211"/>
        <w:gridCol w:w="762"/>
        <w:gridCol w:w="109"/>
        <w:gridCol w:w="201"/>
        <w:gridCol w:w="201"/>
        <w:gridCol w:w="327"/>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8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3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65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81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889" w:type="dxa"/>
            <w:gridSpan w:val="3"/>
            <w:vMerge w:val="continue"/>
            <w:tcBorders/>
            <w:tcMar>
              <w:top w:w="0" w:type="dxa"/>
              <w:left w:w="0" w:type="dxa"/>
              <w:bottom w:w="0" w:type="dxa"/>
              <w:right w:w="0" w:type="dxa"/>
            </w:tcMar>
            <w:vAlign w:val="center"/>
          </w:tcPr>
          <w:p>
            <w:pPr>
              <w:pStyle w:val="Normal"/>
              <w:bidi w:val="0"/>
              <w:jc w:val="left"/>
              <w:rPr/>
            </w:pPr>
            <w:r>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8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 of revenue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Cost of revenue consists of the Company’s costs to provide services for drug discovery required under performance obligations with partnership customers. These primarily include materials costs, service hours performed by our employees and depreciation of property and equipment.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three and six months ended June 30, 2026, the change in cost of revenue compared to the prior period was due to a decrease in costs of revenue recognized from Roche, which was due to the shifting scope of work across our various performance obligations as certain phases of the projects reached completion.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Research and Development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components of research and development expense: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1"/>
        <w:gridCol w:w="520"/>
        <w:gridCol w:w="521"/>
        <w:gridCol w:w="220"/>
        <w:gridCol w:w="753"/>
        <w:gridCol w:w="113"/>
        <w:gridCol w:w="220"/>
        <w:gridCol w:w="862"/>
        <w:gridCol w:w="113"/>
        <w:gridCol w:w="211"/>
        <w:gridCol w:w="749"/>
        <w:gridCol w:w="109"/>
        <w:gridCol w:w="194"/>
        <w:gridCol w:w="194"/>
        <w:gridCol w:w="271"/>
        <w:gridCol w:w="109"/>
        <w:gridCol w:w="109"/>
        <w:gridCol w:w="109"/>
        <w:gridCol w:w="213"/>
        <w:gridCol w:w="834"/>
        <w:gridCol w:w="110"/>
        <w:gridCol w:w="213"/>
        <w:gridCol w:w="834"/>
        <w:gridCol w:w="110"/>
        <w:gridCol w:w="211"/>
        <w:gridCol w:w="749"/>
        <w:gridCol w:w="109"/>
        <w:gridCol w:w="194"/>
        <w:gridCol w:w="194"/>
        <w:gridCol w:w="326"/>
      </w:tblGrid>
      <w:tr>
        <w:trPr/>
        <w:tc>
          <w:tcPr>
            <w:tcW w:w="7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7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28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7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78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772"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Discovery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Clinical</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 R&amp;D tax credit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research and development expense</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89,614 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128,636 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177,510 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258,269 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n/m = Not meaningful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Research and development expenses account for a significant portion of our operating expenses. We recognize research and development expenses as they are incurred. Research and development expenses consist of costs incurred in performing activities including: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costs to develop and operate our platform;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costs of discovery efforts which may lead to development candidates, including research materials and external research;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costs for clinical development of our investigational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costs for materials and supplies associated with the manufacture of active pharmaceutical ingredients, investigational products for preclinical testing and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personnel-related expenses, including salaries, benefits, bonuses and stock-based compensation for employees engaged in research and development functions;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costs associated with operating our digital infrastructure;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direct and allocated expenses incurred as a result of research and development activities, including those for facilities, depreciation, amortization and insurance; and</w:t>
      </w:r>
    </w:p>
    <w:p>
      <w:pPr>
        <w:pStyle w:val="TextBody"/>
        <w:bidi w:val="0"/>
        <w:spacing w:lineRule="auto" w:line="268" w:before="0" w:after="0"/>
        <w:ind w:left="0" w:right="0" w:hanging="360"/>
        <w:jc w:val="left"/>
        <w:rPr/>
      </w:pPr>
      <w:r>
        <w:rPr>
          <w:color w:val="1E1E1E"/>
        </w:rPr>
        <w:t>•</w:t>
      </w:r>
      <w:r>
        <w:rPr>
          <w:rFonts w:ascii="Arial;sans-serif" w:hAnsi="Arial;sans-serif"/>
          <w:b w:val="false"/>
          <w:color w:val="000000"/>
          <w:sz w:val="20"/>
        </w:rPr>
        <w:t xml:space="preserve">certain cash refundable research and development tax credits including the research and development expenditure credit (RDEC) in the United Kingdom.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Significant components of research and development expense include the following allocated by development phase: Platform, which refers primarily to expenses related to screening of product candidates through hit identification, this also includes expenses related to Tempus records purchased; Discovery, which refers primarily to expenses related to hit identification through development of candidates; and Clinical, which refers primarily to expenses related to development of candidates and beyond.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the three months ended June 30, 2026, the decrease in research and development expenses compared to the prior period was primarily driven by platform expense. Platform expense decreased due to a decrease in personnel cost as well as a decrease due to Tempus records purchases of </w:t>
      </w:r>
      <w:r>
        <w:rPr>
          <w:rFonts w:ascii="Arial;sans-serif" w:hAnsi="Arial;sans-serif"/>
          <w:b w:val="false"/>
          <w:color w:val="000000"/>
          <w:sz w:val="20"/>
          <w:shd w:fill="FFFFFF" w:val="clear"/>
        </w:rPr>
        <w:t>$19.6 million</w:t>
      </w:r>
      <w:r>
        <w:rPr>
          <w:rFonts w:ascii="Arial;sans-serif" w:hAnsi="Arial;sans-serif"/>
          <w:b w:val="false"/>
          <w:color w:val="000000"/>
          <w:sz w:val="20"/>
        </w:rPr>
        <w:t xml:space="preserve">. Discovery costs also decreased primarily due to personnel costs.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the six months ended June 30, 2026, the decrease in research and development expenses compared to the prior period was primarily driven by platform expense. Platform expense decreased due to a decrease in personnel cost as well as a decrease due to Tempus records purchases of </w:t>
      </w:r>
      <w:r>
        <w:rPr>
          <w:rFonts w:ascii="Arial;sans-serif" w:hAnsi="Arial;sans-serif"/>
          <w:b w:val="false"/>
          <w:color w:val="000000"/>
          <w:sz w:val="20"/>
          <w:shd w:fill="FFFFFF" w:val="clear"/>
        </w:rPr>
        <w:t>$46.8 million.</w:t>
      </w:r>
      <w:r>
        <w:rPr>
          <w:color w:val="000000"/>
        </w:rPr>
        <w:t xml:space="preserve"> </w:t>
      </w:r>
      <w:r>
        <w:rPr>
          <w:rFonts w:ascii="Arial;sans-serif" w:hAnsi="Arial;sans-serif"/>
          <w:b w:val="false"/>
          <w:color w:val="000000"/>
          <w:sz w:val="20"/>
        </w:rPr>
        <w:t xml:space="preserve">Discovery costs also decreased primarily due to personnel costs. </w:t>
      </w:r>
    </w:p>
    <w:p>
      <w:pPr>
        <w:pStyle w:val="TextBody"/>
        <w:bidi w:val="0"/>
        <w:spacing w:before="0" w:after="0"/>
        <w:jc w:val="left"/>
        <w:rPr/>
      </w:pPr>
      <w:r>
        <w:rPr/>
      </w:r>
    </w:p>
    <w:p>
      <w:pPr>
        <w:pStyle w:val="TextBody"/>
        <w:bidi w:val="0"/>
        <w:spacing w:lineRule="auto" w:line="288" w:before="0" w:after="60"/>
        <w:jc w:val="left"/>
        <w:rPr>
          <w:rFonts w:ascii="Arial;sans-serif" w:hAnsi="Arial;sans-serif"/>
          <w:b/>
          <w:i/>
          <w:color w:val="000000"/>
          <w:sz w:val="20"/>
        </w:rPr>
      </w:pPr>
      <w:r>
        <w:rPr>
          <w:rFonts w:ascii="Arial;sans-serif" w:hAnsi="Arial;sans-serif"/>
          <w:b/>
          <w:i/>
          <w:color w:val="000000"/>
          <w:sz w:val="20"/>
        </w:rPr>
        <w:t>General and Administrative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general and administrative expense: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0"/>
        <w:gridCol w:w="586"/>
        <w:gridCol w:w="587"/>
        <w:gridCol w:w="228"/>
        <w:gridCol w:w="779"/>
        <w:gridCol w:w="117"/>
        <w:gridCol w:w="228"/>
        <w:gridCol w:w="779"/>
        <w:gridCol w:w="117"/>
        <w:gridCol w:w="211"/>
        <w:gridCol w:w="649"/>
        <w:gridCol w:w="109"/>
        <w:gridCol w:w="197"/>
        <w:gridCol w:w="197"/>
        <w:gridCol w:w="271"/>
        <w:gridCol w:w="109"/>
        <w:gridCol w:w="109"/>
        <w:gridCol w:w="109"/>
        <w:gridCol w:w="217"/>
        <w:gridCol w:w="742"/>
        <w:gridCol w:w="112"/>
        <w:gridCol w:w="217"/>
        <w:gridCol w:w="850"/>
        <w:gridCol w:w="112"/>
        <w:gridCol w:w="211"/>
        <w:gridCol w:w="754"/>
        <w:gridCol w:w="109"/>
        <w:gridCol w:w="197"/>
        <w:gridCol w:w="197"/>
        <w:gridCol w:w="325"/>
      </w:tblGrid>
      <w:tr>
        <w:trPr/>
        <w:tc>
          <w:tcPr>
            <w:tcW w:w="78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9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2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6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7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953" w:type="dxa"/>
            <w:gridSpan w:val="3"/>
            <w:vMerge w:val="continue"/>
            <w:tcBorders/>
            <w:tcMar>
              <w:top w:w="0" w:type="dxa"/>
              <w:left w:w="0" w:type="dxa"/>
              <w:bottom w:w="0" w:type="dxa"/>
              <w:right w:w="0" w:type="dxa"/>
            </w:tcMar>
            <w:vAlign w:val="center"/>
          </w:tcPr>
          <w:p>
            <w:pPr>
              <w:pStyle w:val="Normal"/>
              <w:bidi w:val="0"/>
              <w:jc w:val="left"/>
              <w:rPr/>
            </w:pPr>
            <w:r>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9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general and administrative expense</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41,533 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46,653 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101,304 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the three months ended June 30, 2026, the decrease in general and administrative expense compared to the prior period was primarily driven by a decrease in salaries of </w:t>
      </w:r>
      <w:r>
        <w:rPr>
          <w:rFonts w:ascii="Arial;sans-serif" w:hAnsi="Arial;sans-serif"/>
          <w:b w:val="false"/>
          <w:color w:val="000000"/>
          <w:sz w:val="20"/>
          <w:shd w:fill="FFFFFF" w:val="clear"/>
        </w:rPr>
        <w:t>$4.9 million</w:t>
      </w:r>
      <w:r>
        <w:rPr>
          <w:color w:val="000000"/>
        </w:rPr>
        <w:t xml:space="preserve"> </w:t>
      </w:r>
      <w:r>
        <w:rPr>
          <w:rFonts w:ascii="Arial;sans-serif" w:hAnsi="Arial;sans-serif"/>
          <w:b w:val="false"/>
          <w:color w:val="000000"/>
          <w:sz w:val="20"/>
        </w:rPr>
        <w:t>as a result of headcount reductions in the year.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the six months ended June 30, 2026, the decrease in general and administrative expense compared to prior period was primarily driven by </w:t>
      </w:r>
      <w:r>
        <w:rPr>
          <w:rFonts w:ascii="Arial;sans-serif" w:hAnsi="Arial;sans-serif"/>
          <w:b w:val="false"/>
          <w:color w:val="000000"/>
          <w:sz w:val="20"/>
          <w:shd w:fill="FFFFFF" w:val="clear"/>
        </w:rPr>
        <w:t xml:space="preserve">a decrease in salaries of $11.8 million as a result of headcount reductions in the year, in addition to one-time transaction costs in the prior year associated with the Exscientia acquisition including impairment charges of $6.0 million in relation to leasehold improvements.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Other Income (loss), Net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components of other income (loss), net: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1"/>
        <w:gridCol w:w="660"/>
        <w:gridCol w:w="662"/>
        <w:gridCol w:w="256"/>
        <w:gridCol w:w="748"/>
        <w:gridCol w:w="132"/>
        <w:gridCol w:w="256"/>
        <w:gridCol w:w="748"/>
        <w:gridCol w:w="132"/>
        <w:gridCol w:w="211"/>
        <w:gridCol w:w="513"/>
        <w:gridCol w:w="109"/>
        <w:gridCol w:w="202"/>
        <w:gridCol w:w="205"/>
        <w:gridCol w:w="271"/>
        <w:gridCol w:w="109"/>
        <w:gridCol w:w="109"/>
        <w:gridCol w:w="109"/>
        <w:gridCol w:w="228"/>
        <w:gridCol w:w="779"/>
        <w:gridCol w:w="117"/>
        <w:gridCol w:w="228"/>
        <w:gridCol w:w="779"/>
        <w:gridCol w:w="117"/>
        <w:gridCol w:w="211"/>
        <w:gridCol w:w="721"/>
        <w:gridCol w:w="109"/>
        <w:gridCol w:w="204"/>
        <w:gridCol w:w="204"/>
        <w:gridCol w:w="325"/>
      </w:tblGrid>
      <w:tr>
        <w:trPr/>
        <w:tc>
          <w:tcPr>
            <w:tcW w:w="7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0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2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51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073" w:type="dxa"/>
            <w:gridSpan w:val="3"/>
            <w:vMerge w:val="continue"/>
            <w:tcBorders/>
            <w:tcMar>
              <w:top w:w="0" w:type="dxa"/>
              <w:left w:w="0" w:type="dxa"/>
              <w:bottom w:w="0" w:type="dxa"/>
              <w:right w:w="0" w:type="dxa"/>
            </w:tcMar>
            <w:vAlign w:val="center"/>
          </w:tcPr>
          <w:p>
            <w:pPr>
              <w:pStyle w:val="Normal"/>
              <w:bidi w:val="0"/>
              <w:jc w:val="left"/>
              <w:rPr/>
            </w:pPr>
            <w:r>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2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0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income (loss), net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n/m = Not meaningful</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1E1E1E"/>
          <w:sz w:val="20"/>
        </w:rPr>
        <w:t xml:space="preserve">For the </w:t>
      </w:r>
      <w:r>
        <w:rPr>
          <w:rFonts w:ascii="Arial;sans-serif" w:hAnsi="Arial;sans-serif"/>
          <w:b w:val="false"/>
          <w:color w:val="000000"/>
          <w:sz w:val="20"/>
        </w:rPr>
        <w:t>three months ended June 30, 2026, the</w:t>
      </w:r>
      <w:r>
        <w:rPr>
          <w:color w:val="1E1E1E"/>
        </w:rPr>
        <w:t xml:space="preserve"> </w:t>
      </w:r>
      <w:r>
        <w:rPr>
          <w:rFonts w:ascii="Arial;sans-serif" w:hAnsi="Arial;sans-serif"/>
          <w:b w:val="false"/>
          <w:color w:val="000000"/>
          <w:sz w:val="20"/>
        </w:rPr>
        <w:t xml:space="preserve">decrease in other income (loss) was not significant.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1E1E1E"/>
          <w:sz w:val="20"/>
        </w:rPr>
        <w:t xml:space="preserve">For the </w:t>
      </w:r>
      <w:r>
        <w:rPr>
          <w:rFonts w:ascii="Arial;sans-serif" w:hAnsi="Arial;sans-serif"/>
          <w:b w:val="false"/>
          <w:color w:val="000000"/>
          <w:sz w:val="20"/>
        </w:rPr>
        <w:t>six months ended June 30, 2026, the</w:t>
      </w:r>
      <w:r>
        <w:rPr>
          <w:color w:val="1E1E1E"/>
        </w:rPr>
        <w:t xml:space="preserve"> </w:t>
      </w:r>
      <w:r>
        <w:rPr>
          <w:rFonts w:ascii="Arial;sans-serif" w:hAnsi="Arial;sans-serif"/>
          <w:b w:val="false"/>
          <w:color w:val="000000"/>
          <w:sz w:val="20"/>
        </w:rPr>
        <w:t>increase in other income (loss), net compared to the prior period related to our loss on disposal of Exscientia GmbH and our Vienna lease termination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color w:val="000000"/>
          <w:sz w:val="20"/>
        </w:rPr>
        <w:t>Liquidity and Capital Resources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Sources of Liquidity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not yet commercialized any products and do not expect to generate revenue from the sales of any product candidates for at least several years. Cash, cash equivalents and restricted cash totaled $556.8 million and $753.9 million as of June 30, 2026 and December 31, 2025,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incurred operating losses and experienced negative operating cash flows and we anticipate that the Company will continue to incur losses for at least the foreseeable future. Our net loss was $131.0 million and $248.5 million during the three and six months ended June 30, 2026, respectively. Our net loss was $171.9 million and $374.4 million during the three and six months ended June 30, 2025, respectively. As of June 30, 2026, we had an accumulated deficit of $2.3 billion.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Since </w:t>
      </w:r>
      <w:r>
        <w:rPr>
          <w:rFonts w:ascii="Arial;sans-serif" w:hAnsi="Arial;sans-serif"/>
          <w:b w:val="false"/>
          <w:color w:val="1E1E1E"/>
          <w:sz w:val="20"/>
        </w:rPr>
        <w:t>2024</w:t>
      </w:r>
      <w:r>
        <w:rPr>
          <w:rFonts w:ascii="Arial;sans-serif" w:hAnsi="Arial;sans-serif"/>
          <w:b w:val="false"/>
          <w:color w:val="000000"/>
          <w:sz w:val="20"/>
        </w:rPr>
        <w:t>, we have financed our operations primarily through Class A common stock issuances. As of June 30, 2026, we have received net proceeds of $829.0 million from Class A common stock issuances. See Note 8, “Common Stock” to the Condensed Consolidated Financial Statements for additional details on Class A common stock issuances. Additionally, as of June 30, 2026, we have received proceeds of $78.0 million from our strategic partnerships. See Note 9, “Collaborative Development Contracts” to the Condensed Consolidated Financial Statements for additional details on the strategic partnerships.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is a summary of the Condensed Consolidated Statements of Cash Flows for each of the periods presented below: </w:t>
      </w:r>
    </w:p>
    <w:tbl>
      <w:tblPr>
        <w:tblW w:w="6651" w:type="dxa"/>
        <w:jc w:val="left"/>
        <w:tblInd w:w="0" w:type="dxa"/>
        <w:tblLayout w:type="fixed"/>
        <w:tblCellMar>
          <w:top w:w="28" w:type="dxa"/>
          <w:left w:w="28" w:type="dxa"/>
          <w:bottom w:w="28" w:type="dxa"/>
          <w:right w:w="28" w:type="dxa"/>
        </w:tblCellMar>
      </w:tblPr>
      <w:tblGrid>
        <w:gridCol w:w="1491"/>
        <w:gridCol w:w="1315"/>
        <w:gridCol w:w="1318"/>
        <w:gridCol w:w="605"/>
        <w:gridCol w:w="310"/>
        <w:gridCol w:w="286"/>
        <w:gridCol w:w="594"/>
        <w:gridCol w:w="321"/>
        <w:gridCol w:w="411"/>
      </w:tblGrid>
      <w:tr>
        <w:trPr/>
        <w:tc>
          <w:tcPr>
            <w:tcW w:w="149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used in operating activities</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(187,048)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(208,375)</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provided by (used in) financing activities</w:t>
            </w:r>
          </w:p>
        </w:tc>
        <w:tc>
          <w:tcPr>
            <w:tcW w:w="9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(4,737)</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138,186 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Operating Activities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used by operating activities decreased during the six months ended June 30, 2026 as a result of lower costs incurred for research and development and general and administrative primarily due to improved operating efficiency and the strategic reprioritization of our clinical portfolio.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used by operating activities increased during the six months ended June 30, 2025 as a result of higher costs incurred for research and development and general and administrative primarily due to the Company’s acquisition of Exscientia. This included Exscientia GmbH disposal related payments of $9.7 million and severance payments of $10.4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Investing Activities</w:t>
      </w:r>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used by investing activities during the six months ended June 30, 2026 consisted primarily of the purchase of an intangible asset of $2.0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Cash used by investing activities during the six months ended June 30, 2025 consisted primarily of the disposal of Exscientia GmbH of $4.4 million and property and equipment purchases of $5.0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Financing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Cash used by financing activities during the six months ended June 30, 2026 primarily included repayment of long-term debt and financing lease liabilities of $4.5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Cash provided by financing activities during the six months ended June 30, 2025 primarily included proceeds of $141.0 million from common stock issuances. Financing outflows included a $3.0 million payment for the purchase of an intangible asset that was not soon after the purchase.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Policies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summary of the Company’s significant accounting estimates and policies is included in Note 2, “Summary of Significant Accounting Policies” in our 2025 Annual Report. There were no significant changes in the Company’s application of its critical accounting policies during the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Recently Issued and Adopted Accounting Pronouncements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See Note 2, “Basis of Presentation</w:t>
      </w:r>
      <w:r>
        <w:rPr>
          <w:color w:val="000000"/>
        </w:rPr>
        <w:t xml:space="preserve">” </w:t>
      </w:r>
      <w:r>
        <w:rPr>
          <w:rFonts w:ascii="Arial;sans-serif" w:hAnsi="Arial;sans-serif"/>
          <w:b w:val="false"/>
          <w:color w:val="000000"/>
          <w:sz w:val="20"/>
        </w:rPr>
        <w:t>in Item 1 of this Quarterly Report on Form 10-Q</w:t>
      </w:r>
      <w:r>
        <w:rPr>
          <w:color w:val="1E1E1E"/>
        </w:rPr>
        <w:t xml:space="preserve"> </w:t>
      </w:r>
      <w:r>
        <w:rPr>
          <w:rFonts w:ascii="Arial;sans-serif" w:hAnsi="Arial;sans-serif"/>
          <w:b w:val="false"/>
          <w:color w:val="1E1E1E"/>
          <w:sz w:val="20"/>
        </w:rPr>
        <w:t xml:space="preserve">for information regarding recently issued and adopted accounting pronouncements.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are exposed to market risk related to changes in interest rates on our investment portfolio of cash and cash equivalents. As of June 30, 2026, our cash and cash equivalents consisted of money market funds. Our primary exposure to market risk is interest income sensitivity, which is affected by changes in interest rates. A hypothetical 100 basis point decrease in interest rates as of</w:t>
      </w:r>
      <w:r>
        <w:rPr>
          <w:color w:val="1E1E1E"/>
        </w:rPr>
        <w:t xml:space="preserve"> </w:t>
      </w:r>
      <w:r>
        <w:rPr>
          <w:rFonts w:ascii="Arial;sans-serif" w:hAnsi="Arial;sans-serif"/>
          <w:b w:val="false"/>
          <w:color w:val="000000"/>
          <w:sz w:val="20"/>
        </w:rPr>
        <w:t>June 30, 2026</w:t>
      </w:r>
      <w:r>
        <w:rPr>
          <w:rFonts w:ascii="Arial;sans-serif" w:hAnsi="Arial;sans-serif"/>
          <w:b w:val="false"/>
          <w:color w:val="1E1E1E"/>
          <w:sz w:val="20"/>
        </w:rPr>
        <w:t xml:space="preserve">, </w:t>
      </w:r>
      <w:r>
        <w:rPr>
          <w:rFonts w:ascii="Arial;sans-serif" w:hAnsi="Arial;sans-serif"/>
          <w:b w:val="false"/>
          <w:color w:val="000000"/>
          <w:sz w:val="20"/>
        </w:rPr>
        <w:t>would have an insignificant effect on net loss in the ensuing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Foreign Currency Exchange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employees and our operations are primarily located in the United States, United Kingdom and Canada and our expenses are primarily denominated in U.S. dollars, Great British pounds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have an insignificant effect on our financial results during the three and six months ended June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established disclosure controls and procedures (as defined in Rules 13a-15(e) and 15d-15(e) under the Securities Exchange Act of 1934, as amended (the Exchange Act)) designed to provide reasonable assurance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management has evaluated, with the participation of our Chief Executive Officer and Chief Financial Officer, the effectiveness of our disclosure controls and procedures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2026, our disclosure controls and procedures were ineffective due to the material weaknesses in internal control over financial reporting disclosed in Part II, Item 9A of our Annual Report on Form 10-K for the year ended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Remediation of Material Weaknesses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remediation actions have been taken as of June 30, 2026 related to the material weaknesses for the acquired Exscientia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have designed and implemented certain information technology general controls.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have designed and implemented certain processes and controls to appropriately analyze, record and disclose accounting matters timely and accurately while maintaining appropriate segregation of duties.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completed an implementation of a new enterprise resource planning ("ERP") system and a Purchase to Pay (P2P) system. In the process of deploying these new systems, we designed and implemented new, or otherwise enhanced existing, internal control activities to complement operational and administrative process changes required to support the functionality of our new ERP and P2P systems.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remediation actions described above, we are in the process of integrating Exscientia’s operations into our overall system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weaknesses have been remediated as of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months ended June 30, 2026, management was in the process of integrating the internal controls of the acquired business (Exscientia) into Recursion's existing operations as part of planned integration activities. There were no other changes in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Investing in our common stock involves a high degree of risk. For a detailed discussion of the risks that affect our business. Please refer to the section titled Part I, Item 1A. “Risk Factors” of our 2025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 Sales of Unregistered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Stock Option Exercises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six months ended June 30, 2026, we issued 4,800 shares of our Class A common stock to our employees, directors, advisors and consultants upon the exercise of stock options under our Key Personnel Incentive Stock Plan for aggregate consideration of approximately $2 thousand, in reliance on the exemption provided by Rule 701(b)(2)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July 31, 2026, Recursion entered into an Eleventh Amendment to the Office Lease by and between Vestar Gateway, LLC (“Vestar”) and Recursion (the "Eleventh Amendment"), extending the term of the Lease as to the Premises for six years, from June 01, 2028 through May 31, 2034. In connection with the Eleventh Amendment, Vestar consented to Recursion's sublease of approximately 66,000 square feet of the Expansion Premises (as defined in the original agreement), with the sublease term presently scheduled to expire on May 31, 2032. The foregoing summary of the Eleventh Amendment is subject to, and qualified in its entirety by, the full text of such agreement, which will be filed as an exhibit to the Company’s quarterly report filed on Form 10-Q for the quarter in which it was executed.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1E1E1E"/>
          <w:sz w:val="20"/>
        </w:rPr>
        <w:t>Exhibit Index:</w:t>
      </w:r>
      <w:r>
        <w:rPr>
          <w:color w:val="1E1E1E"/>
        </w:rPr>
        <w:t xml:space="preserve"> </w:t>
      </w:r>
    </w:p>
    <w:tbl>
      <w:tblPr>
        <w:tblW w:w="10205" w:type="dxa"/>
        <w:jc w:val="left"/>
        <w:tblInd w:w="0" w:type="dxa"/>
        <w:tblLayout w:type="fixed"/>
        <w:tblCellMar>
          <w:top w:w="28" w:type="dxa"/>
          <w:left w:w="28" w:type="dxa"/>
          <w:bottom w:w="28" w:type="dxa"/>
          <w:right w:w="28" w:type="dxa"/>
        </w:tblCellMar>
      </w:tblPr>
      <w:tblGrid>
        <w:gridCol w:w="342"/>
        <w:gridCol w:w="301"/>
        <w:gridCol w:w="303"/>
        <w:gridCol w:w="1479"/>
        <w:gridCol w:w="1479"/>
        <w:gridCol w:w="1490"/>
        <w:gridCol w:w="214"/>
        <w:gridCol w:w="214"/>
        <w:gridCol w:w="219"/>
        <w:gridCol w:w="347"/>
        <w:gridCol w:w="285"/>
        <w:gridCol w:w="234"/>
        <w:gridCol w:w="262"/>
        <w:gridCol w:w="262"/>
        <w:gridCol w:w="263"/>
        <w:gridCol w:w="435"/>
        <w:gridCol w:w="299"/>
        <w:gridCol w:w="301"/>
        <w:gridCol w:w="429"/>
        <w:gridCol w:w="429"/>
        <w:gridCol w:w="61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4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Exhibit No.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 Furnished Herewith</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4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Transaction Agreement by and between Recursion Pharmaceuticals, Inc. and Exscientia plc dated as of August 8, 2024.</w:t>
              </w:r>
            </w:hyperlink>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001-40323</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8, 2024</w:t>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4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Amended and Restated Certificate of Incorporation of Recursion Pharmaceuticals, Inc.</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001-40323</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21, 2021</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4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Amended and Restated Bylaws of Recursion Pharmaceuticals, Inc.</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001-40323</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31, 2024</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4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Specimen Class A common stock certificate of the Registrant.</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S-1/A</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333-254576</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15, 2021</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4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Exchangeable Share Support Agreement, dated May 8, 2023.</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S-3ASR</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333-272281</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30, 2023</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4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Registration Rights Agreement, dated October 24, 2022, by and among the Company and the Purchasers.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001-40323</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25, 2022</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2"/>
        <w:gridCol w:w="173"/>
        <w:gridCol w:w="177"/>
        <w:gridCol w:w="2191"/>
        <w:gridCol w:w="1989"/>
        <w:gridCol w:w="1994"/>
        <w:gridCol w:w="241"/>
        <w:gridCol w:w="241"/>
        <w:gridCol w:w="243"/>
        <w:gridCol w:w="318"/>
        <w:gridCol w:w="318"/>
        <w:gridCol w:w="320"/>
        <w:gridCol w:w="176"/>
        <w:gridCol w:w="176"/>
        <w:gridCol w:w="181"/>
        <w:gridCol w:w="312"/>
        <w:gridCol w:w="248"/>
        <w:gridCol w:w="250"/>
        <w:gridCol w:w="124"/>
        <w:gridCol w:w="124"/>
        <w:gridCol w:w="187"/>
      </w:tblGrid>
      <w:tr>
        <w:trPr/>
        <w:tc>
          <w:tcPr>
            <w:tcW w:w="2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Registration Agreement, dated May 16, 2023, by and among the Registrant, Valence Discovery, Inc., and certain shareholders of Valence Discovery, Inc.</w:t>
              </w:r>
            </w:hyperlink>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S-3ASR</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333-272281</w:t>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30, 2023</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Registration Agreement, dated May 25, 2023, by and among the Registrant, Recursion Canada Inc., and certain shareholders of Cyclica Inc.</w:t>
              </w:r>
            </w:hyperlink>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001-40323</w:t>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9, 2023</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Registration Rights Agreement, dated July 11, 2023, by and among the Registrant and NVIDIA.</w:t>
              </w:r>
            </w:hyperlink>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001-40323</w:t>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12. 2023</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outsidedirector.htm">
              <w:r>
                <w:rPr>
                  <w:rStyle w:val="InternetLink"/>
                  <w:rFonts w:ascii="Arial;sans-serif" w:hAnsi="Arial;sans-serif"/>
                  <w:b w:val="false"/>
                  <w:color w:val="0000FF"/>
                  <w:sz w:val="18"/>
                  <w:u w:val="single"/>
                </w:rPr>
                <w:t>Outside Director Compensation Policy</w:t>
              </w:r>
            </w:hyperlink>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gibsonadvisorya.htm">
              <w:r>
                <w:rPr>
                  <w:rStyle w:val="InternetLink"/>
                  <w:rFonts w:ascii="Arial;sans-serif" w:hAnsi="Arial;sans-serif"/>
                  <w:b w:val="false"/>
                  <w:color w:val="000080"/>
                  <w:sz w:val="18"/>
                  <w:u w:val="single"/>
                </w:rPr>
                <w:t>A</w:t>
              </w:r>
            </w:hyperlink>
            <w:hyperlink w:anchor="exhibit102-gibsonadvisorya.htm">
              <w:r>
                <w:rPr>
                  <w:rStyle w:val="InternetLink"/>
                  <w:rFonts w:ascii="Arial;sans-serif" w:hAnsi="Arial;sans-serif"/>
                  <w:b w:val="false"/>
                  <w:color w:val="000080"/>
                  <w:sz w:val="18"/>
                  <w:u w:val="single"/>
                </w:rPr>
                <w:t xml:space="preserve">mended </w:t>
              </w:r>
            </w:hyperlink>
            <w:hyperlink w:anchor="exhibit102-gibsonadvisorya.htm">
              <w:r>
                <w:rPr>
                  <w:rStyle w:val="InternetLink"/>
                  <w:rFonts w:ascii="Arial;sans-serif" w:hAnsi="Arial;sans-serif"/>
                  <w:b w:val="false"/>
                  <w:color w:val="000080"/>
                  <w:sz w:val="18"/>
                  <w:u w:val="single"/>
                </w:rPr>
                <w:t>and Restate</w:t>
              </w:r>
            </w:hyperlink>
            <w:hyperlink w:anchor="exhibit102-gibsonadvisorya.htm">
              <w:r>
                <w:rPr>
                  <w:rStyle w:val="InternetLink"/>
                  <w:rFonts w:ascii="Arial;sans-serif" w:hAnsi="Arial;sans-serif"/>
                  <w:b w:val="false"/>
                  <w:color w:val="000080"/>
                  <w:sz w:val="18"/>
                  <w:u w:val="single"/>
                </w:rPr>
                <w:t>d</w:t>
              </w:r>
            </w:hyperlink>
            <w:hyperlink w:anchor="exhibit102-gibsonadvisorya.htm">
              <w:r>
                <w:rPr>
                  <w:rStyle w:val="InternetLink"/>
                  <w:rFonts w:ascii="Arial;sans-serif" w:hAnsi="Arial;sans-serif"/>
                  <w:b w:val="false"/>
                  <w:color w:val="000080"/>
                  <w:sz w:val="18"/>
                  <w:u w:val="single"/>
                </w:rPr>
                <w:t xml:space="preserve"> </w:t>
              </w:r>
            </w:hyperlink>
            <w:hyperlink w:anchor="exhibit102-gibsonadvisorya.htm">
              <w:r>
                <w:rPr>
                  <w:rStyle w:val="InternetLink"/>
                  <w:rFonts w:ascii="Arial;sans-serif" w:hAnsi="Arial;sans-serif"/>
                  <w:b w:val="false"/>
                  <w:color w:val="000080"/>
                  <w:sz w:val="18"/>
                  <w:u w:val="single"/>
                </w:rPr>
                <w:t>Advisory Agreement</w:t>
              </w:r>
            </w:hyperlink>
            <w:hyperlink w:anchor="exhibit102-gibsonadvisorya.htm">
              <w:r>
                <w:rPr>
                  <w:rStyle w:val="InternetLink"/>
                  <w:rFonts w:ascii="Arial;sans-serif" w:hAnsi="Arial;sans-serif"/>
                  <w:b w:val="false"/>
                  <w:color w:val="000080"/>
                  <w:sz w:val="18"/>
                  <w:u w:val="single"/>
                </w:rPr>
                <w:t>,</w:t>
              </w:r>
            </w:hyperlink>
            <w:hyperlink w:anchor="exhibit102-gibsonadvisorya.htm">
              <w:r>
                <w:rPr>
                  <w:rStyle w:val="InternetLink"/>
                  <w:rFonts w:ascii="Arial;sans-serif" w:hAnsi="Arial;sans-serif"/>
                  <w:b w:val="false"/>
                  <w:color w:val="000080"/>
                  <w:sz w:val="18"/>
                  <w:u w:val="single"/>
                </w:rPr>
                <w:t xml:space="preserve"> dated </w:t>
              </w:r>
            </w:hyperlink>
            <w:hyperlink w:anchor="exhibit102-gibsonadvisorya.htm">
              <w:r>
                <w:rPr>
                  <w:rStyle w:val="InternetLink"/>
                  <w:rFonts w:ascii="Arial;sans-serif" w:hAnsi="Arial;sans-serif"/>
                  <w:b w:val="false"/>
                  <w:color w:val="000080"/>
                  <w:sz w:val="18"/>
                  <w:u w:val="single"/>
                </w:rPr>
                <w:t>April 30, 2026,</w:t>
              </w:r>
            </w:hyperlink>
            <w:hyperlink w:anchor="exhibit102-gibsonadvisorya.htm">
              <w:r>
                <w:rPr>
                  <w:rStyle w:val="InternetLink"/>
                  <w:rFonts w:ascii="Arial;sans-serif" w:hAnsi="Arial;sans-serif"/>
                  <w:b w:val="false"/>
                  <w:color w:val="000080"/>
                  <w:sz w:val="18"/>
                  <w:u w:val="single"/>
                </w:rPr>
                <w:t xml:space="preserve"> between the Registrant and Christopher Gibson, Ph.D.</w:t>
              </w:r>
            </w:hyperlink>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mauroagreement.htm">
              <w:r>
                <w:rPr>
                  <w:rStyle w:val="InternetLink"/>
                  <w:rFonts w:ascii="Arial;sans-serif" w:hAnsi="Arial;sans-serif"/>
                  <w:b w:val="false"/>
                  <w:color w:val="000080"/>
                  <w:sz w:val="18"/>
                  <w:u w:val="single"/>
                </w:rPr>
                <w:t>Advisory Agreement</w:t>
              </w:r>
            </w:hyperlink>
            <w:hyperlink w:anchor="exhibit103-mauroagreement.htm">
              <w:r>
                <w:rPr>
                  <w:rStyle w:val="InternetLink"/>
                  <w:rFonts w:ascii="Arial;sans-serif" w:hAnsi="Arial;sans-serif"/>
                  <w:b w:val="false"/>
                  <w:color w:val="000080"/>
                  <w:sz w:val="18"/>
                  <w:u w:val="single"/>
                </w:rPr>
                <w:t>,</w:t>
              </w:r>
            </w:hyperlink>
            <w:hyperlink w:anchor="exhibit103-mauroagreement.htm">
              <w:r>
                <w:rPr>
                  <w:rStyle w:val="InternetLink"/>
                  <w:rFonts w:ascii="Arial;sans-serif" w:hAnsi="Arial;sans-serif"/>
                  <w:b w:val="false"/>
                  <w:color w:val="000080"/>
                  <w:sz w:val="18"/>
                  <w:u w:val="single"/>
                </w:rPr>
                <w:t xml:space="preserve"> dated </w:t>
              </w:r>
            </w:hyperlink>
            <w:hyperlink w:anchor="exhibit103-mauroagreement.htm">
              <w:r>
                <w:rPr>
                  <w:rStyle w:val="InternetLink"/>
                  <w:rFonts w:ascii="Arial;sans-serif" w:hAnsi="Arial;sans-serif"/>
                  <w:b w:val="false"/>
                  <w:color w:val="000080"/>
                  <w:sz w:val="18"/>
                  <w:u w:val="single"/>
                </w:rPr>
                <w:t>April 17, 2026,</w:t>
              </w:r>
            </w:hyperlink>
            <w:hyperlink w:anchor="exhibit103-mauroagreement.htm">
              <w:r>
                <w:rPr>
                  <w:rStyle w:val="InternetLink"/>
                  <w:rFonts w:ascii="Arial;sans-serif" w:hAnsi="Arial;sans-serif"/>
                  <w:b w:val="false"/>
                  <w:color w:val="000080"/>
                  <w:sz w:val="18"/>
                  <w:u w:val="single"/>
                </w:rPr>
                <w:t xml:space="preserve"> between the Registrant and </w:t>
              </w:r>
            </w:hyperlink>
            <w:hyperlink w:anchor="exhibit103-mauroagreement.htm">
              <w:r>
                <w:rPr>
                  <w:rStyle w:val="InternetLink"/>
                  <w:rFonts w:ascii="Arial;sans-serif" w:hAnsi="Arial;sans-serif"/>
                  <w:b w:val="false"/>
                  <w:color w:val="000080"/>
                  <w:sz w:val="18"/>
                  <w:u w:val="single"/>
                </w:rPr>
                <w:t>David M</w:t>
              </w:r>
            </w:hyperlink>
            <w:hyperlink w:anchor="exhibit103-mauroagreement.htm">
              <w:r>
                <w:rPr>
                  <w:rStyle w:val="InternetLink"/>
                  <w:rFonts w:ascii="Arial;sans-serif" w:hAnsi="Arial;sans-serif"/>
                  <w:b w:val="false"/>
                  <w:color w:val="000080"/>
                  <w:sz w:val="18"/>
                  <w:u w:val="single"/>
                </w:rPr>
                <w:t>auro</w:t>
              </w:r>
            </w:hyperlink>
            <w:hyperlink w:anchor="exhibit103-mauroagreement.htm">
              <w:r>
                <w:rPr>
                  <w:rStyle w:val="InternetLink"/>
                  <w:rFonts w:ascii="Arial;sans-serif" w:hAnsi="Arial;sans-serif"/>
                  <w:b w:val="false"/>
                  <w:color w:val="000080"/>
                  <w:sz w:val="18"/>
                  <w:u w:val="single"/>
                </w:rPr>
                <w:t xml:space="preserve">, </w:t>
              </w:r>
            </w:hyperlink>
            <w:hyperlink w:anchor="exhibit103-mauroagreement.htm">
              <w:r>
                <w:rPr>
                  <w:rStyle w:val="InternetLink"/>
                  <w:rFonts w:ascii="Arial;sans-serif" w:hAnsi="Arial;sans-serif"/>
                  <w:b w:val="false"/>
                  <w:color w:val="000080"/>
                  <w:sz w:val="18"/>
                  <w:u w:val="single"/>
                </w:rPr>
                <w:t>M</w:t>
              </w:r>
            </w:hyperlink>
            <w:hyperlink w:anchor="exhibit103-mauroagreement.htm">
              <w:r>
                <w:rPr>
                  <w:rStyle w:val="InternetLink"/>
                  <w:rFonts w:ascii="Arial;sans-serif" w:hAnsi="Arial;sans-serif"/>
                  <w:b w:val="false"/>
                  <w:color w:val="000080"/>
                  <w:sz w:val="18"/>
                  <w:u w:val="single"/>
                </w:rPr>
                <w:t>.D.</w:t>
              </w:r>
            </w:hyperlink>
            <w:hyperlink w:anchor="exhibit103-mauroagreement.htm">
              <w:r>
                <w:rPr>
                  <w:rStyle w:val="InternetLink"/>
                  <w:rFonts w:ascii="Arial;sans-serif" w:hAnsi="Arial;sans-serif"/>
                  <w:b w:val="false"/>
                  <w:color w:val="000080"/>
                  <w:sz w:val="18"/>
                  <w:u w:val="single"/>
                </w:rPr>
                <w:t>, Ph.D.</w:t>
              </w:r>
            </w:hyperlink>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0226.htm">
              <w:r>
                <w:rPr>
                  <w:rStyle w:val="InternetLink"/>
                  <w:rFonts w:ascii="Arial;sans-serif" w:hAnsi="Arial;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0226.htm">
              <w:r>
                <w:rPr>
                  <w:rStyle w:val="InternetLink"/>
                  <w:rFonts w:ascii="Arial;sans-serif" w:hAnsi="Arial;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0226.htm">
              <w:r>
                <w:rPr>
                  <w:rStyle w:val="InternetLink"/>
                  <w:rFonts w:ascii="Arial;sans-serif" w:hAnsi="Arial;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w:t>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8"/>
              </w:rPr>
              <w:t>101.PRE</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6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63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Indicates a management contract or compensatory plan.</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tc>
        <w:tc>
          <w:tcPr>
            <w:tcW w:w="9633"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Certain schedules and exhibits have been omitted pursuant to Item 601(a)(5) of Regulation S-K. A copy of any omitted schedule and/or exhibit will be furnished to the SEC upon request.</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63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63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 </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28c97d412a34cf885e9e82f6a5308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thereunto duly authorized on August 5, 2026. </w:t>
      </w:r>
    </w:p>
    <w:tbl>
      <w:tblPr>
        <w:tblW w:w="6369" w:type="dxa"/>
        <w:jc w:val="right"/>
        <w:tblInd w:w="0" w:type="dxa"/>
        <w:tblLayout w:type="fixed"/>
        <w:tblCellMar>
          <w:top w:w="28" w:type="dxa"/>
          <w:left w:w="28" w:type="dxa"/>
          <w:bottom w:w="28" w:type="dxa"/>
          <w:right w:w="28" w:type="dxa"/>
        </w:tblCellMar>
      </w:tblPr>
      <w:tblGrid>
        <w:gridCol w:w="455"/>
        <w:gridCol w:w="400"/>
        <w:gridCol w:w="400"/>
        <w:gridCol w:w="400"/>
        <w:gridCol w:w="400"/>
        <w:gridCol w:w="400"/>
        <w:gridCol w:w="1142"/>
        <w:gridCol w:w="1142"/>
        <w:gridCol w:w="1630"/>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r>
      <w:tr>
        <w:trPr/>
        <w:tc>
          <w:tcPr>
            <w:tcW w:w="6369" w:type="dxa"/>
            <w:gridSpan w:val="9"/>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RECURSION PHARMACEUTICALS, INC.</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/s/ Najat Khan</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Najat Khan</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/s/ Ben Taylor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Ben Taylor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61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RECURSION PHARMACEUTICALS, INC.</w:t>
      </w:r>
    </w:p>
    <w:p>
      <w:pPr>
        <w:pStyle w:val="TextBody"/>
        <w:bidi w:val="0"/>
        <w:spacing w:lineRule="auto" w:line="288" w:before="240" w:after="283"/>
        <w:jc w:val="center"/>
        <w:rPr>
          <w:rFonts w:ascii="sans-serif" w:hAnsi="sans-serif"/>
          <w:b/>
          <w:color w:val="000000"/>
          <w:sz w:val="24"/>
        </w:rPr>
      </w:pPr>
      <w:r>
        <w:rPr>
          <w:rFonts w:ascii="sans-serif" w:hAnsi="sans-serif"/>
          <w:b/>
          <w:color w:val="000000"/>
          <w:sz w:val="24"/>
        </w:rPr>
        <w:t>OUTSIDE DIRECTOR COMPENSATION POLICY</w:t>
      </w:r>
    </w:p>
    <w:p>
      <w:pPr>
        <w:pStyle w:val="TextBody"/>
        <w:bidi w:val="0"/>
        <w:spacing w:lineRule="auto" w:line="288" w:before="240" w:after="283"/>
        <w:ind w:left="0" w:right="0" w:firstLine="720"/>
        <w:jc w:val="both"/>
        <w:rPr/>
      </w:pPr>
      <w:r>
        <w:rPr>
          <w:rFonts w:ascii="sans-serif" w:hAnsi="sans-serif"/>
          <w:b w:val="false"/>
          <w:color w:val="000000"/>
          <w:sz w:val="24"/>
        </w:rPr>
        <w:t>Recursion Pharmaceuticals, Inc. (the “</w:t>
      </w:r>
      <w:r>
        <w:rPr>
          <w:rFonts w:ascii="sans-serif" w:hAnsi="sans-serif"/>
          <w:b w:val="false"/>
          <w:color w:val="000000"/>
          <w:sz w:val="24"/>
          <w:u w:val="single"/>
        </w:rPr>
        <w:t>Company</w:t>
      </w:r>
      <w:r>
        <w:rPr>
          <w:color w:val="000000"/>
        </w:rPr>
        <w:t>”</w:t>
      </w:r>
      <w:r>
        <w:rPr>
          <w:rFonts w:ascii="sans-serif" w:hAnsi="sans-serif"/>
          <w:b w:val="false"/>
          <w:color w:val="000000"/>
          <w:sz w:val="24"/>
        </w:rPr>
        <w:t>) believes that providing cash and equity compensation to members of its Board of Directors (the “</w:t>
      </w:r>
      <w:r>
        <w:rPr>
          <w:rFonts w:ascii="sans-serif" w:hAnsi="sans-serif"/>
          <w:b w:val="false"/>
          <w:color w:val="000000"/>
          <w:sz w:val="24"/>
          <w:u w:val="single"/>
        </w:rPr>
        <w:t>Board</w:t>
      </w:r>
      <w:r>
        <w:rPr>
          <w:rFonts w:ascii="sans-serif" w:hAnsi="sans-serif"/>
          <w:b w:val="false"/>
          <w:color w:val="000000"/>
          <w:sz w:val="24"/>
        </w:rPr>
        <w:t>,” and members of the Board, the “</w:t>
      </w:r>
      <w:r>
        <w:rPr>
          <w:rFonts w:ascii="sans-serif" w:hAnsi="sans-serif"/>
          <w:b w:val="false"/>
          <w:color w:val="000000"/>
          <w:sz w:val="24"/>
          <w:u w:val="single"/>
        </w:rPr>
        <w:t>Directors</w:t>
      </w:r>
      <w:r>
        <w:rPr>
          <w:color w:val="000000"/>
        </w:rPr>
        <w:t>”</w:t>
      </w:r>
      <w:r>
        <w:rPr>
          <w:rFonts w:ascii="sans-serif" w:hAnsi="sans-serif"/>
          <w:b w:val="false"/>
          <w:color w:val="000000"/>
          <w:sz w:val="24"/>
        </w:rPr>
        <w:t>) represents an effective tool to attract, retain and reward Directors who are not employees of the Company (the “</w:t>
      </w:r>
      <w:r>
        <w:rPr>
          <w:rFonts w:ascii="sans-serif" w:hAnsi="sans-serif"/>
          <w:b w:val="false"/>
          <w:color w:val="000000"/>
          <w:sz w:val="24"/>
          <w:u w:val="single"/>
        </w:rPr>
        <w:t>Outside Directors</w:t>
      </w:r>
      <w:r>
        <w:rPr>
          <w:color w:val="000000"/>
        </w:rPr>
        <w:t>”</w:t>
      </w:r>
      <w:r>
        <w:rPr>
          <w:rFonts w:ascii="sans-serif" w:hAnsi="sans-serif"/>
          <w:b w:val="false"/>
          <w:color w:val="000000"/>
          <w:sz w:val="24"/>
        </w:rPr>
        <w:t>). This Outside Director Compensation Policy (this “</w:t>
      </w:r>
      <w:r>
        <w:rPr>
          <w:rFonts w:ascii="sans-serif" w:hAnsi="sans-serif"/>
          <w:b w:val="false"/>
          <w:color w:val="000000"/>
          <w:sz w:val="24"/>
          <w:u w:val="single"/>
        </w:rPr>
        <w:t>Policy</w:t>
      </w:r>
      <w:r>
        <w:rPr>
          <w:color w:val="000000"/>
        </w:rPr>
        <w:t>”</w:t>
      </w:r>
      <w:r>
        <w:rPr>
          <w:rFonts w:ascii="sans-serif" w:hAnsi="sans-serif"/>
          <w:b w:val="false"/>
          <w:color w:val="000000"/>
          <w:sz w:val="24"/>
        </w:rPr>
        <w:t>) is intended to formalize the Company’s policy regarding the compensation to its Outside Directors. Unless defined in this Policy, capitalized terms used in this Policy will have the meaning given to such terms in the Company’s 2021 Equity Incentive Plan (the “</w:t>
      </w:r>
      <w:r>
        <w:rPr>
          <w:rFonts w:ascii="sans-serif" w:hAnsi="sans-serif"/>
          <w:b w:val="false"/>
          <w:color w:val="000000"/>
          <w:sz w:val="24"/>
          <w:u w:val="single"/>
        </w:rPr>
        <w:t>Plan</w:t>
      </w:r>
      <w:r>
        <w:rPr>
          <w:color w:val="000000"/>
        </w:rPr>
        <w:t>”</w:t>
      </w:r>
      <w:r>
        <w:rPr>
          <w:rFonts w:ascii="sans-serif" w:hAnsi="sans-serif"/>
          <w:b w:val="false"/>
          <w:color w:val="000000"/>
          <w:sz w:val="24"/>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pStyle w:val="TextBody"/>
        <w:bidi w:val="0"/>
        <w:spacing w:lineRule="auto" w:line="288" w:before="240" w:after="283"/>
        <w:ind w:left="0" w:right="0" w:firstLine="720"/>
        <w:jc w:val="both"/>
        <w:rPr/>
      </w:pPr>
      <w:r>
        <w:rPr>
          <w:rFonts w:ascii="sans-serif" w:hAnsi="sans-serif"/>
          <w:b w:val="false"/>
          <w:color w:val="000000"/>
          <w:sz w:val="24"/>
        </w:rPr>
        <w:t>This Policy, as amended, will be effective as of the date of approval by the Board (such date, the “</w:t>
      </w:r>
      <w:r>
        <w:rPr>
          <w:rFonts w:ascii="sans-serif" w:hAnsi="sans-serif"/>
          <w:b w:val="false"/>
          <w:color w:val="000000"/>
          <w:sz w:val="24"/>
          <w:u w:val="single"/>
        </w:rPr>
        <w:t>Effective Date</w:t>
      </w:r>
      <w:r>
        <w:rPr>
          <w:color w:val="000000"/>
        </w:rPr>
        <w:t>”</w:t>
      </w:r>
      <w:r>
        <w:rPr>
          <w:rFonts w:ascii="sans-serif" w:hAnsi="sans-serif"/>
          <w:b w:val="false"/>
          <w:color w:val="000000"/>
          <w:sz w:val="24"/>
        </w:rPr>
        <w:t xml:space="preserve">). </w:t>
      </w:r>
    </w:p>
    <w:p>
      <w:pPr>
        <w:pStyle w:val="TextBody"/>
        <w:bidi w:val="0"/>
        <w:spacing w:lineRule="auto" w:line="288" w:before="240" w:after="283"/>
        <w:ind w:left="0" w:right="0" w:firstLine="720"/>
        <w:jc w:val="both"/>
        <w:rPr/>
      </w:pPr>
      <w:r>
        <w:rPr>
          <w:rFonts w:ascii="sans-serif" w:hAnsi="sans-serif"/>
          <w:b w:val="false"/>
          <w:color w:val="000000"/>
          <w:sz w:val="24"/>
        </w:rPr>
        <w:t>1.</w:t>
      </w:r>
      <w:r>
        <w:rPr>
          <w:rFonts w:ascii="sans-serif" w:hAnsi="sans-serif"/>
          <w:b w:val="false"/>
          <w:color w:val="000000"/>
          <w:sz w:val="24"/>
          <w:u w:val="single"/>
        </w:rPr>
        <w:t>Cash Compensation</w:t>
      </w:r>
      <w:r>
        <w:rPr>
          <w:rFonts w:ascii="sans-serif" w:hAnsi="sans-serif"/>
          <w:b w:val="false"/>
          <w:color w:val="000000"/>
          <w:sz w:val="24"/>
        </w:rPr>
        <w:t>.</w:t>
      </w:r>
    </w:p>
    <w:p>
      <w:pPr>
        <w:pStyle w:val="TextBody"/>
        <w:bidi w:val="0"/>
        <w:spacing w:lineRule="auto" w:line="288" w:before="240" w:after="283"/>
        <w:jc w:val="both"/>
        <w:rPr>
          <w:rFonts w:ascii="sans-serif" w:hAnsi="sans-serif"/>
          <w:b w:val="false"/>
          <w:i/>
          <w:color w:val="000000"/>
          <w:sz w:val="24"/>
        </w:rPr>
      </w:pPr>
      <w:r>
        <w:rPr>
          <w:rFonts w:ascii="sans-serif" w:hAnsi="sans-serif"/>
          <w:b w:val="false"/>
          <w:i/>
          <w:color w:val="000000"/>
          <w:sz w:val="24"/>
        </w:rPr>
        <w:t>Annual Cash Retainer</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 xml:space="preserve">Each Outside Director will be paid an annual cash retainer of $50,000. There are no per-meeting attendance fees for attending Board meetings. </w:t>
      </w:r>
    </w:p>
    <w:p>
      <w:pPr>
        <w:pStyle w:val="TextBody"/>
        <w:bidi w:val="0"/>
        <w:spacing w:lineRule="auto" w:line="288" w:before="240" w:after="283"/>
        <w:jc w:val="both"/>
        <w:rPr>
          <w:rFonts w:ascii="sans-serif" w:hAnsi="sans-serif"/>
          <w:b w:val="false"/>
          <w:i/>
          <w:color w:val="000000"/>
          <w:sz w:val="24"/>
        </w:rPr>
      </w:pPr>
      <w:r>
        <w:rPr>
          <w:rFonts w:ascii="sans-serif" w:hAnsi="sans-serif"/>
          <w:b w:val="false"/>
          <w:i/>
          <w:color w:val="000000"/>
          <w:sz w:val="24"/>
        </w:rPr>
        <w:t>Committee Annual Cash Retainer</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 xml:space="preserve">Effective as of the Effective Date, each Outside Director who serves as the Chair of the Board, Lead Independent Director of the Board, or the Chair or a member of a committee of the Board listed below will be eligible to earn additional annual cash retainers as follows: </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Chair of the Board:            $35,000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Lead Independent Director:            $35,000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Chair of Audit Committee:            $20,000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Member of Audit Committee:            $10,000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Chair of Compensation Committee:        $15,000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Member of Compensation Committee:        $7,500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Chair of Nominating and Corporate Governance Committee:    $10,000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Member of Nominating and Corporate Governance Committee:    $5,000</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Chair of Research and Development Committee:        $10,000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Member of Research and Development Committee:    $5,000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Chair of Technology Committee:            $10,000</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Member of Technology Committee:        $5,000</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For clarity, each Outside Director who serves as the chair of a committee will receive only the annual cash retainer as the chair of the committee, and not the additional annual cash retainer as a member of the committee.</w:t>
      </w:r>
    </w:p>
    <w:p>
      <w:pPr>
        <w:pStyle w:val="TextBody"/>
        <w:bidi w:val="0"/>
        <w:spacing w:lineRule="auto" w:line="288" w:before="240" w:after="283"/>
        <w:jc w:val="both"/>
        <w:rPr>
          <w:rFonts w:ascii="sans-serif" w:hAnsi="sans-serif"/>
          <w:b w:val="false"/>
          <w:i/>
          <w:color w:val="000000"/>
          <w:sz w:val="24"/>
        </w:rPr>
      </w:pPr>
      <w:r>
        <w:rPr>
          <w:rFonts w:ascii="sans-serif" w:hAnsi="sans-serif"/>
          <w:b w:val="false"/>
          <w:i/>
          <w:color w:val="000000"/>
          <w:sz w:val="24"/>
        </w:rPr>
        <w:t>Payment</w:t>
      </w:r>
    </w:p>
    <w:p>
      <w:pPr>
        <w:pStyle w:val="TextBody"/>
        <w:bidi w:val="0"/>
        <w:spacing w:lineRule="auto" w:line="288" w:before="240" w:after="283"/>
        <w:ind w:left="0" w:right="0" w:firstLine="720"/>
        <w:jc w:val="both"/>
        <w:rPr/>
      </w:pPr>
      <w:r>
        <w:rPr>
          <w:rFonts w:ascii="sans-serif" w:hAnsi="sans-serif"/>
          <w:b w:val="false"/>
          <w:color w:val="000000"/>
          <w:sz w:val="24"/>
        </w:rPr>
        <w:t>Subject to the section below entitled “Election to Receive Fully Vested Stock,” each annual cash retainer payable under this Policy for service on the Board, Chair of the Board, Lead Independent Director of the Board, or the Chair or a member of a committee of the Board (an “</w:t>
      </w:r>
      <w:r>
        <w:rPr>
          <w:rFonts w:ascii="sans-serif" w:hAnsi="sans-serif"/>
          <w:b w:val="false"/>
          <w:color w:val="000000"/>
          <w:sz w:val="24"/>
          <w:u w:val="single"/>
        </w:rPr>
        <w:t>Annual Cash Retainer</w:t>
      </w:r>
      <w:r>
        <w:rPr>
          <w:color w:val="000000"/>
        </w:rPr>
        <w:t>”</w:t>
      </w:r>
      <w:r>
        <w:rPr>
          <w:rFonts w:ascii="sans-serif" w:hAnsi="sans-serif"/>
          <w:b w:val="false"/>
          <w:color w:val="000000"/>
          <w:sz w:val="24"/>
        </w:rPr>
        <w:t xml:space="preserve">) will be paid quarterly in arrears on a prorated basis to each Outside Director who has served in the relevant capacity at any point during the fiscal quarter, and such payment will be made on the last business day of such fiscal quarter (or as soon thereafter as practical, but in no event later than 30 days following the end of such fiscal quarter). For purposes of clarification, an Outside Director who has served as an Outside Director and/or as a member of an applicable committee (or Chair thereof) during only a portion of the relevant Company fiscal quarter will receive a pro-rated payment of the quarterly payment of the applicable annual cash retainer(s), calculated based on the number of days during such fiscal quarter such Outside Director has served in the relevant capacities. </w:t>
      </w:r>
    </w:p>
    <w:p>
      <w:pPr>
        <w:pStyle w:val="TextBody"/>
        <w:bidi w:val="0"/>
        <w:spacing w:lineRule="auto" w:line="288" w:before="240" w:after="283"/>
        <w:jc w:val="both"/>
        <w:rPr>
          <w:rFonts w:ascii="sans-serif" w:hAnsi="sans-serif"/>
          <w:b w:val="false"/>
          <w:i/>
          <w:color w:val="000000"/>
          <w:sz w:val="24"/>
        </w:rPr>
      </w:pPr>
      <w:r>
        <w:rPr>
          <w:rFonts w:ascii="sans-serif" w:hAnsi="sans-serif"/>
          <w:b w:val="false"/>
          <w:i/>
          <w:color w:val="000000"/>
          <w:sz w:val="24"/>
        </w:rPr>
        <w:t>Election to Receive Fully Vested Stock</w:t>
      </w:r>
    </w:p>
    <w:p>
      <w:pPr>
        <w:pStyle w:val="TextBody"/>
        <w:bidi w:val="0"/>
        <w:spacing w:lineRule="auto" w:line="288" w:before="240" w:after="283"/>
        <w:ind w:left="0" w:right="0" w:firstLine="720"/>
        <w:jc w:val="both"/>
        <w:rPr/>
      </w:pPr>
      <w:r>
        <w:rPr>
          <w:rFonts w:ascii="sans-serif" w:hAnsi="sans-serif"/>
          <w:b w:val="false"/>
          <w:color w:val="000000"/>
          <w:sz w:val="24"/>
        </w:rPr>
        <w:t>Subject to complying with the Retainer Award Election Mechanics below, each Outside Director may elect to convert all of his or her Annual Cash Retainer with respect to services performed in a future calendar year and otherwise scheduled to be paid following the completion of those services into an award of fully-vested Shares granted under the Plan (“</w:t>
      </w:r>
      <w:r>
        <w:rPr>
          <w:rFonts w:ascii="sans-serif" w:hAnsi="sans-serif"/>
          <w:b w:val="false"/>
          <w:color w:val="000000"/>
          <w:sz w:val="24"/>
          <w:u w:val="single"/>
        </w:rPr>
        <w:t>Retainer Award</w:t>
      </w:r>
      <w:r>
        <w:rPr>
          <w:color w:val="000000"/>
        </w:rPr>
        <w:t xml:space="preserve">” </w:t>
      </w:r>
      <w:r>
        <w:rPr>
          <w:rFonts w:ascii="sans-serif" w:hAnsi="sans-serif"/>
          <w:b w:val="false"/>
          <w:color w:val="000000"/>
          <w:sz w:val="24"/>
        </w:rPr>
        <w:t>and such election, a “</w:t>
      </w:r>
      <w:r>
        <w:rPr>
          <w:rFonts w:ascii="sans-serif" w:hAnsi="sans-serif"/>
          <w:b w:val="false"/>
          <w:color w:val="000000"/>
          <w:sz w:val="24"/>
          <w:u w:val="single"/>
        </w:rPr>
        <w:t>Retainer Award Election</w:t>
      </w:r>
      <w:r>
        <w:rPr>
          <w:color w:val="000000"/>
        </w:rPr>
        <w:t>”</w:t>
      </w:r>
      <w:r>
        <w:rPr>
          <w:rFonts w:ascii="sans-serif" w:hAnsi="sans-serif"/>
          <w:b w:val="false"/>
          <w:color w:val="000000"/>
          <w:sz w:val="24"/>
        </w:rPr>
        <w:t>). If an Outside Director elects to convert his or her Annual Cash Retainer into a Retainer Award, the Retainer Award will be issued automatically and quarterly (such portion of the Retainer Award, a “</w:t>
      </w:r>
      <w:r>
        <w:rPr>
          <w:rFonts w:ascii="sans-serif" w:hAnsi="sans-serif"/>
          <w:b w:val="false"/>
          <w:color w:val="000000"/>
          <w:sz w:val="24"/>
          <w:u w:val="single"/>
        </w:rPr>
        <w:t>Quarterly Retainer Award</w:t>
      </w:r>
      <w:r>
        <w:rPr>
          <w:color w:val="000000"/>
        </w:rPr>
        <w:t>”</w:t>
      </w:r>
      <w:r>
        <w:rPr>
          <w:rFonts w:ascii="sans-serif" w:hAnsi="sans-serif"/>
          <w:b w:val="false"/>
          <w:color w:val="000000"/>
          <w:sz w:val="24"/>
        </w:rPr>
        <w:t>) in arrears on a prorated basis on the first Trading Day following the end of such immediately preceding Fiscal Quarter. The number of Shares subject to a Quarterly Retainer Award will be determined by dividing the amount of the Annual Cash Retainer that would otherwise be payable with respect to such immediately preceding Fiscal Quarter by the Fair Market Value of a Share on the issuance date (as determined in accordance with the Plan), rounded to the nearest whole Share using standard rounding principles. The “</w:t>
      </w:r>
      <w:r>
        <w:rPr>
          <w:rFonts w:ascii="sans-serif" w:hAnsi="sans-serif"/>
          <w:b w:val="false"/>
          <w:color w:val="000000"/>
          <w:sz w:val="24"/>
          <w:u w:val="single"/>
        </w:rPr>
        <w:t>Retainer Award Election Mechanics</w:t>
      </w:r>
      <w:r>
        <w:rPr>
          <w:color w:val="000000"/>
        </w:rPr>
        <w:t xml:space="preserve">” </w:t>
      </w:r>
      <w:r>
        <w:rPr>
          <w:rFonts w:ascii="sans-serif" w:hAnsi="sans-serif"/>
          <w:b w:val="false"/>
          <w:color w:val="000000"/>
          <w:sz w:val="24"/>
        </w:rPr>
        <w:t>are set forth below.</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 xml:space="preserve">Each Retainer Award Election must be submitted to the Company’s General Counsel in the form and manner specified by the Board or Compensation Committee. An individual who fails to make a timely Retainer Award Election shall not receive a Retainer Award for the next calendar </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7800"/>
                <wp:effectExtent l="0" t="0" r="0" b="0"/>
                <wp:wrapNone/>
                <wp:docPr id="40" name="Frame3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txbxContent>
                </v:textbox>
                <w10:wrap type="none"/>
              </v:rect>
            </w:pict>
          </mc:Fallback>
        </mc:AlternateConten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year, and instead shall receive the applicable Annual Cash Retainer for such calendar year. Once a Retainer Award Election is validly submitted, it will remain in effect with respect to all subsequent Annual Cash Retainers related to future calendar years unless the applicable Outside Director revokes such election as provided herein.</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Retainer Award Elections must comply with the following timing requirements:</w:t>
      </w:r>
    </w:p>
    <w:p>
      <w:pPr>
        <w:pStyle w:val="TextBody"/>
        <w:bidi w:val="0"/>
        <w:spacing w:lineRule="auto" w:line="288" w:before="240" w:after="283"/>
        <w:ind w:left="0" w:right="0" w:firstLine="1440"/>
        <w:jc w:val="both"/>
        <w:rPr/>
      </w:pPr>
      <w:r>
        <w:rPr>
          <w:rFonts w:ascii="sans-serif" w:hAnsi="sans-serif"/>
          <w:b w:val="false"/>
          <w:color w:val="000000"/>
          <w:sz w:val="24"/>
        </w:rPr>
        <w:t>(a)    </w:t>
      </w:r>
      <w:r>
        <w:rPr>
          <w:rFonts w:ascii="sans-serif" w:hAnsi="sans-serif"/>
          <w:b w:val="false"/>
          <w:color w:val="000000"/>
          <w:sz w:val="24"/>
          <w:u w:val="single"/>
        </w:rPr>
        <w:t>Initial Election</w:t>
      </w:r>
      <w:r>
        <w:rPr>
          <w:rFonts w:ascii="sans-serif" w:hAnsi="sans-serif"/>
          <w:b w:val="false"/>
          <w:color w:val="000000"/>
          <w:sz w:val="24"/>
        </w:rPr>
        <w:t>. Each individual who first becomes an Outside Director following the Effective Date (the date such individual first becomes an Outside Director, the “</w:t>
      </w:r>
      <w:r>
        <w:rPr>
          <w:rFonts w:ascii="sans-serif" w:hAnsi="sans-serif"/>
          <w:b w:val="false"/>
          <w:color w:val="000000"/>
          <w:sz w:val="24"/>
          <w:u w:val="single"/>
        </w:rPr>
        <w:t>Initial Director Date</w:t>
      </w:r>
      <w:r>
        <w:rPr>
          <w:color w:val="000000"/>
        </w:rPr>
        <w:t>”</w:t>
      </w:r>
      <w:r>
        <w:rPr>
          <w:rFonts w:ascii="sans-serif" w:hAnsi="sans-serif"/>
          <w:b w:val="false"/>
          <w:color w:val="000000"/>
          <w:sz w:val="24"/>
        </w:rPr>
        <w:t>) may make a Retainer Award Election with respect to Annual Retainer Cash Payments payable to such Outside Director in the current calendar year (the “</w:t>
      </w:r>
      <w:r>
        <w:rPr>
          <w:rFonts w:ascii="sans-serif" w:hAnsi="sans-serif"/>
          <w:b w:val="false"/>
          <w:color w:val="000000"/>
          <w:sz w:val="24"/>
          <w:u w:val="single"/>
        </w:rPr>
        <w:t>Initial Election</w:t>
      </w:r>
      <w:r>
        <w:rPr>
          <w:color w:val="000000"/>
        </w:rPr>
        <w:t>”</w:t>
      </w:r>
      <w:r>
        <w:rPr>
          <w:rFonts w:ascii="sans-serif" w:hAnsi="sans-serif"/>
          <w:b w:val="false"/>
          <w:color w:val="000000"/>
          <w:sz w:val="24"/>
        </w:rPr>
        <w:t>). Except as provided in the last sentence, the Initial Election must be submitted to the Company’s Chief Legal Officer within the Company’s next open trading window following the Initial Director Date that occurs in the same calendar year (the last day of such trading window, the “</w:t>
      </w:r>
      <w:r>
        <w:rPr>
          <w:rFonts w:ascii="sans-serif" w:hAnsi="sans-serif"/>
          <w:b w:val="false"/>
          <w:color w:val="000000"/>
          <w:sz w:val="24"/>
          <w:u w:val="single"/>
        </w:rPr>
        <w:t>Initial Election Deadline</w:t>
      </w:r>
      <w:r>
        <w:rPr>
          <w:color w:val="000000"/>
        </w:rPr>
        <w:t>”</w:t>
      </w:r>
      <w:r>
        <w:rPr>
          <w:rFonts w:ascii="sans-serif" w:hAnsi="sans-serif"/>
          <w:b w:val="false"/>
          <w:color w:val="000000"/>
          <w:sz w:val="24"/>
        </w:rPr>
        <w:t>), and the Initial Election shall become irrevocable effective as of the Initial Election Deadline, provided that if no open trading window occurs in the same calendar year during which the Initial Director Date occurs, such Outside Director will not be eligible to make an Initial Election in such calendar year and instead must comply with the election requirements under clause (b) below. If an individual becomes an Outside Director effective on or after January 1 of any given year pursuant to an appointment by the Board made prior to December 31 of the prior year, such individual may make an Initial Election within the Fourth Quarter Trading Window prior to the Initial Director Date.</w:t>
      </w:r>
    </w:p>
    <w:p>
      <w:pPr>
        <w:pStyle w:val="TextBody"/>
        <w:bidi w:val="0"/>
        <w:spacing w:lineRule="auto" w:line="288" w:before="240" w:after="283"/>
        <w:ind w:left="0" w:right="0" w:firstLine="1440"/>
        <w:jc w:val="both"/>
        <w:rPr/>
      </w:pPr>
      <w:r>
        <w:rPr>
          <w:rFonts w:ascii="sans-serif" w:hAnsi="sans-serif"/>
          <w:b w:val="false"/>
          <w:color w:val="000000"/>
          <w:sz w:val="24"/>
        </w:rPr>
        <w:t>(b)    </w:t>
      </w:r>
      <w:r>
        <w:rPr>
          <w:rFonts w:ascii="sans-serif" w:hAnsi="sans-serif"/>
          <w:b w:val="false"/>
          <w:color w:val="000000"/>
          <w:sz w:val="24"/>
          <w:u w:val="single"/>
        </w:rPr>
        <w:t>Annual Election</w:t>
      </w:r>
      <w:r>
        <w:rPr>
          <w:rFonts w:ascii="sans-serif" w:hAnsi="sans-serif"/>
          <w:b w:val="false"/>
          <w:color w:val="000000"/>
          <w:sz w:val="24"/>
        </w:rPr>
        <w:t>. Each Outside Director may make a Retainer Award Election with respect to Annual Retainer Cash Payments payable to such Outside Director in the following calendar year (the “</w:t>
      </w:r>
      <w:r>
        <w:rPr>
          <w:rFonts w:ascii="sans-serif" w:hAnsi="sans-serif"/>
          <w:b w:val="false"/>
          <w:color w:val="000000"/>
          <w:sz w:val="24"/>
          <w:u w:val="single"/>
        </w:rPr>
        <w:t>Annual Election</w:t>
      </w:r>
      <w:r>
        <w:rPr>
          <w:color w:val="000000"/>
        </w:rPr>
        <w:t>”</w:t>
      </w:r>
      <w:r>
        <w:rPr>
          <w:rFonts w:ascii="sans-serif" w:hAnsi="sans-serif"/>
          <w:b w:val="false"/>
          <w:color w:val="000000"/>
          <w:sz w:val="24"/>
        </w:rPr>
        <w:t>). The Annual Election must be submitted to the Company’s Chief Legal Officer within Fourth Quarter Trading Window of the calendar year preceding the calendar year to which the Annual Retainer Cash Payments relate (the last day of such trading window, the “</w:t>
      </w:r>
      <w:r>
        <w:rPr>
          <w:rFonts w:ascii="sans-serif" w:hAnsi="sans-serif"/>
          <w:b w:val="false"/>
          <w:color w:val="000000"/>
          <w:sz w:val="24"/>
          <w:u w:val="single"/>
        </w:rPr>
        <w:t>Annual Election Deadline</w:t>
      </w:r>
      <w:r>
        <w:rPr>
          <w:color w:val="000000"/>
        </w:rPr>
        <w:t>”</w:t>
      </w:r>
      <w:r>
        <w:rPr>
          <w:rFonts w:ascii="sans-serif" w:hAnsi="sans-serif"/>
          <w:b w:val="false"/>
          <w:color w:val="000000"/>
          <w:sz w:val="24"/>
        </w:rPr>
        <w:t>), and, except as provided in subsection (d) below, the Annual Election shall become irrevocable effective as of the Annual Election Deadline, provided that if such calendar year does not contain a Fourth Quarter Trading Window, Outside Directors will not be eligible to make an Annual Election in such calendar year.</w:t>
      </w:r>
    </w:p>
    <w:p>
      <w:pPr>
        <w:pStyle w:val="TextBody"/>
        <w:bidi w:val="0"/>
        <w:spacing w:lineRule="auto" w:line="288" w:before="240" w:after="283"/>
        <w:ind w:left="0" w:right="0" w:firstLine="1440"/>
        <w:jc w:val="both"/>
        <w:rPr/>
      </w:pPr>
      <w:r>
        <w:rPr>
          <w:rFonts w:ascii="sans-serif" w:hAnsi="sans-serif"/>
          <w:b w:val="false"/>
          <w:color w:val="000000"/>
          <w:sz w:val="24"/>
        </w:rPr>
        <w:t>(c)    </w:t>
      </w:r>
      <w:r>
        <w:rPr>
          <w:rFonts w:ascii="sans-serif" w:hAnsi="sans-serif"/>
          <w:b w:val="false"/>
          <w:color w:val="000000"/>
          <w:sz w:val="24"/>
          <w:u w:val="single"/>
        </w:rPr>
        <w:t>Revocation</w:t>
      </w:r>
      <w:r>
        <w:rPr>
          <w:rFonts w:ascii="sans-serif" w:hAnsi="sans-serif"/>
          <w:b w:val="false"/>
          <w:color w:val="000000"/>
          <w:sz w:val="24"/>
        </w:rPr>
        <w:t>. An Outside Director may revoke his or her Retainer Award Election during a Fourth Quarter Trading Window with respect to Annual Retainer Cash Payments related to future calendar years. If a calendar year does not contain a Fourth Quarter Trading Window, Outside Directors will not be eligible to revoke a Retainer Award Election in such calendar year.</w:t>
      </w:r>
    </w:p>
    <w:p>
      <w:pPr>
        <w:pStyle w:val="TextBody"/>
        <w:bidi w:val="0"/>
        <w:spacing w:lineRule="auto" w:line="288" w:before="240" w:after="283"/>
        <w:ind w:left="0" w:right="0" w:firstLine="720"/>
        <w:jc w:val="both"/>
        <w:rPr/>
      </w:pPr>
      <w:r>
        <w:rPr>
          <w:rFonts w:ascii="sans-serif" w:hAnsi="sans-serif"/>
          <w:b w:val="false"/>
          <w:color w:val="000000"/>
          <w:sz w:val="24"/>
        </w:rPr>
        <w:t>2.</w:t>
      </w:r>
      <w:r>
        <w:rPr>
          <w:rFonts w:ascii="sans-serif" w:hAnsi="sans-serif"/>
          <w:b w:val="false"/>
          <w:color w:val="000000"/>
          <w:sz w:val="24"/>
          <w:u w:val="single"/>
        </w:rPr>
        <w:t>Equity Compensation</w:t>
      </w:r>
      <w:r>
        <w:rPr>
          <w:rFonts w:ascii="sans-serif" w:hAnsi="sans-serif"/>
          <w:b w:val="false"/>
          <w:color w:val="000000"/>
          <w:sz w:val="24"/>
        </w:rPr>
        <w:t>.</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7800"/>
                <wp:effectExtent l="0" t="0" r="0" b="0"/>
                <wp:wrapNone/>
                <wp:docPr id="41" name="Frame4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txbxContent>
                </v:textbox>
                <w10:wrap type="none"/>
              </v:rect>
            </w:pict>
          </mc:Fallback>
        </mc:AlternateContent>
      </w:r>
    </w:p>
    <w:p>
      <w:pPr>
        <w:pStyle w:val="TextBody"/>
        <w:bidi w:val="0"/>
        <w:spacing w:lineRule="auto" w:line="288" w:before="240" w:after="283"/>
        <w:ind w:left="0" w:right="0" w:firstLine="1440"/>
        <w:jc w:val="both"/>
        <w:rPr/>
      </w:pPr>
      <w:r>
        <w:rPr>
          <w:rFonts w:ascii="sans-serif" w:hAnsi="sans-serif"/>
          <w:b w:val="false"/>
          <w:color w:val="000000"/>
          <w:sz w:val="24"/>
        </w:rPr>
        <w:t>(a)    </w:t>
      </w:r>
      <w:r>
        <w:rPr>
          <w:rFonts w:ascii="sans-serif" w:hAnsi="sans-serif"/>
          <w:b w:val="false"/>
          <w:color w:val="000000"/>
          <w:sz w:val="24"/>
          <w:u w:val="single"/>
        </w:rPr>
        <w:t>No Discretion</w:t>
      </w:r>
      <w:r>
        <w:rPr>
          <w:rFonts w:ascii="sans-serif" w:hAnsi="sans-serif"/>
          <w:b w:val="false"/>
          <w:color w:val="000000"/>
          <w:sz w:val="24"/>
        </w:rPr>
        <w:t>. No person will have any discretion to select which Outside Directors will be granted any Awards under this Policy or to determine the number of Shares to be covered by such Awards.</w:t>
      </w:r>
    </w:p>
    <w:p>
      <w:pPr>
        <w:pStyle w:val="TextBody"/>
        <w:bidi w:val="0"/>
        <w:spacing w:lineRule="auto" w:line="288" w:before="240" w:after="283"/>
        <w:ind w:left="0" w:right="0" w:firstLine="1440"/>
        <w:jc w:val="both"/>
        <w:rPr/>
      </w:pPr>
      <w:r>
        <w:rPr>
          <w:rFonts w:ascii="sans-serif" w:hAnsi="sans-serif"/>
          <w:b w:val="false"/>
          <w:color w:val="000000"/>
          <w:sz w:val="24"/>
        </w:rPr>
        <w:t>(b)    </w:t>
      </w:r>
      <w:r>
        <w:rPr>
          <w:rFonts w:ascii="sans-serif" w:hAnsi="sans-serif"/>
          <w:b w:val="false"/>
          <w:color w:val="000000"/>
          <w:sz w:val="24"/>
          <w:u w:val="single"/>
        </w:rPr>
        <w:t>Initial Award</w:t>
      </w:r>
      <w:r>
        <w:rPr>
          <w:rFonts w:ascii="sans-serif" w:hAnsi="sans-serif"/>
          <w:b w:val="false"/>
          <w:color w:val="000000"/>
          <w:sz w:val="24"/>
        </w:rPr>
        <w:t>. Each individual who first becomes an Outside Director following the Effective Date will be granted an award of restricted stock units covering a number of Shares, with such award having a Grant Value equal to $600,000, rounded to the nearest whole Share (the “</w:t>
      </w:r>
      <w:r>
        <w:rPr>
          <w:rFonts w:ascii="sans-serif" w:hAnsi="sans-serif"/>
          <w:b w:val="false"/>
          <w:color w:val="000000"/>
          <w:sz w:val="24"/>
          <w:u w:val="single"/>
        </w:rPr>
        <w:t>Initial Award</w:t>
      </w:r>
      <w:r>
        <w:rPr>
          <w:color w:val="000000"/>
        </w:rPr>
        <w:t>”</w:t>
      </w:r>
      <w:r>
        <w:rPr>
          <w:rFonts w:ascii="sans-serif" w:hAnsi="sans-serif"/>
          <w:b w:val="false"/>
          <w:color w:val="000000"/>
          <w:sz w:val="24"/>
        </w:rPr>
        <w:t xml:space="preserve">). </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 xml:space="preserve">Each individual’s Initial Award will be granted on the first trading date on or after the Initial Director Date, whether through election by the stockholders of the Company or appointment by the Board to fill a vacancy. If an individual was a member of the Board and also an employee, becoming an Outside Director due to termination of employment will not entitle the Outside Director to any Initial Awards. </w:t>
      </w:r>
    </w:p>
    <w:p>
      <w:pPr>
        <w:pStyle w:val="TextBody"/>
        <w:bidi w:val="0"/>
        <w:spacing w:lineRule="auto" w:line="288" w:before="240" w:after="283"/>
        <w:ind w:left="0" w:right="0" w:firstLine="720"/>
        <w:jc w:val="both"/>
        <w:rPr/>
      </w:pPr>
      <w:r>
        <w:rPr>
          <w:rFonts w:ascii="sans-serif" w:hAnsi="sans-serif"/>
          <w:b w:val="false"/>
          <w:color w:val="000000"/>
          <w:sz w:val="24"/>
        </w:rPr>
        <w:t>Subject to Section 3 of this Policy, each Initial Award will vest as to 1/3</w:t>
      </w:r>
      <w:r>
        <w:rPr>
          <w:rFonts w:ascii="sans-serif" w:hAnsi="sans-serif"/>
          <w:b w:val="false"/>
          <w:color w:val="000000"/>
          <w:sz w:val="16"/>
        </w:rPr>
        <w:t>rd</w:t>
      </w:r>
      <w:r>
        <w:rPr>
          <w:color w:val="000000"/>
        </w:rPr>
        <w:t xml:space="preserve"> </w:t>
      </w:r>
      <w:r>
        <w:rPr>
          <w:rFonts w:ascii="sans-serif" w:hAnsi="sans-serif"/>
          <w:b w:val="false"/>
          <w:color w:val="000000"/>
          <w:sz w:val="24"/>
        </w:rPr>
        <w:t xml:space="preserve">of the Shares subject to the Initial Award on the first three anniversaries of the Initial Director Date, subject to the Outside Director continuing to be a Service Provider through the applicable vesting date. </w:t>
      </w:r>
    </w:p>
    <w:p>
      <w:pPr>
        <w:pStyle w:val="TextBody"/>
        <w:bidi w:val="0"/>
        <w:spacing w:lineRule="auto" w:line="288" w:before="240" w:after="283"/>
        <w:ind w:left="0" w:right="0" w:firstLine="1440"/>
        <w:jc w:val="both"/>
        <w:rPr/>
      </w:pPr>
      <w:r>
        <w:rPr>
          <w:rFonts w:ascii="sans-serif" w:hAnsi="sans-serif"/>
          <w:b w:val="false"/>
          <w:color w:val="000000"/>
          <w:sz w:val="24"/>
        </w:rPr>
        <w:t>(c)    </w:t>
      </w:r>
      <w:r>
        <w:rPr>
          <w:rFonts w:ascii="sans-serif" w:hAnsi="sans-serif"/>
          <w:b w:val="false"/>
          <w:color w:val="000000"/>
          <w:sz w:val="24"/>
          <w:u w:val="single"/>
        </w:rPr>
        <w:t>Annual Award</w:t>
      </w:r>
      <w:r>
        <w:rPr>
          <w:rFonts w:ascii="sans-serif" w:hAnsi="sans-serif"/>
          <w:b w:val="false"/>
          <w:color w:val="000000"/>
          <w:sz w:val="24"/>
        </w:rPr>
        <w:t>. Subject to the following paragraph, on the date of each annual meeting of the Company’s stockholders following the Effective Date (each, an “</w:t>
      </w:r>
      <w:r>
        <w:rPr>
          <w:rFonts w:ascii="sans-serif" w:hAnsi="sans-serif"/>
          <w:b w:val="false"/>
          <w:color w:val="000000"/>
          <w:sz w:val="24"/>
          <w:u w:val="single"/>
        </w:rPr>
        <w:t>Annual Meeting</w:t>
      </w:r>
      <w:r>
        <w:rPr>
          <w:color w:val="000000"/>
        </w:rPr>
        <w:t>”</w:t>
      </w:r>
      <w:r>
        <w:rPr>
          <w:rFonts w:ascii="sans-serif" w:hAnsi="sans-serif"/>
          <w:b w:val="false"/>
          <w:color w:val="000000"/>
          <w:sz w:val="24"/>
        </w:rPr>
        <w:t>), each Outside Director will be automatically granted an award of restricted stock units covering a number of Shares, with such award having a Grant Value of $275,000, rounded to the nearest whole Share (the “</w:t>
      </w:r>
      <w:r>
        <w:rPr>
          <w:rFonts w:ascii="sans-serif" w:hAnsi="sans-serif"/>
          <w:b w:val="false"/>
          <w:color w:val="000000"/>
          <w:sz w:val="24"/>
          <w:u w:val="single"/>
        </w:rPr>
        <w:t>Annual Award</w:t>
      </w:r>
      <w:r>
        <w:rPr>
          <w:color w:val="000000"/>
        </w:rPr>
        <w:t>”</w:t>
      </w:r>
      <w:r>
        <w:rPr>
          <w:rFonts w:ascii="sans-serif" w:hAnsi="sans-serif"/>
          <w:b w:val="false"/>
          <w:color w:val="000000"/>
          <w:sz w:val="24"/>
        </w:rPr>
        <w:t>).</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Notwithstanding the foregoing, (i) if an Outside Director’s Initial Award was granted more than 3 months before an Annual Meeting but within 6 months of such Annual Meeting, the Grant Value of each Annual Award granted to the Outside Director on the date of such Annual Meeting will be reduced by 50%, and (ii) if an Outside Director’s Initial Award was granted within 3 months before an Annual Meeting, the Outside Director will not receive any Annual Awards on the date of such Annual Meeting.</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 xml:space="preserve">Subject to Section 3 of this Policy, each Annual Award will vest on the earlier of (i) the first anniversary of the date the Annual Award is granted or (ii) the day prior to the date of the Annual Meeting next following the date the Annual Award was granted, in each case, subject to the Outside Director continuing to be a Service Provider through the applicable vesting date. </w:t>
      </w:r>
    </w:p>
    <w:p>
      <w:pPr>
        <w:pStyle w:val="TextBody"/>
        <w:bidi w:val="0"/>
        <w:spacing w:lineRule="auto" w:line="288" w:before="240" w:after="283"/>
        <w:ind w:left="0" w:right="0" w:firstLine="1440"/>
        <w:jc w:val="both"/>
        <w:rPr/>
      </w:pPr>
      <w:r>
        <w:rPr>
          <w:rFonts w:ascii="sans-serif" w:hAnsi="sans-serif"/>
          <w:b w:val="false"/>
          <w:color w:val="000000"/>
          <w:sz w:val="24"/>
        </w:rPr>
        <w:t>(d)    </w:t>
      </w:r>
      <w:r>
        <w:rPr>
          <w:rFonts w:ascii="sans-serif" w:hAnsi="sans-serif"/>
          <w:b w:val="false"/>
          <w:color w:val="000000"/>
          <w:sz w:val="24"/>
          <w:u w:val="single"/>
        </w:rPr>
        <w:t>Additional Terms of Initial Awards and Annual Awards</w:t>
      </w:r>
      <w:r>
        <w:rPr>
          <w:rFonts w:ascii="sans-serif" w:hAnsi="sans-serif"/>
          <w:b w:val="false"/>
          <w:color w:val="000000"/>
          <w:sz w:val="24"/>
        </w:rPr>
        <w:t>. The terms and conditions of each Initial Award and Annual Award will be as follows.</w:t>
      </w:r>
    </w:p>
    <w:p>
      <w:pPr>
        <w:pStyle w:val="TextBody"/>
        <w:bidi w:val="0"/>
        <w:spacing w:lineRule="auto" w:line="288" w:before="240" w:after="283"/>
        <w:ind w:left="0" w:right="0" w:firstLine="2160"/>
        <w:jc w:val="both"/>
        <w:rPr>
          <w:rFonts w:ascii="sans-serif" w:hAnsi="sans-serif"/>
          <w:b w:val="false"/>
          <w:color w:val="000000"/>
          <w:sz w:val="24"/>
        </w:rPr>
      </w:pPr>
      <w:r>
        <w:rPr>
          <w:rFonts w:ascii="sans-serif" w:hAnsi="sans-serif"/>
          <w:b w:val="false"/>
          <w:color w:val="000000"/>
          <w:sz w:val="24"/>
        </w:rPr>
        <w:t>(i)    Each Initial Award and Annual Award will be granted under and subject to the terms and conditions of the Plan and the applicable form of Award Agreement previously approved by the Board or its Committee, as applicable, for use thereunder; and</w:t>
      </w:r>
    </w:p>
    <w:p>
      <w:pPr>
        <w:pStyle w:val="TextBody"/>
        <w:bidi w:val="0"/>
        <w:spacing w:lineRule="auto" w:line="288" w:before="240" w:after="283"/>
        <w:ind w:left="0" w:right="0" w:firstLine="2160"/>
        <w:jc w:val="both"/>
        <w:rPr>
          <w:rFonts w:ascii="sans-serif" w:hAnsi="sans-serif"/>
          <w:b w:val="false"/>
          <w:color w:val="000000"/>
          <w:sz w:val="24"/>
        </w:rPr>
      </w:pPr>
      <w:r>
        <w:rPr>
          <w:rFonts w:ascii="sans-serif" w:hAnsi="sans-serif"/>
          <w:b w:val="false"/>
          <w:color w:val="000000"/>
          <w:sz w:val="24"/>
        </w:rPr>
        <w:t xml:space="preserve">(ii)    The number of Shares subject to each Initial Award and Annual Award will be determined by dividing the amount of the Grant Value by the Fair Market Value of a Share </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7800"/>
                <wp:effectExtent l="0" t="0" r="0" b="0"/>
                <wp:wrapNone/>
                <wp:docPr id="42" name="Frame4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txbxContent>
                </v:textbox>
                <w10:wrap type="none"/>
              </v:rect>
            </w:pict>
          </mc:Fallback>
        </mc:AlternateConten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on the grant date (as determined in accordance with the Plan), rounded to the nearest whole Share using standard rounding principles.</w:t>
      </w:r>
    </w:p>
    <w:p>
      <w:pPr>
        <w:pStyle w:val="TextBody"/>
        <w:bidi w:val="0"/>
        <w:spacing w:lineRule="auto" w:line="288" w:before="240" w:after="283"/>
        <w:ind w:left="0" w:right="0" w:firstLine="720"/>
        <w:jc w:val="both"/>
        <w:rPr/>
      </w:pPr>
      <w:r>
        <w:rPr>
          <w:rFonts w:ascii="sans-serif" w:hAnsi="sans-serif"/>
          <w:b w:val="false"/>
          <w:color w:val="000000"/>
          <w:sz w:val="24"/>
        </w:rPr>
        <w:t>3.</w:t>
      </w:r>
      <w:r>
        <w:rPr>
          <w:rFonts w:ascii="sans-serif" w:hAnsi="sans-serif"/>
          <w:b w:val="false"/>
          <w:color w:val="000000"/>
          <w:sz w:val="24"/>
          <w:u w:val="single"/>
        </w:rPr>
        <w:t>Change in Control</w:t>
      </w:r>
      <w:r>
        <w:rPr>
          <w:rFonts w:ascii="sans-serif" w:hAnsi="sans-serif"/>
          <w:b w:val="false"/>
          <w:color w:val="000000"/>
          <w:sz w:val="24"/>
        </w:rPr>
        <w:t>.</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Immediately prior to a Change in Control, each Outside Director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the Outside Director and the Company or any of its Subsidiaries or Parents, as applicable.</w:t>
      </w:r>
    </w:p>
    <w:p>
      <w:pPr>
        <w:pStyle w:val="TextBody"/>
        <w:bidi w:val="0"/>
        <w:spacing w:lineRule="auto" w:line="288" w:before="240" w:after="283"/>
        <w:ind w:left="0" w:right="0" w:firstLine="720"/>
        <w:jc w:val="both"/>
        <w:rPr/>
      </w:pPr>
      <w:r>
        <w:rPr>
          <w:rFonts w:ascii="sans-serif" w:hAnsi="sans-serif"/>
          <w:b w:val="false"/>
          <w:color w:val="000000"/>
          <w:sz w:val="24"/>
        </w:rPr>
        <w:t>4.</w:t>
      </w:r>
      <w:r>
        <w:rPr>
          <w:rFonts w:ascii="sans-serif" w:hAnsi="sans-serif"/>
          <w:b w:val="false"/>
          <w:color w:val="000000"/>
          <w:sz w:val="24"/>
          <w:u w:val="single"/>
        </w:rPr>
        <w:t>Annual Compensation Limit</w:t>
      </w:r>
      <w:r>
        <w:rPr>
          <w:rFonts w:ascii="sans-serif" w:hAnsi="sans-serif"/>
          <w:b w:val="false"/>
          <w:color w:val="000000"/>
          <w:sz w:val="24"/>
        </w:rPr>
        <w:t>.</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No Outside Director may be paid, issued or granted, in any Fiscal Year, cash compensation and equity compensation (including any Awards) following the Effective Date with an aggregate value greater than $850,000 for an Outside Director’s first year of service or $600,000 in any subsequent year. The value of each equity compensation award will be based on its Grant Value for purposes of the limitation under this Section 4). Any cash compensation paid or equity compensation award (including any Awards) granted to an individual for his or her services as an Employee, or for his or her services as a Consultant (other than as an Outside Director), will not count for purposes of the limitation under this Section 4.</w:t>
      </w:r>
    </w:p>
    <w:p>
      <w:pPr>
        <w:pStyle w:val="TextBody"/>
        <w:bidi w:val="0"/>
        <w:spacing w:lineRule="auto" w:line="288" w:before="240" w:after="283"/>
        <w:ind w:left="0" w:right="0" w:firstLine="720"/>
        <w:jc w:val="both"/>
        <w:rPr/>
      </w:pPr>
      <w:r>
        <w:rPr>
          <w:rFonts w:ascii="sans-serif" w:hAnsi="sans-serif"/>
          <w:b w:val="false"/>
          <w:color w:val="000000"/>
          <w:sz w:val="24"/>
        </w:rPr>
        <w:t>5.</w:t>
      </w:r>
      <w:r>
        <w:rPr>
          <w:rFonts w:ascii="sans-serif" w:hAnsi="sans-serif"/>
          <w:b w:val="false"/>
          <w:color w:val="000000"/>
          <w:sz w:val="24"/>
          <w:u w:val="single"/>
        </w:rPr>
        <w:t>Travel Expenses</w:t>
      </w:r>
      <w:r>
        <w:rPr>
          <w:rFonts w:ascii="sans-serif" w:hAnsi="sans-serif"/>
          <w:b w:val="false"/>
          <w:color w:val="000000"/>
          <w:sz w:val="24"/>
        </w:rPr>
        <w:t>.</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Each Outside Director’s reasonable, customary and documented travel expenses to Board or Board committee meetings or related to his or her Board service will be reimbursed by the Company.</w:t>
      </w:r>
    </w:p>
    <w:p>
      <w:pPr>
        <w:pStyle w:val="TextBody"/>
        <w:bidi w:val="0"/>
        <w:spacing w:lineRule="auto" w:line="288" w:before="240" w:after="283"/>
        <w:ind w:left="0" w:right="0" w:firstLine="720"/>
        <w:jc w:val="both"/>
        <w:rPr/>
      </w:pPr>
      <w:r>
        <w:rPr>
          <w:rFonts w:ascii="sans-serif" w:hAnsi="sans-serif"/>
          <w:b w:val="false"/>
          <w:color w:val="000000"/>
          <w:sz w:val="24"/>
        </w:rPr>
        <w:t>6.</w:t>
      </w:r>
      <w:r>
        <w:rPr>
          <w:rFonts w:ascii="sans-serif" w:hAnsi="sans-serif"/>
          <w:b w:val="false"/>
          <w:color w:val="000000"/>
          <w:sz w:val="24"/>
          <w:u w:val="single"/>
        </w:rPr>
        <w:t>Additional Provisions</w:t>
      </w:r>
      <w:r>
        <w:rPr>
          <w:rFonts w:ascii="sans-serif" w:hAnsi="sans-serif"/>
          <w:b w:val="false"/>
          <w:color w:val="000000"/>
          <w:sz w:val="24"/>
        </w:rPr>
        <w:t>.</w:t>
      </w:r>
    </w:p>
    <w:p>
      <w:pPr>
        <w:pStyle w:val="TextBody"/>
        <w:bidi w:val="0"/>
        <w:spacing w:lineRule="auto" w:line="288" w:before="240" w:after="283"/>
        <w:jc w:val="both"/>
        <w:rPr>
          <w:color w:val="000000"/>
        </w:rPr>
      </w:pPr>
      <w:r>
        <w:rPr>
          <w:color w:val="000000"/>
        </w:rPr>
        <w:t>    </w:t>
      </w:r>
      <w:r>
        <w:rPr>
          <w:rFonts w:ascii="sans-serif" w:hAnsi="sans-serif"/>
          <w:b w:val="false"/>
          <w:color w:val="000000"/>
          <w:sz w:val="24"/>
        </w:rPr>
        <w:t>All provisions of the Plan not inconsistent with this Policy will apply to Awards granted to Outside Directors.</w:t>
      </w:r>
    </w:p>
    <w:p>
      <w:pPr>
        <w:pStyle w:val="TextBody"/>
        <w:bidi w:val="0"/>
        <w:spacing w:lineRule="auto" w:line="288" w:before="240" w:after="283"/>
        <w:ind w:left="0" w:right="0" w:firstLine="720"/>
        <w:jc w:val="both"/>
        <w:rPr/>
      </w:pPr>
      <w:r>
        <w:rPr>
          <w:rFonts w:ascii="sans-serif" w:hAnsi="sans-serif"/>
          <w:b w:val="false"/>
          <w:color w:val="000000"/>
          <w:sz w:val="24"/>
        </w:rPr>
        <w:t>7.</w:t>
      </w:r>
      <w:r>
        <w:rPr>
          <w:rFonts w:ascii="sans-serif" w:hAnsi="sans-serif"/>
          <w:b w:val="false"/>
          <w:color w:val="000000"/>
          <w:sz w:val="24"/>
          <w:u w:val="single"/>
        </w:rPr>
        <w:t>Section 409A</w:t>
      </w:r>
      <w:r>
        <w:rPr>
          <w:rFonts w:ascii="sans-serif" w:hAnsi="sans-serif"/>
          <w:b w:val="false"/>
          <w:color w:val="000000"/>
          <w:sz w:val="24"/>
        </w:rPr>
        <w:t>.</w:t>
      </w:r>
    </w:p>
    <w:p>
      <w:pPr>
        <w:pStyle w:val="TextBody"/>
        <w:bidi w:val="0"/>
        <w:spacing w:lineRule="auto" w:line="288" w:before="240" w:after="283"/>
        <w:jc w:val="both"/>
        <w:rPr/>
      </w:pPr>
      <w:r>
        <w:rPr>
          <w:color w:val="000000"/>
        </w:rPr>
        <w:t>    </w:t>
      </w:r>
      <w:r>
        <w:rPr>
          <w:rFonts w:ascii="sans-serif" w:hAnsi="sans-serif"/>
          <w:b w:val="false"/>
          <w:color w:val="000000"/>
          <w:sz w:val="24"/>
        </w:rPr>
        <w:t>In no event will cash compensation or expense reimbursement payments under this Policy be paid after the later of (i) 15</w:t>
      </w:r>
      <w:r>
        <w:rPr>
          <w:rFonts w:ascii="sans-serif" w:hAnsi="sans-serif"/>
          <w:b w:val="false"/>
          <w:color w:val="000000"/>
          <w:sz w:val="16"/>
        </w:rPr>
        <w:t>th</w:t>
      </w:r>
      <w:r>
        <w:rPr>
          <w:color w:val="000000"/>
        </w:rPr>
        <w:t xml:space="preserve"> </w:t>
      </w:r>
      <w:r>
        <w:rPr>
          <w:rFonts w:ascii="sans-serif" w:hAnsi="sans-serif"/>
          <w:b w:val="false"/>
          <w:color w:val="000000"/>
          <w:sz w:val="24"/>
        </w:rPr>
        <w:t>day of the 3rd month following the end of the Fiscal Year in which the compensation is earned or expenses are incurred, as applicable, or (ii) 15</w:t>
      </w:r>
      <w:r>
        <w:rPr>
          <w:rFonts w:ascii="sans-serif" w:hAnsi="sans-serif"/>
          <w:b w:val="false"/>
          <w:color w:val="000000"/>
          <w:sz w:val="16"/>
        </w:rPr>
        <w:t>th</w:t>
      </w:r>
      <w:r>
        <w:rPr>
          <w:color w:val="000000"/>
        </w:rPr>
        <w:t xml:space="preserve"> </w:t>
      </w:r>
      <w:r>
        <w:rPr>
          <w:rFonts w:ascii="sans-serif" w:hAnsi="sans-serif"/>
          <w:b w:val="false"/>
          <w:color w:val="000000"/>
          <w:sz w:val="24"/>
        </w:rPr>
        <w:t>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sans-serif" w:hAnsi="sans-serif"/>
          <w:b w:val="false"/>
          <w:color w:val="000000"/>
          <w:sz w:val="24"/>
          <w:u w:val="single"/>
        </w:rPr>
        <w:t>Section 409A</w:t>
      </w:r>
      <w:r>
        <w:rPr>
          <w:color w:val="000000"/>
        </w:rPr>
        <w:t>”</w:t>
      </w:r>
      <w:r>
        <w:rPr>
          <w:rFonts w:ascii="sans-serif" w:hAnsi="sans-serif"/>
          <w:b w:val="false"/>
          <w:color w:val="000000"/>
          <w:sz w:val="24"/>
        </w:rPr>
        <w:t xml:space="preserve">). It is the intent of this Policy that this Policy and all payments hereunder be exempt from or otherwise comply with </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7800"/>
                <wp:effectExtent l="0" t="0" r="0" b="0"/>
                <wp:wrapNone/>
                <wp:docPr id="43" name="Frame4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txbxContent>
                </v:textbox>
                <w10:wrap type="none"/>
              </v:rect>
            </w:pict>
          </mc:Fallback>
        </mc:AlternateConten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liability or obligation to reimburse, indemnify, or hold harmless an Outside Director (or any other person) for any taxes or costs that may be imposed on or incurred by an Outside Director (or any other person) as a result of Section 409A.</w:t>
      </w:r>
    </w:p>
    <w:p>
      <w:pPr>
        <w:pStyle w:val="TextBody"/>
        <w:bidi w:val="0"/>
        <w:spacing w:lineRule="auto" w:line="288" w:before="240" w:after="283"/>
        <w:ind w:left="0" w:right="0" w:firstLine="720"/>
        <w:jc w:val="both"/>
        <w:rPr/>
      </w:pPr>
      <w:r>
        <w:rPr>
          <w:rFonts w:ascii="sans-serif" w:hAnsi="sans-serif"/>
          <w:b w:val="false"/>
          <w:color w:val="000000"/>
          <w:sz w:val="24"/>
        </w:rPr>
        <w:t>8.</w:t>
      </w:r>
      <w:r>
        <w:rPr>
          <w:rFonts w:ascii="sans-serif" w:hAnsi="sans-serif"/>
          <w:b w:val="false"/>
          <w:color w:val="000000"/>
          <w:sz w:val="24"/>
          <w:u w:val="single"/>
        </w:rPr>
        <w:t>Stockholder Approval</w:t>
      </w:r>
      <w:r>
        <w:rPr>
          <w:rFonts w:ascii="sans-serif" w:hAnsi="sans-serif"/>
          <w:b w:val="false"/>
          <w:color w:val="000000"/>
          <w:sz w:val="24"/>
        </w:rPr>
        <w:t>.</w:t>
      </w:r>
    </w:p>
    <w:p>
      <w:pPr>
        <w:pStyle w:val="TextBody"/>
        <w:bidi w:val="0"/>
        <w:spacing w:lineRule="auto" w:line="288" w:before="240" w:after="283"/>
        <w:ind w:left="0" w:right="0" w:firstLine="720"/>
        <w:jc w:val="both"/>
        <w:rPr>
          <w:rFonts w:ascii="sans-serif" w:hAnsi="sans-serif"/>
          <w:b w:val="false"/>
          <w:color w:val="000000"/>
          <w:sz w:val="24"/>
        </w:rPr>
      </w:pPr>
      <w:r>
        <w:rPr>
          <w:rFonts w:ascii="sans-serif" w:hAnsi="sans-serif"/>
          <w:b w:val="false"/>
          <w:color w:val="000000"/>
          <w:sz w:val="24"/>
        </w:rPr>
        <w:t>Unless otherwise required by applicable law, this Policy will not be subject to approval by the Company’s stockholders, including, for the avoidance of doubt, as a result of or in connection with an action taken with respect to this Policy as contemplated in Section 9 hereof.</w:t>
      </w:r>
    </w:p>
    <w:p>
      <w:pPr>
        <w:pStyle w:val="TextBody"/>
        <w:bidi w:val="0"/>
        <w:spacing w:lineRule="auto" w:line="288" w:before="240" w:after="283"/>
        <w:ind w:left="0" w:right="0" w:firstLine="720"/>
        <w:jc w:val="both"/>
        <w:rPr/>
      </w:pPr>
      <w:r>
        <w:rPr>
          <w:rFonts w:ascii="sans-serif" w:hAnsi="sans-serif"/>
          <w:b w:val="false"/>
          <w:color w:val="000000"/>
          <w:sz w:val="24"/>
        </w:rPr>
        <w:t>9.</w:t>
      </w:r>
      <w:r>
        <w:rPr>
          <w:rFonts w:ascii="sans-serif" w:hAnsi="sans-serif"/>
          <w:b w:val="false"/>
          <w:color w:val="000000"/>
          <w:sz w:val="24"/>
          <w:u w:val="single"/>
        </w:rPr>
        <w:t>Revisions</w:t>
      </w:r>
      <w:r>
        <w:rPr>
          <w:rFonts w:ascii="sans-serif" w:hAnsi="sans-serif"/>
          <w:b w:val="false"/>
          <w:color w:val="000000"/>
          <w:sz w:val="24"/>
        </w:rPr>
        <w:t>.</w:t>
      </w:r>
    </w:p>
    <w:p>
      <w:pPr>
        <w:pStyle w:val="TextBody"/>
        <w:bidi w:val="0"/>
        <w:spacing w:lineRule="auto" w:line="288" w:before="240" w:after="283"/>
        <w:jc w:val="both"/>
        <w:rPr/>
      </w:pPr>
      <w:r>
        <w:rPr>
          <w:color w:val="000000"/>
        </w:rPr>
        <w:t>    </w:t>
      </w:r>
      <w:r>
        <w:rPr>
          <w:rFonts w:ascii="sans-serif" w:hAnsi="sans-serif"/>
          <w:b w:val="false"/>
          <w:color w:val="000000"/>
          <w:sz w:val="24"/>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color w:val="000000"/>
        </w:rPr>
        <w:t>    </w:t>
      </w:r>
      <w:r>
        <w:rPr>
          <w:rFonts w:ascii="Arial;sans-serif" w:hAnsi="Arial;sans-serif"/>
          <w:b/>
          <w:color w:val="000000"/>
          <w:sz w:val="16"/>
        </w:rPr>
        <w:t>ADVISORY AGREEMENT    EXHIBIT 10.2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7800"/>
                <wp:effectExtent l="0" t="0" r="0" b="0"/>
                <wp:wrapNone/>
                <wp:docPr id="44" name="Frame4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txbxContent>
                </v:textbox>
                <w10:wrap type="none"/>
              </v:rect>
            </w:pict>
          </mc:Fallback>
        </mc:AlternateContent>
      </w:r>
    </w:p>
    <w:p>
      <w:pPr>
        <w:pStyle w:val="TextBody"/>
        <w:bidi w:val="0"/>
        <w:spacing w:lineRule="auto" w:line="240" w:before="240" w:after="283"/>
        <w:ind w:left="0" w:right="0" w:firstLine="1440"/>
        <w:jc w:val="both"/>
        <w:rPr/>
      </w:pPr>
      <w:r>
        <w:rPr>
          <w:rFonts w:ascii="Arial;sans-serif" w:hAnsi="Arial;sans-serif"/>
          <w:b w:val="false"/>
          <w:color w:val="000000"/>
          <w:sz w:val="16"/>
        </w:rPr>
        <w:t>This Advisory Agreement, as amended and restated (this “</w:t>
      </w:r>
      <w:r>
        <w:rPr>
          <w:rFonts w:ascii="Arial;sans-serif" w:hAnsi="Arial;sans-serif"/>
          <w:b/>
          <w:i/>
          <w:color w:val="000000"/>
          <w:sz w:val="16"/>
        </w:rPr>
        <w:t>Agreement</w:t>
      </w:r>
      <w:r>
        <w:rPr>
          <w:color w:val="000000"/>
        </w:rPr>
        <w:t>”</w:t>
      </w:r>
      <w:r>
        <w:rPr>
          <w:rFonts w:ascii="Arial;sans-serif" w:hAnsi="Arial;sans-serif"/>
          <w:b w:val="false"/>
          <w:color w:val="000000"/>
          <w:sz w:val="16"/>
        </w:rPr>
        <w:t>) is effective as of April , 2026 (the “</w:t>
      </w:r>
      <w:r>
        <w:rPr>
          <w:rFonts w:ascii="Arial;sans-serif" w:hAnsi="Arial;sans-serif"/>
          <w:b/>
          <w:i/>
          <w:color w:val="000000"/>
          <w:sz w:val="16"/>
        </w:rPr>
        <w:t>Effective Date</w:t>
      </w:r>
      <w:r>
        <w:rPr>
          <w:color w:val="000000"/>
        </w:rPr>
        <w:t>”</w:t>
      </w:r>
      <w:r>
        <w:rPr>
          <w:rFonts w:ascii="Arial;sans-serif" w:hAnsi="Arial;sans-serif"/>
          <w:b w:val="false"/>
          <w:color w:val="000000"/>
          <w:sz w:val="16"/>
        </w:rPr>
        <w:t>) by and between</w:t>
      </w:r>
      <w:r>
        <w:rPr>
          <w:color w:val="000000"/>
        </w:rPr>
        <w:t xml:space="preserve"> </w:t>
      </w:r>
      <w:r>
        <w:rPr>
          <w:rFonts w:ascii="Arial;sans-serif" w:hAnsi="Arial;sans-serif"/>
          <w:b w:val="false"/>
          <w:color w:val="000000"/>
          <w:sz w:val="16"/>
        </w:rPr>
        <w:t>Recursion Pharmaceuticals, Inc. (the “</w:t>
      </w:r>
      <w:r>
        <w:rPr>
          <w:rFonts w:ascii="Arial;sans-serif" w:hAnsi="Arial;sans-serif"/>
          <w:b/>
          <w:i/>
          <w:color w:val="000000"/>
          <w:sz w:val="16"/>
        </w:rPr>
        <w:t>Company</w:t>
      </w:r>
      <w:r>
        <w:rPr>
          <w:color w:val="000000"/>
        </w:rPr>
        <w:t>”</w:t>
      </w:r>
      <w:r>
        <w:rPr>
          <w:rFonts w:ascii="Arial;sans-serif" w:hAnsi="Arial;sans-serif"/>
          <w:b w:val="false"/>
          <w:color w:val="000000"/>
          <w:sz w:val="16"/>
        </w:rPr>
        <w:t>), and Christopher Gibson (“</w:t>
      </w:r>
      <w:r>
        <w:rPr>
          <w:rFonts w:ascii="Arial;sans-serif" w:hAnsi="Arial;sans-serif"/>
          <w:b/>
          <w:i/>
          <w:color w:val="000000"/>
          <w:sz w:val="16"/>
        </w:rPr>
        <w:t>Advisor</w:t>
      </w:r>
      <w:r>
        <w:rPr>
          <w:color w:val="000000"/>
        </w:rPr>
        <w:t>”</w:t>
      </w:r>
      <w:r>
        <w:rPr>
          <w:rFonts w:ascii="Arial;sans-serif" w:hAnsi="Arial;sans-serif"/>
          <w:b w:val="false"/>
          <w:color w:val="000000"/>
          <w:sz w:val="16"/>
        </w:rPr>
        <w:t>) (each herein referred to individually as a “</w:t>
      </w:r>
      <w:r>
        <w:rPr>
          <w:rFonts w:ascii="Arial;sans-serif" w:hAnsi="Arial;sans-serif"/>
          <w:b/>
          <w:i/>
          <w:color w:val="000000"/>
          <w:sz w:val="16"/>
        </w:rPr>
        <w:t>Party</w:t>
      </w:r>
      <w:r>
        <w:rPr>
          <w:rFonts w:ascii="Arial;sans-serif" w:hAnsi="Arial;sans-serif"/>
          <w:b w:val="false"/>
          <w:color w:val="000000"/>
          <w:sz w:val="16"/>
        </w:rPr>
        <w:t>,” or collectively as the “</w:t>
      </w:r>
      <w:r>
        <w:rPr>
          <w:rFonts w:ascii="Arial;sans-serif" w:hAnsi="Arial;sans-serif"/>
          <w:b/>
          <w:i/>
          <w:color w:val="000000"/>
          <w:sz w:val="16"/>
        </w:rPr>
        <w:t>Parties</w:t>
      </w:r>
      <w:r>
        <w:rPr>
          <w:color w:val="000000"/>
        </w:rPr>
        <w:t>”</w:t>
      </w:r>
      <w:r>
        <w:rPr>
          <w:rFonts w:ascii="Arial;sans-serif" w:hAnsi="Arial;sans-serif"/>
          <w:b w:val="false"/>
          <w:color w:val="000000"/>
          <w:sz w:val="16"/>
        </w:rPr>
        <w:t>). This Agreement supersedes and replaces the Advisory Agreement previously executed by the Parties effective as of January 1, 2026 (the “</w:t>
      </w:r>
      <w:r>
        <w:rPr>
          <w:rFonts w:ascii="Arial;sans-serif" w:hAnsi="Arial;sans-serif"/>
          <w:b/>
          <w:i/>
          <w:color w:val="000000"/>
          <w:sz w:val="16"/>
        </w:rPr>
        <w:t>Original Agreement</w:t>
      </w:r>
      <w:r>
        <w:rPr>
          <w:color w:val="000000"/>
        </w:rPr>
        <w:t>”</w:t>
      </w:r>
      <w:r>
        <w:rPr>
          <w:rFonts w:ascii="Arial;sans-serif" w:hAnsi="Arial;sans-serif"/>
          <w:b w:val="false"/>
          <w:color w:val="000000"/>
          <w:sz w:val="16"/>
        </w:rPr>
        <w:t>).</w:t>
      </w:r>
    </w:p>
    <w:p>
      <w:pPr>
        <w:pStyle w:val="TextBody"/>
        <w:bidi w:val="0"/>
        <w:spacing w:lineRule="auto" w:line="240" w:before="240" w:after="283"/>
        <w:ind w:left="0" w:right="0" w:firstLine="720"/>
        <w:jc w:val="both"/>
        <w:rPr/>
      </w:pPr>
      <w:r>
        <w:rPr>
          <w:rFonts w:ascii="Arial;sans-serif" w:hAnsi="Arial;sans-serif"/>
          <w:b/>
          <w:color w:val="000000"/>
          <w:sz w:val="16"/>
        </w:rPr>
        <w:t>1.</w:t>
      </w:r>
      <w:r>
        <w:rPr>
          <w:rFonts w:ascii="Arial;sans-serif" w:hAnsi="Arial;sans-serif"/>
          <w:b/>
          <w:color w:val="000000"/>
          <w:sz w:val="16"/>
        </w:rPr>
        <w:t>SERVICES AND COMPENSATION</w:t>
      </w:r>
    </w:p>
    <w:p>
      <w:pPr>
        <w:pStyle w:val="TextBody"/>
        <w:bidi w:val="0"/>
        <w:spacing w:lineRule="auto" w:line="240" w:before="240" w:after="283"/>
        <w:ind w:left="0" w:right="0" w:firstLine="720"/>
        <w:jc w:val="both"/>
        <w:rPr/>
      </w:pPr>
      <w:r>
        <w:rPr>
          <w:rFonts w:ascii="Arial;sans-serif" w:hAnsi="Arial;sans-serif"/>
          <w:b w:val="false"/>
          <w:color w:val="000000"/>
          <w:sz w:val="16"/>
        </w:rPr>
        <w:t>2.</w:t>
      </w:r>
      <w:r>
        <w:rPr>
          <w:rFonts w:ascii="Arial;sans-serif" w:hAnsi="Arial;sans-serif"/>
          <w:b w:val="false"/>
          <w:color w:val="000000"/>
          <w:sz w:val="16"/>
        </w:rPr>
        <w:t xml:space="preserve">Advisor shall serve in the role of Advisor to the CEO and perform the services described in </w:t>
      </w:r>
      <w:r>
        <w:rPr>
          <w:rFonts w:ascii="Arial;sans-serif" w:hAnsi="Arial;sans-serif"/>
          <w:b/>
          <w:color w:val="000000"/>
          <w:sz w:val="16"/>
        </w:rPr>
        <w:t>Exhibit A</w:t>
      </w:r>
      <w:r>
        <w:rPr>
          <w:color w:val="000000"/>
        </w:rPr>
        <w:t xml:space="preserve"> </w:t>
      </w:r>
      <w:r>
        <w:rPr>
          <w:rFonts w:ascii="Arial;sans-serif" w:hAnsi="Arial;sans-serif"/>
          <w:b w:val="false"/>
          <w:color w:val="000000"/>
          <w:sz w:val="16"/>
        </w:rPr>
        <w:t>(the “</w:t>
      </w:r>
      <w:r>
        <w:rPr>
          <w:rFonts w:ascii="Arial;sans-serif" w:hAnsi="Arial;sans-serif"/>
          <w:b/>
          <w:i/>
          <w:color w:val="000000"/>
          <w:sz w:val="16"/>
        </w:rPr>
        <w:t>Services</w:t>
      </w:r>
      <w:r>
        <w:rPr>
          <w:color w:val="000000"/>
        </w:rPr>
        <w:t>”</w:t>
      </w:r>
      <w:r>
        <w:rPr>
          <w:rFonts w:ascii="Arial;sans-serif" w:hAnsi="Arial;sans-serif"/>
          <w:b w:val="false"/>
          <w:color w:val="000000"/>
          <w:sz w:val="16"/>
        </w:rPr>
        <w:t xml:space="preserve">) for the Company (or its designee). The Company agrees to provide Advisor the compensation described in </w:t>
      </w:r>
      <w:r>
        <w:rPr>
          <w:rFonts w:ascii="Arial;sans-serif" w:hAnsi="Arial;sans-serif"/>
          <w:b/>
          <w:color w:val="000000"/>
          <w:sz w:val="16"/>
        </w:rPr>
        <w:t>Exhibit A</w:t>
      </w:r>
      <w:r>
        <w:rPr>
          <w:color w:val="000000"/>
        </w:rPr>
        <w:t xml:space="preserve"> </w:t>
      </w:r>
      <w:r>
        <w:rPr>
          <w:rFonts w:ascii="Arial;sans-serif" w:hAnsi="Arial;sans-serif"/>
          <w:b w:val="false"/>
          <w:color w:val="000000"/>
          <w:sz w:val="16"/>
        </w:rPr>
        <w:t>for Advisor’s performance of the Services. This role is designed to honor Advisor’s vision and lasting contributions to the Company while promoting a smooth leadership transition. This role enables the Advisor to continue advancing the Company’s mission through focused strategic counsel to the Company’s Chief Executive Officer and early innovation efforts as well as selective engagement on special projects at the direction of the Company’s Chief Executive Officer.</w:t>
      </w:r>
    </w:p>
    <w:p>
      <w:pPr>
        <w:pStyle w:val="TextBody"/>
        <w:bidi w:val="0"/>
        <w:spacing w:lineRule="auto" w:line="240" w:before="240" w:after="283"/>
        <w:ind w:left="0" w:right="0" w:firstLine="720"/>
        <w:jc w:val="both"/>
        <w:rPr/>
      </w:pPr>
      <w:r>
        <w:rPr>
          <w:rFonts w:ascii="Arial;sans-serif" w:hAnsi="Arial;sans-serif"/>
          <w:b/>
          <w:color w:val="000000"/>
          <w:sz w:val="16"/>
        </w:rPr>
        <w:t>3.</w:t>
      </w:r>
      <w:r>
        <w:rPr>
          <w:rFonts w:ascii="Arial;sans-serif" w:hAnsi="Arial;sans-serif"/>
          <w:b/>
          <w:color w:val="000000"/>
          <w:sz w:val="16"/>
        </w:rPr>
        <w:t>CONFIDENTIALITY</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Definition of Confidential Information</w:t>
      </w:r>
      <w:r>
        <w:rPr>
          <w:rFonts w:ascii="Arial;sans-serif" w:hAnsi="Arial;sans-serif"/>
          <w:b/>
          <w:color w:val="000000"/>
          <w:sz w:val="16"/>
        </w:rPr>
        <w:t>.</w:t>
      </w:r>
      <w:r>
        <w:rPr>
          <w:color w:val="000000"/>
        </w:rPr>
        <w:t xml:space="preserve"> “</w:t>
      </w:r>
      <w:r>
        <w:rPr>
          <w:rFonts w:ascii="Arial;sans-serif" w:hAnsi="Arial;sans-serif"/>
          <w:b/>
          <w:i/>
          <w:color w:val="000000"/>
          <w:sz w:val="16"/>
        </w:rPr>
        <w:t>Confidential Information</w:t>
      </w:r>
      <w:r>
        <w:rPr>
          <w:color w:val="000000"/>
        </w:rPr>
        <w:t xml:space="preserve">” </w:t>
      </w:r>
      <w:r>
        <w:rPr>
          <w:rFonts w:ascii="Arial;sans-serif" w:hAnsi="Arial;sans-serif"/>
          <w:b w:val="false"/>
          <w:color w:val="000000"/>
          <w:sz w:val="16"/>
        </w:rPr>
        <w:t xml:space="preserve">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Nonuse and Nondisclosure</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During and after the term of this Agreement, Advisor will hold in the strictest confidence, and take all reasonable precautions to prevent any unauthorized use or disclosure of Confidential Information, and Advisor will not (i) use the Confidential Information for any purpose whatsoever other than as necessary for the performance of the Services on behalf of the Company, or (ii) subject to Advisor’s right to engage in protected conduct (as set forth in the Protected Activity Not Prohibited section below), disclose the Confidential Information to any third party without the prior written consent of an authorized representative of the Company, except that Advisor may disclose Confidential Information to the extent compelled by applicable law; </w:t>
      </w:r>
      <w:r>
        <w:rPr>
          <w:rFonts w:ascii="Arial;sans-serif" w:hAnsi="Arial;sans-serif"/>
          <w:b w:val="false"/>
          <w:i/>
          <w:color w:val="000000"/>
          <w:sz w:val="16"/>
        </w:rPr>
        <w:t>provided however</w:t>
      </w:r>
      <w:r>
        <w:rPr>
          <w:rFonts w:ascii="Arial;sans-serif" w:hAnsi="Arial;sans-serif"/>
          <w:b w:val="false"/>
          <w:color w:val="000000"/>
          <w:sz w:val="16"/>
        </w:rPr>
        <w:t xml:space="preserve">, prior to such disclosure, Advisor shall provide prior written notice to Company and seek a protective order or such similar confidential protection as may be available under applicable law. Advisor agrees that no ownership of Confidential Information is conveyed to the Advisor. Without limiting the foregoing, Advisor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Advisor agrees that Advisor’s obligations under this Section 2.B shall continue after the termination of this Agreement. </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i/>
          <w:color w:val="000000"/>
          <w:sz w:val="16"/>
        </w:rPr>
        <w:t>Other Client Confidential Information</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Advisor agrees that Advisor will not improperly use, disclose, or induce the Company to use any proprietary information or trade secrets of any former or current employer of Advisor or other person or entity with which Advisor has an obligation to keep in confidence. Advisor also agrees that Advisor will not bring onto the Company’s premises or transfer onto the Company’s technology systems any unpublished document, proprietary </w:t>
      </w:r>
    </w:p>
    <w:p>
      <w:pPr>
        <w:pStyle w:val="TextBody"/>
        <w:bidi w:val="0"/>
        <w:spacing w:lineRule="auto" w:line="240" w:before="240" w:after="283"/>
        <w:jc w:val="both"/>
        <w:rPr>
          <w:rFonts w:ascii="Arial;sans-serif" w:hAnsi="Arial;sans-serif"/>
          <w:b w:val="false"/>
          <w:color w:val="000000"/>
          <w:sz w:val="16"/>
        </w:rPr>
      </w:pPr>
      <w:r>
        <w:rPr>
          <w:rFonts w:ascii="Arial;sans-serif" w:hAnsi="Arial;sans-serif"/>
          <w:b w:val="false"/>
          <w:color w:val="000000"/>
          <w:sz w:val="16"/>
        </w:rPr>
        <w:t xml:space="preserve">information, or trade secrets belonging to any third party unless disclosure to, and use by, the Company has been consented to in writing by such third party. </w:t>
      </w:r>
    </w:p>
    <w:p>
      <w:pPr>
        <w:pStyle w:val="TextBody"/>
        <w:bidi w:val="0"/>
        <w:spacing w:lineRule="auto" w:line="240" w:before="240" w:after="283"/>
        <w:ind w:left="0" w:right="0" w:firstLine="1440"/>
        <w:jc w:val="both"/>
        <w:rPr/>
      </w:pPr>
      <w:r>
        <w:rPr>
          <w:rFonts w:ascii="Arial;sans-serif" w:hAnsi="Arial;sans-serif"/>
          <w:b w:val="false"/>
          <w:color w:val="000000"/>
          <w:sz w:val="16"/>
        </w:rPr>
        <w:t>D.</w:t>
      </w:r>
      <w:r>
        <w:rPr>
          <w:rFonts w:ascii="Arial;sans-serif" w:hAnsi="Arial;sans-serif"/>
          <w:b/>
          <w:i/>
          <w:color w:val="000000"/>
          <w:sz w:val="16"/>
        </w:rPr>
        <w:t>Third Party Confidential Information</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recognizes that the Company has received and, in the future, will receive from third parties their confidential or proprietary information subject to a duty on the Company’s part to maintain the confidentiality of such information and to use it only for certain limited purposes. Advisor agrees that at all times during the term of this Agreement and thereafter, Advisor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pStyle w:val="TextBody"/>
        <w:bidi w:val="0"/>
        <w:spacing w:lineRule="auto" w:line="240" w:before="240" w:after="283"/>
        <w:ind w:left="0" w:right="0" w:firstLine="720"/>
        <w:jc w:val="both"/>
        <w:rPr/>
      </w:pPr>
      <w:r>
        <w:rPr>
          <w:rFonts w:ascii="Arial;sans-serif" w:hAnsi="Arial;sans-serif"/>
          <w:b/>
          <w:color w:val="000000"/>
          <w:sz w:val="16"/>
        </w:rPr>
        <w:t>4.</w:t>
      </w:r>
      <w:r>
        <w:rPr>
          <w:rFonts w:ascii="Arial;sans-serif" w:hAnsi="Arial;sans-serif"/>
          <w:b/>
          <w:color w:val="000000"/>
          <w:sz w:val="16"/>
        </w:rPr>
        <w:t>OWNERSHIP</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Assignment of Inventions</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agrees that all right, title, and interest in and to any copyrightable material, notes, records, 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sans-serif" w:hAnsi="Arial;sans-serif"/>
          <w:b/>
          <w:i/>
          <w:color w:val="000000"/>
          <w:sz w:val="16"/>
        </w:rPr>
        <w:t>Inventions</w:t>
      </w:r>
      <w:r>
        <w:rPr>
          <w:color w:val="000000"/>
        </w:rPr>
        <w:t>”</w:t>
      </w:r>
      <w:r>
        <w:rPr>
          <w:rFonts w:ascii="Arial;sans-serif" w:hAnsi="Arial;sans-serif"/>
          <w:b w:val="false"/>
          <w:color w:val="000000"/>
          <w:sz w:val="16"/>
        </w:rPr>
        <w:t>), are the sole property of the Company. Advisor also agrees to promptly make full written disclosure to the Company of any Inventions and to deliver and assign (or cause to be assigned) and hereby irrevocably assigns fully to the Company all right, title and interest in and to the Inventions.</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Pre-Existing Material</w:t>
      </w:r>
      <w:r>
        <w:rPr>
          <w:rFonts w:ascii="Arial;sans-serif" w:hAnsi="Arial;sans-serif"/>
          <w:b/>
          <w:color w:val="000000"/>
          <w:sz w:val="16"/>
        </w:rPr>
        <w:t>s.</w:t>
      </w:r>
      <w:r>
        <w:rPr>
          <w:color w:val="000000"/>
        </w:rPr>
        <w:t xml:space="preserve"> </w:t>
      </w:r>
      <w:r>
        <w:rPr>
          <w:rFonts w:ascii="Arial;sans-serif" w:hAnsi="Arial;sans-serif"/>
          <w:b w:val="false"/>
          <w:color w:val="000000"/>
          <w:sz w:val="16"/>
        </w:rPr>
        <w:t>Subject to Section 3.A, Advisor will provide the Company with prior written notice if, in the course of performing the Services, Advisor incorporates into any Invention or utilizes in the performance of the Services any invention, discovery, idea, original works of authorship, development, improvements, trade secret, concept, or other proprietary information or intellectual property right owned by Advisor or in which Advisor has an interest, prior to, or separate from, performing the Services under this Agreement (“</w:t>
      </w:r>
      <w:r>
        <w:rPr>
          <w:rFonts w:ascii="Arial;sans-serif" w:hAnsi="Arial;sans-serif"/>
          <w:b/>
          <w:i/>
          <w:color w:val="000000"/>
          <w:sz w:val="16"/>
        </w:rPr>
        <w:t>Prior Invention</w:t>
      </w:r>
      <w:r>
        <w:rPr>
          <w:rFonts w:ascii="Arial;sans-serif" w:hAnsi="Arial;sans-serif"/>
          <w:b w:val="false"/>
          <w:i/>
          <w:color w:val="000000"/>
          <w:sz w:val="16"/>
        </w:rPr>
        <w:t>s</w:t>
      </w:r>
      <w:r>
        <w:rPr>
          <w:color w:val="000000"/>
        </w:rPr>
        <w:t>”</w:t>
      </w:r>
      <w:r>
        <w:rPr>
          <w:rFonts w:ascii="Arial;sans-serif" w:hAnsi="Arial;sans-serif"/>
          <w:b w:val="false"/>
          <w:color w:val="000000"/>
          <w:sz w:val="16"/>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Advisor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i/>
          <w:color w:val="000000"/>
          <w:sz w:val="16"/>
        </w:rPr>
        <w:t>Further Assurances</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Advisor further agrees that Advisor’s obligations under this Section 3.C shall continue after the termination of this Agreement.</w:t>
      </w:r>
      <w:r>
        <w:rPr>
          <w:color w:val="000000"/>
        </w:rPr>
        <w:t xml:space="preserve"> </w:t>
      </w:r>
    </w:p>
    <w:p>
      <w:pPr>
        <w:pStyle w:val="TextBody"/>
        <w:bidi w:val="0"/>
        <w:spacing w:lineRule="auto" w:line="240" w:before="240" w:after="283"/>
        <w:ind w:left="0" w:right="0" w:firstLine="720"/>
        <w:jc w:val="both"/>
        <w:rPr/>
      </w:pPr>
      <w:r>
        <w:rPr>
          <w:rFonts w:ascii="Arial;sans-serif" w:hAnsi="Arial;sans-serif"/>
          <w:b/>
          <w:color w:val="000000"/>
          <w:sz w:val="16"/>
        </w:rPr>
        <w:t>5.</w:t>
      </w:r>
      <w:r>
        <w:rPr>
          <w:rFonts w:ascii="Arial;sans-serif" w:hAnsi="Arial;sans-serif"/>
          <w:b/>
          <w:color w:val="000000"/>
          <w:sz w:val="16"/>
        </w:rPr>
        <w:t>CONFLICTING OBLIGATIONS</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val="false"/>
          <w:color w:val="000000"/>
          <w:sz w:val="16"/>
        </w:rPr>
        <w:t xml:space="preserve">Advisor represents and warrants that Advisor has no agreements, relationships, or commitments to any other person or entity that conflict with the provisions of this Agreement, Advisor’s obligations to the Company under this Agreement, and/or Advisor’s ability to perform the Services. Advisor will not enter into any such conflicting agreements, relationships, or commitments during the term of this Agreement. </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val="false"/>
          <w:color w:val="000000"/>
          <w:sz w:val="16"/>
        </w:rPr>
        <w:t xml:space="preserve">In light of the unique and specialized nature of Advisor’s services, Advisor shall have the right to subcontract or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7660"/>
                <wp:effectExtent l="0" t="0" r="0" b="0"/>
                <wp:wrapNone/>
                <wp:docPr id="45" name="Frame4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p>
      <w:pPr>
        <w:pStyle w:val="TextBody"/>
        <w:bidi w:val="0"/>
        <w:spacing w:lineRule="auto" w:line="240" w:before="240" w:after="283"/>
        <w:jc w:val="both"/>
        <w:rPr>
          <w:rFonts w:ascii="Arial;sans-serif" w:hAnsi="Arial;sans-serif"/>
          <w:b w:val="false"/>
          <w:color w:val="000000"/>
          <w:sz w:val="16"/>
        </w:rPr>
      </w:pPr>
      <w:r>
        <w:rPr>
          <w:rFonts w:ascii="Arial;sans-serif" w:hAnsi="Arial;sans-serif"/>
          <w:b w:val="false"/>
          <w:color w:val="000000"/>
          <w:sz w:val="16"/>
        </w:rPr>
        <w:t>delegate the performance of any Services only with the prior written permission of the Company.</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val="false"/>
          <w:color w:val="000000"/>
          <w:sz w:val="16"/>
        </w:rPr>
        <w:t xml:space="preserve">Advisor acknowledges and agrees that, prior to Advisor publishing any social media post or any other written statement in a public forum, in all cases, that mentions the Company by name, Advisor first must receive prior written approval from the Company’s General Counsel of such post or written statement. If the Company’s General Counsel fails to respond to Advisor’s request for written approval within 48 hours of receipt of Advisor’s request, then such request automatically will be deemed approved. </w:t>
      </w:r>
    </w:p>
    <w:p>
      <w:pPr>
        <w:pStyle w:val="TextBody"/>
        <w:bidi w:val="0"/>
        <w:spacing w:lineRule="auto" w:line="240" w:before="240" w:after="283"/>
        <w:ind w:left="0" w:right="0" w:firstLine="720"/>
        <w:jc w:val="both"/>
        <w:rPr/>
      </w:pPr>
      <w:r>
        <w:rPr>
          <w:rFonts w:ascii="Arial;sans-serif" w:hAnsi="Arial;sans-serif"/>
          <w:b/>
          <w:color w:val="000000"/>
          <w:sz w:val="16"/>
        </w:rPr>
        <w:t>6.</w:t>
      </w:r>
      <w:r>
        <w:rPr>
          <w:rFonts w:ascii="Arial;sans-serif" w:hAnsi="Arial;sans-serif"/>
          <w:b/>
          <w:color w:val="000000"/>
          <w:sz w:val="16"/>
        </w:rPr>
        <w:t xml:space="preserve">RETURN OF COMPANY MATERIALS </w:t>
      </w:r>
    </w:p>
    <w:p>
      <w:pPr>
        <w:pStyle w:val="TextBody"/>
        <w:bidi w:val="0"/>
        <w:spacing w:lineRule="auto" w:line="240" w:before="240" w:after="283"/>
        <w:ind w:left="0" w:right="0" w:firstLine="720"/>
        <w:jc w:val="both"/>
        <w:rPr/>
      </w:pPr>
      <w:r>
        <w:rPr>
          <w:rFonts w:ascii="Arial;sans-serif" w:hAnsi="Arial;sans-serif"/>
          <w:b w:val="false"/>
          <w:color w:val="000000"/>
          <w:sz w:val="16"/>
        </w:rPr>
        <w:t>7.</w:t>
      </w:r>
      <w:r>
        <w:rPr>
          <w:rFonts w:ascii="Arial;sans-serif" w:hAnsi="Arial;sans-serif"/>
          <w:b w:val="false"/>
          <w:color w:val="000000"/>
          <w:sz w:val="16"/>
        </w:rPr>
        <w:t>Upon the termination of this Agreement, or upon Company’s earlier request, Advisor will immediately deliver to the Company, and will not keep in Advisor’s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and any reproductions of any of the foregoing items that Advisor may have in Advisor’s possession or control.</w:t>
      </w:r>
    </w:p>
    <w:p>
      <w:pPr>
        <w:pStyle w:val="TextBody"/>
        <w:bidi w:val="0"/>
        <w:spacing w:lineRule="auto" w:line="240" w:before="240" w:after="283"/>
        <w:ind w:left="0" w:right="0" w:firstLine="720"/>
        <w:jc w:val="both"/>
        <w:rPr/>
      </w:pPr>
      <w:r>
        <w:rPr>
          <w:rFonts w:ascii="Arial;sans-serif" w:hAnsi="Arial;sans-serif"/>
          <w:b/>
          <w:color w:val="000000"/>
          <w:sz w:val="16"/>
        </w:rPr>
        <w:t>8.</w:t>
      </w:r>
      <w:r>
        <w:rPr>
          <w:rFonts w:ascii="Arial;sans-serif" w:hAnsi="Arial;sans-serif"/>
          <w:b/>
          <w:color w:val="000000"/>
          <w:sz w:val="16"/>
        </w:rPr>
        <w:t>TERM AND TERMINATION</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Term</w:t>
      </w:r>
      <w:r>
        <w:rPr>
          <w:rFonts w:ascii="Arial;sans-serif" w:hAnsi="Arial;sans-serif"/>
          <w:b/>
          <w:color w:val="000000"/>
          <w:sz w:val="16"/>
        </w:rPr>
        <w:t>.</w:t>
      </w:r>
      <w:r>
        <w:rPr>
          <w:color w:val="000000"/>
        </w:rPr>
        <w:t xml:space="preserve"> </w:t>
      </w:r>
      <w:r>
        <w:rPr>
          <w:rFonts w:ascii="Arial;sans-serif" w:hAnsi="Arial;sans-serif"/>
          <w:b w:val="false"/>
          <w:color w:val="000000"/>
          <w:sz w:val="16"/>
        </w:rPr>
        <w:t>The term of this Agreement will begin on the Effective Date of this Agreement and will continue until March 1, 2029, provided that, prior to the end of the term or any subsequent term, the Parties may agree in writing to extend the term of this Agreement for an additional twelve (12) months or such other period as the Parties mutually agree in writing, However, the term, or any subsequent term, of this Agreement may end upon an earlier termination as provided in Section 6.B.</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Termination</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may terminate this Agreement upon giving the Company seven (7) days prior written notice of such termination pursuant to Section 8.G of this Agreement. The Company may only terminate this Agreement for Cause and in such circumstance, the Company must provide written notice of such termination to Advisor pursuant to Section 8.G of this Agreement .</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i/>
          <w:color w:val="000000"/>
          <w:sz w:val="16"/>
        </w:rPr>
        <w:t>Survival</w:t>
      </w:r>
      <w:r>
        <w:rPr>
          <w:rFonts w:ascii="Arial;sans-serif" w:hAnsi="Arial;sans-serif"/>
          <w:b/>
          <w:color w:val="000000"/>
          <w:sz w:val="16"/>
        </w:rPr>
        <w:t>.</w:t>
      </w:r>
      <w:r>
        <w:rPr>
          <w:color w:val="000000"/>
        </w:rPr>
        <w:t xml:space="preserve"> </w:t>
      </w:r>
      <w:r>
        <w:rPr>
          <w:rFonts w:ascii="Arial;sans-serif" w:hAnsi="Arial;sans-serif"/>
          <w:b w:val="false"/>
          <w:color w:val="000000"/>
          <w:sz w:val="16"/>
        </w:rPr>
        <w:t>Upon any termination, all rights and duties of the Company and Advisor toward each other shall cease except: the sections entitled Confidentiality, Ownership, Conflicting Obligations, Return of Company Materials, Term and Termination, Independent Contractor; Benefits, and Miscellaneous will survive termination or expiration of this Agreement in accordance with their terms.</w:t>
      </w:r>
    </w:p>
    <w:p>
      <w:pPr>
        <w:pStyle w:val="TextBody"/>
        <w:bidi w:val="0"/>
        <w:spacing w:lineRule="auto" w:line="240" w:before="240" w:after="283"/>
        <w:ind w:left="0" w:right="0" w:firstLine="720"/>
        <w:jc w:val="both"/>
        <w:rPr/>
      </w:pPr>
      <w:r>
        <w:rPr>
          <w:rFonts w:ascii="Arial;sans-serif" w:hAnsi="Arial;sans-serif"/>
          <w:b/>
          <w:color w:val="000000"/>
          <w:sz w:val="16"/>
        </w:rPr>
        <w:t>9.</w:t>
      </w:r>
      <w:r>
        <w:rPr>
          <w:rFonts w:ascii="Arial;sans-serif" w:hAnsi="Arial;sans-serif"/>
          <w:b/>
          <w:color w:val="000000"/>
          <w:sz w:val="16"/>
        </w:rPr>
        <w:t>INDEPENDENT CONTRACTOR; BENEFITS</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Independent Contractor.</w:t>
      </w:r>
      <w:r>
        <w:rPr>
          <w:color w:val="000000"/>
        </w:rPr>
        <w:t xml:space="preserve"> </w:t>
      </w:r>
      <w:r>
        <w:rPr>
          <w:rFonts w:ascii="Arial;sans-serif" w:hAnsi="Arial;sans-serif"/>
          <w:b w:val="false"/>
          <w:color w:val="000000"/>
          <w:sz w:val="16"/>
        </w:rPr>
        <w:t>It is the express intention of the Company and Advisor that Advisor perform the Services as an independent contractor to the Company. Nothing in this Agreement shall in any way be construed to constitute Advisor as an agent, employee or representative of the Company. Without limiting the generality of the foregoing, Advisor is not authorized to bind the 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Benefits</w:t>
      </w:r>
      <w:r>
        <w:rPr>
          <w:rFonts w:ascii="Arial;sans-serif" w:hAnsi="Arial;sans-serif"/>
          <w:b/>
          <w:color w:val="000000"/>
          <w:sz w:val="16"/>
        </w:rPr>
        <w:t>.</w:t>
      </w:r>
      <w:r>
        <w:rPr>
          <w:color w:val="000000"/>
        </w:rPr>
        <w:t xml:space="preserve"> </w:t>
      </w:r>
      <w:r>
        <w:rPr>
          <w:rFonts w:ascii="Arial;sans-serif" w:hAnsi="Arial;sans-serif"/>
          <w:b w:val="false"/>
          <w:color w:val="000000"/>
          <w:sz w:val="16"/>
        </w:rPr>
        <w:t>The Company and Advisor agree that Advisor will receive no Company-sponsored benefits from the Company where benefits include, but are not limited to, paid vacation, sick leave, medical insurance and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pStyle w:val="TextBody"/>
        <w:bidi w:val="0"/>
        <w:spacing w:lineRule="auto" w:line="240" w:before="240" w:after="283"/>
        <w:ind w:left="0" w:right="0" w:firstLine="720"/>
        <w:jc w:val="both"/>
        <w:rPr/>
      </w:pPr>
      <w:r>
        <w:rPr>
          <w:rFonts w:ascii="Arial;sans-serif" w:hAnsi="Arial;sans-serif"/>
          <w:b/>
          <w:color w:val="000000"/>
          <w:sz w:val="16"/>
        </w:rPr>
        <w:t>10.</w:t>
      </w:r>
      <w:r>
        <w:rPr>
          <w:rFonts w:ascii="Arial;sans-serif" w:hAnsi="Arial;sans-serif"/>
          <w:b/>
          <w:color w:val="000000"/>
          <w:sz w:val="16"/>
        </w:rPr>
        <w:t>MISCELLANEOUS</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Governing Law</w:t>
      </w:r>
      <w:r>
        <w:rPr>
          <w:rFonts w:ascii="Arial;sans-serif" w:hAnsi="Arial;sans-serif"/>
          <w:b/>
          <w:color w:val="000000"/>
          <w:sz w:val="16"/>
        </w:rPr>
        <w:t>.</w:t>
      </w:r>
      <w:r>
        <w:rPr>
          <w:color w:val="000000"/>
        </w:rPr>
        <w:t xml:space="preserve"> </w:t>
      </w:r>
      <w:r>
        <w:rPr>
          <w:rFonts w:ascii="Arial;sans-serif" w:hAnsi="Arial;sans-serif"/>
          <w:b w:val="false"/>
          <w:color w:val="000000"/>
          <w:sz w:val="16"/>
        </w:rPr>
        <w:t>This Agreement shall be governed by the laws of the State of Utah, without regard to the conflicts of law provisions of any jurisdiction.</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Assignability</w:t>
      </w:r>
      <w:r>
        <w:rPr>
          <w:rFonts w:ascii="Arial;sans-serif" w:hAnsi="Arial;sans-serif"/>
          <w:b/>
          <w:color w:val="000000"/>
          <w:sz w:val="16"/>
        </w:rPr>
        <w:t>.</w:t>
      </w:r>
      <w:r>
        <w:rPr>
          <w:color w:val="000000"/>
        </w:rPr>
        <w:t xml:space="preserve"> </w:t>
      </w:r>
      <w:r>
        <w:rPr>
          <w:rFonts w:ascii="Arial;sans-serif" w:hAnsi="Arial;sans-serif"/>
          <w:b w:val="false"/>
          <w:color w:val="000000"/>
          <w:sz w:val="16"/>
        </w:rPr>
        <w:t>This Agreement will be binding upon Advisor’s heirs, 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Advisor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i/>
          <w:color w:val="000000"/>
          <w:sz w:val="16"/>
        </w:rPr>
        <w:t>Entire Agreement</w:t>
      </w:r>
      <w:r>
        <w:rPr>
          <w:rFonts w:ascii="Arial;sans-serif" w:hAnsi="Arial;sans-serif"/>
          <w:b/>
          <w:color w:val="000000"/>
          <w:sz w:val="16"/>
        </w:rPr>
        <w:t>.</w:t>
      </w:r>
      <w:r>
        <w:rPr>
          <w:color w:val="000000"/>
        </w:rPr>
        <w:t xml:space="preserve"> </w:t>
      </w:r>
      <w:r>
        <w:rPr>
          <w:rFonts w:ascii="Arial;sans-serif" w:hAnsi="Arial;sans-serif"/>
          <w:b w:val="false"/>
          <w:color w:val="000000"/>
          <w:sz w:val="16"/>
        </w:rPr>
        <w:t>This Agreement constitutes the entire agreement and understanding between the Parties with respect to the subject matter herein and supersedes all prior written and oral agreements, discussions, or representations between the Parties with respect to Advisor’s advisory relationship with the Company.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pStyle w:val="TextBody"/>
        <w:bidi w:val="0"/>
        <w:spacing w:lineRule="auto" w:line="240" w:before="240" w:after="283"/>
        <w:ind w:left="0" w:right="0" w:firstLine="1440"/>
        <w:jc w:val="both"/>
        <w:rPr/>
      </w:pPr>
      <w:r>
        <w:rPr>
          <w:rFonts w:ascii="Arial;sans-serif" w:hAnsi="Arial;sans-serif"/>
          <w:b w:val="false"/>
          <w:color w:val="000000"/>
          <w:sz w:val="16"/>
        </w:rPr>
        <w:t>D.</w:t>
      </w:r>
      <w:r>
        <w:rPr>
          <w:rFonts w:ascii="Arial;sans-serif" w:hAnsi="Arial;sans-serif"/>
          <w:b/>
          <w:i/>
          <w:color w:val="000000"/>
          <w:sz w:val="16"/>
        </w:rPr>
        <w:t>Headings</w:t>
      </w:r>
      <w:r>
        <w:rPr>
          <w:rFonts w:ascii="Arial;sans-serif" w:hAnsi="Arial;sans-serif"/>
          <w:b/>
          <w:color w:val="000000"/>
          <w:sz w:val="16"/>
        </w:rPr>
        <w:t>.</w:t>
      </w:r>
      <w:r>
        <w:rPr>
          <w:color w:val="000000"/>
        </w:rPr>
        <w:t xml:space="preserve"> </w:t>
      </w:r>
      <w:r>
        <w:rPr>
          <w:rFonts w:ascii="Arial;sans-serif" w:hAnsi="Arial;sans-serif"/>
          <w:b w:val="false"/>
          <w:color w:val="000000"/>
          <w:sz w:val="16"/>
        </w:rPr>
        <w:t>Headings are used in this Agreement for reference only and shall not be considered when interpreting this Agreement.</w:t>
      </w:r>
    </w:p>
    <w:p>
      <w:pPr>
        <w:pStyle w:val="TextBody"/>
        <w:bidi w:val="0"/>
        <w:spacing w:lineRule="auto" w:line="240" w:before="240" w:after="283"/>
        <w:ind w:left="0" w:right="0" w:firstLine="1440"/>
        <w:jc w:val="both"/>
        <w:rPr/>
      </w:pPr>
      <w:r>
        <w:rPr>
          <w:rFonts w:ascii="Arial;sans-serif" w:hAnsi="Arial;sans-serif"/>
          <w:b w:val="false"/>
          <w:color w:val="000000"/>
          <w:sz w:val="16"/>
        </w:rPr>
        <w:t>E.</w:t>
      </w:r>
      <w:r>
        <w:rPr>
          <w:rFonts w:ascii="Arial;sans-serif" w:hAnsi="Arial;sans-serif"/>
          <w:b/>
          <w:i/>
          <w:color w:val="000000"/>
          <w:sz w:val="16"/>
        </w:rPr>
        <w:t>Severability</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 </w:t>
      </w:r>
    </w:p>
    <w:p>
      <w:pPr>
        <w:pStyle w:val="TextBody"/>
        <w:bidi w:val="0"/>
        <w:spacing w:lineRule="auto" w:line="240" w:before="240" w:after="283"/>
        <w:ind w:left="0" w:right="0" w:firstLine="1440"/>
        <w:jc w:val="both"/>
        <w:rPr/>
      </w:pPr>
      <w:r>
        <w:rPr>
          <w:rFonts w:ascii="Arial;sans-serif" w:hAnsi="Arial;sans-serif"/>
          <w:b w:val="false"/>
          <w:color w:val="000000"/>
          <w:sz w:val="16"/>
        </w:rPr>
        <w:t>F.</w:t>
      </w:r>
      <w:r>
        <w:rPr>
          <w:rFonts w:ascii="Arial;sans-serif" w:hAnsi="Arial;sans-serif"/>
          <w:b/>
          <w:i/>
          <w:color w:val="000000"/>
          <w:sz w:val="16"/>
        </w:rPr>
        <w:t>Modification, Waiver.</w:t>
      </w:r>
      <w:r>
        <w:rPr>
          <w:color w:val="000000"/>
        </w:rPr>
        <w:t xml:space="preserve"> </w:t>
      </w:r>
      <w:r>
        <w:rPr>
          <w:rFonts w:ascii="Arial;sans-serif" w:hAnsi="Arial;sans-serif"/>
          <w:b w:val="false"/>
          <w:color w:val="000000"/>
          <w:sz w:val="16"/>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pStyle w:val="TextBody"/>
        <w:bidi w:val="0"/>
        <w:spacing w:lineRule="auto" w:line="240" w:before="240" w:after="283"/>
        <w:ind w:left="0" w:right="0" w:firstLine="1440"/>
        <w:jc w:val="both"/>
        <w:rPr/>
      </w:pPr>
      <w:r>
        <w:rPr>
          <w:rFonts w:ascii="Arial;sans-serif" w:hAnsi="Arial;sans-serif"/>
          <w:b w:val="false"/>
          <w:color w:val="000000"/>
          <w:sz w:val="16"/>
        </w:rPr>
        <w:t>G.</w:t>
      </w:r>
      <w:r>
        <w:rPr>
          <w:rFonts w:ascii="Arial;sans-serif" w:hAnsi="Arial;sans-serif"/>
          <w:b/>
          <w:i/>
          <w:color w:val="000000"/>
          <w:sz w:val="16"/>
        </w:rPr>
        <w:t>Notices</w:t>
      </w:r>
      <w:r>
        <w:rPr>
          <w:rFonts w:ascii="Arial;sans-serif" w:hAnsi="Arial;sans-serif"/>
          <w:b/>
          <w:color w:val="000000"/>
          <w:sz w:val="16"/>
        </w:rPr>
        <w:t>.</w:t>
      </w:r>
      <w:r>
        <w:rPr>
          <w:color w:val="000000"/>
        </w:rPr>
        <w:t xml:space="preserve"> </w:t>
      </w:r>
      <w:r>
        <w:rPr>
          <w:rFonts w:ascii="Arial;sans-serif" w:hAnsi="Arial;sans-serif"/>
          <w:b w:val="false"/>
          <w:color w:val="000000"/>
          <w:sz w:val="16"/>
        </w:rPr>
        <w:t>Any notice or other communication required or permitted by this Agreement to be given to a Party shall be in writing and shall be deemed given (i) if delivered personally or by commercial messenger or courier service, (ii) when sent by confirmed facsimile or email,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8.G.</w:t>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If to the Company, 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6"/>
        </w:rPr>
      </w:pPr>
      <w:r>
        <w:rPr>
          <w:rFonts w:ascii="Arial;sans-serif" w:hAnsi="Arial;sans-serif"/>
          <w:b w:val="false"/>
          <w:color w:val="000000"/>
          <w:sz w:val="16"/>
        </w:rPr>
        <w:t>41 S Rio Grande Street, Salt Lake City, UT 84101</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Attention: Chief Legal Officer</w:t>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If to Advisor, to the address for notice on the signature page to this Agreement or, if no such address is provided, to the last address of Advisor provided by Advisor to the Company.</w:t>
      </w:r>
    </w:p>
    <w:p>
      <w:pPr>
        <w:pStyle w:val="TextBody"/>
        <w:bidi w:val="0"/>
        <w:spacing w:lineRule="auto" w:line="240" w:before="240" w:after="283"/>
        <w:ind w:left="0" w:right="0" w:firstLine="1440"/>
        <w:jc w:val="both"/>
        <w:rPr/>
      </w:pPr>
      <w:r>
        <w:rPr>
          <w:rFonts w:ascii="Arial;sans-serif" w:hAnsi="Arial;sans-serif"/>
          <w:b w:val="false"/>
          <w:color w:val="000000"/>
          <w:sz w:val="16"/>
        </w:rPr>
        <w:t>H.</w:t>
      </w:r>
      <w:r>
        <w:rPr>
          <w:rFonts w:ascii="Arial;sans-serif" w:hAnsi="Arial;sans-serif"/>
          <w:b/>
          <w:i/>
          <w:color w:val="000000"/>
          <w:sz w:val="16"/>
        </w:rPr>
        <w:t>Attorneys’ Fees</w:t>
      </w:r>
      <w:r>
        <w:rPr>
          <w:rFonts w:ascii="Arial;sans-serif" w:hAnsi="Arial;sans-serif"/>
          <w:b/>
          <w:color w:val="000000"/>
          <w:sz w:val="16"/>
        </w:rPr>
        <w:t>.</w:t>
      </w:r>
      <w:r>
        <w:rPr>
          <w:color w:val="000000"/>
        </w:rPr>
        <w:t xml:space="preserve"> </w:t>
      </w:r>
      <w:r>
        <w:rPr>
          <w:rFonts w:ascii="Arial;sans-serif" w:hAnsi="Arial;sans-serif"/>
          <w:b w:val="false"/>
          <w:color w:val="000000"/>
          <w:sz w:val="16"/>
        </w:rPr>
        <w:t>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lineRule="auto" w:line="240" w:before="240" w:after="283"/>
        <w:ind w:left="0" w:right="0" w:firstLine="1440"/>
        <w:jc w:val="both"/>
        <w:rPr/>
      </w:pPr>
      <w:r>
        <w:rPr>
          <w:rFonts w:ascii="Arial;sans-serif" w:hAnsi="Arial;sans-serif"/>
          <w:b w:val="false"/>
          <w:color w:val="000000"/>
          <w:sz w:val="16"/>
        </w:rPr>
        <w:t>I.</w:t>
      </w:r>
      <w:r>
        <w:rPr>
          <w:rFonts w:ascii="Arial;sans-serif" w:hAnsi="Arial;sans-serif"/>
          <w:b/>
          <w:i/>
          <w:color w:val="000000"/>
          <w:sz w:val="16"/>
        </w:rPr>
        <w:t>Signatures.</w:t>
      </w:r>
      <w:r>
        <w:rPr>
          <w:color w:val="000000"/>
        </w:rPr>
        <w:t xml:space="preserve"> </w:t>
      </w:r>
      <w:r>
        <w:rPr>
          <w:rFonts w:ascii="Arial;sans-serif" w:hAnsi="Arial;sans-serif"/>
          <w:b w:val="false"/>
          <w:color w:val="000000"/>
          <w:sz w:val="16"/>
        </w:rPr>
        <w:t>This Agreement may be signed in two counterparts, each of which shall be deemed an original, with the same force and effectiveness as though executed in a single document.</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14960"/>
                <wp:effectExtent l="0" t="0" r="0" b="0"/>
                <wp:wrapNone/>
                <wp:docPr id="46" name="Frame4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283"/>
        <w:ind w:left="0" w:right="0" w:firstLine="1440"/>
        <w:jc w:val="both"/>
        <w:rPr/>
      </w:pPr>
      <w:r>
        <w:rPr>
          <w:rFonts w:ascii="Arial;sans-serif" w:hAnsi="Arial;sans-serif"/>
          <w:b w:val="false"/>
          <w:color w:val="000000"/>
          <w:sz w:val="16"/>
        </w:rPr>
        <w:t>J.</w:t>
      </w:r>
      <w:r>
        <w:rPr>
          <w:rFonts w:ascii="Arial;sans-serif" w:hAnsi="Arial;sans-serif"/>
          <w:b/>
          <w:i/>
          <w:color w:val="000000"/>
          <w:sz w:val="16"/>
        </w:rPr>
        <w:t>Protected Activity Not Prohibited.</w:t>
      </w:r>
      <w:r>
        <w:rPr>
          <w:color w:val="000000"/>
        </w:rPr>
        <w:t xml:space="preserve"> </w:t>
      </w:r>
      <w:r>
        <w:rPr>
          <w:rFonts w:ascii="Arial;sans-serif" w:hAnsi="Arial;sans-serif"/>
          <w:b w:val="false"/>
          <w:color w:val="000000"/>
          <w:sz w:val="16"/>
        </w:rPr>
        <w:t>Advisor understands that nothing in this Agreement shall in any way limit or prohibit Advisor from engaging in any Protected Activity. For purposes of this Agreement, “</w:t>
      </w:r>
      <w:r>
        <w:rPr>
          <w:rFonts w:ascii="Arial;sans-serif" w:hAnsi="Arial;sans-serif"/>
          <w:b/>
          <w:i/>
          <w:color w:val="000000"/>
          <w:sz w:val="16"/>
        </w:rPr>
        <w:t>Protected Activity</w:t>
      </w:r>
      <w:r>
        <w:rPr>
          <w:color w:val="000000"/>
        </w:rPr>
        <w:t xml:space="preserve">” </w:t>
      </w:r>
      <w:r>
        <w:rPr>
          <w:rFonts w:ascii="Arial;sans-serif" w:hAnsi="Arial;sans-serif"/>
          <w:b w:val="false"/>
          <w:color w:val="000000"/>
          <w:sz w:val="16"/>
        </w:rPr>
        <w:t>shall mean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sans-serif" w:hAnsi="Arial;sans-serif"/>
          <w:b/>
          <w:i/>
          <w:color w:val="000000"/>
          <w:sz w:val="16"/>
        </w:rPr>
        <w:t>Government Agencies</w:t>
      </w:r>
      <w:r>
        <w:rPr>
          <w:color w:val="000000"/>
        </w:rPr>
        <w:t>”</w:t>
      </w:r>
      <w:r>
        <w:rPr>
          <w:rFonts w:ascii="Arial;sans-serif" w:hAnsi="Arial;sans-serif"/>
          <w:b w:val="false"/>
          <w:color w:val="000000"/>
          <w:sz w:val="16"/>
        </w:rPr>
        <w:t>). Advisor understands that in connection with such Protected Activity, Advisor is permitted to disclose documents or other information as permitted by law, and without giving notice to, or receiving authorization from, the Company. Notwithstanding the foregoing, Advisor agrees to take all reasonable precautions to prevent any unauthorized use or disclosure of any information that may constitute Company confidential information to any parties other than the Government Agencies. Advisor further understands that “</w:t>
      </w:r>
      <w:r>
        <w:rPr>
          <w:rFonts w:ascii="Arial;sans-serif" w:hAnsi="Arial;sans-serif"/>
          <w:b/>
          <w:i/>
          <w:color w:val="000000"/>
          <w:sz w:val="16"/>
        </w:rPr>
        <w:t>Protected Activity</w:t>
      </w:r>
      <w:r>
        <w:rPr>
          <w:color w:val="000000"/>
        </w:rPr>
        <w:t xml:space="preserve">” </w:t>
      </w:r>
      <w:r>
        <w:rPr>
          <w:rFonts w:ascii="Arial;sans-serif" w:hAnsi="Arial;sans-serif"/>
          <w:b w:val="false"/>
          <w:color w:val="000000"/>
          <w:sz w:val="16"/>
        </w:rPr>
        <w:t xml:space="preserve">does not include the disclosure of any Company attorney-client privileged communications or privileged attorney work product. Pursuant to the Defend Trade Secrets Act of 2016, Advisor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sans-serif" w:hAnsi="Arial;sans-serif"/>
          <w:b w:val="false"/>
          <w:i/>
          <w:color w:val="000000"/>
          <w:sz w:val="16"/>
        </w:rPr>
        <w:t>solely</w:t>
      </w:r>
      <w:r>
        <w:rPr>
          <w:color w:val="000000"/>
        </w:rPr>
        <w:t xml:space="preserve"> </w:t>
      </w:r>
      <w:r>
        <w:rPr>
          <w:rFonts w:ascii="Arial;sans-serif" w:hAnsi="Arial;sans-serif"/>
          <w:b w:val="false"/>
          <w:color w:val="000000"/>
          <w:sz w:val="16"/>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Advisor understands that nothing in this Agreement, including its definition of Confidential Information, limits Advisor’s rights to discuss or disclose Advisor’s compensation or the terms or conditions of Advisor’s service relationship with the Company, to the extent protected by applicable law, or otherwise impairs Advisor from assisting other Company current or former service providers in the exercise of their rights under applicable law.</w:t>
      </w:r>
    </w:p>
    <w:p>
      <w:pPr>
        <w:pStyle w:val="TextBody"/>
        <w:bidi w:val="0"/>
        <w:spacing w:lineRule="auto" w:line="240" w:before="240" w:after="283"/>
        <w:ind w:left="0" w:right="0" w:firstLine="1440"/>
        <w:jc w:val="both"/>
        <w:rPr/>
      </w:pPr>
      <w:r>
        <w:rPr>
          <w:rFonts w:ascii="Arial;sans-serif" w:hAnsi="Arial;sans-serif"/>
          <w:b w:val="false"/>
          <w:color w:val="000000"/>
          <w:sz w:val="16"/>
        </w:rPr>
        <w:t>K.</w:t>
      </w:r>
      <w:r>
        <w:rPr>
          <w:rFonts w:ascii="Arial;sans-serif" w:hAnsi="Arial;sans-serif"/>
          <w:b/>
          <w:i/>
          <w:color w:val="000000"/>
          <w:sz w:val="16"/>
        </w:rPr>
        <w:t>Cause</w:t>
      </w:r>
      <w:r>
        <w:rPr>
          <w:rFonts w:ascii="Arial;sans-serif" w:hAnsi="Arial;sans-serif"/>
          <w:b/>
          <w:color w:val="000000"/>
          <w:sz w:val="16"/>
        </w:rPr>
        <w:t xml:space="preserve">. </w:t>
      </w:r>
      <w:r>
        <w:rPr>
          <w:color w:val="000000"/>
        </w:rPr>
        <w:t>“</w:t>
      </w:r>
      <w:r>
        <w:rPr>
          <w:rFonts w:ascii="Arial;sans-serif" w:hAnsi="Arial;sans-serif"/>
          <w:b w:val="false"/>
          <w:color w:val="000000"/>
          <w:sz w:val="16"/>
        </w:rPr>
        <w:t>Cause” means</w:t>
      </w:r>
      <w:r>
        <w:rPr>
          <w:color w:val="000000"/>
        </w:rPr>
        <w:t xml:space="preserve"> </w:t>
      </w:r>
      <w:r>
        <w:rPr>
          <w:rFonts w:ascii="Arial;sans-serif" w:hAnsi="Arial;sans-serif"/>
          <w:b w:val="false"/>
          <w:color w:val="000000"/>
          <w:sz w:val="16"/>
        </w:rPr>
        <w:t>(i) Advisor willfully engaging in illegal or unethical conduct or in making statements or communications about the Company, its subsidiaries, or its officers or directors that are knowingly untrue or likely to be disparaging, in each case, that have been or are reasonably likely to be materially injurious to the business or reputation of the Company or its subsidiaries; (ii) Advisor’s willful violation of a federal or state law or regulation materially applicable to the Company’s business; (iii) Advisor’s material breach of the terms of any confidentiality agreement between Advisor and the Company or of this Agreement (including any breach of Section 4.C. of this Agreement); or (iv) Advisor being convicted of, or entering a plea of nolo contendere to, a felony (other than a traffic violation) or committing any act of fraud against, or the embezzlement, or misappropriation of material property belonging to, the Company or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14960"/>
                <wp:effectExtent l="0" t="0" r="0" b="0"/>
                <wp:wrapNone/>
                <wp:docPr id="47" name="Frame4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480" w:after="240"/>
        <w:jc w:val="both"/>
        <w:rPr>
          <w:rFonts w:ascii="Arial;sans-serif" w:hAnsi="Arial;sans-serif"/>
          <w:b/>
          <w:color w:val="000000"/>
          <w:sz w:val="16"/>
        </w:rPr>
      </w:pPr>
      <w:r>
        <w:rPr>
          <w:rFonts w:ascii="Arial;sans-serif" w:hAnsi="Arial;sans-serif"/>
          <w:b/>
          <w:color w:val="000000"/>
          <w:sz w:val="16"/>
        </w:rPr>
        <w:t>ADVISOR        RECURSION PHARMACEUTICALS, INC.</w:t>
      </w:r>
    </w:p>
    <w:p>
      <w:pPr>
        <w:pStyle w:val="TextBody"/>
        <w:bidi w:val="0"/>
        <w:spacing w:lineRule="auto" w:line="288" w:before="120" w:after="283"/>
        <w:jc w:val="both"/>
        <w:rPr/>
      </w:pPr>
      <w:r>
        <w:rPr>
          <w:rFonts w:ascii="Arial;sans-serif" w:hAnsi="Arial;sans-serif"/>
          <w:b w:val="false"/>
          <w:color w:val="000000"/>
          <w:sz w:val="16"/>
        </w:rPr>
        <w:t>By:    /s/ Christopher Gibson</w:t>
      </w:r>
      <w:r>
        <w:rPr>
          <w:color w:val="000000"/>
          <w:u w:val="single"/>
        </w:rPr>
        <w:t>    </w:t>
      </w:r>
      <w:r>
        <w:rPr>
          <w:color w:val="000000"/>
        </w:rPr>
        <w:t>    </w:t>
      </w:r>
      <w:r>
        <w:rPr>
          <w:rFonts w:ascii="Arial;sans-serif" w:hAnsi="Arial;sans-serif"/>
          <w:b w:val="false"/>
          <w:color w:val="000000"/>
          <w:sz w:val="16"/>
        </w:rPr>
        <w:t xml:space="preserve">By: /s/ Najat Kahn </w:t>
      </w:r>
      <w:r>
        <w:rPr>
          <w:color w:val="000000"/>
          <w:u w:val="single"/>
        </w:rPr>
        <w:t>        </w:t>
      </w:r>
    </w:p>
    <w:p>
      <w:pPr>
        <w:pStyle w:val="TextBody"/>
        <w:bidi w:val="0"/>
        <w:spacing w:lineRule="auto" w:line="288" w:before="120" w:after="283"/>
        <w:jc w:val="both"/>
        <w:rPr/>
      </w:pPr>
      <w:r>
        <w:rPr>
          <w:rFonts w:ascii="Arial;sans-serif" w:hAnsi="Arial;sans-serif"/>
          <w:b w:val="false"/>
          <w:color w:val="000000"/>
          <w:sz w:val="16"/>
        </w:rPr>
        <w:t xml:space="preserve">Name: </w:t>
      </w:r>
      <w:r>
        <w:rPr>
          <w:rFonts w:ascii="Arial;sans-serif" w:hAnsi="Arial;sans-serif"/>
          <w:b w:val="false"/>
          <w:color w:val="000000"/>
          <w:sz w:val="16"/>
          <w:u w:val="single"/>
        </w:rPr>
        <w:t>Christopher Gibson    </w:t>
      </w:r>
      <w:r>
        <w:rPr>
          <w:color w:val="000000"/>
        </w:rPr>
        <w:t>    </w:t>
      </w:r>
      <w:r>
        <w:rPr>
          <w:rFonts w:ascii="Arial;sans-serif" w:hAnsi="Arial;sans-serif"/>
          <w:b w:val="false"/>
          <w:color w:val="000000"/>
          <w:sz w:val="16"/>
        </w:rPr>
        <w:t xml:space="preserve">Name: </w:t>
      </w:r>
      <w:r>
        <w:rPr>
          <w:rFonts w:ascii="Arial;sans-serif" w:hAnsi="Arial;sans-serif"/>
          <w:b w:val="false"/>
          <w:color w:val="000000"/>
          <w:sz w:val="16"/>
          <w:u w:val="single"/>
        </w:rPr>
        <w:t>Najat Khan        </w:t>
      </w:r>
    </w:p>
    <w:p>
      <w:pPr>
        <w:pStyle w:val="TextBody"/>
        <w:bidi w:val="0"/>
        <w:spacing w:lineRule="auto" w:line="288" w:before="120" w:after="283"/>
        <w:jc w:val="both"/>
        <w:rPr/>
      </w:pPr>
      <w:r>
        <w:rPr>
          <w:rFonts w:ascii="Arial;sans-serif" w:hAnsi="Arial;sans-serif"/>
          <w:b w:val="false"/>
          <w:color w:val="000000"/>
          <w:sz w:val="16"/>
        </w:rPr>
        <w:t xml:space="preserve">Title: </w:t>
      </w:r>
      <w:r>
        <w:rPr>
          <w:rFonts w:ascii="Arial;sans-serif" w:hAnsi="Arial;sans-serif"/>
          <w:b w:val="false"/>
          <w:color w:val="000000"/>
          <w:sz w:val="16"/>
          <w:u w:val="single"/>
        </w:rPr>
        <w:t>Advisor to CEO    </w:t>
      </w:r>
      <w:r>
        <w:rPr>
          <w:color w:val="000000"/>
        </w:rPr>
        <w:t>    </w:t>
      </w:r>
      <w:r>
        <w:rPr>
          <w:rFonts w:ascii="Arial;sans-serif" w:hAnsi="Arial;sans-serif"/>
          <w:b w:val="false"/>
          <w:color w:val="000000"/>
          <w:sz w:val="16"/>
        </w:rPr>
        <w:t xml:space="preserve">Title: </w:t>
      </w:r>
      <w:r>
        <w:rPr>
          <w:rFonts w:ascii="Arial;sans-serif" w:hAnsi="Arial;sans-serif"/>
          <w:b w:val="false"/>
          <w:color w:val="000000"/>
          <w:sz w:val="16"/>
          <w:u w:val="single"/>
        </w:rPr>
        <w:t>Chief Executive Officer    </w:t>
      </w:r>
    </w:p>
    <w:p>
      <w:pPr>
        <w:pStyle w:val="TextBody"/>
        <w:bidi w:val="0"/>
        <w:spacing w:before="120" w:after="283"/>
        <w:jc w:val="both"/>
        <w:rPr/>
      </w:pPr>
      <w:r>
        <w:rPr/>
      </w:r>
    </w:p>
    <w:p>
      <w:pPr>
        <w:pStyle w:val="TextBody"/>
        <w:bidi w:val="0"/>
        <w:spacing w:lineRule="auto" w:line="288" w:before="120" w:after="283"/>
        <w:jc w:val="both"/>
        <w:rPr/>
      </w:pPr>
      <w:r>
        <w:rPr>
          <w:rFonts w:ascii="Arial;sans-serif" w:hAnsi="Arial;sans-serif"/>
          <w:b w:val="false"/>
          <w:color w:val="000000"/>
          <w:sz w:val="16"/>
        </w:rPr>
        <w:t>Date:    April 30, 2026</w:t>
      </w:r>
      <w:r>
        <w:rPr>
          <w:color w:val="000000"/>
          <w:u w:val="single"/>
        </w:rPr>
        <w:t>    </w:t>
      </w:r>
      <w:r>
        <w:rPr>
          <w:color w:val="000000"/>
        </w:rPr>
        <w:t xml:space="preserve">         </w:t>
      </w:r>
      <w:r>
        <w:rPr>
          <w:rFonts w:ascii="Arial;sans-serif" w:hAnsi="Arial;sans-serif"/>
          <w:b w:val="false"/>
          <w:color w:val="000000"/>
          <w:sz w:val="16"/>
        </w:rPr>
        <w:t xml:space="preserve">Date: April 30, 2026 </w:t>
      </w:r>
      <w:r>
        <w:rPr>
          <w:color w:val="000000"/>
          <w:u w:val="single"/>
        </w:rPr>
        <w:t xml:space="preserve">         </w:t>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 xml:space="preserve">Email Address for Notice: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EXHIBIT A</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SERVICES AND COMPENSATION</w:t>
      </w:r>
    </w:p>
    <w:p>
      <w:pPr>
        <w:pStyle w:val="TextBody"/>
        <w:bidi w:val="0"/>
        <w:spacing w:lineRule="auto" w:line="240" w:before="240" w:after="283"/>
        <w:ind w:left="0" w:right="0" w:firstLine="720"/>
        <w:jc w:val="both"/>
        <w:rPr/>
      </w:pPr>
      <w:r>
        <w:rPr>
          <w:rFonts w:ascii="Arial;sans-serif" w:hAnsi="Arial;sans-serif"/>
          <w:b w:val="false"/>
          <w:color w:val="000000"/>
          <w:sz w:val="16"/>
        </w:rPr>
        <w:t>1.</w:t>
      </w:r>
      <w:r>
        <w:rPr>
          <w:rFonts w:ascii="Arial;sans-serif" w:hAnsi="Arial;sans-serif"/>
          <w:b/>
          <w:i/>
          <w:color w:val="000000"/>
          <w:sz w:val="16"/>
        </w:rPr>
        <w:t>Contact</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Advisor’s principal Company contact:</w:t>
      </w:r>
    </w:p>
    <w:p>
      <w:pPr>
        <w:pStyle w:val="TextBody"/>
        <w:bidi w:val="0"/>
        <w:spacing w:lineRule="auto" w:line="288" w:before="240" w:after="283"/>
        <w:jc w:val="both"/>
        <w:rPr/>
      </w:pPr>
      <w:r>
        <w:rPr>
          <w:rFonts w:ascii="Arial;sans-serif" w:hAnsi="Arial;sans-serif"/>
          <w:b w:val="false"/>
          <w:color w:val="000000"/>
          <w:sz w:val="16"/>
        </w:rPr>
        <w:t xml:space="preserve">Name: </w:t>
      </w:r>
      <w:r>
        <w:rPr>
          <w:rFonts w:ascii="Arial;sans-serif" w:hAnsi="Arial;sans-serif"/>
          <w:b w:val="false"/>
          <w:color w:val="000000"/>
          <w:sz w:val="16"/>
          <w:u w:val="single"/>
        </w:rPr>
        <w:t>Najat Khan    </w:t>
      </w:r>
    </w:p>
    <w:p>
      <w:pPr>
        <w:pStyle w:val="TextBody"/>
        <w:bidi w:val="0"/>
        <w:spacing w:lineRule="auto" w:line="288" w:before="240" w:after="283"/>
        <w:jc w:val="both"/>
        <w:rPr/>
      </w:pPr>
      <w:r>
        <w:rPr>
          <w:rFonts w:ascii="Arial;sans-serif" w:hAnsi="Arial;sans-serif"/>
          <w:b w:val="false"/>
          <w:color w:val="000000"/>
          <w:sz w:val="16"/>
        </w:rPr>
        <w:t xml:space="preserve">Title: </w:t>
      </w:r>
      <w:r>
        <w:rPr>
          <w:rFonts w:ascii="Arial;sans-serif" w:hAnsi="Arial;sans-serif"/>
          <w:b w:val="false"/>
          <w:color w:val="000000"/>
          <w:sz w:val="16"/>
          <w:u w:val="single"/>
        </w:rPr>
        <w:t>Chief Executive Officer    </w:t>
      </w:r>
    </w:p>
    <w:p>
      <w:pPr>
        <w:pStyle w:val="TextBody"/>
        <w:bidi w:val="0"/>
        <w:spacing w:lineRule="auto" w:line="240" w:before="240" w:after="283"/>
        <w:ind w:left="0" w:right="0" w:firstLine="720"/>
        <w:jc w:val="both"/>
        <w:rPr/>
      </w:pPr>
      <w:r>
        <w:rPr>
          <w:rFonts w:ascii="Arial;sans-serif" w:hAnsi="Arial;sans-serif"/>
          <w:b w:val="false"/>
          <w:color w:val="000000"/>
          <w:sz w:val="16"/>
        </w:rPr>
        <w:t>2.</w:t>
      </w:r>
      <w:r>
        <w:rPr>
          <w:rFonts w:ascii="Arial;sans-serif" w:hAnsi="Arial;sans-serif"/>
          <w:b/>
          <w:i/>
          <w:color w:val="000000"/>
          <w:sz w:val="16"/>
        </w:rPr>
        <w:t>Services</w:t>
      </w:r>
      <w:r>
        <w:rPr>
          <w:rFonts w:ascii="Arial;sans-serif" w:hAnsi="Arial;sans-serif"/>
          <w:b w:val="false"/>
          <w:color w:val="000000"/>
          <w:sz w:val="16"/>
        </w:rPr>
        <w:t xml:space="preserve">. The Services will include, but will not be limited to, the following: </w:t>
      </w:r>
    </w:p>
    <w:p>
      <w:pPr>
        <w:pStyle w:val="TextBody"/>
        <w:bidi w:val="0"/>
        <w:spacing w:lineRule="auto" w:line="288" w:before="240" w:after="283"/>
        <w:ind w:left="0" w:right="0" w:hanging="360"/>
        <w:jc w:val="both"/>
        <w:rPr/>
      </w:pPr>
      <w:r>
        <w:rPr>
          <w:rFonts w:ascii="Times New Roman;serif" w:hAnsi="Times New Roman;serif"/>
          <w:b w:val="false"/>
          <w:color w:val="000000"/>
          <w:sz w:val="16"/>
        </w:rPr>
        <w:t>1.</w:t>
      </w:r>
      <w:r>
        <w:rPr>
          <w:rFonts w:ascii="Arial;sans-serif" w:hAnsi="Arial;sans-serif"/>
          <w:b w:val="false"/>
          <w:color w:val="000000"/>
          <w:sz w:val="16"/>
        </w:rPr>
        <w:t>Serving as trusted advisor and thought partner to the Company’s Chief Executive Officer on long-term vision and strategic priorities, including providing perspective, as requested by the Company’s Chief Executive Officer, on major strategic decisions of the Company;</w:t>
      </w:r>
    </w:p>
    <w:p>
      <w:pPr>
        <w:pStyle w:val="TextBody"/>
        <w:bidi w:val="0"/>
        <w:spacing w:lineRule="auto" w:line="288" w:before="240" w:after="283"/>
        <w:ind w:left="0" w:right="0" w:hanging="360"/>
        <w:jc w:val="both"/>
        <w:rPr/>
      </w:pPr>
      <w:r>
        <w:rPr>
          <w:rFonts w:ascii="Times New Roman;serif" w:hAnsi="Times New Roman;serif"/>
          <w:b w:val="false"/>
          <w:color w:val="000000"/>
          <w:sz w:val="16"/>
        </w:rPr>
        <w:t>2.</w:t>
      </w:r>
      <w:r>
        <w:rPr>
          <w:rFonts w:ascii="Arial;sans-serif" w:hAnsi="Arial;sans-serif"/>
          <w:b w:val="false"/>
          <w:color w:val="000000"/>
          <w:sz w:val="16"/>
        </w:rPr>
        <w:t>Participating in select initiatives identified by the Company’s Chief Executive Officer, such as strategic partnerships, business development opportunities, or technology collaborations;</w:t>
      </w:r>
    </w:p>
    <w:p>
      <w:pPr>
        <w:pStyle w:val="TextBody"/>
        <w:bidi w:val="0"/>
        <w:spacing w:lineRule="auto" w:line="288" w:before="240" w:after="283"/>
        <w:ind w:left="0" w:right="0" w:hanging="360"/>
        <w:jc w:val="both"/>
        <w:rPr/>
      </w:pPr>
      <w:r>
        <w:rPr>
          <w:rFonts w:ascii="Times New Roman;serif" w:hAnsi="Times New Roman;serif"/>
          <w:b w:val="false"/>
          <w:color w:val="000000"/>
          <w:sz w:val="16"/>
        </w:rPr>
        <w:t>3.</w:t>
      </w:r>
      <w:r>
        <w:rPr>
          <w:rFonts w:ascii="Arial;sans-serif" w:hAnsi="Arial;sans-serif"/>
          <w:b w:val="false"/>
          <w:color w:val="000000"/>
          <w:sz w:val="16"/>
        </w:rPr>
        <w:t>In coordination with the Company’s Chief Executive Officer, participating in internal or external events or thought leadership forums (e.g., company-wide TechBio Symposium) that serve to reinforce the Company’s longstanding scientific mission and culture of innovation; and</w:t>
      </w:r>
    </w:p>
    <w:p>
      <w:pPr>
        <w:pStyle w:val="TextBody"/>
        <w:bidi w:val="0"/>
        <w:spacing w:lineRule="auto" w:line="288" w:before="240" w:after="283"/>
        <w:ind w:left="0" w:right="0" w:hanging="360"/>
        <w:jc w:val="both"/>
        <w:rPr/>
      </w:pPr>
      <w:r>
        <w:rPr>
          <w:rFonts w:ascii="Times New Roman;serif" w:hAnsi="Times New Roman;serif"/>
          <w:b w:val="false"/>
          <w:color w:val="000000"/>
          <w:sz w:val="16"/>
        </w:rPr>
        <w:t>4.</w:t>
      </w:r>
      <w:r>
        <w:rPr>
          <w:rFonts w:ascii="Arial;sans-serif" w:hAnsi="Arial;sans-serif"/>
          <w:b w:val="false"/>
          <w:color w:val="000000"/>
          <w:sz w:val="16"/>
        </w:rPr>
        <w:t>Such other duties and responsibilities mutually agreed between the Company’s Chief Executive Officer and Advisor.</w:t>
      </w:r>
    </w:p>
    <w:p>
      <w:pPr>
        <w:pStyle w:val="TextBody"/>
        <w:bidi w:val="0"/>
        <w:spacing w:lineRule="auto" w:line="240" w:before="240" w:after="283"/>
        <w:ind w:left="0" w:right="0" w:firstLine="720"/>
        <w:jc w:val="both"/>
        <w:rPr/>
      </w:pPr>
      <w:r>
        <w:rPr>
          <w:rFonts w:ascii="Arial;sans-serif" w:hAnsi="Arial;sans-serif"/>
          <w:b w:val="false"/>
          <w:color w:val="000000"/>
          <w:sz w:val="16"/>
        </w:rPr>
        <w:t>5.</w:t>
      </w:r>
      <w:r>
        <w:rPr>
          <w:rFonts w:ascii="Arial;sans-serif" w:hAnsi="Arial;sans-serif"/>
          <w:b/>
          <w:i/>
          <w:color w:val="000000"/>
          <w:sz w:val="16"/>
        </w:rPr>
        <w:t>Compensation.</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val="false"/>
          <w:color w:val="000000"/>
          <w:sz w:val="16"/>
        </w:rPr>
        <w:t>Each equity award previously granted to Advisor by the Company that is outstanding immediately prior to the Effective Date (each, an “</w:t>
      </w:r>
      <w:r>
        <w:rPr>
          <w:rFonts w:ascii="Arial;sans-serif" w:hAnsi="Arial;sans-serif"/>
          <w:b/>
          <w:i/>
          <w:color w:val="000000"/>
          <w:sz w:val="16"/>
        </w:rPr>
        <w:t>Equity Award</w:t>
      </w:r>
      <w:r>
        <w:rPr>
          <w:color w:val="000000"/>
        </w:rPr>
        <w:t>”</w:t>
      </w:r>
      <w:r>
        <w:rPr>
          <w:rFonts w:ascii="Arial;sans-serif" w:hAnsi="Arial;sans-serif"/>
          <w:b w:val="false"/>
          <w:color w:val="000000"/>
          <w:sz w:val="16"/>
        </w:rPr>
        <w:t>) shall continue to vest in accordance with the terms and conditions of the applicable equity plan under which such Equity Award was granted and the award agreement between the Company and Advisor evidencing such Equity Award, subject to the Advisor’s providing service under this Agreement and/or on the Board.</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val="false"/>
          <w:color w:val="000000"/>
          <w:sz w:val="16"/>
        </w:rPr>
        <w:t>If Advisor elects continuation coverage under the Consolidated Omnibus Budget Reconciliation Act of 1985, as amended (“</w:t>
      </w:r>
      <w:r>
        <w:rPr>
          <w:rFonts w:ascii="Arial;sans-serif" w:hAnsi="Arial;sans-serif"/>
          <w:b/>
          <w:i/>
          <w:color w:val="000000"/>
          <w:sz w:val="16"/>
        </w:rPr>
        <w:t>COBRA</w:t>
      </w:r>
      <w:r>
        <w:rPr>
          <w:color w:val="000000"/>
        </w:rPr>
        <w:t>”</w:t>
      </w:r>
      <w:r>
        <w:rPr>
          <w:rFonts w:ascii="Arial;sans-serif" w:hAnsi="Arial;sans-serif"/>
          <w:b w:val="false"/>
          <w:color w:val="000000"/>
          <w:sz w:val="16"/>
        </w:rPr>
        <w:t>), within the time period prescribed pursuant to COBRA for Advisor and Advisor’s eligible dependents, if applicable, the Company will pay, by remitting payment directly to the COBRA administrator, the premiums necessary to continue group health insurance benefits for Advisor and Advisor’s eligible dependents until the earlier of (i) the date the Company has paid an amount totaling twelve (12) months of COBRA Payments (inclusive of any COBRA Payments made under the Original Agreement) (as defined in this Section 3.B.) and (ii) the date upon which Advisor and/or Advisor’s eligible dependents cease(s) to be eligible for coverage under COBRA (such payments, the “</w:t>
      </w:r>
      <w:r>
        <w:rPr>
          <w:rFonts w:ascii="Arial;sans-serif" w:hAnsi="Arial;sans-serif"/>
          <w:b/>
          <w:i/>
          <w:color w:val="000000"/>
          <w:sz w:val="16"/>
        </w:rPr>
        <w:t>COBRA Payments</w:t>
      </w:r>
      <w:r>
        <w:rPr>
          <w:color w:val="000000"/>
        </w:rPr>
        <w:t>”</w:t>
      </w:r>
      <w:r>
        <w:rPr>
          <w:rFonts w:ascii="Arial;sans-serif" w:hAnsi="Arial;sans-serif"/>
          <w:b w:val="false"/>
          <w:color w:val="000000"/>
          <w:sz w:val="16"/>
        </w:rPr>
        <w:t>). However, if the Company determines in its sole discretion that it cannot provide the COBRA Payments without potentially violating, or being subject to an excise tax under, applicable law (including, without limitation, Section 2716 of the Public Health Service Act), the Company will in lieu thereof provide to Advisor a taxable monthly payment, payable on the last day of a given month (except as provided by the last sentence of this Section 3.B.), in an amount equal to the monthly COBRA premium that Advisor would be required to pay to continue the group health coverage for Advisor and/or Advisor’s eligible dependents in effect on the date of the termination of Advisor’s employment with the Company (the “</w:t>
      </w:r>
      <w:r>
        <w:rPr>
          <w:rFonts w:ascii="Arial;sans-serif" w:hAnsi="Arial;sans-serif"/>
          <w:b/>
          <w:i/>
          <w:color w:val="000000"/>
          <w:sz w:val="16"/>
        </w:rPr>
        <w:t>Separation Date</w:t>
      </w:r>
      <w:r>
        <w:rPr>
          <w:color w:val="000000"/>
        </w:rPr>
        <w:t>”</w:t>
      </w:r>
      <w:r>
        <w:rPr>
          <w:rFonts w:ascii="Arial;sans-serif" w:hAnsi="Arial;sans-serif"/>
          <w:b w:val="false"/>
          <w:color w:val="000000"/>
          <w:sz w:val="16"/>
        </w:rPr>
        <w:t>) (which amount will be based on the premium for the first month of COBRA continuation coverage and each, a “</w:t>
      </w:r>
      <w:r>
        <w:rPr>
          <w:rFonts w:ascii="Arial;sans-serif" w:hAnsi="Arial;sans-serif"/>
          <w:b/>
          <w:i/>
          <w:color w:val="000000"/>
          <w:sz w:val="16"/>
        </w:rPr>
        <w:t>COBRA Replacement Payment</w:t>
      </w:r>
      <w:r>
        <w:rPr>
          <w:color w:val="000000"/>
        </w:rPr>
        <w:t>”</w:t>
      </w:r>
      <w:r>
        <w:rPr>
          <w:rFonts w:ascii="Arial;sans-serif" w:hAnsi="Arial;sans-serif"/>
          <w:b w:val="false"/>
          <w:color w:val="000000"/>
          <w:sz w:val="16"/>
        </w:rPr>
        <w:t xml:space="preserve">), which COBRA Replacement Payments will be made regardless of whether Advisor and/or Advisor’s eligible dependents elect COBRA continuation coverage and will commence on the month following the Advisor’s Separation Date and will end on the date the Company has paid an amount totaling twelve (12) months of COBRA Replacement Payments (inclusive of any COBRA Replacement Payments made under the Original Agreement). For the avoidance of doubt, the COBRA Replacement Payments may be used for any purpose, including, but not limited to continuation coverage under COBRA, and will be subject to all applicable tax withholdings. </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val="false"/>
          <w:color w:val="000000"/>
          <w:sz w:val="16"/>
        </w:rPr>
        <w:t xml:space="preserve">Advisor acknowledges and agrees that he is not entitled to receive any payments, compensation or benefits under the Company Executive Change in Control and Severance Plan or any other plan, arrangement or agreement providing for severance or termination benefits with the Company.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720"/>
        <w:jc w:val="both"/>
        <w:rPr/>
      </w:pPr>
      <w:r>
        <w:rPr>
          <w:rFonts w:ascii="Arial;sans-serif" w:hAnsi="Arial;sans-serif"/>
          <w:b w:val="false"/>
          <w:color w:val="000000"/>
          <w:sz w:val="16"/>
        </w:rPr>
        <w:t xml:space="preserve">This </w:t>
      </w:r>
      <w:r>
        <w:rPr>
          <w:rFonts w:ascii="Arial;sans-serif" w:hAnsi="Arial;sans-serif"/>
          <w:b/>
          <w:color w:val="000000"/>
          <w:sz w:val="16"/>
        </w:rPr>
        <w:t>Exhibit A</w:t>
      </w:r>
      <w:r>
        <w:rPr>
          <w:color w:val="000000"/>
        </w:rPr>
        <w:t xml:space="preserve"> </w:t>
      </w:r>
      <w:r>
        <w:rPr>
          <w:rFonts w:ascii="Arial;sans-serif" w:hAnsi="Arial;sans-serif"/>
          <w:b w:val="false"/>
          <w:color w:val="000000"/>
          <w:sz w:val="16"/>
        </w:rPr>
        <w:t xml:space="preserve">is accepted and agreed upon as of </w:t>
      </w:r>
      <w:r>
        <w:rPr>
          <w:color w:val="000000"/>
          <w:u w:val="single"/>
        </w:rPr>
        <w:t>    </w:t>
      </w:r>
      <w:r>
        <w:rPr>
          <w:rFonts w:ascii="Arial;sans-serif" w:hAnsi="Arial;sans-serif"/>
          <w:b w:val="false"/>
          <w:color w:val="000000"/>
          <w:sz w:val="16"/>
          <w:u w:val="single"/>
        </w:rPr>
        <w:t>April 30,        </w:t>
      </w:r>
      <w:r>
        <w:rPr>
          <w:rFonts w:ascii="Arial;sans-serif" w:hAnsi="Arial;sans-serif"/>
          <w:b w:val="false"/>
          <w:color w:val="000000"/>
          <w:sz w:val="16"/>
        </w:rPr>
        <w:t>, 2026.</w:t>
      </w:r>
    </w:p>
    <w:p>
      <w:pPr>
        <w:pStyle w:val="TextBody"/>
        <w:bidi w:val="0"/>
        <w:spacing w:lineRule="auto" w:line="288" w:before="480" w:after="240"/>
        <w:jc w:val="both"/>
        <w:rPr>
          <w:rFonts w:ascii="Arial;sans-serif" w:hAnsi="Arial;sans-serif"/>
          <w:b/>
          <w:color w:val="000000"/>
          <w:sz w:val="16"/>
        </w:rPr>
      </w:pPr>
      <w:r>
        <w:rPr>
          <w:rFonts w:ascii="Arial;sans-serif" w:hAnsi="Arial;sans-serif"/>
          <w:b/>
          <w:color w:val="000000"/>
          <w:sz w:val="16"/>
        </w:rPr>
        <w:t>ADVISOR        RECURSION PHARMACEUTICALS, INC.</w:t>
      </w:r>
    </w:p>
    <w:p>
      <w:pPr>
        <w:pStyle w:val="TextBody"/>
        <w:bidi w:val="0"/>
        <w:spacing w:lineRule="auto" w:line="288" w:before="240" w:after="283"/>
        <w:jc w:val="both"/>
        <w:rPr/>
      </w:pPr>
      <w:r>
        <w:rPr>
          <w:rFonts w:ascii="Arial;sans-serif" w:hAnsi="Arial;sans-serif"/>
          <w:b w:val="false"/>
          <w:color w:val="000000"/>
          <w:sz w:val="16"/>
        </w:rPr>
        <w:t>By:    /s/ Christopher Gibson</w:t>
      </w:r>
      <w:r>
        <w:rPr>
          <w:color w:val="000000"/>
          <w:u w:val="single"/>
        </w:rPr>
        <w:t>    </w:t>
      </w:r>
      <w:r>
        <w:rPr>
          <w:color w:val="000000"/>
        </w:rPr>
        <w:t>    </w:t>
      </w:r>
      <w:r>
        <w:rPr>
          <w:rFonts w:ascii="Arial;sans-serif" w:hAnsi="Arial;sans-serif"/>
          <w:b w:val="false"/>
          <w:color w:val="000000"/>
          <w:sz w:val="16"/>
        </w:rPr>
        <w:t>By:    /s/ Najat Khan</w:t>
      </w:r>
      <w:r>
        <w:rPr>
          <w:color w:val="000000"/>
          <w:u w:val="single"/>
        </w:rPr>
        <w:t>    </w:t>
      </w:r>
    </w:p>
    <w:p>
      <w:pPr>
        <w:pStyle w:val="TextBody"/>
        <w:bidi w:val="0"/>
        <w:spacing w:lineRule="auto" w:line="288" w:before="240" w:after="283"/>
        <w:jc w:val="both"/>
        <w:rPr/>
      </w:pPr>
      <w:r>
        <w:rPr>
          <w:rFonts w:ascii="Arial;sans-serif" w:hAnsi="Arial;sans-serif"/>
          <w:b w:val="false"/>
          <w:color w:val="000000"/>
          <w:sz w:val="16"/>
        </w:rPr>
        <w:t xml:space="preserve">Name: </w:t>
      </w:r>
      <w:r>
        <w:rPr>
          <w:rFonts w:ascii="Arial;sans-serif" w:hAnsi="Arial;sans-serif"/>
          <w:b w:val="false"/>
          <w:color w:val="000000"/>
          <w:sz w:val="16"/>
          <w:u w:val="single"/>
        </w:rPr>
        <w:t>Christopher Gibson    </w:t>
      </w:r>
      <w:r>
        <w:rPr>
          <w:color w:val="000000"/>
        </w:rPr>
        <w:t>    </w:t>
      </w:r>
      <w:r>
        <w:rPr>
          <w:rFonts w:ascii="Arial;sans-serif" w:hAnsi="Arial;sans-serif"/>
          <w:b w:val="false"/>
          <w:color w:val="000000"/>
          <w:sz w:val="16"/>
        </w:rPr>
        <w:t xml:space="preserve">Name: </w:t>
      </w:r>
      <w:r>
        <w:rPr>
          <w:rFonts w:ascii="Arial;sans-serif" w:hAnsi="Arial;sans-serif"/>
          <w:b w:val="false"/>
          <w:color w:val="000000"/>
          <w:sz w:val="16"/>
          <w:u w:val="single"/>
        </w:rPr>
        <w:t>Najat Khan    </w:t>
      </w:r>
    </w:p>
    <w:p>
      <w:pPr>
        <w:pStyle w:val="TextBody"/>
        <w:bidi w:val="0"/>
        <w:spacing w:lineRule="auto" w:line="288" w:before="240" w:after="283"/>
        <w:jc w:val="both"/>
        <w:rPr/>
      </w:pPr>
      <w:r>
        <w:rPr>
          <w:color w:val="000000"/>
        </w:rPr>
        <w:t>            </w:t>
      </w:r>
      <w:r>
        <w:rPr>
          <w:rFonts w:ascii="Arial;sans-serif" w:hAnsi="Arial;sans-serif"/>
          <w:b w:val="false"/>
          <w:color w:val="000000"/>
          <w:sz w:val="16"/>
        </w:rPr>
        <w:t xml:space="preserve">Title: </w:t>
      </w:r>
      <w:r>
        <w:rPr>
          <w:color w:val="000000"/>
          <w:u w:val="single"/>
        </w:rPr>
        <w:t>    </w:t>
      </w:r>
      <w:r>
        <w:rPr>
          <w:rFonts w:ascii="Arial;sans-serif" w:hAnsi="Arial;sans-serif"/>
          <w:b w:val="false"/>
          <w:color w:val="000000"/>
          <w:sz w:val="16"/>
          <w:u w:val="single"/>
        </w:rPr>
        <w:t>Chief Executive Officer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00"/>
        <w:jc w:val="left"/>
        <w:rPr>
          <w:color w:val="000000"/>
        </w:rPr>
      </w:pPr>
      <w:r>
        <w:rPr>
          <w:color w:val="000000"/>
        </w:rPr>
        <w:t>    </w:t>
      </w:r>
      <w:r>
        <w:rPr>
          <w:rFonts w:ascii="Arial;sans-serif" w:hAnsi="Arial;sans-serif"/>
          <w:b/>
          <w:color w:val="000000"/>
          <w:sz w:val="16"/>
        </w:rPr>
        <w:t>ADVISORY AGREEMENT    EXHIBIT 10.3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40" w:before="240" w:after="283"/>
        <w:jc w:val="both"/>
        <w:rPr/>
      </w:pPr>
      <w:r>
        <w:rPr>
          <w:rFonts w:ascii="Arial;sans-serif" w:hAnsi="Arial;sans-serif"/>
          <w:b w:val="false"/>
          <w:color w:val="000000"/>
          <w:sz w:val="16"/>
        </w:rPr>
        <w:t>This Advisory Agreement (this “</w:t>
      </w:r>
      <w:r>
        <w:rPr>
          <w:rFonts w:ascii="Arial;sans-serif" w:hAnsi="Arial;sans-serif"/>
          <w:b/>
          <w:i/>
          <w:color w:val="000000"/>
          <w:sz w:val="16"/>
        </w:rPr>
        <w:t>Agreement</w:t>
      </w:r>
      <w:r>
        <w:rPr>
          <w:color w:val="000000"/>
        </w:rPr>
        <w:t>”</w:t>
      </w:r>
      <w:r>
        <w:rPr>
          <w:rFonts w:ascii="Arial;sans-serif" w:hAnsi="Arial;sans-serif"/>
          <w:b w:val="false"/>
          <w:color w:val="000000"/>
          <w:sz w:val="16"/>
        </w:rPr>
        <w:t>) is made and entered into as of April 17, 2026 (the “</w:t>
      </w:r>
      <w:r>
        <w:rPr>
          <w:rFonts w:ascii="Arial;sans-serif" w:hAnsi="Arial;sans-serif"/>
          <w:b/>
          <w:i/>
          <w:color w:val="000000"/>
          <w:sz w:val="16"/>
        </w:rPr>
        <w:t>Effective Date</w:t>
      </w:r>
      <w:r>
        <w:rPr>
          <w:color w:val="000000"/>
        </w:rPr>
        <w:t>”</w:t>
      </w:r>
      <w:r>
        <w:rPr>
          <w:rFonts w:ascii="Arial;sans-serif" w:hAnsi="Arial;sans-serif"/>
          <w:b w:val="false"/>
          <w:color w:val="000000"/>
          <w:sz w:val="16"/>
        </w:rPr>
        <w:t>) by and between</w:t>
      </w:r>
      <w:r>
        <w:rPr>
          <w:color w:val="000000"/>
        </w:rPr>
        <w:t xml:space="preserve"> </w:t>
      </w:r>
      <w:r>
        <w:rPr>
          <w:rFonts w:ascii="Arial;sans-serif" w:hAnsi="Arial;sans-serif"/>
          <w:b w:val="false"/>
          <w:color w:val="000000"/>
          <w:sz w:val="16"/>
        </w:rPr>
        <w:t>Recursion Pharmaceuticals, Inc. (the “</w:t>
      </w:r>
      <w:r>
        <w:rPr>
          <w:rFonts w:ascii="Arial;sans-serif" w:hAnsi="Arial;sans-serif"/>
          <w:b/>
          <w:i/>
          <w:color w:val="000000"/>
          <w:sz w:val="16"/>
        </w:rPr>
        <w:t>Company</w:t>
      </w:r>
      <w:r>
        <w:rPr>
          <w:color w:val="000000"/>
        </w:rPr>
        <w:t>”</w:t>
      </w:r>
      <w:r>
        <w:rPr>
          <w:rFonts w:ascii="Arial;sans-serif" w:hAnsi="Arial;sans-serif"/>
          <w:b w:val="false"/>
          <w:color w:val="000000"/>
          <w:sz w:val="16"/>
        </w:rPr>
        <w:t>), and David Mauro, M.D., Ph.D. (“</w:t>
      </w:r>
      <w:r>
        <w:rPr>
          <w:rFonts w:ascii="Arial;sans-serif" w:hAnsi="Arial;sans-serif"/>
          <w:b/>
          <w:i/>
          <w:color w:val="000000"/>
          <w:sz w:val="16"/>
        </w:rPr>
        <w:t>Advisor</w:t>
      </w:r>
      <w:r>
        <w:rPr>
          <w:color w:val="000000"/>
        </w:rPr>
        <w:t>”</w:t>
      </w:r>
      <w:r>
        <w:rPr>
          <w:rFonts w:ascii="Arial;sans-serif" w:hAnsi="Arial;sans-serif"/>
          <w:b w:val="false"/>
          <w:color w:val="000000"/>
          <w:sz w:val="16"/>
        </w:rPr>
        <w:t>) (each herein referred to individually as a “</w:t>
      </w:r>
      <w:r>
        <w:rPr>
          <w:rFonts w:ascii="Arial;sans-serif" w:hAnsi="Arial;sans-serif"/>
          <w:b/>
          <w:i/>
          <w:color w:val="000000"/>
          <w:sz w:val="16"/>
        </w:rPr>
        <w:t>Party</w:t>
      </w:r>
      <w:r>
        <w:rPr>
          <w:rFonts w:ascii="Arial;sans-serif" w:hAnsi="Arial;sans-serif"/>
          <w:b w:val="false"/>
          <w:color w:val="000000"/>
          <w:sz w:val="16"/>
        </w:rPr>
        <w:t>,” or collectively as the “</w:t>
      </w:r>
      <w:r>
        <w:rPr>
          <w:rFonts w:ascii="Arial;sans-serif" w:hAnsi="Arial;sans-serif"/>
          <w:b/>
          <w:i/>
          <w:color w:val="000000"/>
          <w:sz w:val="16"/>
        </w:rPr>
        <w:t>Parties</w:t>
      </w:r>
      <w:r>
        <w:rPr>
          <w:color w:val="000000"/>
        </w:rPr>
        <w:t>”</w:t>
      </w:r>
      <w:r>
        <w:rPr>
          <w:rFonts w:ascii="Arial;sans-serif" w:hAnsi="Arial;sans-serif"/>
          <w:b w:val="false"/>
          <w:color w:val="000000"/>
          <w:sz w:val="16"/>
        </w:rPr>
        <w:t xml:space="preserve">). </w:t>
      </w:r>
    </w:p>
    <w:p>
      <w:pPr>
        <w:pStyle w:val="TextBody"/>
        <w:bidi w:val="0"/>
        <w:spacing w:lineRule="auto" w:line="240" w:before="240" w:after="283"/>
        <w:ind w:left="0" w:right="0" w:firstLine="720"/>
        <w:jc w:val="both"/>
        <w:rPr/>
      </w:pPr>
      <w:r>
        <w:rPr>
          <w:rFonts w:ascii="Arial;sans-serif" w:hAnsi="Arial;sans-serif"/>
          <w:b/>
          <w:color w:val="000000"/>
          <w:sz w:val="16"/>
        </w:rPr>
        <w:t>1.</w:t>
      </w:r>
      <w:r>
        <w:rPr>
          <w:rFonts w:ascii="Arial;sans-serif" w:hAnsi="Arial;sans-serif"/>
          <w:b/>
          <w:color w:val="000000"/>
          <w:sz w:val="16"/>
        </w:rPr>
        <w:t>SERVICES AND COMPENSATION</w:t>
      </w:r>
    </w:p>
    <w:p>
      <w:pPr>
        <w:pStyle w:val="TextBody"/>
        <w:bidi w:val="0"/>
        <w:spacing w:lineRule="auto" w:line="240" w:before="240" w:after="283"/>
        <w:jc w:val="both"/>
        <w:rPr/>
      </w:pPr>
      <w:r>
        <w:rPr>
          <w:rFonts w:ascii="Arial;sans-serif" w:hAnsi="Arial;sans-serif"/>
          <w:b w:val="false"/>
          <w:color w:val="000000"/>
          <w:sz w:val="16"/>
        </w:rPr>
        <w:t xml:space="preserve">Advisor shall provide advice and information as part of the services described in </w:t>
      </w:r>
      <w:r>
        <w:rPr>
          <w:rFonts w:ascii="Arial;sans-serif" w:hAnsi="Arial;sans-serif"/>
          <w:b/>
          <w:color w:val="000000"/>
          <w:sz w:val="16"/>
        </w:rPr>
        <w:t>Exhibit A</w:t>
      </w:r>
      <w:r>
        <w:rPr>
          <w:color w:val="000000"/>
        </w:rPr>
        <w:t xml:space="preserve"> </w:t>
      </w:r>
      <w:r>
        <w:rPr>
          <w:rFonts w:ascii="Arial;sans-serif" w:hAnsi="Arial;sans-serif"/>
          <w:b w:val="false"/>
          <w:color w:val="000000"/>
          <w:sz w:val="16"/>
        </w:rPr>
        <w:t>(the “</w:t>
      </w:r>
      <w:r>
        <w:rPr>
          <w:rFonts w:ascii="Arial;sans-serif" w:hAnsi="Arial;sans-serif"/>
          <w:b/>
          <w:color w:val="000000"/>
          <w:sz w:val="16"/>
        </w:rPr>
        <w:t>Services</w:t>
      </w:r>
      <w:r>
        <w:rPr>
          <w:color w:val="000000"/>
        </w:rPr>
        <w:t>”</w:t>
      </w:r>
      <w:r>
        <w:rPr>
          <w:rFonts w:ascii="Arial;sans-serif" w:hAnsi="Arial;sans-serif"/>
          <w:b w:val="false"/>
          <w:color w:val="000000"/>
          <w:sz w:val="16"/>
        </w:rPr>
        <w:t xml:space="preserve">) for the Company (or its designee). The Company agrees to provide Advisor the compensation described in </w:t>
      </w:r>
      <w:r>
        <w:rPr>
          <w:rFonts w:ascii="Arial;sans-serif" w:hAnsi="Arial;sans-serif"/>
          <w:b/>
          <w:color w:val="000000"/>
          <w:sz w:val="16"/>
        </w:rPr>
        <w:t>Exhibit A</w:t>
      </w:r>
      <w:r>
        <w:rPr>
          <w:color w:val="000000"/>
        </w:rPr>
        <w:t xml:space="preserve"> </w:t>
      </w:r>
      <w:r>
        <w:rPr>
          <w:rFonts w:ascii="Arial;sans-serif" w:hAnsi="Arial;sans-serif"/>
          <w:b w:val="false"/>
          <w:color w:val="000000"/>
          <w:sz w:val="16"/>
        </w:rPr>
        <w:t>for Advisor’s performance of the Services. The role is designed to enable the smooth transition of Advisor’s work.</w:t>
      </w:r>
    </w:p>
    <w:p>
      <w:pPr>
        <w:pStyle w:val="TextBody"/>
        <w:bidi w:val="0"/>
        <w:spacing w:lineRule="auto" w:line="240" w:before="240" w:after="283"/>
        <w:ind w:left="0" w:right="0" w:firstLine="720"/>
        <w:jc w:val="both"/>
        <w:rPr/>
      </w:pPr>
      <w:r>
        <w:rPr>
          <w:rFonts w:ascii="Arial;sans-serif" w:hAnsi="Arial;sans-serif"/>
          <w:b/>
          <w:color w:val="000000"/>
          <w:sz w:val="16"/>
        </w:rPr>
        <w:t>2.</w:t>
      </w:r>
      <w:r>
        <w:rPr>
          <w:rFonts w:ascii="Arial;sans-serif" w:hAnsi="Arial;sans-serif"/>
          <w:b/>
          <w:color w:val="000000"/>
          <w:sz w:val="16"/>
        </w:rPr>
        <w:t>CONFIDENTIALITY</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Definition of Confidential Information</w:t>
      </w:r>
      <w:r>
        <w:rPr>
          <w:rFonts w:ascii="Arial;sans-serif" w:hAnsi="Arial;sans-serif"/>
          <w:b/>
          <w:color w:val="000000"/>
          <w:sz w:val="16"/>
        </w:rPr>
        <w:t>.</w:t>
      </w:r>
      <w:r>
        <w:rPr>
          <w:color w:val="000000"/>
        </w:rPr>
        <w:t xml:space="preserve"> “</w:t>
      </w:r>
      <w:r>
        <w:rPr>
          <w:rFonts w:ascii="Arial;sans-serif" w:hAnsi="Arial;sans-serif"/>
          <w:b/>
          <w:i/>
          <w:color w:val="000000"/>
          <w:sz w:val="16"/>
        </w:rPr>
        <w:t>Confidential Information</w:t>
      </w:r>
      <w:r>
        <w:rPr>
          <w:color w:val="000000"/>
        </w:rPr>
        <w:t xml:space="preserve">” </w:t>
      </w:r>
      <w:r>
        <w:rPr>
          <w:rFonts w:ascii="Arial;sans-serif" w:hAnsi="Arial;sans-serif"/>
          <w:b w:val="false"/>
          <w:color w:val="000000"/>
          <w:sz w:val="16"/>
        </w:rPr>
        <w:t xml:space="preserve">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Nonuse and Nondisclosure</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During and after the term of this Agreement, Advisor will hold in the strictest confidence, and take all reasonable precautions to prevent any unauthorized use or disclosure of Confidential Information, and Advisor will not (i) use the Confidential Information for any purpose whatsoever other than as necessary for the performance of the Services on behalf of the Company, or (ii) subject to Advisor’s right to engage in protected conduct (as set forth in the Protected Activity Not Prohibited section below), disclose the Confidential Information to any third party without the prior written consent of an authorized representative of the Company, except that Advisor may disclose Confidential Information to the extent compelled by applicable law; </w:t>
      </w:r>
      <w:r>
        <w:rPr>
          <w:rFonts w:ascii="Arial;sans-serif" w:hAnsi="Arial;sans-serif"/>
          <w:b w:val="false"/>
          <w:i/>
          <w:color w:val="000000"/>
          <w:sz w:val="16"/>
        </w:rPr>
        <w:t>provided however</w:t>
      </w:r>
      <w:r>
        <w:rPr>
          <w:rFonts w:ascii="Arial;sans-serif" w:hAnsi="Arial;sans-serif"/>
          <w:b w:val="false"/>
          <w:color w:val="000000"/>
          <w:sz w:val="16"/>
        </w:rPr>
        <w:t xml:space="preserve">, prior to such disclosure, Advisor shall provide prior written notice to Company and seek a protective order or such similar confidential protection as may be available under applicable law. Advisor agrees that no ownership of Confidential Information is conveyed to the Advisor. Without limiting the foregoing, Advisor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Advisor agrees that Advisor’s obligations under this Section 2.B shall continue after the termination of this Agreement. </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i/>
          <w:color w:val="000000"/>
          <w:sz w:val="16"/>
        </w:rPr>
        <w:t>Other Client Confidential Information</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Advisor agrees that Advisor will not improperly use, disclose, or induce the Company to use any proprietary information or trade secrets of any former or current employer of Advisor or other person or entity with which Advisor has an obligation to keep in confidence. Advisor also agrees that Advisor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 </w:t>
      </w:r>
    </w:p>
    <w:p>
      <w:pPr>
        <w:pStyle w:val="TextBody"/>
        <w:bidi w:val="0"/>
        <w:spacing w:lineRule="auto" w:line="240" w:before="240" w:after="283"/>
        <w:ind w:left="0" w:right="0" w:firstLine="1440"/>
        <w:jc w:val="both"/>
        <w:rPr/>
      </w:pPr>
      <w:r>
        <w:rPr>
          <w:rFonts w:ascii="Arial;sans-serif" w:hAnsi="Arial;sans-serif"/>
          <w:b w:val="false"/>
          <w:color w:val="000000"/>
          <w:sz w:val="16"/>
        </w:rPr>
        <w:t>D.</w:t>
      </w:r>
      <w:r>
        <w:rPr>
          <w:rFonts w:ascii="Arial;sans-serif" w:hAnsi="Arial;sans-serif"/>
          <w:b/>
          <w:i/>
          <w:color w:val="000000"/>
          <w:sz w:val="16"/>
        </w:rPr>
        <w:t>Third Party Confidential Information</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Advisor recognizes that the Company has received and, in the future, will receive from third parties their confidential or proprietary information </w:t>
      </w:r>
    </w:p>
    <w:p>
      <w:pPr>
        <w:pStyle w:val="TextBody"/>
        <w:bidi w:val="0"/>
        <w:spacing w:lineRule="auto" w:line="240" w:before="240" w:after="283"/>
        <w:jc w:val="both"/>
        <w:rPr>
          <w:rFonts w:ascii="Arial;sans-serif" w:hAnsi="Arial;sans-serif"/>
          <w:b w:val="false"/>
          <w:color w:val="000000"/>
          <w:sz w:val="16"/>
        </w:rPr>
      </w:pPr>
      <w:r>
        <w:rPr>
          <w:rFonts w:ascii="Arial;sans-serif" w:hAnsi="Arial;sans-serif"/>
          <w:b w:val="false"/>
          <w:color w:val="000000"/>
          <w:sz w:val="16"/>
        </w:rPr>
        <w:t>subject to a duty on the Company’s part to maintain the confidentiality of such information and to use it only for certain limited purposes. Advisor agrees that at all times during the term of this Agreement and thereafter, Advisor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pStyle w:val="TextBody"/>
        <w:bidi w:val="0"/>
        <w:spacing w:lineRule="auto" w:line="240" w:before="240" w:after="283"/>
        <w:ind w:left="0" w:right="0" w:firstLine="720"/>
        <w:jc w:val="both"/>
        <w:rPr/>
      </w:pPr>
      <w:r>
        <w:rPr>
          <w:rFonts w:ascii="Arial;sans-serif" w:hAnsi="Arial;sans-serif"/>
          <w:b/>
          <w:color w:val="000000"/>
          <w:sz w:val="16"/>
        </w:rPr>
        <w:t>3.</w:t>
      </w:r>
      <w:r>
        <w:rPr>
          <w:rFonts w:ascii="Arial;sans-serif" w:hAnsi="Arial;sans-serif"/>
          <w:b/>
          <w:color w:val="000000"/>
          <w:sz w:val="16"/>
        </w:rPr>
        <w:t>OWNERSHIP</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Assignment of Inventions</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agrees that all right, title, and interest in and to any copyrightable material, notes, records, 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sans-serif" w:hAnsi="Arial;sans-serif"/>
          <w:b/>
          <w:i/>
          <w:color w:val="000000"/>
          <w:sz w:val="16"/>
        </w:rPr>
        <w:t>Inventions</w:t>
      </w:r>
      <w:r>
        <w:rPr>
          <w:color w:val="000000"/>
        </w:rPr>
        <w:t>”</w:t>
      </w:r>
      <w:r>
        <w:rPr>
          <w:rFonts w:ascii="Arial;sans-serif" w:hAnsi="Arial;sans-serif"/>
          <w:b w:val="false"/>
          <w:color w:val="000000"/>
          <w:sz w:val="16"/>
        </w:rPr>
        <w:t>), are the sole property of the Company. Advisor also agrees to promptly make full written disclosure to the Company of any Inventions and to deliver and assign (or cause to be assigned) and hereby irrevocably assigns fully to the Company all right, title and interest in and to the Inventions.</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Pre-Existing Material</w:t>
      </w:r>
      <w:r>
        <w:rPr>
          <w:rFonts w:ascii="Arial;sans-serif" w:hAnsi="Arial;sans-serif"/>
          <w:b/>
          <w:color w:val="000000"/>
          <w:sz w:val="16"/>
        </w:rPr>
        <w:t>s.</w:t>
      </w:r>
      <w:r>
        <w:rPr>
          <w:color w:val="000000"/>
        </w:rPr>
        <w:t xml:space="preserve"> </w:t>
      </w:r>
      <w:r>
        <w:rPr>
          <w:rFonts w:ascii="Arial;sans-serif" w:hAnsi="Arial;sans-serif"/>
          <w:b w:val="false"/>
          <w:color w:val="000000"/>
          <w:sz w:val="16"/>
        </w:rPr>
        <w:t>Subject to Section 3.A, Advisor will provide the Company with prior written notice if, in the course of performing the Services, Advisor incorporates into any Invention or utilizes in the performance of the Services any invention, discovery, idea, original works of authorship, development, improvements, trade secret, concept, or other proprietary information or intellectual property right owned by Advisor or in which Advisor has an interest, prior to, or separate from, performing the Services under this Agreement (“</w:t>
      </w:r>
      <w:r>
        <w:rPr>
          <w:rFonts w:ascii="Arial;sans-serif" w:hAnsi="Arial;sans-serif"/>
          <w:b/>
          <w:i/>
          <w:color w:val="000000"/>
          <w:sz w:val="16"/>
        </w:rPr>
        <w:t>Prior Invention</w:t>
      </w:r>
      <w:r>
        <w:rPr>
          <w:rFonts w:ascii="Arial;sans-serif" w:hAnsi="Arial;sans-serif"/>
          <w:b w:val="false"/>
          <w:i/>
          <w:color w:val="000000"/>
          <w:sz w:val="16"/>
        </w:rPr>
        <w:t>s</w:t>
      </w:r>
      <w:r>
        <w:rPr>
          <w:color w:val="000000"/>
        </w:rPr>
        <w:t>”</w:t>
      </w:r>
      <w:r>
        <w:rPr>
          <w:rFonts w:ascii="Arial;sans-serif" w:hAnsi="Arial;sans-serif"/>
          <w:b w:val="false"/>
          <w:color w:val="000000"/>
          <w:sz w:val="16"/>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Advisor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i/>
          <w:color w:val="000000"/>
          <w:sz w:val="16"/>
        </w:rPr>
        <w:t>Further Assurances</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Advisor further agrees that Advisor’s obligations under this Section 3.C shall continue after the termination of this Agreement.</w:t>
      </w:r>
      <w:r>
        <w:rPr>
          <w:color w:val="000000"/>
        </w:rPr>
        <w:t xml:space="preserve"> </w:t>
      </w:r>
    </w:p>
    <w:p>
      <w:pPr>
        <w:pStyle w:val="TextBody"/>
        <w:bidi w:val="0"/>
        <w:spacing w:lineRule="auto" w:line="240" w:before="240" w:after="283"/>
        <w:ind w:left="0" w:right="0" w:firstLine="720"/>
        <w:jc w:val="both"/>
        <w:rPr/>
      </w:pPr>
      <w:r>
        <w:rPr>
          <w:rFonts w:ascii="Arial;sans-serif" w:hAnsi="Arial;sans-serif"/>
          <w:b/>
          <w:color w:val="000000"/>
          <w:sz w:val="16"/>
        </w:rPr>
        <w:t>4.</w:t>
      </w:r>
      <w:r>
        <w:rPr>
          <w:rFonts w:ascii="Arial;sans-serif" w:hAnsi="Arial;sans-serif"/>
          <w:b/>
          <w:color w:val="000000"/>
          <w:sz w:val="16"/>
        </w:rPr>
        <w:t>CONFLICTING OBLIGATIONS</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val="false"/>
          <w:color w:val="000000"/>
          <w:sz w:val="16"/>
        </w:rPr>
        <w:t xml:space="preserve">Advisor represents and warrants that Advisor has no agreements, relationships, or commitments to any other person or entity that conflict with the provisions of this Agreement, Advisor’s obligations to the Company under this Agreement, and/or Advisor’s ability to perform the Services. Advisor will not enter into any such conflicting agreements, relationships, or commitments during the term of this Agreement. </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val="false"/>
          <w:color w:val="000000"/>
          <w:sz w:val="16"/>
        </w:rPr>
        <w:t>In light of the unique and specialized nature of Advisor’s services, Advisor shall have the right to subcontract or delegate the performance of any Services only with the prior written permission of the Company.</w:t>
      </w:r>
    </w:p>
    <w:p>
      <w:pPr>
        <w:pStyle w:val="TextBody"/>
        <w:bidi w:val="0"/>
        <w:spacing w:lineRule="auto" w:line="240" w:before="240" w:after="283"/>
        <w:ind w:left="0" w:right="0" w:firstLine="720"/>
        <w:jc w:val="both"/>
        <w:rPr/>
      </w:pPr>
      <w:r>
        <w:rPr>
          <w:rFonts w:ascii="Arial;sans-serif" w:hAnsi="Arial;sans-serif"/>
          <w:b/>
          <w:color w:val="000000"/>
          <w:sz w:val="16"/>
        </w:rPr>
        <w:t>5.</w:t>
      </w:r>
      <w:r>
        <w:rPr>
          <w:rFonts w:ascii="Arial;sans-serif" w:hAnsi="Arial;sans-serif"/>
          <w:b/>
          <w:color w:val="000000"/>
          <w:sz w:val="16"/>
        </w:rPr>
        <w:t xml:space="preserve">RETURN OF COMPANY MATERIALS </w:t>
      </w:r>
    </w:p>
    <w:p>
      <w:pPr>
        <w:pStyle w:val="TextBody"/>
        <w:bidi w:val="0"/>
        <w:spacing w:lineRule="auto" w:line="240" w:before="240" w:after="283"/>
        <w:jc w:val="both"/>
        <w:rPr>
          <w:rFonts w:ascii="Arial;sans-serif" w:hAnsi="Arial;sans-serif"/>
          <w:b w:val="false"/>
          <w:color w:val="000000"/>
          <w:sz w:val="16"/>
        </w:rPr>
      </w:pPr>
      <w:r>
        <w:rPr>
          <w:rFonts w:ascii="Arial;sans-serif" w:hAnsi="Arial;sans-serif"/>
          <w:b w:val="false"/>
          <w:color w:val="000000"/>
          <w:sz w:val="16"/>
        </w:rPr>
        <w:t xml:space="preserve">Upon the termination of this Agreement, or upon Company’s earlier request, Advisor will immediately deliver to the Company, and will not keep in Advisor’s possession, recreate, or deliver to anyone else, any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7660"/>
                <wp:effectExtent l="0" t="0" r="0" b="0"/>
                <wp:wrapNone/>
                <wp:docPr id="51" name="Frame5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p>
      <w:pPr>
        <w:pStyle w:val="TextBody"/>
        <w:bidi w:val="0"/>
        <w:spacing w:lineRule="auto" w:line="240" w:before="240" w:after="283"/>
        <w:jc w:val="both"/>
        <w:rPr>
          <w:rFonts w:ascii="Arial;sans-serif" w:hAnsi="Arial;sans-serif"/>
          <w:b w:val="false"/>
          <w:color w:val="000000"/>
          <w:sz w:val="16"/>
        </w:rPr>
      </w:pPr>
      <w:r>
        <w:rPr>
          <w:rFonts w:ascii="Arial;sans-serif" w:hAnsi="Arial;sans-serif"/>
          <w:b w:val="false"/>
          <w:color w:val="000000"/>
          <w:sz w:val="16"/>
        </w:rPr>
        <w:t>and all Company property, including, but not limited to, Confidential Information, tangible embodiments of the Inventions, all devices and equipment belonging to the Company, all electronically-stored information and passwords to access such property, and any reproductions of any of the foregoing items that Advisor may have in Advisor’s possession or control.</w:t>
      </w:r>
    </w:p>
    <w:p>
      <w:pPr>
        <w:pStyle w:val="TextBody"/>
        <w:bidi w:val="0"/>
        <w:spacing w:lineRule="auto" w:line="240" w:before="240" w:after="283"/>
        <w:ind w:left="0" w:right="0" w:firstLine="720"/>
        <w:jc w:val="both"/>
        <w:rPr/>
      </w:pPr>
      <w:r>
        <w:rPr>
          <w:rFonts w:ascii="Arial;sans-serif" w:hAnsi="Arial;sans-serif"/>
          <w:b/>
          <w:color w:val="000000"/>
          <w:sz w:val="16"/>
        </w:rPr>
        <w:t>6.</w:t>
      </w:r>
      <w:r>
        <w:rPr>
          <w:rFonts w:ascii="Arial;sans-serif" w:hAnsi="Arial;sans-serif"/>
          <w:b/>
          <w:color w:val="000000"/>
          <w:sz w:val="16"/>
        </w:rPr>
        <w:t>TERM AND TERMINATION</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Term</w:t>
      </w:r>
      <w:r>
        <w:rPr>
          <w:rFonts w:ascii="Arial;sans-serif" w:hAnsi="Arial;sans-serif"/>
          <w:b/>
          <w:color w:val="000000"/>
          <w:sz w:val="16"/>
        </w:rPr>
        <w:t>.</w:t>
      </w:r>
      <w:r>
        <w:rPr>
          <w:color w:val="000000"/>
        </w:rPr>
        <w:t xml:space="preserve"> </w:t>
      </w:r>
      <w:r>
        <w:rPr>
          <w:rFonts w:ascii="Arial;sans-serif" w:hAnsi="Arial;sans-serif"/>
          <w:b w:val="false"/>
          <w:color w:val="000000"/>
          <w:sz w:val="16"/>
        </w:rPr>
        <w:t>The term of this Agreement will begin on the Effective Date of this Agreement and will continue until May 29, 2026, provided that, prior to the end of the term or any subsequent term, the Parties may agree in writing to extend the term of this Agreement or terminate in accordance with this Section 6.</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Termination</w:t>
      </w:r>
      <w:r>
        <w:rPr>
          <w:rFonts w:ascii="Arial;sans-serif" w:hAnsi="Arial;sans-serif"/>
          <w:b/>
          <w:color w:val="000000"/>
          <w:sz w:val="16"/>
        </w:rPr>
        <w:t>.</w:t>
      </w:r>
      <w:r>
        <w:rPr>
          <w:color w:val="000000"/>
        </w:rPr>
        <w:t xml:space="preserve"> </w:t>
      </w:r>
      <w:r>
        <w:rPr>
          <w:rFonts w:ascii="Arial;sans-serif" w:hAnsi="Arial;sans-serif"/>
          <w:b w:val="false"/>
          <w:color w:val="000000"/>
          <w:sz w:val="16"/>
        </w:rPr>
        <w:t>Either Party may terminate this Agreement upon giving the other Party seven (7) days prior written notice of such termination pursuant to Section 8.G of this Agreement. The Company may terminate this Agreement immediately and without prior notice if Advisor refuses to or is unable to perform the Services or is in breach of any material provision of this Agreement.</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i/>
          <w:color w:val="000000"/>
          <w:sz w:val="16"/>
        </w:rPr>
        <w:t>Survival</w:t>
      </w:r>
      <w:r>
        <w:rPr>
          <w:rFonts w:ascii="Arial;sans-serif" w:hAnsi="Arial;sans-serif"/>
          <w:b/>
          <w:color w:val="000000"/>
          <w:sz w:val="16"/>
        </w:rPr>
        <w:t>.</w:t>
      </w:r>
      <w:r>
        <w:rPr>
          <w:color w:val="000000"/>
        </w:rPr>
        <w:t xml:space="preserve"> </w:t>
      </w:r>
      <w:r>
        <w:rPr>
          <w:rFonts w:ascii="Arial;sans-serif" w:hAnsi="Arial;sans-serif"/>
          <w:b w:val="false"/>
          <w:color w:val="000000"/>
          <w:sz w:val="16"/>
        </w:rPr>
        <w:t>Upon any termination, all rights and duties of the Company and Advisor toward each other shall cease except: the sections entitled Confidentiality, Ownership, Conflicting Obligations, Return of Company Materials, Term and Termination, Independent Contractor; Benefits, and Miscellaneous will survive termination or expiration of this Agreement in accordance with their terms.</w:t>
      </w:r>
    </w:p>
    <w:p>
      <w:pPr>
        <w:pStyle w:val="TextBody"/>
        <w:bidi w:val="0"/>
        <w:spacing w:lineRule="auto" w:line="240" w:before="240" w:after="283"/>
        <w:ind w:left="0" w:right="0" w:firstLine="720"/>
        <w:jc w:val="both"/>
        <w:rPr/>
      </w:pPr>
      <w:r>
        <w:rPr>
          <w:rFonts w:ascii="Arial;sans-serif" w:hAnsi="Arial;sans-serif"/>
          <w:b/>
          <w:color w:val="000000"/>
          <w:sz w:val="16"/>
        </w:rPr>
        <w:t>7.</w:t>
      </w:r>
      <w:r>
        <w:rPr>
          <w:rFonts w:ascii="Arial;sans-serif" w:hAnsi="Arial;sans-serif"/>
          <w:b/>
          <w:color w:val="000000"/>
          <w:sz w:val="16"/>
        </w:rPr>
        <w:t>INDEPENDENT CONTRACTOR; BENEFITS</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Independent Contractor.</w:t>
      </w:r>
      <w:r>
        <w:rPr>
          <w:color w:val="000000"/>
        </w:rPr>
        <w:t xml:space="preserve"> </w:t>
      </w:r>
      <w:r>
        <w:rPr>
          <w:rFonts w:ascii="Arial;sans-serif" w:hAnsi="Arial;sans-serif"/>
          <w:b w:val="false"/>
          <w:color w:val="000000"/>
          <w:sz w:val="16"/>
        </w:rPr>
        <w:t>It is the express intention of the Company and Advisor that Advisor perform the Services as an independent contractor to the Company. Nothing in this Agreement shall in any way be construed to constitute Advisor as an agent, employee or representative of the Company. Without limiting the generality of the foregoing, Advisor is not authorized to bind the 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Benefits</w:t>
      </w:r>
      <w:r>
        <w:rPr>
          <w:rFonts w:ascii="Arial;sans-serif" w:hAnsi="Arial;sans-serif"/>
          <w:b/>
          <w:color w:val="000000"/>
          <w:sz w:val="16"/>
        </w:rPr>
        <w:t>.</w:t>
      </w:r>
      <w:r>
        <w:rPr>
          <w:color w:val="000000"/>
        </w:rPr>
        <w:t xml:space="preserve"> </w:t>
      </w:r>
      <w:r>
        <w:rPr>
          <w:rFonts w:ascii="Arial;sans-serif" w:hAnsi="Arial;sans-serif"/>
          <w:b w:val="false"/>
          <w:color w:val="000000"/>
          <w:sz w:val="16"/>
        </w:rPr>
        <w:t>The Company and Advisor agree that Advisor will receive no Company-sponsored benefits from the Company where benefits include, but are not limited to, paid vacation, sick leave, medical insurance and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pStyle w:val="TextBody"/>
        <w:bidi w:val="0"/>
        <w:spacing w:lineRule="auto" w:line="240" w:before="240" w:after="283"/>
        <w:ind w:left="0" w:right="0" w:firstLine="720"/>
        <w:jc w:val="both"/>
        <w:rPr/>
      </w:pPr>
      <w:r>
        <w:rPr>
          <w:rFonts w:ascii="Arial;sans-serif" w:hAnsi="Arial;sans-serif"/>
          <w:b/>
          <w:color w:val="000000"/>
          <w:sz w:val="16"/>
        </w:rPr>
        <w:t>8.</w:t>
      </w:r>
      <w:r>
        <w:rPr>
          <w:rFonts w:ascii="Arial;sans-serif" w:hAnsi="Arial;sans-serif"/>
          <w:b/>
          <w:color w:val="000000"/>
          <w:sz w:val="16"/>
        </w:rPr>
        <w:t>MISCELLANEOUS</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i/>
          <w:color w:val="000000"/>
          <w:sz w:val="16"/>
        </w:rPr>
        <w:t>Governing Law</w:t>
      </w:r>
      <w:r>
        <w:rPr>
          <w:rFonts w:ascii="Arial;sans-serif" w:hAnsi="Arial;sans-serif"/>
          <w:b/>
          <w:color w:val="000000"/>
          <w:sz w:val="16"/>
        </w:rPr>
        <w:t>.</w:t>
      </w:r>
      <w:r>
        <w:rPr>
          <w:color w:val="000000"/>
        </w:rPr>
        <w:t xml:space="preserve"> </w:t>
      </w:r>
      <w:r>
        <w:rPr>
          <w:rFonts w:ascii="Arial;sans-serif" w:hAnsi="Arial;sans-serif"/>
          <w:b w:val="false"/>
          <w:color w:val="000000"/>
          <w:sz w:val="16"/>
        </w:rPr>
        <w:t>This Agreement shall be governed by the laws of the State of Utah, without regard to the conflicts of law provisions of any jurisdiction.</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i/>
          <w:color w:val="000000"/>
          <w:sz w:val="16"/>
        </w:rPr>
        <w:t>Assignability</w:t>
      </w:r>
      <w:r>
        <w:rPr>
          <w:rFonts w:ascii="Arial;sans-serif" w:hAnsi="Arial;sans-serif"/>
          <w:b/>
          <w:color w:val="000000"/>
          <w:sz w:val="16"/>
        </w:rPr>
        <w:t>.</w:t>
      </w:r>
      <w:r>
        <w:rPr>
          <w:color w:val="000000"/>
        </w:rPr>
        <w:t xml:space="preserve"> </w:t>
      </w:r>
      <w:r>
        <w:rPr>
          <w:rFonts w:ascii="Arial;sans-serif" w:hAnsi="Arial;sans-serif"/>
          <w:b w:val="false"/>
          <w:color w:val="000000"/>
          <w:sz w:val="16"/>
        </w:rPr>
        <w:t>This Agreement will be binding upon Advisor’s heirs, 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Advisor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pStyle w:val="TextBody"/>
        <w:bidi w:val="0"/>
        <w:spacing w:lineRule="auto" w:line="240" w:before="240" w:after="283"/>
        <w:ind w:left="0" w:right="0" w:firstLine="1440"/>
        <w:jc w:val="both"/>
        <w:rPr/>
      </w:pPr>
      <w:r>
        <w:rPr>
          <w:rFonts w:ascii="Arial;sans-serif" w:hAnsi="Arial;sans-serif"/>
          <w:b w:val="false"/>
          <w:color w:val="000000"/>
          <w:sz w:val="16"/>
        </w:rPr>
        <w:t>C.</w:t>
      </w:r>
      <w:r>
        <w:rPr>
          <w:rFonts w:ascii="Arial;sans-serif" w:hAnsi="Arial;sans-serif"/>
          <w:b/>
          <w:i/>
          <w:color w:val="000000"/>
          <w:sz w:val="16"/>
        </w:rPr>
        <w:t>Entire Agreement</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This Agreement constitutes the entire agreement and understanding between the Parties with respect to the subject matter herein and supersedes all prior written </w:t>
      </w:r>
    </w:p>
    <w:p>
      <w:pPr>
        <w:pStyle w:val="TextBody"/>
        <w:bidi w:val="0"/>
        <w:spacing w:lineRule="auto" w:line="240" w:before="240" w:after="283"/>
        <w:jc w:val="both"/>
        <w:rPr>
          <w:rFonts w:ascii="Arial;sans-serif" w:hAnsi="Arial;sans-serif"/>
          <w:b w:val="false"/>
          <w:color w:val="000000"/>
          <w:sz w:val="16"/>
        </w:rPr>
      </w:pPr>
      <w:r>
        <w:rPr>
          <w:rFonts w:ascii="Arial;sans-serif" w:hAnsi="Arial;sans-serif"/>
          <w:b w:val="false"/>
          <w:color w:val="000000"/>
          <w:sz w:val="16"/>
        </w:rPr>
        <w:t>and oral agreements, discussions, or representations between the Parties with respect to Advisor’s advisory relationship with the Company.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pStyle w:val="TextBody"/>
        <w:bidi w:val="0"/>
        <w:spacing w:lineRule="auto" w:line="240" w:before="240" w:after="283"/>
        <w:ind w:left="0" w:right="0" w:firstLine="1440"/>
        <w:jc w:val="both"/>
        <w:rPr/>
      </w:pPr>
      <w:r>
        <w:rPr>
          <w:rFonts w:ascii="Arial;sans-serif" w:hAnsi="Arial;sans-serif"/>
          <w:b w:val="false"/>
          <w:color w:val="000000"/>
          <w:sz w:val="16"/>
        </w:rPr>
        <w:t>D.</w:t>
      </w:r>
      <w:r>
        <w:rPr>
          <w:rFonts w:ascii="Arial;sans-serif" w:hAnsi="Arial;sans-serif"/>
          <w:b/>
          <w:i/>
          <w:color w:val="000000"/>
          <w:sz w:val="16"/>
        </w:rPr>
        <w:t>Headings</w:t>
      </w:r>
      <w:r>
        <w:rPr>
          <w:rFonts w:ascii="Arial;sans-serif" w:hAnsi="Arial;sans-serif"/>
          <w:b/>
          <w:color w:val="000000"/>
          <w:sz w:val="16"/>
        </w:rPr>
        <w:t>.</w:t>
      </w:r>
      <w:r>
        <w:rPr>
          <w:color w:val="000000"/>
        </w:rPr>
        <w:t xml:space="preserve"> </w:t>
      </w:r>
      <w:r>
        <w:rPr>
          <w:rFonts w:ascii="Arial;sans-serif" w:hAnsi="Arial;sans-serif"/>
          <w:b w:val="false"/>
          <w:color w:val="000000"/>
          <w:sz w:val="16"/>
        </w:rPr>
        <w:t>Headings are used in this Agreement for reference only and shall not be considered when interpreting this Agreement.</w:t>
      </w:r>
    </w:p>
    <w:p>
      <w:pPr>
        <w:pStyle w:val="TextBody"/>
        <w:bidi w:val="0"/>
        <w:spacing w:lineRule="auto" w:line="240" w:before="240" w:after="283"/>
        <w:ind w:left="0" w:right="0" w:firstLine="1440"/>
        <w:jc w:val="both"/>
        <w:rPr/>
      </w:pPr>
      <w:r>
        <w:rPr>
          <w:rFonts w:ascii="Arial;sans-serif" w:hAnsi="Arial;sans-serif"/>
          <w:b w:val="false"/>
          <w:color w:val="000000"/>
          <w:sz w:val="16"/>
        </w:rPr>
        <w:t>E.</w:t>
      </w:r>
      <w:r>
        <w:rPr>
          <w:rFonts w:ascii="Arial;sans-serif" w:hAnsi="Arial;sans-serif"/>
          <w:b/>
          <w:i/>
          <w:color w:val="000000"/>
          <w:sz w:val="16"/>
        </w:rPr>
        <w:t>Severability</w:t>
      </w:r>
      <w:r>
        <w:rPr>
          <w:rFonts w:ascii="Arial;sans-serif" w:hAnsi="Arial;sans-serif"/>
          <w:b/>
          <w:color w:val="000000"/>
          <w:sz w:val="16"/>
        </w:rPr>
        <w:t>.</w:t>
      </w:r>
      <w:r>
        <w:rPr>
          <w:color w:val="000000"/>
        </w:rPr>
        <w:t xml:space="preserve"> </w:t>
      </w:r>
      <w:r>
        <w:rPr>
          <w:rFonts w:ascii="Arial;sans-serif" w:hAnsi="Arial;sans-serif"/>
          <w:b w:val="false"/>
          <w:color w:val="000000"/>
          <w:sz w:val="16"/>
        </w:rPr>
        <w:t xml:space="preserve">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 </w:t>
      </w:r>
    </w:p>
    <w:p>
      <w:pPr>
        <w:pStyle w:val="TextBody"/>
        <w:bidi w:val="0"/>
        <w:spacing w:lineRule="auto" w:line="240" w:before="240" w:after="283"/>
        <w:ind w:left="0" w:right="0" w:firstLine="1440"/>
        <w:jc w:val="both"/>
        <w:rPr/>
      </w:pPr>
      <w:r>
        <w:rPr>
          <w:rFonts w:ascii="Arial;sans-serif" w:hAnsi="Arial;sans-serif"/>
          <w:b w:val="false"/>
          <w:color w:val="000000"/>
          <w:sz w:val="16"/>
        </w:rPr>
        <w:t>F.</w:t>
      </w:r>
      <w:r>
        <w:rPr>
          <w:rFonts w:ascii="Arial;sans-serif" w:hAnsi="Arial;sans-serif"/>
          <w:b/>
          <w:i/>
          <w:color w:val="000000"/>
          <w:sz w:val="16"/>
        </w:rPr>
        <w:t>Modification, Waiver.</w:t>
      </w:r>
      <w:r>
        <w:rPr>
          <w:color w:val="000000"/>
        </w:rPr>
        <w:t xml:space="preserve"> </w:t>
      </w:r>
      <w:r>
        <w:rPr>
          <w:rFonts w:ascii="Arial;sans-serif" w:hAnsi="Arial;sans-serif"/>
          <w:b w:val="false"/>
          <w:color w:val="000000"/>
          <w:sz w:val="16"/>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pStyle w:val="TextBody"/>
        <w:bidi w:val="0"/>
        <w:spacing w:lineRule="auto" w:line="240" w:before="240" w:after="283"/>
        <w:ind w:left="0" w:right="0" w:firstLine="1440"/>
        <w:jc w:val="both"/>
        <w:rPr/>
      </w:pPr>
      <w:r>
        <w:rPr>
          <w:rFonts w:ascii="Arial;sans-serif" w:hAnsi="Arial;sans-serif"/>
          <w:b w:val="false"/>
          <w:color w:val="000000"/>
          <w:sz w:val="16"/>
        </w:rPr>
        <w:t>G.</w:t>
      </w:r>
      <w:r>
        <w:rPr>
          <w:rFonts w:ascii="Arial;sans-serif" w:hAnsi="Arial;sans-serif"/>
          <w:b/>
          <w:i/>
          <w:color w:val="000000"/>
          <w:sz w:val="16"/>
        </w:rPr>
        <w:t>Notices</w:t>
      </w:r>
      <w:r>
        <w:rPr>
          <w:rFonts w:ascii="Arial;sans-serif" w:hAnsi="Arial;sans-serif"/>
          <w:b/>
          <w:color w:val="000000"/>
          <w:sz w:val="16"/>
        </w:rPr>
        <w:t>.</w:t>
      </w:r>
      <w:r>
        <w:rPr>
          <w:color w:val="000000"/>
        </w:rPr>
        <w:t xml:space="preserve"> </w:t>
      </w:r>
      <w:r>
        <w:rPr>
          <w:rFonts w:ascii="Arial;sans-serif" w:hAnsi="Arial;sans-serif"/>
          <w:b w:val="false"/>
          <w:color w:val="000000"/>
          <w:sz w:val="16"/>
        </w:rPr>
        <w:t>Any notice or other communication required or permitted by this Agreement to be given to a Party shall be in writing and shall be deemed given (i) if delivered personally or by commercial messenger or courier service, (ii) when sent by confirmed facsimile or email,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8.G.</w:t>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If to the Company, 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6"/>
        </w:rPr>
      </w:pPr>
      <w:r>
        <w:rPr>
          <w:rFonts w:ascii="Arial;sans-serif" w:hAnsi="Arial;sans-serif"/>
          <w:b w:val="false"/>
          <w:color w:val="000000"/>
          <w:sz w:val="16"/>
        </w:rPr>
        <w:t>41 S Rio Grande Street, Salt Lake City, UT 84101</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Attention: Chief Legal Officer</w:t>
      </w:r>
    </w:p>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If to Advisor, to the address for notice on the signature page to this Agreement or, if no such address is provided, to the last address of Advisor provided by Advisor to the Company.</w:t>
      </w:r>
    </w:p>
    <w:p>
      <w:pPr>
        <w:pStyle w:val="TextBody"/>
        <w:bidi w:val="0"/>
        <w:spacing w:lineRule="auto" w:line="240" w:before="240" w:after="283"/>
        <w:ind w:left="0" w:right="0" w:firstLine="1440"/>
        <w:jc w:val="both"/>
        <w:rPr/>
      </w:pPr>
      <w:r>
        <w:rPr>
          <w:rFonts w:ascii="Arial;sans-serif" w:hAnsi="Arial;sans-serif"/>
          <w:b w:val="false"/>
          <w:color w:val="000000"/>
          <w:sz w:val="16"/>
        </w:rPr>
        <w:t>H.</w:t>
      </w:r>
      <w:r>
        <w:rPr>
          <w:rFonts w:ascii="Arial;sans-serif" w:hAnsi="Arial;sans-serif"/>
          <w:b/>
          <w:i/>
          <w:color w:val="000000"/>
          <w:sz w:val="16"/>
        </w:rPr>
        <w:t>Attorneys’ Fees</w:t>
      </w:r>
      <w:r>
        <w:rPr>
          <w:rFonts w:ascii="Arial;sans-serif" w:hAnsi="Arial;sans-serif"/>
          <w:b/>
          <w:color w:val="000000"/>
          <w:sz w:val="16"/>
        </w:rPr>
        <w:t>.</w:t>
      </w:r>
      <w:r>
        <w:rPr>
          <w:color w:val="000000"/>
        </w:rPr>
        <w:t xml:space="preserve"> </w:t>
      </w:r>
      <w:r>
        <w:rPr>
          <w:rFonts w:ascii="Arial;sans-serif" w:hAnsi="Arial;sans-serif"/>
          <w:b w:val="false"/>
          <w:color w:val="000000"/>
          <w:sz w:val="16"/>
        </w:rPr>
        <w:t>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lineRule="auto" w:line="240" w:before="240" w:after="283"/>
        <w:ind w:left="0" w:right="0" w:firstLine="1440"/>
        <w:jc w:val="both"/>
        <w:rPr/>
      </w:pPr>
      <w:r>
        <w:rPr>
          <w:rFonts w:ascii="Arial;sans-serif" w:hAnsi="Arial;sans-serif"/>
          <w:b w:val="false"/>
          <w:color w:val="000000"/>
          <w:sz w:val="16"/>
        </w:rPr>
        <w:t>I.</w:t>
      </w:r>
      <w:r>
        <w:rPr>
          <w:rFonts w:ascii="Arial;sans-serif" w:hAnsi="Arial;sans-serif"/>
          <w:b/>
          <w:i/>
          <w:color w:val="000000"/>
          <w:sz w:val="16"/>
        </w:rPr>
        <w:t>Signatures.</w:t>
      </w:r>
      <w:r>
        <w:rPr>
          <w:color w:val="000000"/>
        </w:rPr>
        <w:t xml:space="preserve"> </w:t>
      </w:r>
      <w:r>
        <w:rPr>
          <w:rFonts w:ascii="Arial;sans-serif" w:hAnsi="Arial;sans-serif"/>
          <w:b w:val="false"/>
          <w:color w:val="000000"/>
          <w:sz w:val="16"/>
        </w:rPr>
        <w:t>This Agreement may be signed in two counterparts, each of which shall be deemed an original, with the same force and effectiveness as though executed in a single document.</w:t>
      </w:r>
    </w:p>
    <w:p>
      <w:pPr>
        <w:pStyle w:val="TextBody"/>
        <w:bidi w:val="0"/>
        <w:spacing w:lineRule="auto" w:line="240" w:before="240" w:after="283"/>
        <w:ind w:left="0" w:right="0" w:firstLine="1440"/>
        <w:jc w:val="both"/>
        <w:rPr/>
      </w:pPr>
      <w:r>
        <w:rPr>
          <w:rFonts w:ascii="Arial;sans-serif" w:hAnsi="Arial;sans-serif"/>
          <w:b w:val="false"/>
          <w:color w:val="000000"/>
          <w:sz w:val="16"/>
        </w:rPr>
        <w:t>J.</w:t>
      </w:r>
      <w:r>
        <w:rPr>
          <w:rFonts w:ascii="Arial;sans-serif" w:hAnsi="Arial;sans-serif"/>
          <w:b/>
          <w:i/>
          <w:color w:val="000000"/>
          <w:sz w:val="16"/>
        </w:rPr>
        <w:t>Protected Activity Not Prohibited.</w:t>
      </w:r>
      <w:r>
        <w:rPr>
          <w:color w:val="000000"/>
        </w:rPr>
        <w:t xml:space="preserve"> </w:t>
      </w:r>
      <w:r>
        <w:rPr>
          <w:rFonts w:ascii="Arial;sans-serif" w:hAnsi="Arial;sans-serif"/>
          <w:b w:val="false"/>
          <w:color w:val="000000"/>
          <w:sz w:val="16"/>
        </w:rPr>
        <w:t>Advisor understands that nothing in this Agreement shall in any way limit or prohibit Advisor from engaging in any Protected Activity. For purposes of this Agreement, “</w:t>
      </w:r>
      <w:r>
        <w:rPr>
          <w:rFonts w:ascii="Arial;sans-serif" w:hAnsi="Arial;sans-serif"/>
          <w:b/>
          <w:i/>
          <w:color w:val="000000"/>
          <w:sz w:val="16"/>
        </w:rPr>
        <w:t>Protected Activity</w:t>
      </w:r>
      <w:r>
        <w:rPr>
          <w:color w:val="000000"/>
        </w:rPr>
        <w:t xml:space="preserve">” </w:t>
      </w:r>
      <w:r>
        <w:rPr>
          <w:rFonts w:ascii="Arial;sans-serif" w:hAnsi="Arial;sans-serif"/>
          <w:b w:val="false"/>
          <w:color w:val="000000"/>
          <w:sz w:val="16"/>
        </w:rPr>
        <w:t>shall mean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sans-serif" w:hAnsi="Arial;sans-serif"/>
          <w:b/>
          <w:i/>
          <w:color w:val="000000"/>
          <w:sz w:val="16"/>
        </w:rPr>
        <w:t>Government Agencies</w:t>
      </w:r>
      <w:r>
        <w:rPr>
          <w:color w:val="000000"/>
        </w:rPr>
        <w:t>”</w:t>
      </w:r>
      <w:r>
        <w:rPr>
          <w:rFonts w:ascii="Arial;sans-serif" w:hAnsi="Arial;sans-serif"/>
          <w:b w:val="false"/>
          <w:color w:val="000000"/>
          <w:sz w:val="16"/>
        </w:rPr>
        <w:t>). Advisor understands that in connection with such Protected Activity, Advisor is permitted to disclose documents or other information as permitted by law, and without giving notice to, or receiving authorization from, the Company. Notwithstanding the foregoing, Advisor agrees to take all reasonable precautions to prevent any unauthorized use or disclosure of any information that may constitute Company confidential information to any parties other than the Government Agencies. Advisor further understands that “</w:t>
      </w:r>
      <w:r>
        <w:rPr>
          <w:rFonts w:ascii="Arial;sans-serif" w:hAnsi="Arial;sans-serif"/>
          <w:b/>
          <w:i/>
          <w:color w:val="000000"/>
          <w:sz w:val="16"/>
        </w:rPr>
        <w:t>Protected Activity</w:t>
      </w:r>
      <w:r>
        <w:rPr>
          <w:color w:val="000000"/>
        </w:rPr>
        <w:t xml:space="preserve">” </w:t>
      </w:r>
      <w:r>
        <w:rPr>
          <w:rFonts w:ascii="Arial;sans-serif" w:hAnsi="Arial;sans-serif"/>
          <w:b w:val="false"/>
          <w:color w:val="000000"/>
          <w:sz w:val="16"/>
        </w:rPr>
        <w:t xml:space="preserve">does not include the disclosure of any Company attorney-client privileged communications or privileged attorney work product. Pursuant to the Defend Trade Secrets Act of 2016, Advisor is notified that an individual will not be held criminally or civilly liable under any federal or state trade secret law for the disclosure of a trade secret that (i) is made in confidence to a federal, state, or local government official (directly or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14960"/>
                <wp:effectExtent l="0" t="0" r="0" b="0"/>
                <wp:wrapNone/>
                <wp:docPr id="52" name="Frame5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283"/>
        <w:jc w:val="both"/>
        <w:rPr/>
      </w:pPr>
      <w:r>
        <w:rPr>
          <w:rFonts w:ascii="Arial;sans-serif" w:hAnsi="Arial;sans-serif"/>
          <w:b w:val="false"/>
          <w:color w:val="000000"/>
          <w:sz w:val="16"/>
        </w:rPr>
        <w:t xml:space="preserve">indirectly) or to an attorney </w:t>
      </w:r>
      <w:r>
        <w:rPr>
          <w:rFonts w:ascii="Arial;sans-serif" w:hAnsi="Arial;sans-serif"/>
          <w:b w:val="false"/>
          <w:i/>
          <w:color w:val="000000"/>
          <w:sz w:val="16"/>
        </w:rPr>
        <w:t>solely</w:t>
      </w:r>
      <w:r>
        <w:rPr>
          <w:color w:val="000000"/>
        </w:rPr>
        <w:t xml:space="preserve"> </w:t>
      </w:r>
      <w:r>
        <w:rPr>
          <w:rFonts w:ascii="Arial;sans-serif" w:hAnsi="Arial;sans-serif"/>
          <w:b w:val="false"/>
          <w:color w:val="000000"/>
          <w:sz w:val="16"/>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Advisor understands that nothing in this Agreement, including its definition of Confidential Information, limits Advisor’s rights to discuss or disclose Advisor’s compensation or the terms or conditions of Advisor’s service relationship with the Company, to the extent protected by applicable law, or otherwise impairs Advisor from assisting other Company current or former service providers in the exercise of their rights under applicable law.</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14960"/>
                <wp:effectExtent l="0" t="0" r="0" b="0"/>
                <wp:wrapNone/>
                <wp:docPr id="53" name="Frame5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480" w:after="240"/>
        <w:jc w:val="both"/>
        <w:rPr>
          <w:rFonts w:ascii="Arial;sans-serif" w:hAnsi="Arial;sans-serif"/>
          <w:b/>
          <w:color w:val="000000"/>
          <w:sz w:val="16"/>
        </w:rPr>
      </w:pPr>
      <w:r>
        <w:rPr>
          <w:rFonts w:ascii="Arial;sans-serif" w:hAnsi="Arial;sans-serif"/>
          <w:b/>
          <w:color w:val="000000"/>
          <w:sz w:val="16"/>
        </w:rPr>
        <w:t>ADVISOR        RECURSION PHARMACEUTICALS, INC.</w:t>
      </w:r>
    </w:p>
    <w:p>
      <w:pPr>
        <w:pStyle w:val="TextBody"/>
        <w:bidi w:val="0"/>
        <w:spacing w:lineRule="auto" w:line="288" w:before="120" w:after="283"/>
        <w:jc w:val="both"/>
        <w:rPr/>
      </w:pPr>
      <w:r>
        <w:rPr>
          <w:rFonts w:ascii="Arial;sans-serif" w:hAnsi="Arial;sans-serif"/>
          <w:b w:val="false"/>
          <w:color w:val="000000"/>
          <w:sz w:val="16"/>
        </w:rPr>
        <w:t>By:    </w:t>
      </w:r>
      <w:r>
        <w:rPr>
          <w:rFonts w:ascii="Arial;sans-serif" w:hAnsi="Arial;sans-serif"/>
          <w:b w:val="false"/>
          <w:color w:val="000000"/>
          <w:sz w:val="16"/>
          <w:u w:val="single"/>
        </w:rPr>
        <w:t>/s/ David Mauro    </w:t>
      </w:r>
      <w:r>
        <w:rPr>
          <w:color w:val="000000"/>
        </w:rPr>
        <w:t>    </w:t>
      </w:r>
      <w:r>
        <w:rPr>
          <w:rFonts w:ascii="Arial;sans-serif" w:hAnsi="Arial;sans-serif"/>
          <w:b w:val="false"/>
          <w:color w:val="000000"/>
          <w:sz w:val="16"/>
        </w:rPr>
        <w:t xml:space="preserve">By: </w:t>
      </w:r>
      <w:r>
        <w:rPr>
          <w:rFonts w:ascii="Arial;sans-serif" w:hAnsi="Arial;sans-serif"/>
          <w:b w:val="false"/>
          <w:color w:val="000000"/>
          <w:sz w:val="16"/>
          <w:u w:val="single"/>
        </w:rPr>
        <w:t>/s/ Najat Khan        </w:t>
      </w:r>
    </w:p>
    <w:p>
      <w:pPr>
        <w:pStyle w:val="TextBody"/>
        <w:bidi w:val="0"/>
        <w:spacing w:lineRule="auto" w:line="288" w:before="120" w:after="283"/>
        <w:jc w:val="both"/>
        <w:rPr/>
      </w:pPr>
      <w:r>
        <w:rPr>
          <w:rFonts w:ascii="Arial;sans-serif" w:hAnsi="Arial;sans-serif"/>
          <w:b w:val="false"/>
          <w:color w:val="000000"/>
          <w:sz w:val="16"/>
        </w:rPr>
        <w:t xml:space="preserve">Name: </w:t>
      </w:r>
      <w:r>
        <w:rPr>
          <w:rFonts w:ascii="Arial;sans-serif" w:hAnsi="Arial;sans-serif"/>
          <w:b w:val="false"/>
          <w:color w:val="000000"/>
          <w:sz w:val="16"/>
          <w:u w:val="single"/>
        </w:rPr>
        <w:t>David Mauro, M.D., Ph.D.    </w:t>
      </w:r>
      <w:r>
        <w:rPr>
          <w:color w:val="000000"/>
        </w:rPr>
        <w:t>    </w:t>
      </w:r>
      <w:r>
        <w:rPr>
          <w:rFonts w:ascii="Arial;sans-serif" w:hAnsi="Arial;sans-serif"/>
          <w:b w:val="false"/>
          <w:color w:val="000000"/>
          <w:sz w:val="16"/>
        </w:rPr>
        <w:t xml:space="preserve">Name: </w:t>
      </w:r>
      <w:r>
        <w:rPr>
          <w:rFonts w:ascii="Arial;sans-serif" w:hAnsi="Arial;sans-serif"/>
          <w:b w:val="false"/>
          <w:color w:val="000000"/>
          <w:sz w:val="16"/>
          <w:u w:val="single"/>
        </w:rPr>
        <w:t>Najat Khan        </w:t>
      </w:r>
    </w:p>
    <w:p>
      <w:pPr>
        <w:pStyle w:val="TextBody"/>
        <w:bidi w:val="0"/>
        <w:spacing w:lineRule="auto" w:line="288" w:before="120" w:after="283"/>
        <w:jc w:val="both"/>
        <w:rPr/>
      </w:pPr>
      <w:r>
        <w:rPr>
          <w:color w:val="000000"/>
        </w:rPr>
        <w:t>            </w:t>
      </w:r>
      <w:r>
        <w:rPr>
          <w:rFonts w:ascii="Arial;sans-serif" w:hAnsi="Arial;sans-serif"/>
          <w:b w:val="false"/>
          <w:color w:val="000000"/>
          <w:sz w:val="16"/>
        </w:rPr>
        <w:t xml:space="preserve">Title: </w:t>
      </w:r>
      <w:r>
        <w:rPr>
          <w:rFonts w:ascii="Arial;sans-serif" w:hAnsi="Arial;sans-serif"/>
          <w:b w:val="false"/>
          <w:color w:val="000000"/>
          <w:sz w:val="16"/>
          <w:u w:val="single"/>
        </w:rPr>
        <w:t>Chief Executive Officer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EXHIBIT A</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SERVICES AND COMPENSATION</w:t>
      </w:r>
    </w:p>
    <w:p>
      <w:pPr>
        <w:pStyle w:val="TextBody"/>
        <w:bidi w:val="0"/>
        <w:spacing w:lineRule="auto" w:line="240" w:before="240" w:after="283"/>
        <w:ind w:left="0" w:right="0" w:firstLine="720"/>
        <w:jc w:val="both"/>
        <w:rPr/>
      </w:pPr>
      <w:r>
        <w:rPr>
          <w:rFonts w:ascii="Arial;sans-serif" w:hAnsi="Arial;sans-serif"/>
          <w:b w:val="false"/>
          <w:color w:val="000000"/>
          <w:sz w:val="16"/>
        </w:rPr>
        <w:t>1.</w:t>
      </w:r>
      <w:r>
        <w:rPr>
          <w:rFonts w:ascii="Arial;sans-serif" w:hAnsi="Arial;sans-serif"/>
          <w:b/>
          <w:i/>
          <w:color w:val="000000"/>
          <w:sz w:val="16"/>
        </w:rPr>
        <w:t>Contact</w:t>
      </w:r>
      <w:r>
        <w:rPr>
          <w:rFonts w:ascii="Arial;sans-serif" w:hAnsi="Arial;sans-serif"/>
          <w:b/>
          <w:color w:val="000000"/>
          <w:sz w:val="16"/>
        </w:rPr>
        <w:t>.</w:t>
      </w:r>
      <w:r>
        <w:rPr>
          <w:color w:val="000000"/>
        </w:rPr>
        <w:t xml:space="preserve"> </w:t>
      </w:r>
      <w:r>
        <w:rPr>
          <w:rFonts w:ascii="Arial;sans-serif" w:hAnsi="Arial;sans-serif"/>
          <w:b w:val="false"/>
          <w:color w:val="000000"/>
          <w:sz w:val="16"/>
        </w:rPr>
        <w:t>Advisor’s principal Company contact:</w:t>
      </w:r>
    </w:p>
    <w:p>
      <w:pPr>
        <w:pStyle w:val="TextBody"/>
        <w:bidi w:val="0"/>
        <w:spacing w:lineRule="auto" w:line="288" w:before="240" w:after="283"/>
        <w:jc w:val="both"/>
        <w:rPr/>
      </w:pPr>
      <w:r>
        <w:rPr>
          <w:rFonts w:ascii="Arial;sans-serif" w:hAnsi="Arial;sans-serif"/>
          <w:b w:val="false"/>
          <w:color w:val="000000"/>
          <w:sz w:val="16"/>
        </w:rPr>
        <w:t xml:space="preserve">Name: </w:t>
      </w:r>
      <w:r>
        <w:rPr>
          <w:rFonts w:ascii="Arial;sans-serif" w:hAnsi="Arial;sans-serif"/>
          <w:b w:val="false"/>
          <w:color w:val="000000"/>
          <w:sz w:val="16"/>
          <w:u w:val="single"/>
        </w:rPr>
        <w:t>Vicki Goodman    </w:t>
      </w:r>
    </w:p>
    <w:p>
      <w:pPr>
        <w:pStyle w:val="TextBody"/>
        <w:bidi w:val="0"/>
        <w:spacing w:lineRule="auto" w:line="288" w:before="240" w:after="283"/>
        <w:jc w:val="both"/>
        <w:rPr/>
      </w:pPr>
      <w:r>
        <w:rPr>
          <w:rFonts w:ascii="Arial;sans-serif" w:hAnsi="Arial;sans-serif"/>
          <w:b w:val="false"/>
          <w:color w:val="000000"/>
          <w:sz w:val="16"/>
        </w:rPr>
        <w:t xml:space="preserve">Title: </w:t>
      </w:r>
      <w:r>
        <w:rPr>
          <w:rFonts w:ascii="Arial;sans-serif" w:hAnsi="Arial;sans-serif"/>
          <w:b w:val="false"/>
          <w:color w:val="000000"/>
          <w:sz w:val="16"/>
          <w:u w:val="single"/>
        </w:rPr>
        <w:t>Chief Medical Officer    </w:t>
      </w:r>
    </w:p>
    <w:p>
      <w:pPr>
        <w:pStyle w:val="TextBody"/>
        <w:bidi w:val="0"/>
        <w:spacing w:lineRule="auto" w:line="240" w:before="240" w:after="283"/>
        <w:ind w:left="0" w:right="0" w:firstLine="720"/>
        <w:jc w:val="both"/>
        <w:rPr/>
      </w:pPr>
      <w:r>
        <w:rPr>
          <w:rFonts w:ascii="Arial;sans-serif" w:hAnsi="Arial;sans-serif"/>
          <w:b w:val="false"/>
          <w:color w:val="000000"/>
          <w:sz w:val="16"/>
        </w:rPr>
        <w:t>2.</w:t>
      </w:r>
      <w:r>
        <w:rPr>
          <w:rFonts w:ascii="Arial;sans-serif" w:hAnsi="Arial;sans-serif"/>
          <w:b/>
          <w:i/>
          <w:color w:val="000000"/>
          <w:sz w:val="16"/>
        </w:rPr>
        <w:t>Services</w:t>
      </w:r>
      <w:r>
        <w:rPr>
          <w:rFonts w:ascii="Arial;sans-serif" w:hAnsi="Arial;sans-serif"/>
          <w:b w:val="false"/>
          <w:color w:val="000000"/>
          <w:sz w:val="16"/>
        </w:rPr>
        <w:t xml:space="preserve">. The Services will include, but will not be limited to, the following: </w:t>
      </w:r>
    </w:p>
    <w:p>
      <w:pPr>
        <w:pStyle w:val="TextBody"/>
        <w:bidi w:val="0"/>
        <w:spacing w:lineRule="auto" w:line="288" w:before="240" w:after="283"/>
        <w:ind w:left="0" w:right="0" w:hanging="360"/>
        <w:jc w:val="both"/>
        <w:rPr/>
      </w:pPr>
      <w:r>
        <w:rPr>
          <w:rFonts w:ascii="Times New Roman;serif" w:hAnsi="Times New Roman;serif"/>
          <w:b w:val="false"/>
          <w:color w:val="000000"/>
          <w:sz w:val="16"/>
        </w:rPr>
        <w:t>1.</w:t>
      </w:r>
      <w:r>
        <w:rPr>
          <w:rFonts w:ascii="Arial;sans-serif" w:hAnsi="Arial;sans-serif"/>
          <w:b w:val="false"/>
          <w:color w:val="000000"/>
          <w:sz w:val="16"/>
        </w:rPr>
        <w:t>As requested and at the sole discretion of Vicki Goodman, M.D., the Company’s new Chief Medical Officer, services to enable the transition of work and information to Dr. Goodman, which may include attending meetings as requested; responding to requests for information; and identifying and transferring any relevant documentation or other forms of information in Advisor’s possession to Dr. Goodman or other relevant Company Personnel.</w:t>
      </w:r>
    </w:p>
    <w:p>
      <w:pPr>
        <w:pStyle w:val="TextBody"/>
        <w:bidi w:val="0"/>
        <w:spacing w:lineRule="auto" w:line="240" w:before="240" w:after="283"/>
        <w:ind w:left="0" w:right="0" w:firstLine="720"/>
        <w:jc w:val="both"/>
        <w:rPr/>
      </w:pPr>
      <w:r>
        <w:rPr>
          <w:rFonts w:ascii="Arial;sans-serif" w:hAnsi="Arial;sans-serif"/>
          <w:b w:val="false"/>
          <w:color w:val="000000"/>
          <w:sz w:val="16"/>
        </w:rPr>
        <w:t>2.</w:t>
      </w:r>
      <w:r>
        <w:rPr>
          <w:rFonts w:ascii="Arial;sans-serif" w:hAnsi="Arial;sans-serif"/>
          <w:b/>
          <w:i/>
          <w:color w:val="000000"/>
          <w:sz w:val="16"/>
        </w:rPr>
        <w:t>Compensation.</w:t>
      </w:r>
    </w:p>
    <w:p>
      <w:pPr>
        <w:pStyle w:val="TextBody"/>
        <w:bidi w:val="0"/>
        <w:spacing w:lineRule="auto" w:line="240" w:before="240" w:after="283"/>
        <w:ind w:left="0" w:right="0" w:firstLine="1440"/>
        <w:jc w:val="both"/>
        <w:rPr/>
      </w:pPr>
      <w:r>
        <w:rPr>
          <w:rFonts w:ascii="Arial;sans-serif" w:hAnsi="Arial;sans-serif"/>
          <w:b w:val="false"/>
          <w:color w:val="000000"/>
          <w:sz w:val="16"/>
        </w:rPr>
        <w:t>A.</w:t>
      </w:r>
      <w:r>
        <w:rPr>
          <w:rFonts w:ascii="Arial;sans-serif" w:hAnsi="Arial;sans-serif"/>
          <w:b w:val="false"/>
          <w:color w:val="000000"/>
          <w:sz w:val="16"/>
        </w:rPr>
        <w:t>Each equity award previously granted to Advisor by the Company that is outstanding immediately prior to the Effective Date (each, an “</w:t>
      </w:r>
      <w:r>
        <w:rPr>
          <w:rFonts w:ascii="Arial;sans-serif" w:hAnsi="Arial;sans-serif"/>
          <w:b/>
          <w:i/>
          <w:color w:val="000000"/>
          <w:sz w:val="16"/>
        </w:rPr>
        <w:t>Equity Award</w:t>
      </w:r>
      <w:r>
        <w:rPr>
          <w:color w:val="000000"/>
        </w:rPr>
        <w:t>”</w:t>
      </w:r>
      <w:r>
        <w:rPr>
          <w:rFonts w:ascii="Arial;sans-serif" w:hAnsi="Arial;sans-serif"/>
          <w:b w:val="false"/>
          <w:color w:val="000000"/>
          <w:sz w:val="16"/>
        </w:rPr>
        <w:t xml:space="preserve">) shall continue to vest in accordance with the terms and conditions of the applicable equity plan under which such Equity Award was granted and the award agreement between the Company and Advisor evidencing such Equity Award, subject to the Advisor’s providing service under this Agreement and/or on the Board. </w:t>
      </w:r>
    </w:p>
    <w:p>
      <w:pPr>
        <w:pStyle w:val="TextBody"/>
        <w:bidi w:val="0"/>
        <w:spacing w:lineRule="auto" w:line="240" w:before="240" w:after="283"/>
        <w:ind w:left="0" w:right="0" w:firstLine="1440"/>
        <w:jc w:val="both"/>
        <w:rPr/>
      </w:pPr>
      <w:r>
        <w:rPr>
          <w:rFonts w:ascii="Arial;sans-serif" w:hAnsi="Arial;sans-serif"/>
          <w:b w:val="false"/>
          <w:color w:val="000000"/>
          <w:sz w:val="16"/>
        </w:rPr>
        <w:t>B.</w:t>
      </w:r>
      <w:r>
        <w:rPr>
          <w:rFonts w:ascii="Arial;sans-serif" w:hAnsi="Arial;sans-serif"/>
          <w:b w:val="false"/>
          <w:color w:val="000000"/>
          <w:sz w:val="16"/>
        </w:rPr>
        <w:t xml:space="preserve">Advisor acknowledges and agrees that he is not entitled to receive any payments, compensation or benefits under the Company Executive Change in Control and Severance Plan or any other plan, arrangement or agreement providing for severance or termination benefits with the Company. </w:t>
      </w:r>
    </w:p>
    <w:p>
      <w:pPr>
        <w:pStyle w:val="TextBody"/>
        <w:bidi w:val="0"/>
        <w:spacing w:lineRule="auto" w:line="288" w:before="240" w:after="283"/>
        <w:ind w:left="0" w:right="0" w:firstLine="720"/>
        <w:jc w:val="both"/>
        <w:rPr/>
      </w:pPr>
      <w:r>
        <w:rPr>
          <w:rFonts w:ascii="Arial;sans-serif" w:hAnsi="Arial;sans-serif"/>
          <w:b w:val="false"/>
          <w:color w:val="000000"/>
          <w:sz w:val="16"/>
        </w:rPr>
        <w:t xml:space="preserve">This </w:t>
      </w:r>
      <w:r>
        <w:rPr>
          <w:rFonts w:ascii="Arial;sans-serif" w:hAnsi="Arial;sans-serif"/>
          <w:b/>
          <w:color w:val="000000"/>
          <w:sz w:val="16"/>
        </w:rPr>
        <w:t>Exhibit A</w:t>
      </w:r>
      <w:r>
        <w:rPr>
          <w:color w:val="000000"/>
        </w:rPr>
        <w:t xml:space="preserve"> </w:t>
      </w:r>
      <w:r>
        <w:rPr>
          <w:rFonts w:ascii="Arial;sans-serif" w:hAnsi="Arial;sans-serif"/>
          <w:b w:val="false"/>
          <w:color w:val="000000"/>
          <w:sz w:val="16"/>
        </w:rPr>
        <w:t xml:space="preserve">is accepted and agreed upon as of </w:t>
      </w:r>
      <w:r>
        <w:rPr>
          <w:color w:val="000000"/>
          <w:u w:val="single"/>
        </w:rPr>
        <w:t>    </w:t>
      </w:r>
      <w:r>
        <w:rPr>
          <w:rFonts w:ascii="Arial;sans-serif" w:hAnsi="Arial;sans-serif"/>
          <w:b w:val="false"/>
          <w:color w:val="000000"/>
          <w:sz w:val="16"/>
        </w:rPr>
        <w:t>April 17, 2026.</w:t>
      </w:r>
    </w:p>
    <w:p>
      <w:pPr>
        <w:pStyle w:val="TextBody"/>
        <w:bidi w:val="0"/>
        <w:spacing w:lineRule="auto" w:line="288" w:before="480" w:after="240"/>
        <w:jc w:val="both"/>
        <w:rPr>
          <w:rFonts w:ascii="Arial;sans-serif" w:hAnsi="Arial;sans-serif"/>
          <w:b/>
          <w:color w:val="000000"/>
          <w:sz w:val="16"/>
        </w:rPr>
      </w:pPr>
      <w:r>
        <w:rPr>
          <w:rFonts w:ascii="Arial;sans-serif" w:hAnsi="Arial;sans-serif"/>
          <w:b/>
          <w:color w:val="000000"/>
          <w:sz w:val="16"/>
        </w:rPr>
        <w:t>ADVISOR        RECURSION PHARMACEUTICALS, INC.</w:t>
      </w:r>
    </w:p>
    <w:p>
      <w:pPr>
        <w:pStyle w:val="TextBody"/>
        <w:bidi w:val="0"/>
        <w:spacing w:lineRule="auto" w:line="288" w:before="240" w:after="283"/>
        <w:jc w:val="both"/>
        <w:rPr/>
      </w:pPr>
      <w:r>
        <w:rPr>
          <w:rFonts w:ascii="Arial;sans-serif" w:hAnsi="Arial;sans-serif"/>
          <w:b w:val="false"/>
          <w:color w:val="000000"/>
          <w:sz w:val="16"/>
        </w:rPr>
        <w:t>By:    </w:t>
      </w:r>
      <w:r>
        <w:rPr>
          <w:rFonts w:ascii="Arial;sans-serif" w:hAnsi="Arial;sans-serif"/>
          <w:b w:val="false"/>
          <w:color w:val="000000"/>
          <w:sz w:val="16"/>
          <w:u w:val="single"/>
        </w:rPr>
        <w:t>/s/ David Mauro    </w:t>
      </w:r>
      <w:r>
        <w:rPr>
          <w:color w:val="000000"/>
        </w:rPr>
        <w:t>    </w:t>
      </w:r>
      <w:r>
        <w:rPr>
          <w:rFonts w:ascii="Arial;sans-serif" w:hAnsi="Arial;sans-serif"/>
          <w:b w:val="false"/>
          <w:color w:val="000000"/>
          <w:sz w:val="16"/>
        </w:rPr>
        <w:t>By:    </w:t>
      </w:r>
      <w:r>
        <w:rPr>
          <w:rFonts w:ascii="Arial;sans-serif" w:hAnsi="Arial;sans-serif"/>
          <w:b w:val="false"/>
          <w:color w:val="000000"/>
          <w:sz w:val="16"/>
          <w:u w:val="single"/>
        </w:rPr>
        <w:t>/s/ Najat Khan    </w:t>
      </w:r>
    </w:p>
    <w:p>
      <w:pPr>
        <w:pStyle w:val="TextBody"/>
        <w:bidi w:val="0"/>
        <w:spacing w:lineRule="auto" w:line="288" w:before="240" w:after="283"/>
        <w:jc w:val="both"/>
        <w:rPr/>
      </w:pPr>
      <w:r>
        <w:rPr>
          <w:rFonts w:ascii="Arial;sans-serif" w:hAnsi="Arial;sans-serif"/>
          <w:b w:val="false"/>
          <w:color w:val="000000"/>
          <w:sz w:val="16"/>
        </w:rPr>
        <w:t xml:space="preserve">Name: </w:t>
      </w:r>
      <w:r>
        <w:rPr>
          <w:rFonts w:ascii="Arial;sans-serif" w:hAnsi="Arial;sans-serif"/>
          <w:b w:val="false"/>
          <w:color w:val="000000"/>
          <w:sz w:val="16"/>
          <w:u w:val="single"/>
        </w:rPr>
        <w:t>David Mauro, M.D., Ph.D.    </w:t>
      </w:r>
      <w:r>
        <w:rPr>
          <w:color w:val="000000"/>
        </w:rPr>
        <w:t>    </w:t>
      </w:r>
      <w:r>
        <w:rPr>
          <w:rFonts w:ascii="Arial;sans-serif" w:hAnsi="Arial;sans-serif"/>
          <w:b w:val="false"/>
          <w:color w:val="000000"/>
          <w:sz w:val="16"/>
        </w:rPr>
        <w:t xml:space="preserve">Name: </w:t>
      </w:r>
      <w:r>
        <w:rPr>
          <w:rFonts w:ascii="Arial;sans-serif" w:hAnsi="Arial;sans-serif"/>
          <w:b w:val="false"/>
          <w:color w:val="000000"/>
          <w:sz w:val="16"/>
          <w:u w:val="single"/>
        </w:rPr>
        <w:t>Najat Khan    </w:t>
      </w:r>
    </w:p>
    <w:p>
      <w:pPr>
        <w:pStyle w:val="TextBody"/>
        <w:bidi w:val="0"/>
        <w:spacing w:lineRule="auto" w:line="288" w:before="240" w:after="283"/>
        <w:jc w:val="both"/>
        <w:rPr/>
      </w:pPr>
      <w:r>
        <w:rPr>
          <w:color w:val="000000"/>
        </w:rPr>
        <w:t>            </w:t>
      </w:r>
      <w:r>
        <w:rPr>
          <w:rFonts w:ascii="Arial;sans-serif" w:hAnsi="Arial;sans-serif"/>
          <w:b w:val="false"/>
          <w:color w:val="000000"/>
          <w:sz w:val="16"/>
        </w:rPr>
        <w:t xml:space="preserve">Title: </w:t>
      </w:r>
      <w:r>
        <w:rPr>
          <w:color w:val="000000"/>
          <w:u w:val="single"/>
        </w:rPr>
        <w:t>    </w:t>
      </w:r>
      <w:r>
        <w:rPr>
          <w:rFonts w:ascii="Arial;sans-serif" w:hAnsi="Arial;sans-serif"/>
          <w:b w:val="false"/>
          <w:color w:val="000000"/>
          <w:sz w:val="16"/>
          <w:u w:val="single"/>
        </w:rPr>
        <w:t>Chief Executive Officer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of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Najat Khan, certify that: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Recursion Pharmaceuticals,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69" w:type="dxa"/>
        <w:jc w:val="left"/>
        <w:tblInd w:w="0" w:type="dxa"/>
        <w:tblLayout w:type="fixed"/>
        <w:tblCellMar>
          <w:top w:w="28" w:type="dxa"/>
          <w:left w:w="28" w:type="dxa"/>
          <w:bottom w:w="28" w:type="dxa"/>
          <w:right w:w="28" w:type="dxa"/>
        </w:tblCellMar>
      </w:tblPr>
      <w:tblGrid>
        <w:gridCol w:w="1813"/>
        <w:gridCol w:w="1592"/>
        <w:gridCol w:w="2264"/>
      </w:tblGrid>
      <w:tr>
        <w:trPr/>
        <w:tc>
          <w:tcPr>
            <w:tcW w:w="181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Najat Khan</w:t>
            </w:r>
          </w:p>
        </w:tc>
      </w:tr>
      <w:tr>
        <w:trPr/>
        <w:tc>
          <w:tcPr>
            <w:tcW w:w="5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Najat Khan, Chief Executive Officer (principal executive officer)</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5,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of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Ben Taylor, certify that: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Recursion Pharmaceuticals,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45" w:type="dxa"/>
        <w:jc w:val="left"/>
        <w:tblInd w:w="0" w:type="dxa"/>
        <w:tblLayout w:type="fixed"/>
        <w:tblCellMar>
          <w:top w:w="28" w:type="dxa"/>
          <w:left w:w="28" w:type="dxa"/>
          <w:bottom w:w="28" w:type="dxa"/>
          <w:right w:w="28" w:type="dxa"/>
        </w:tblCellMar>
      </w:tblPr>
      <w:tblGrid>
        <w:gridCol w:w="1742"/>
        <w:gridCol w:w="1527"/>
        <w:gridCol w:w="2176"/>
      </w:tblGrid>
      <w:tr>
        <w:trPr/>
        <w:tc>
          <w:tcPr>
            <w:tcW w:w="174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Ben Taylor</w:t>
            </w:r>
          </w:p>
        </w:tc>
      </w:tr>
      <w:tr>
        <w:trPr/>
        <w:tc>
          <w:tcPr>
            <w:tcW w:w="5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 Taylor, Chief Financial Officer (principal financial officer)</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5,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 of Principal Executive Officer and Principal Financial Officer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Quarterly Report of Recursion Pharmaceuticals, Inc. (the “Company”) on Form 10-Q for the period ended June 30, 2026 as filed with the Securities and Exchange Commission on the date hereof (the “Report”), The undersigned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669" w:type="dxa"/>
        <w:jc w:val="left"/>
        <w:tblInd w:w="0" w:type="dxa"/>
        <w:tblLayout w:type="fixed"/>
        <w:tblCellMar>
          <w:top w:w="28" w:type="dxa"/>
          <w:left w:w="28" w:type="dxa"/>
          <w:bottom w:w="28" w:type="dxa"/>
          <w:right w:w="28" w:type="dxa"/>
        </w:tblCellMar>
      </w:tblPr>
      <w:tblGrid>
        <w:gridCol w:w="1813"/>
        <w:gridCol w:w="1592"/>
        <w:gridCol w:w="2264"/>
      </w:tblGrid>
      <w:tr>
        <w:trPr/>
        <w:tc>
          <w:tcPr>
            <w:tcW w:w="181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Najat Khan</w:t>
            </w:r>
          </w:p>
        </w:tc>
      </w:tr>
      <w:tr>
        <w:trPr/>
        <w:tc>
          <w:tcPr>
            <w:tcW w:w="5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Najat Khan, Chief Executive Officer (principal executive officer)</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Ben Taylor</w:t>
            </w:r>
          </w:p>
        </w:tc>
      </w:tr>
      <w:tr>
        <w:trPr/>
        <w:tc>
          <w:tcPr>
            <w:tcW w:w="5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 Taylor, Chief Financial Officer (principal financial officer)</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5,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1830/000119312524196505/d856792dex21.htm" TargetMode="External"/><Relationship Id="rId4" Type="http://schemas.openxmlformats.org/officeDocument/2006/relationships/hyperlink" Target="https://www.sec.gov/Archives/edgar/data/0001601830/000119312521123764/d149444dex31.htm" TargetMode="External"/><Relationship Id="rId5" Type="http://schemas.openxmlformats.org/officeDocument/2006/relationships/hyperlink" Target="https://www.sec.gov/Archives/edgar/data/1601830/000160183024000009/a1-25x24amendedbylaws.htm" TargetMode="External"/><Relationship Id="rId6" Type="http://schemas.openxmlformats.org/officeDocument/2006/relationships/hyperlink" Target="https://www.sec.gov/Archives/edgar/data/0001601830/000119312521089610/d89478dex42.htm" TargetMode="External"/><Relationship Id="rId7" Type="http://schemas.openxmlformats.org/officeDocument/2006/relationships/hyperlink" Target="https://www.sec.gov/Archives/edgar/data/1601830/000160183023000036/exhibit42-valencexexchange.htm" TargetMode="External"/><Relationship Id="rId8" Type="http://schemas.openxmlformats.org/officeDocument/2006/relationships/hyperlink" Target="https://www.sec.gov/Archives/edgar/data/1601830/000119312522268003/d365090dex102.htm" TargetMode="External"/><Relationship Id="rId9" Type="http://schemas.openxmlformats.org/officeDocument/2006/relationships/hyperlink" Target="https://www.sec.gov/Archives/edgar/data/1601830/000160183023000036/exhibit43-valencexregistra.htm" TargetMode="External"/><Relationship Id="rId10" Type="http://schemas.openxmlformats.org/officeDocument/2006/relationships/hyperlink" Target="https://www.sec.gov/Archives/edgar/data/1601830/000160183023000044/exhibit41registrationagree.htm" TargetMode="External"/><Relationship Id="rId11" Type="http://schemas.openxmlformats.org/officeDocument/2006/relationships/hyperlink" Target="https://www.sec.gov/Archives/edgar/data/1601830/000160183023000050/ex102-rxrxxnvidiaregrights.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26857</Words>
  <Characters>151211</Characters>
  <CharactersWithSpaces>177106</CharactersWithSpaces>
  <Paragraphs>2409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