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1E1E1E"/>
        </w:rPr>
        <w:t>UNITED STATES</w:t>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SECURITIES AND EXCHANGE COMMISSION</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Washington, D.C. 20549</w:t>
      </w: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 xml:space="preserve">FORM </w:t>
      </w:r>
      <w:r>
        <w:rPr>
          <w:rFonts w:ascii="Arial" w:cs="Arial" w:eastAsia="Arial" w:hAnsi="Arial"/>
          <w:sz w:val="25"/>
          <w:szCs w:val="25"/>
          <w:b w:val="1"/>
          <w:bCs w:val="1"/>
          <w:color w:val="000000"/>
        </w:rPr>
        <w:t>10-K</w:t>
      </w:r>
    </w:p>
    <w:p>
      <w:pPr>
        <w:spacing w:after="0" w:line="276" w:lineRule="exact"/>
        <w:rPr>
          <w:sz w:val="24"/>
          <w:szCs w:val="24"/>
          <w:color w:val="auto"/>
        </w:rPr>
      </w:pPr>
    </w:p>
    <w:p>
      <w:pPr>
        <w:ind w:left="20"/>
        <w:spacing w:after="0"/>
        <w:rPr>
          <w:sz w:val="20"/>
          <w:szCs w:val="20"/>
          <w:color w:val="auto"/>
        </w:rPr>
      </w:pPr>
      <w:r>
        <w:rPr>
          <w:rFonts w:ascii="Arial" w:cs="Arial" w:eastAsia="Arial" w:hAnsi="Arial"/>
          <w:sz w:val="16"/>
          <w:szCs w:val="16"/>
          <w:color w:val="1E1E1E"/>
        </w:rPr>
        <w:t>(Mark One)</w:t>
      </w:r>
    </w:p>
    <w:p>
      <w:pPr>
        <w:spacing w:after="0" w:line="5" w:lineRule="exact"/>
        <w:rPr>
          <w:sz w:val="24"/>
          <w:szCs w:val="24"/>
          <w:color w:val="auto"/>
        </w:rPr>
      </w:pPr>
    </w:p>
    <w:p>
      <w:pPr>
        <w:ind w:left="20" w:right="540" w:firstLine="501"/>
        <w:spacing w:after="0" w:line="251" w:lineRule="auto"/>
        <w:tabs>
          <w:tab w:leader="none" w:pos="723"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ANNUAL REPORT PURSUANT TO SECTION 13 OR 15(d) OF THE SECURITIES EXCHANGE ACT OF 1934 </w:t>
      </w:r>
      <w:r>
        <w:rPr>
          <w:rFonts w:ascii="Arial" w:cs="Arial" w:eastAsia="Arial" w:hAnsi="Arial"/>
          <w:sz w:val="16"/>
          <w:szCs w:val="16"/>
          <w:color w:val="1E1E1E"/>
        </w:rPr>
        <w:t>For the fiscal year ended December 31, 2025</w:t>
      </w:r>
    </w:p>
    <w:p>
      <w:pPr>
        <w:jc w:val="center"/>
        <w:ind w:right="20"/>
        <w:spacing w:after="0"/>
        <w:rPr>
          <w:sz w:val="20"/>
          <w:szCs w:val="20"/>
          <w:color w:val="auto"/>
        </w:rPr>
      </w:pPr>
      <w:r>
        <w:rPr>
          <w:rFonts w:ascii="Arial" w:cs="Arial" w:eastAsia="Arial" w:hAnsi="Arial"/>
          <w:sz w:val="16"/>
          <w:szCs w:val="16"/>
          <w:b w:val="1"/>
          <w:bCs w:val="1"/>
          <w:color w:val="1E1E1E"/>
        </w:rPr>
        <w:t>or</w:t>
      </w:r>
    </w:p>
    <w:p>
      <w:pPr>
        <w:spacing w:after="0" w:line="6" w:lineRule="exact"/>
        <w:rPr>
          <w:sz w:val="24"/>
          <w:szCs w:val="24"/>
          <w:color w:val="auto"/>
        </w:rPr>
      </w:pPr>
    </w:p>
    <w:p>
      <w:pPr>
        <w:ind w:left="20" w:right="360" w:firstLine="370"/>
        <w:spacing w:after="0" w:line="298" w:lineRule="auto"/>
        <w:tabs>
          <w:tab w:leader="none" w:pos="592"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TRANSITION REPORT PURSUANT TO SECTION 13 OR 15(d) OF THE SECURITIES EXCHANGE ACT OF 1934 </w:t>
      </w:r>
      <w:r>
        <w:rPr>
          <w:rFonts w:ascii="Arial" w:cs="Arial" w:eastAsia="Arial" w:hAnsi="Arial"/>
          <w:sz w:val="16"/>
          <w:szCs w:val="16"/>
          <w:color w:val="1E1E1E"/>
        </w:rPr>
        <w:t>For the transition period from to</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 xml:space="preserve">Commission File Number: </w:t>
      </w:r>
      <w:r>
        <w:rPr>
          <w:rFonts w:ascii="Arial" w:cs="Arial" w:eastAsia="Arial" w:hAnsi="Arial"/>
          <w:sz w:val="16"/>
          <w:szCs w:val="16"/>
          <w:b w:val="1"/>
          <w:bCs w:val="1"/>
          <w:color w:val="000000"/>
        </w:rPr>
        <w:t>001-40323</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Recursion Pharmaceuticals, Inc.</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(Exact name of registrant as specified in its charter)</w:t>
      </w:r>
    </w:p>
    <w:p>
      <w:pPr>
        <w:spacing w:after="0" w:line="248"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r>
        <w:rPr>
          <w:rFonts w:ascii="Arial" w:cs="Arial" w:eastAsia="Arial" w:hAnsi="Arial"/>
          <w:sz w:val="16"/>
          <w:szCs w:val="16"/>
          <w:b w:val="1"/>
          <w:bCs w:val="1"/>
          <w:color w:val="FFFFFF"/>
        </w:rPr>
        <w:t>___________________________________________________</w:t>
      </w:r>
      <w:r>
        <w:rPr>
          <w:rFonts w:ascii="Arial" w:cs="Arial" w:eastAsia="Arial" w:hAnsi="Arial"/>
          <w:sz w:val="16"/>
          <w:szCs w:val="16"/>
          <w:b w:val="1"/>
          <w:bCs w:val="1"/>
          <w:color w:val="auto"/>
        </w:rPr>
        <w:t xml:space="preserve"> 46-4099738</w:t>
      </w:r>
    </w:p>
    <w:p>
      <w:pPr>
        <w:spacing w:after="0" w:line="21" w:lineRule="exact"/>
        <w:rPr>
          <w:sz w:val="24"/>
          <w:szCs w:val="24"/>
          <w:color w:val="auto"/>
        </w:rPr>
      </w:pPr>
    </w:p>
    <w:p>
      <w:pPr>
        <w:ind w:left="280"/>
        <w:spacing w:after="0"/>
        <w:rPr>
          <w:sz w:val="20"/>
          <w:szCs w:val="20"/>
          <w:color w:val="auto"/>
        </w:rPr>
      </w:pPr>
      <w:r>
        <w:rPr>
          <w:rFonts w:ascii="Arial" w:cs="Arial" w:eastAsia="Arial" w:hAnsi="Arial"/>
          <w:sz w:val="16"/>
          <w:szCs w:val="16"/>
          <w:color w:val="auto"/>
        </w:rPr>
        <w:t>(State or other jurisdiction of incorporation or organization)</w:t>
      </w:r>
      <w:r>
        <w:rPr>
          <w:rFonts w:ascii="Arial" w:cs="Arial" w:eastAsia="Arial" w:hAnsi="Arial"/>
          <w:sz w:val="16"/>
          <w:szCs w:val="16"/>
          <w:color w:val="FFFFFF"/>
        </w:rPr>
        <w:t>______________________</w:t>
      </w:r>
      <w:r>
        <w:rPr>
          <w:rFonts w:ascii="Arial" w:cs="Arial" w:eastAsia="Arial" w:hAnsi="Arial"/>
          <w:sz w:val="16"/>
          <w:szCs w:val="16"/>
          <w:color w:val="auto"/>
        </w:rPr>
        <w:t xml:space="preserve"> (I.R.S. Employer Identification No.)</w:t>
      </w:r>
    </w:p>
    <w:p>
      <w:pPr>
        <w:spacing w:after="0" w:line="200" w:lineRule="exact"/>
        <w:rPr>
          <w:sz w:val="24"/>
          <w:szCs w:val="24"/>
          <w:color w:val="auto"/>
        </w:rPr>
      </w:pPr>
    </w:p>
    <w:p>
      <w:pPr>
        <w:spacing w:after="0" w:line="24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jc w:val="center"/>
        <w:ind w:right="20"/>
        <w:spacing w:after="0" w:line="211" w:lineRule="auto"/>
        <w:rPr>
          <w:sz w:val="20"/>
          <w:szCs w:val="20"/>
          <w:color w:val="auto"/>
        </w:rPr>
      </w:pPr>
      <w:r>
        <w:rPr>
          <w:rFonts w:ascii="Arial" w:cs="Arial" w:eastAsia="Arial" w:hAnsi="Arial"/>
          <w:sz w:val="16"/>
          <w:szCs w:val="16"/>
          <w:b w:val="1"/>
          <w:bCs w:val="1"/>
          <w:color w:val="auto"/>
        </w:rPr>
        <w:t>Salt Lake City, UT 84101</w:t>
      </w:r>
    </w:p>
    <w:p>
      <w:pPr>
        <w:jc w:val="center"/>
        <w:ind w:right="20"/>
        <w:spacing w:after="0" w:line="211" w:lineRule="auto"/>
        <w:rPr>
          <w:sz w:val="20"/>
          <w:szCs w:val="20"/>
          <w:color w:val="auto"/>
        </w:rPr>
      </w:pPr>
      <w:r>
        <w:rPr>
          <w:rFonts w:ascii="Arial" w:cs="Arial" w:eastAsia="Arial" w:hAnsi="Arial"/>
          <w:sz w:val="16"/>
          <w:szCs w:val="16"/>
          <w:b w:val="1"/>
          <w:bCs w:val="1"/>
          <w:color w:val="auto"/>
        </w:rPr>
        <w:t>(Address of principal executive offices) (Zip code)</w:t>
      </w:r>
    </w:p>
    <w:p>
      <w:pPr>
        <w:jc w:val="center"/>
        <w:ind w:right="20"/>
        <w:spacing w:after="0" w:line="211" w:lineRule="auto"/>
        <w:rPr>
          <w:sz w:val="20"/>
          <w:szCs w:val="20"/>
          <w:color w:val="auto"/>
        </w:rPr>
      </w:pPr>
      <w:r>
        <w:rPr>
          <w:rFonts w:ascii="Arial" w:cs="Arial" w:eastAsia="Arial" w:hAnsi="Arial"/>
          <w:sz w:val="16"/>
          <w:szCs w:val="16"/>
          <w:b w:val="1"/>
          <w:bCs w:val="1"/>
          <w:color w:val="auto"/>
        </w:rPr>
        <w:t>(385) 269 - 0203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0" w:lineRule="exact"/>
        <w:rPr>
          <w:sz w:val="24"/>
          <w:szCs w:val="24"/>
          <w:color w:val="auto"/>
        </w:rPr>
      </w:pPr>
    </w:p>
    <w:p>
      <w:pPr>
        <w:spacing w:after="0" w:line="30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6"/>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par value $0.00001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RXRX</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07" w:lineRule="exact"/>
        <w:rPr>
          <w:sz w:val="24"/>
          <w:szCs w:val="24"/>
          <w:color w:val="auto"/>
        </w:rPr>
      </w:pPr>
    </w:p>
    <w:p>
      <w:pPr>
        <w:ind w:left="2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17"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(Title of class)</w:t>
      </w:r>
    </w:p>
    <w:p>
      <w:pPr>
        <w:spacing w:after="0" w:line="196"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ind w:left="8100"/>
        <w:spacing w:after="0" w:line="218" w:lineRule="auto"/>
        <w:tabs>
          <w:tab w:leader="none" w:pos="8760" w:val="left"/>
        </w:tabs>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7"/>
          <w:szCs w:val="17"/>
          <w:b w:val="1"/>
          <w:bCs w:val="1"/>
          <w:color w:val="auto"/>
        </w:rPr>
        <w:t>x</w:t>
      </w:r>
      <w:r>
        <w:rPr>
          <w:sz w:val="20"/>
          <w:szCs w:val="20"/>
          <w:color w:val="auto"/>
        </w:rPr>
        <w:tab/>
      </w:r>
      <w:r>
        <w:rPr>
          <w:rFonts w:ascii="Arial" w:cs="Arial" w:eastAsia="Arial" w:hAnsi="Arial"/>
          <w:sz w:val="17"/>
          <w:szCs w:val="17"/>
          <w:color w:val="auto"/>
        </w:rPr>
        <w:t xml:space="preserve">No </w:t>
      </w:r>
      <w:r>
        <w:rPr>
          <w:rFonts w:ascii="Wingdings" w:cs="Wingdings" w:eastAsia="Wingdings" w:hAnsi="Wingdings"/>
          <w:sz w:val="17"/>
          <w:szCs w:val="17"/>
          <w:b w:val="1"/>
          <w:bCs w:val="1"/>
          <w:color w:val="auto"/>
        </w:rPr>
        <w:t>o</w:t>
      </w:r>
    </w:p>
    <w:p>
      <w:pPr>
        <w:ind w:left="20"/>
        <w:spacing w:after="0" w:line="210" w:lineRule="auto"/>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jc w:val="right"/>
        <w:ind w:right="40"/>
        <w:spacing w:after="0"/>
        <w:tabs>
          <w:tab w:leader="none" w:pos="460" w:val="left"/>
        </w:tabs>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7"/>
          <w:szCs w:val="17"/>
          <w:b w:val="1"/>
          <w:bCs w:val="1"/>
          <w:color w:val="auto"/>
        </w:rPr>
        <w:t>o</w:t>
      </w:r>
      <w:r>
        <w:rPr>
          <w:rFonts w:ascii="Arial" w:cs="Arial" w:eastAsia="Arial" w:hAnsi="Arial"/>
          <w:sz w:val="16"/>
          <w:szCs w:val="16"/>
          <w:color w:val="auto"/>
        </w:rPr>
        <w:tab/>
        <w:t xml:space="preserve">No </w:t>
      </w:r>
      <w:r>
        <w:rPr>
          <w:rFonts w:ascii="Wingdings" w:cs="Wingdings" w:eastAsia="Wingdings" w:hAnsi="Wingdings"/>
          <w:sz w:val="17"/>
          <w:szCs w:val="17"/>
          <w:b w:val="1"/>
          <w:bCs w:val="1"/>
          <w:color w:val="auto"/>
        </w:rPr>
        <w:t>x</w:t>
      </w:r>
    </w:p>
    <w:p>
      <w:pPr>
        <w:spacing w:after="0" w:line="209" w:lineRule="exact"/>
        <w:rPr>
          <w:sz w:val="24"/>
          <w:szCs w:val="24"/>
          <w:color w:val="auto"/>
        </w:rPr>
      </w:pPr>
    </w:p>
    <w:p>
      <w:pPr>
        <w:ind w:left="20" w:right="80"/>
        <w:spacing w:after="0" w:line="21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left="20" w:right="220"/>
        <w:spacing w:after="0" w:line="21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left="20" w:right="2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60"/>
          </w:cols>
          <w:pgMar w:left="1320" w:top="1087" w:right="1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00" w:lineRule="exact"/>
        <w:rPr>
          <w:sz w:val="24"/>
          <w:szCs w:val="24"/>
          <w:color w:val="auto"/>
        </w:rPr>
      </w:pPr>
    </w:p>
    <w:p>
      <w:pPr>
        <w:sectPr>
          <w:pgSz w:w="11900" w:h="16838" w:orient="portrait"/>
          <w:cols w:equalWidth="0" w:num="3">
            <w:col w:w="1620" w:space="300"/>
            <w:col w:w="4580" w:space="720"/>
            <w:col w:w="2040"/>
          </w:cols>
          <w:pgMar w:left="1320" w:top="1087" w:right="131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3">
            <w:col w:w="1200" w:space="720"/>
            <w:col w:w="4140" w:space="720"/>
            <w:col w:w="2480"/>
          </w:cols>
          <w:pgMar w:left="1320" w:top="1087" w:right="1319" w:bottom="1440" w:gutter="0" w:footer="0" w:header="0"/>
          <w:type w:val="continuous"/>
        </w:sectPr>
      </w:pPr>
    </w:p>
    <w:p>
      <w:pPr>
        <w:ind w:left="68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260"/>
          </w:cols>
          <w:pgMar w:left="1320" w:top="1087" w:right="1319" w:bottom="1440" w:gutter="0" w:footer="0" w:header="0"/>
          <w:type w:val="continuous"/>
        </w:sectPr>
      </w:pPr>
    </w:p>
    <w:bookmarkStart w:id="1" w:name="page2"/>
    <w:bookmarkEnd w:id="1"/>
    <w:p>
      <w:pPr>
        <w:spacing w:after="0" w:line="19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0" w:lineRule="exact"/>
        <w:rPr>
          <w:sz w:val="20"/>
          <w:szCs w:val="20"/>
          <w:color w:val="auto"/>
        </w:rPr>
      </w:pPr>
    </w:p>
    <w:p>
      <w:pPr>
        <w:ind w:right="80"/>
        <w:spacing w:after="0" w:line="18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70" w:lineRule="exact"/>
        <w:rPr>
          <w:sz w:val="20"/>
          <w:szCs w:val="20"/>
          <w:color w:val="auto"/>
        </w:rPr>
      </w:pPr>
    </w:p>
    <w:p>
      <w:pPr>
        <w:ind w:right="140"/>
        <w:spacing w:after="0" w:line="199"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70" w:lineRule="exact"/>
        <w:rPr>
          <w:sz w:val="20"/>
          <w:szCs w:val="20"/>
          <w:color w:val="auto"/>
        </w:rPr>
      </w:pPr>
    </w:p>
    <w:p>
      <w:pPr>
        <w:ind w:right="160"/>
        <w:spacing w:after="0" w:line="18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3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7"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The aggregate market value of the 401,051,618 shares of Class A common voting stock held by non-affiliates of the Registrant, computed by reference to the closing price as reported on the Nasdaq Stock Exchange, as of the last business day of the registrant’s most recently completed second fiscal quarter (June 30, 2025) was $2.03 billion.</w:t>
      </w:r>
    </w:p>
    <w:p>
      <w:pPr>
        <w:spacing w:after="0" w:line="20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As of January 31, 2026, there were 521,950,663 and 5,447,334 shares of the registrant’s Class A and B common stock, respectively, par value $0.00001 per share outstanding, respectively.</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2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Portions of the definitive proxy statement for use in connection with the registrant’s 2026 Annual Meeting of Stockholders to be filed hereafter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857885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60"/>
          </w:cols>
          <w:pgMar w:left="1340" w:top="166" w:right="139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024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9202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54"/>
          <w:szCs w:val="54"/>
          <w:b w:val="1"/>
          <w:bCs w:val="1"/>
          <w:color w:val="513491"/>
        </w:rPr>
        <w:t>A Letter from Our CEO</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color w:val="513491"/>
        </w:rPr>
        <w:t>Dear Shareholders,</w:t>
      </w:r>
    </w:p>
    <w:p>
      <w:pPr>
        <w:spacing w:after="0" w:line="247"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1E1E1E"/>
        </w:rPr>
        <w:t>2025 marked an important inflection point for Recursion — the year our AI-native foundation began translating from theoretical advantage into clinical reality. We moved from vision and promise to demonstrating tangible clinical evidence powered by our end-to-end AI-native operating system for creating medicines, and we did so with growing confidence, discipline, and momentum. As I reflect on the year behind us and look ahead to 2026 and beyond, I believe Recursion is entering one of its most consequential chapters yet.</w:t>
      </w:r>
    </w:p>
    <w:p>
      <w:pPr>
        <w:spacing w:after="0" w:line="177" w:lineRule="exact"/>
        <w:rPr>
          <w:sz w:val="20"/>
          <w:szCs w:val="20"/>
          <w:color w:val="auto"/>
        </w:rPr>
      </w:pPr>
    </w:p>
    <w:p>
      <w:pPr>
        <w:spacing w:after="0" w:line="272" w:lineRule="auto"/>
        <w:rPr>
          <w:sz w:val="20"/>
          <w:szCs w:val="20"/>
          <w:color w:val="auto"/>
        </w:rPr>
      </w:pPr>
      <w:r>
        <w:rPr>
          <w:rFonts w:ascii="Arial" w:cs="Arial" w:eastAsia="Arial" w:hAnsi="Arial"/>
          <w:sz w:val="16"/>
          <w:szCs w:val="16"/>
          <w:color w:val="1E1E1E"/>
        </w:rPr>
        <w:t>The foundational question is no longer whether AI can play a role in drug discovery and development. We have demonstrated that it can — and we believe the next decade will be defined by how deeply AI is embedded into the fabric of new medicines itself. The more important question now is: what value does it create, and how does that value show up in the lives of patients? Quality medicines are the standard by which AI in medicine will ultimately be judged. That value will not come from AI layered onto the margins of R&amp;D, but from seamlessly integrating AI into the drug discovery and development process itself — improving probability of success, compressing timelines, and deploying capital more efficiently. We are positioning Recursion not only to meet that standard, but to define it.</w:t>
      </w:r>
    </w:p>
    <w:p>
      <w:pPr>
        <w:spacing w:after="0" w:line="180"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1E1E1E"/>
        </w:rPr>
        <w:t>My conviction in our path forward is rooted in the foundation we have built and the proof points we are beginning to generate through our full stack AI platform. Our strategy is organized around three core pillars, underpinned by exceptional people and a culture grounded in rigor and curiosity.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236855</wp:posOffset>
            </wp:positionV>
            <wp:extent cx="6172200" cy="1808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1808480"/>
                    </a:xfrm>
                    <a:prstGeom prst="rect">
                      <a:avLst/>
                    </a:prstGeom>
                    <a:noFill/>
                  </pic:spPr>
                </pic:pic>
              </a:graphicData>
            </a:graphic>
          </wp:anchor>
        </w:drawing>
      </w:r>
    </w:p>
    <w:p>
      <w:pPr>
        <w:sectPr>
          <w:pgSz w:w="11900" w:h="16838" w:orient="portrait"/>
          <w:cols w:equalWidth="0" w:num="1">
            <w:col w:w="9680"/>
          </w:cols>
          <w:pgMar w:left="1100" w:top="1201"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0" w:hanging="80"/>
        <w:spacing w:after="0" w:line="282" w:lineRule="auto"/>
        <w:rPr>
          <w:sz w:val="20"/>
          <w:szCs w:val="20"/>
          <w:color w:val="auto"/>
        </w:rPr>
      </w:pPr>
      <w:r>
        <w:rPr>
          <w:rFonts w:ascii="Arial" w:cs="Arial" w:eastAsia="Arial" w:hAnsi="Arial"/>
          <w:sz w:val="14"/>
          <w:szCs w:val="14"/>
          <w:b w:val="1"/>
          <w:bCs w:val="1"/>
          <w:color w:val="1AA7DF"/>
        </w:rPr>
        <w:t>“THE FOUNDATIONAL QUESTION IS NO LONGER WHETHER AI CAN PLAY A ROLE IN DRUG DISCOVERY AND DEVELOPMENT. WE HAVE DEMONSTRATED THAT IT CAN — AND WE BELIEVE THE NEXT DECADE WILL BE DEFINED BY HOW DEEPLY AI IS EMBEDDED INTO THE FABRIC OF NEW MEDICINES ITSELF. THE MORE IMPORTANT QUESTION NOW IS: WHAT VALUE DOES IT CREATE, AND HOW DOES THAT VALUE SHOW UP IN THE LIVES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-1915160</wp:posOffset>
            </wp:positionV>
            <wp:extent cx="1637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ind w:right="280"/>
        <w:spacing w:after="0" w:line="308" w:lineRule="auto"/>
        <w:rPr>
          <w:sz w:val="20"/>
          <w:szCs w:val="20"/>
          <w:color w:val="auto"/>
        </w:rPr>
      </w:pPr>
      <w:r>
        <w:rPr>
          <w:rFonts w:ascii="Arial" w:cs="Arial" w:eastAsia="Arial" w:hAnsi="Arial"/>
          <w:sz w:val="27"/>
          <w:szCs w:val="27"/>
          <w:b w:val="1"/>
          <w:bCs w:val="1"/>
          <w:color w:val="E2188A"/>
        </w:rPr>
        <w:t>First: Translating Insights into Proof Points — and Ultimately into Medicines.</w:t>
      </w:r>
    </w:p>
    <w:p>
      <w:pPr>
        <w:spacing w:after="0" w:line="1"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1E1E1E"/>
        </w:rPr>
        <w:t>In 2025, we achieved our first AI-enabled clinical proof of concept. In familial adenomatous polyposis (FAP), REC-4881 demonstrated that a novel, platform-derived biological insight — identifying MEK1/2 inhibition as a therapeutic entry point — can translate into meaningful clinical outcomes. For patients living with a progressive, lifelong disease with no approved pharmacotherapies, this represents tangible progress.</w:t>
      </w:r>
    </w:p>
    <w:p>
      <w:pPr>
        <w:spacing w:after="0" w:line="18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1E1E1E"/>
        </w:rPr>
        <w:t>This milestone is more than a single data readout. It is early validation of a core premise: that systematically decoding biology at scale can yield differentiated medicines — and that the more we learn, the stronger the system becomes.</w:t>
      </w:r>
    </w:p>
    <w:p>
      <w:pPr>
        <w:spacing w:after="0" w:line="17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1E1E1E"/>
        </w:rPr>
        <w:t>We enter 2026 with five clinical programs advancing with defined differentiation and clear go/no-go criteria, alongside a growing discovery pipeline informed by platform-generated insights. We are also delivering for our partners, having achieved over $500 million in upfront and progress-based milestone payments to date. With Roche and Genentech, we have delivered whole-genome CRISPR phenomaps in human neuronal and microglial cells, generating $213 million in cash inflows. With Sanofi, we are advancing AI-driven small-molecule programs in oncology and immunology, contributing $134 million in cash inflows to date.</w:t>
      </w:r>
    </w:p>
    <w:p>
      <w:pPr>
        <w:spacing w:after="0" w:line="192"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1E1E1E"/>
        </w:rPr>
        <w:t>These are not isolated successes; they are signals that our platform is beginning to compound — generating insights, molecules, and proof from a shared technological core.</w:t>
      </w:r>
    </w:p>
    <w:p>
      <w:pPr>
        <w:spacing w:after="0" w:line="180" w:lineRule="exact"/>
        <w:rPr>
          <w:sz w:val="20"/>
          <w:szCs w:val="20"/>
          <w:color w:val="auto"/>
        </w:rPr>
      </w:pPr>
    </w:p>
    <w:p>
      <w:pPr>
        <w:ind w:right="280"/>
        <w:spacing w:after="0" w:line="320" w:lineRule="auto"/>
        <w:rPr>
          <w:sz w:val="20"/>
          <w:szCs w:val="20"/>
          <w:color w:val="auto"/>
        </w:rPr>
      </w:pPr>
      <w:r>
        <w:rPr>
          <w:rFonts w:ascii="Arial" w:cs="Arial" w:eastAsia="Arial" w:hAnsi="Arial"/>
          <w:sz w:val="26"/>
          <w:szCs w:val="26"/>
          <w:b w:val="1"/>
          <w:bCs w:val="1"/>
          <w:color w:val="E2188A"/>
        </w:rPr>
        <w:t>Second: Surgically Doubling Down on our Full Stack AI Platform Innovation, Grounded in Impact.</w:t>
      </w:r>
    </w:p>
    <w:p>
      <w:pPr>
        <w:spacing w:after="0" w:line="1"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1E1E1E"/>
        </w:rPr>
        <w:t>AI must improve outcomes across the full R&amp;D value chain — not just isolated steps. Our focus is therefore on building and operating an integrated, end-to-end platform spanning biology, chemistry, and clinical development — designed to continuously learn across programs and improve with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774065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486410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500" w:space="460"/>
            <w:col w:w="6720"/>
          </w:cols>
          <w:pgMar w:left="1100" w:top="1201" w:right="111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620395</wp:posOffset>
            </wp:positionV>
            <wp:extent cx="1748790" cy="1868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879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hanging="80"/>
        <w:spacing w:after="0" w:line="285" w:lineRule="auto"/>
        <w:rPr>
          <w:sz w:val="20"/>
          <w:szCs w:val="20"/>
          <w:color w:val="auto"/>
        </w:rPr>
      </w:pPr>
      <w:r>
        <w:rPr>
          <w:rFonts w:ascii="Arial" w:cs="Arial" w:eastAsia="Arial" w:hAnsi="Arial"/>
          <w:sz w:val="14"/>
          <w:szCs w:val="14"/>
          <w:b w:val="1"/>
          <w:bCs w:val="1"/>
          <w:color w:val="1AA7DF"/>
        </w:rPr>
        <w:t>“MAKING MEDICINES HAS ALWAYS BEEN PERSONAL FOR ME. RECURSION WAS FOUNDED ON A BELIEF I DEEPLY SHARE: THAT BIOLOGY IS COMPLEX, BUT NOT UNKNOWABLE — AND THAT ADVANCES IN AI AND AUTOMATION CAN FUNDAMENTALLY RESHAPE HOW MEDICINES ARE DISCOVERED.”</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1E1E1E"/>
        </w:rPr>
        <w:t>Drug discovery has historically been fragmented, with biological hypotheses, molecular design, and clinical execution optimized independently. We have built Recursion to close that gap — not through incremental tools, but through a deeply integrated architecture that connects experimental data, machine learning, and execution in a unified feedback loop.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-673100</wp:posOffset>
            </wp:positionV>
            <wp:extent cx="6172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4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E1E1E"/>
        </w:rPr>
        <w:t>In biology, phenomics combined with multi-omic and patient-derived data is strengthening translational insight. In chemistry, precision generative design — strengthened by the integration of Exscientia — accelerates convergence on high-quality candidates, including against historically difficult targets. In clinical development, our newly created AI-enabled ClinTech system applies patient-level inference to improve trial design, patient selection, and execution, increasing signal quality and operational efficiency.</w:t>
      </w:r>
    </w:p>
    <w:p>
      <w:pPr>
        <w:spacing w:after="0" w:line="188"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1E1E1E"/>
        </w:rPr>
        <w:t>When AI functions as a continuous system rather than a collection of tools, its impact compounds— and that compounding effect is the foundation of our long-term strategic advantage. That is the platform we are building.</w:t>
      </w:r>
    </w:p>
    <w:p>
      <w:pPr>
        <w:spacing w:after="0" w:line="191" w:lineRule="exact"/>
        <w:rPr>
          <w:sz w:val="20"/>
          <w:szCs w:val="20"/>
          <w:color w:val="auto"/>
        </w:rPr>
      </w:pPr>
    </w:p>
    <w:p>
      <w:pPr>
        <w:spacing w:after="0"/>
        <w:rPr>
          <w:sz w:val="20"/>
          <w:szCs w:val="20"/>
          <w:color w:val="auto"/>
        </w:rPr>
      </w:pPr>
      <w:r>
        <w:rPr>
          <w:rFonts w:ascii="Arial" w:cs="Arial" w:eastAsia="Arial" w:hAnsi="Arial"/>
          <w:sz w:val="27"/>
          <w:szCs w:val="27"/>
          <w:b w:val="1"/>
          <w:bCs w:val="1"/>
          <w:color w:val="E2188A"/>
        </w:rPr>
        <w:t>Third: Pairing Bold Ambition with Discipline.</w:t>
      </w:r>
    </w:p>
    <w:p>
      <w:pPr>
        <w:spacing w:after="0" w:line="13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1E1E1E"/>
        </w:rPr>
        <w:t>Ambition must be matched with focus to create durable value. In 2025, we sharpened our portfolio, streamlined operations, and applied more rigorous capital allocation. We materially reduced projected cash burn while preserving investment in our highest-impact programs and platform capabilities.</w:t>
      </w:r>
    </w:p>
    <w:p>
      <w:pPr>
        <w:spacing w:after="0" w:line="167" w:lineRule="exact"/>
        <w:rPr>
          <w:sz w:val="20"/>
          <w:szCs w:val="20"/>
          <w:color w:val="auto"/>
        </w:rPr>
      </w:pPr>
    </w:p>
    <w:p>
      <w:pPr>
        <w:spacing w:after="0" w:line="292" w:lineRule="auto"/>
        <w:rPr>
          <w:sz w:val="20"/>
          <w:szCs w:val="20"/>
          <w:color w:val="auto"/>
        </w:rPr>
      </w:pPr>
      <w:r>
        <w:rPr>
          <w:rFonts w:ascii="Arial" w:cs="Arial" w:eastAsia="Arial" w:hAnsi="Arial"/>
          <w:sz w:val="16"/>
          <w:szCs w:val="16"/>
          <w:color w:val="1E1E1E"/>
        </w:rPr>
        <w:t>This discipline extends beyond financial stewardship. It shapes how we set milestones, evaluate data, and make transparent go/no-go decisions. As we move into 2026, you should expect continued execution rigor and a relentless orientation toward value creation.</w:t>
      </w:r>
    </w:p>
    <w:p>
      <w:pPr>
        <w:spacing w:after="0" w:line="17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1E1E1E"/>
        </w:rPr>
        <w:t>The foundation of this progress is our people — teams fluent in both science and AI, who approach biology with humility and technology with rigor. They are connecting data, models, and clinical insight into a unified system designed to deliver differentiated therapies.</w:t>
      </w:r>
    </w:p>
    <w:p>
      <w:pPr>
        <w:spacing w:after="0" w:line="167"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1E1E1E"/>
        </w:rPr>
        <w:t>Making medicines has always been personal for me. Recursion was founded on a belief I deeply share: that biology is complex, but not unknowable — and that advances in AI and automation can fundamentally reshape how medicines are discovered.</w:t>
      </w:r>
    </w:p>
    <w:p>
      <w:pPr>
        <w:spacing w:after="0" w:line="179"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1E1E1E"/>
        </w:rPr>
        <w:t>The next phase is about scaling that belief into durable impact — across programs, partnerships, and ultimately across diseases.</w:t>
      </w:r>
    </w:p>
    <w:p>
      <w:pPr>
        <w:spacing w:after="0" w:line="14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1E1E1E"/>
        </w:rPr>
        <w:t>We will continue advancing the Recursion Operating System as a source of long-term differentiation while prioritizing programs and partnerships where we have the strongest conviction and greatest opportunity to deliver for patients. Ambition and discipline are not opposing forces — they are mutually reinforcing.</w:t>
      </w:r>
    </w:p>
    <w:p>
      <w:pPr>
        <w:spacing w:after="0" w:line="18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1E1E1E"/>
        </w:rPr>
        <w:t>Approximately 80% of diseases still lack disease-modifying therapies. The opportunity before us is vast. The credibility of AI in medicine will not be earned through better models alone, but through translation — from data to decisions, from platforms to pipelines, and from science to patients. We intend to be the company that defines that standard.</w:t>
      </w:r>
    </w:p>
    <w:p>
      <w:pPr>
        <w:spacing w:after="0" w:line="1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1E1E1E"/>
        </w:rPr>
        <w:t>Our objective is clear: apply AI and science with rigor, focus, and humanity to deliver meaningful medicines. Thank you for your continued partnership as we build a company defined not only by impact and discipline, but by the ambition to drive durable value creation to reshape how medicines are discovered and delivered for generations to come.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1E1E1E"/>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82296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29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1E1E1E"/>
        </w:rPr>
        <w:t>Najat Khan, Ph.D.</w:t>
      </w:r>
    </w:p>
    <w:p>
      <w:pPr>
        <w:spacing w:after="0" w:line="79" w:lineRule="exact"/>
        <w:rPr>
          <w:sz w:val="20"/>
          <w:szCs w:val="20"/>
          <w:color w:val="auto"/>
        </w:rPr>
      </w:pPr>
    </w:p>
    <w:p>
      <w:pPr>
        <w:sectPr>
          <w:pgSz w:w="11900" w:h="16838" w:orient="portrait"/>
          <w:cols w:equalWidth="0" w:num="2">
            <w:col w:w="2520" w:space="540"/>
            <w:col w:w="6460"/>
          </w:cols>
          <w:pgMar w:left="1180" w:top="989" w:right="1199" w:bottom="1440" w:gutter="0" w:footer="0" w:header="0"/>
        </w:sectPr>
      </w:pPr>
    </w:p>
    <w:p>
      <w:pPr>
        <w:ind w:left="3060"/>
        <w:spacing w:after="0"/>
        <w:rPr>
          <w:sz w:val="20"/>
          <w:szCs w:val="20"/>
          <w:color w:val="auto"/>
        </w:rPr>
      </w:pPr>
      <w:r>
        <w:rPr>
          <w:rFonts w:ascii="Arial" w:cs="Arial" w:eastAsia="Arial" w:hAnsi="Arial"/>
          <w:sz w:val="14"/>
          <w:szCs w:val="14"/>
          <w:i w:val="1"/>
          <w:iCs w:val="1"/>
          <w:color w:val="auto"/>
        </w:rPr>
        <w:t>Chief Executive Officer, President, and Board Member Recursion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695325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408305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20"/>
          </w:cols>
          <w:pgMar w:left="1180" w:top="989" w:right="11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0"/>
        <w:spacing w:after="0"/>
        <w:rPr>
          <w:sz w:val="20"/>
          <w:szCs w:val="20"/>
          <w:color w:val="auto"/>
        </w:rPr>
      </w:pPr>
      <w:r>
        <w:rPr>
          <w:rFonts w:ascii="Arial" w:cs="Arial" w:eastAsia="Arial" w:hAnsi="Arial"/>
          <w:sz w:val="25"/>
          <w:szCs w:val="25"/>
          <w:color w:val="513491"/>
        </w:rPr>
        <w:t>TABLE OF CONTENTS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1880" w:type="dxa"/>
            <w:vAlign w:val="bottom"/>
            <w:tcBorders>
              <w:right w:val="single" w:sz="8" w:color="4CBFC4"/>
            </w:tcBorders>
            <w:vMerge w:val="restart"/>
          </w:tcPr>
          <w:p>
            <w:pPr>
              <w:spacing w:after="0"/>
              <w:rPr>
                <w:sz w:val="20"/>
                <w:szCs w:val="20"/>
                <w:color w:val="auto"/>
              </w:rPr>
            </w:pPr>
            <w:r>
              <w:rPr>
                <w:rFonts w:ascii="Arial" w:cs="Arial" w:eastAsia="Arial" w:hAnsi="Arial"/>
                <w:sz w:val="14"/>
                <w:szCs w:val="14"/>
                <w:b w:val="1"/>
                <w:bCs w:val="1"/>
                <w:color w:val="4CBFC4"/>
              </w:rPr>
              <w:t xml:space="preserve">PART </w:t>
            </w:r>
            <w:r>
              <w:rPr>
                <w:rFonts w:ascii="Arial" w:cs="Arial" w:eastAsia="Arial" w:hAnsi="Arial"/>
                <w:sz w:val="93"/>
                <w:szCs w:val="93"/>
                <w:color w:val="4CBFC4"/>
              </w:rPr>
              <w:t>01</w:t>
            </w:r>
          </w:p>
        </w:tc>
        <w:tc>
          <w:tcPr>
            <w:tcW w:w="940" w:type="dxa"/>
            <w:vAlign w:val="bottom"/>
          </w:tcPr>
          <w:p>
            <w:pPr>
              <w:ind w:left="340"/>
              <w:spacing w:after="0"/>
              <w:rPr>
                <w:sz w:val="20"/>
                <w:szCs w:val="20"/>
                <w:color w:val="auto"/>
              </w:rPr>
            </w:pPr>
            <w:r>
              <w:rPr>
                <w:rFonts w:ascii="Arial" w:cs="Arial" w:eastAsia="Arial" w:hAnsi="Arial"/>
                <w:sz w:val="18"/>
                <w:szCs w:val="18"/>
                <w:b w:val="1"/>
                <w:bCs w:val="1"/>
                <w:color w:val="6E6E6E"/>
              </w:rPr>
              <w:t>Item 1.</w:t>
            </w:r>
          </w:p>
        </w:tc>
        <w:tc>
          <w:tcPr>
            <w:tcW w:w="2560" w:type="dxa"/>
            <w:vAlign w:val="bottom"/>
            <w:gridSpan w:val="2"/>
          </w:tcPr>
          <w:p>
            <w:pPr>
              <w:ind w:left="20"/>
              <w:spacing w:after="0"/>
              <w:rPr>
                <w:sz w:val="20"/>
                <w:szCs w:val="20"/>
                <w:color w:val="auto"/>
              </w:rPr>
            </w:pPr>
            <w:r>
              <w:rPr>
                <w:rFonts w:ascii="Arial" w:cs="Arial" w:eastAsia="Arial" w:hAnsi="Arial"/>
                <w:sz w:val="18"/>
                <w:szCs w:val="18"/>
                <w:b w:val="1"/>
                <w:bCs w:val="1"/>
                <w:color w:val="6E6E6E"/>
              </w:rPr>
              <w:t>Business</w:t>
            </w:r>
          </w:p>
        </w:tc>
        <w:tc>
          <w:tcPr>
            <w:tcW w:w="0" w:type="dxa"/>
            <w:vAlign w:val="bottom"/>
          </w:tcPr>
          <w:p>
            <w:pPr>
              <w:spacing w:after="0"/>
              <w:rPr>
                <w:sz w:val="1"/>
                <w:szCs w:val="1"/>
                <w:color w:val="auto"/>
              </w:rPr>
            </w:pPr>
          </w:p>
        </w:tc>
      </w:tr>
      <w:tr>
        <w:trPr>
          <w:trHeight w:val="364"/>
        </w:trPr>
        <w:tc>
          <w:tcPr>
            <w:tcW w:w="1880" w:type="dxa"/>
            <w:vAlign w:val="bottom"/>
            <w:tcBorders>
              <w:right w:val="single" w:sz="8" w:color="4CBFC4"/>
            </w:tcBorders>
            <w:vMerge w:val="continue"/>
          </w:tcPr>
          <w:p>
            <w:pPr>
              <w:spacing w:after="0"/>
              <w:rPr>
                <w:sz w:val="24"/>
                <w:szCs w:val="24"/>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b w:val="1"/>
                <w:bCs w:val="1"/>
                <w:color w:val="6E6E6E"/>
                <w:w w:val="99"/>
              </w:rPr>
              <w:t>Item 1A.</w:t>
            </w:r>
          </w:p>
        </w:tc>
        <w:tc>
          <w:tcPr>
            <w:tcW w:w="2440" w:type="dxa"/>
            <w:vAlign w:val="bottom"/>
          </w:tcPr>
          <w:p>
            <w:pPr>
              <w:ind w:left="20"/>
              <w:spacing w:after="0"/>
              <w:rPr>
                <w:sz w:val="20"/>
                <w:szCs w:val="20"/>
                <w:color w:val="auto"/>
              </w:rPr>
            </w:pPr>
            <w:r>
              <w:rPr>
                <w:rFonts w:ascii="Arial" w:cs="Arial" w:eastAsia="Arial" w:hAnsi="Arial"/>
                <w:sz w:val="18"/>
                <w:szCs w:val="18"/>
                <w:b w:val="1"/>
                <w:bCs w:val="1"/>
                <w:color w:val="6E6E6E"/>
              </w:rPr>
              <w:t>Risk Factors</w:t>
            </w:r>
          </w:p>
        </w:tc>
        <w:tc>
          <w:tcPr>
            <w:tcW w:w="0" w:type="dxa"/>
            <w:vAlign w:val="bottom"/>
          </w:tcPr>
          <w:p>
            <w:pPr>
              <w:spacing w:after="0"/>
              <w:rPr>
                <w:sz w:val="1"/>
                <w:szCs w:val="1"/>
                <w:color w:val="auto"/>
              </w:rPr>
            </w:pPr>
          </w:p>
        </w:tc>
      </w:tr>
      <w:tr>
        <w:trPr>
          <w:trHeight w:val="482"/>
        </w:trPr>
        <w:tc>
          <w:tcPr>
            <w:tcW w:w="1880" w:type="dxa"/>
            <w:vAlign w:val="bottom"/>
            <w:tcBorders>
              <w:right w:val="single" w:sz="8" w:color="4CBFC4"/>
            </w:tcBorders>
            <w:vMerge w:val="continue"/>
          </w:tcPr>
          <w:p>
            <w:pPr>
              <w:spacing w:after="0"/>
              <w:rPr>
                <w:sz w:val="24"/>
                <w:szCs w:val="24"/>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b w:val="1"/>
                <w:bCs w:val="1"/>
                <w:color w:val="6E6E6E"/>
                <w:w w:val="99"/>
              </w:rPr>
              <w:t>Item 1B.</w:t>
            </w:r>
          </w:p>
        </w:tc>
        <w:tc>
          <w:tcPr>
            <w:tcW w:w="2440" w:type="dxa"/>
            <w:vAlign w:val="bottom"/>
          </w:tcPr>
          <w:p>
            <w:pPr>
              <w:ind w:left="20"/>
              <w:spacing w:after="0"/>
              <w:rPr>
                <w:sz w:val="20"/>
                <w:szCs w:val="20"/>
                <w:color w:val="auto"/>
              </w:rPr>
            </w:pPr>
            <w:r>
              <w:rPr>
                <w:rFonts w:ascii="Arial" w:cs="Arial" w:eastAsia="Arial" w:hAnsi="Arial"/>
                <w:sz w:val="18"/>
                <w:szCs w:val="18"/>
                <w:b w:val="1"/>
                <w:bCs w:val="1"/>
                <w:color w:val="6E6E6E"/>
                <w:w w:val="99"/>
              </w:rPr>
              <w:t>Unresolved Staff Comments</w:t>
            </w:r>
          </w:p>
        </w:tc>
        <w:tc>
          <w:tcPr>
            <w:tcW w:w="0" w:type="dxa"/>
            <w:vAlign w:val="bottom"/>
          </w:tcPr>
          <w:p>
            <w:pPr>
              <w:spacing w:after="0"/>
              <w:rPr>
                <w:sz w:val="1"/>
                <w:szCs w:val="1"/>
                <w:color w:val="auto"/>
              </w:rPr>
            </w:pPr>
          </w:p>
        </w:tc>
      </w:tr>
      <w:tr>
        <w:trPr>
          <w:trHeight w:val="247"/>
        </w:trPr>
        <w:tc>
          <w:tcPr>
            <w:tcW w:w="1880" w:type="dxa"/>
            <w:vAlign w:val="bottom"/>
            <w:tcBorders>
              <w:right w:val="single" w:sz="8" w:color="4CBFC4"/>
            </w:tcBorders>
          </w:tcPr>
          <w:p>
            <w:pPr>
              <w:spacing w:after="0"/>
              <w:rPr>
                <w:sz w:val="21"/>
                <w:szCs w:val="21"/>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b w:val="1"/>
                <w:bCs w:val="1"/>
                <w:color w:val="6E6E6E"/>
                <w:w w:val="99"/>
              </w:rPr>
              <w:t>Item 1C.</w:t>
            </w:r>
          </w:p>
        </w:tc>
        <w:tc>
          <w:tcPr>
            <w:tcW w:w="2440" w:type="dxa"/>
            <w:vAlign w:val="bottom"/>
          </w:tcPr>
          <w:p>
            <w:pPr>
              <w:ind w:left="20"/>
              <w:spacing w:after="0"/>
              <w:rPr>
                <w:sz w:val="20"/>
                <w:szCs w:val="20"/>
                <w:color w:val="auto"/>
              </w:rPr>
            </w:pPr>
            <w:r>
              <w:rPr>
                <w:rFonts w:ascii="Arial" w:cs="Arial" w:eastAsia="Arial" w:hAnsi="Arial"/>
                <w:sz w:val="18"/>
                <w:szCs w:val="18"/>
                <w:b w:val="1"/>
                <w:bCs w:val="1"/>
                <w:color w:val="6E6E6E"/>
              </w:rPr>
              <w:t>Cybersecurity</w:t>
            </w:r>
          </w:p>
        </w:tc>
        <w:tc>
          <w:tcPr>
            <w:tcW w:w="0" w:type="dxa"/>
            <w:vAlign w:val="bottom"/>
          </w:tcPr>
          <w:p>
            <w:pPr>
              <w:spacing w:after="0"/>
              <w:rPr>
                <w:sz w:val="1"/>
                <w:szCs w:val="1"/>
                <w:color w:val="auto"/>
              </w:rPr>
            </w:pPr>
          </w:p>
        </w:tc>
      </w:tr>
      <w:tr>
        <w:trPr>
          <w:trHeight w:val="365"/>
        </w:trPr>
        <w:tc>
          <w:tcPr>
            <w:tcW w:w="1880" w:type="dxa"/>
            <w:vAlign w:val="bottom"/>
            <w:tcBorders>
              <w:right w:val="single" w:sz="8" w:color="4CBFC4"/>
            </w:tcBorders>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b w:val="1"/>
                <w:bCs w:val="1"/>
                <w:color w:val="6E6E6E"/>
              </w:rPr>
              <w:t>Item 2.</w:t>
            </w:r>
          </w:p>
        </w:tc>
        <w:tc>
          <w:tcPr>
            <w:tcW w:w="2560" w:type="dxa"/>
            <w:vAlign w:val="bottom"/>
            <w:gridSpan w:val="2"/>
          </w:tcPr>
          <w:p>
            <w:pPr>
              <w:ind w:left="20"/>
              <w:spacing w:after="0"/>
              <w:rPr>
                <w:sz w:val="20"/>
                <w:szCs w:val="20"/>
                <w:color w:val="auto"/>
              </w:rPr>
            </w:pPr>
            <w:r>
              <w:rPr>
                <w:rFonts w:ascii="Arial" w:cs="Arial" w:eastAsia="Arial" w:hAnsi="Arial"/>
                <w:sz w:val="18"/>
                <w:szCs w:val="18"/>
                <w:b w:val="1"/>
                <w:bCs w:val="1"/>
                <w:color w:val="6E6E6E"/>
              </w:rPr>
              <w:t>Properties</w:t>
            </w:r>
          </w:p>
        </w:tc>
        <w:tc>
          <w:tcPr>
            <w:tcW w:w="0" w:type="dxa"/>
            <w:vAlign w:val="bottom"/>
          </w:tcPr>
          <w:p>
            <w:pPr>
              <w:spacing w:after="0"/>
              <w:rPr>
                <w:sz w:val="1"/>
                <w:szCs w:val="1"/>
                <w:color w:val="auto"/>
              </w:rPr>
            </w:pPr>
          </w:p>
        </w:tc>
      </w:tr>
      <w:tr>
        <w:trPr>
          <w:trHeight w:val="364"/>
        </w:trPr>
        <w:tc>
          <w:tcPr>
            <w:tcW w:w="1880" w:type="dxa"/>
            <w:vAlign w:val="bottom"/>
            <w:tcBorders>
              <w:right w:val="single" w:sz="8" w:color="4CBFC4"/>
            </w:tcBorders>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b w:val="1"/>
                <w:bCs w:val="1"/>
                <w:color w:val="6E6E6E"/>
              </w:rPr>
              <w:t>Item 3.</w:t>
            </w:r>
          </w:p>
        </w:tc>
        <w:tc>
          <w:tcPr>
            <w:tcW w:w="2560" w:type="dxa"/>
            <w:vAlign w:val="bottom"/>
            <w:gridSpan w:val="2"/>
          </w:tcPr>
          <w:p>
            <w:pPr>
              <w:ind w:left="20"/>
              <w:spacing w:after="0"/>
              <w:rPr>
                <w:sz w:val="20"/>
                <w:szCs w:val="20"/>
                <w:color w:val="auto"/>
              </w:rPr>
            </w:pPr>
            <w:r>
              <w:rPr>
                <w:rFonts w:ascii="Arial" w:cs="Arial" w:eastAsia="Arial" w:hAnsi="Arial"/>
                <w:sz w:val="18"/>
                <w:szCs w:val="18"/>
                <w:b w:val="1"/>
                <w:bCs w:val="1"/>
                <w:color w:val="6E6E6E"/>
              </w:rPr>
              <w:t>Legal Proceedings</w:t>
            </w:r>
          </w:p>
        </w:tc>
        <w:tc>
          <w:tcPr>
            <w:tcW w:w="0" w:type="dxa"/>
            <w:vAlign w:val="bottom"/>
          </w:tcPr>
          <w:p>
            <w:pPr>
              <w:spacing w:after="0"/>
              <w:rPr>
                <w:sz w:val="1"/>
                <w:szCs w:val="1"/>
                <w:color w:val="auto"/>
              </w:rPr>
            </w:pPr>
          </w:p>
        </w:tc>
      </w:tr>
      <w:tr>
        <w:trPr>
          <w:trHeight w:val="364"/>
        </w:trPr>
        <w:tc>
          <w:tcPr>
            <w:tcW w:w="1880" w:type="dxa"/>
            <w:vAlign w:val="bottom"/>
            <w:tcBorders>
              <w:right w:val="single" w:sz="8" w:color="4CBFC4"/>
            </w:tcBorders>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8"/>
                <w:szCs w:val="18"/>
                <w:b w:val="1"/>
                <w:bCs w:val="1"/>
                <w:color w:val="6E6E6E"/>
              </w:rPr>
              <w:t>Item 4.</w:t>
            </w:r>
          </w:p>
        </w:tc>
        <w:tc>
          <w:tcPr>
            <w:tcW w:w="2560" w:type="dxa"/>
            <w:vAlign w:val="bottom"/>
            <w:gridSpan w:val="2"/>
          </w:tcPr>
          <w:p>
            <w:pPr>
              <w:ind w:left="20"/>
              <w:spacing w:after="0"/>
              <w:rPr>
                <w:sz w:val="20"/>
                <w:szCs w:val="20"/>
                <w:color w:val="auto"/>
              </w:rPr>
            </w:pPr>
            <w:r>
              <w:rPr>
                <w:rFonts w:ascii="Arial" w:cs="Arial" w:eastAsia="Arial" w:hAnsi="Arial"/>
                <w:sz w:val="18"/>
                <w:szCs w:val="18"/>
                <w:b w:val="1"/>
                <w:bCs w:val="1"/>
                <w:color w:val="6E6E6E"/>
              </w:rPr>
              <w:t>Mine Safety Disclosures</w:t>
            </w:r>
          </w:p>
        </w:tc>
        <w:tc>
          <w:tcPr>
            <w:tcW w:w="0" w:type="dxa"/>
            <w:vAlign w:val="bottom"/>
          </w:tcPr>
          <w:p>
            <w:pPr>
              <w:spacing w:after="0"/>
              <w:rPr>
                <w:sz w:val="1"/>
                <w:szCs w:val="1"/>
                <w:color w:val="auto"/>
              </w:rPr>
            </w:pPr>
          </w:p>
        </w:tc>
      </w:tr>
      <w:tr>
        <w:trPr>
          <w:trHeight w:val="69"/>
        </w:trPr>
        <w:tc>
          <w:tcPr>
            <w:tcW w:w="1880" w:type="dxa"/>
            <w:vAlign w:val="bottom"/>
            <w:tcBorders>
              <w:right w:val="single" w:sz="8" w:color="4CBFC4"/>
            </w:tcBorders>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445770</wp:posOffset>
            </wp:positionV>
            <wp:extent cx="8890" cy="2417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right="2140" w:firstLine="1793"/>
        <w:spacing w:after="0" w:line="180" w:lineRule="auto"/>
        <w:rPr>
          <w:sz w:val="20"/>
          <w:szCs w:val="20"/>
          <w:color w:val="auto"/>
        </w:rPr>
      </w:pPr>
      <w:r>
        <w:rPr>
          <w:rFonts w:ascii="Arial" w:cs="Arial" w:eastAsia="Arial" w:hAnsi="Arial"/>
          <w:sz w:val="14"/>
          <w:szCs w:val="14"/>
          <w:b w:val="1"/>
          <w:bCs w:val="1"/>
          <w:color w:val="6E6E6E"/>
        </w:rPr>
        <w:t xml:space="preserve">Item 5. Market for Registrant's Common Equity, Related Stockholder </w:t>
      </w:r>
      <w:r>
        <w:rPr>
          <w:rFonts w:ascii="Arial" w:cs="Arial" w:eastAsia="Arial" w:hAnsi="Arial"/>
          <w:sz w:val="33"/>
          <w:szCs w:val="33"/>
          <w:color w:val="A2CC3A"/>
        </w:rPr>
        <w:t xml:space="preserve">02 </w:t>
      </w:r>
      <w:r>
        <w:rPr>
          <w:rFonts w:ascii="Arial" w:cs="Arial" w:eastAsia="Arial" w:hAnsi="Arial"/>
          <w:sz w:val="14"/>
          <w:szCs w:val="14"/>
          <w:b w:val="1"/>
          <w:bCs w:val="1"/>
          <w:color w:val="6E6E6E"/>
        </w:rPr>
        <w:t>Matters and Issuer Purchases of Equity Securities</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6E6E6E"/>
        </w:rPr>
        <w:t>Item 6. [Reserved]</w:t>
      </w:r>
    </w:p>
    <w:p>
      <w:pPr>
        <w:ind w:left="20"/>
        <w:spacing w:after="0" w:line="214" w:lineRule="auto"/>
        <w:rPr>
          <w:sz w:val="20"/>
          <w:szCs w:val="20"/>
          <w:color w:val="auto"/>
        </w:rPr>
      </w:pPr>
      <w:r>
        <w:rPr>
          <w:rFonts w:ascii="Arial" w:cs="Arial" w:eastAsia="Arial" w:hAnsi="Arial"/>
          <w:sz w:val="14"/>
          <w:szCs w:val="14"/>
          <w:b w:val="1"/>
          <w:bCs w:val="1"/>
          <w:color w:val="A2CC3A"/>
        </w:rPr>
        <w:t>PART</w:t>
      </w:r>
    </w:p>
    <w:p>
      <w:pPr>
        <w:ind w:left="2400" w:right="1620" w:hanging="161"/>
        <w:spacing w:after="0" w:line="275" w:lineRule="auto"/>
        <w:rPr>
          <w:sz w:val="20"/>
          <w:szCs w:val="20"/>
          <w:color w:val="auto"/>
        </w:rPr>
      </w:pPr>
      <w:r>
        <w:rPr>
          <w:rFonts w:ascii="Arial" w:cs="Arial" w:eastAsia="Arial" w:hAnsi="Arial"/>
          <w:sz w:val="18"/>
          <w:szCs w:val="18"/>
          <w:b w:val="1"/>
          <w:bCs w:val="1"/>
          <w:color w:val="6E6E6E"/>
        </w:rPr>
        <w:t>Item 7. Management's Discussion and Analysis of Financial Condition and Results of Operations</w:t>
      </w:r>
    </w:p>
    <w:p>
      <w:pPr>
        <w:spacing w:after="0" w:line="61" w:lineRule="exact"/>
        <w:rPr>
          <w:sz w:val="20"/>
          <w:szCs w:val="20"/>
          <w:color w:val="auto"/>
        </w:rPr>
      </w:pPr>
    </w:p>
    <w:p>
      <w:pPr>
        <w:ind w:left="2240" w:right="2140"/>
        <w:spacing w:after="0" w:line="414" w:lineRule="auto"/>
        <w:rPr>
          <w:sz w:val="20"/>
          <w:szCs w:val="20"/>
          <w:color w:val="auto"/>
        </w:rPr>
      </w:pPr>
      <w:r>
        <w:rPr>
          <w:rFonts w:ascii="Arial" w:cs="Arial" w:eastAsia="Arial" w:hAnsi="Arial"/>
          <w:sz w:val="18"/>
          <w:szCs w:val="18"/>
          <w:b w:val="1"/>
          <w:bCs w:val="1"/>
          <w:color w:val="6E6E6E"/>
        </w:rPr>
        <w:t>Item 7A. Quantitative and Qualitative Disclosures About Market Risk Item 8. Financial Statements and Supplementary Data</w:t>
      </w:r>
    </w:p>
    <w:p>
      <w:pPr>
        <w:spacing w:after="0" w:line="1" w:lineRule="exact"/>
        <w:rPr>
          <w:sz w:val="20"/>
          <w:szCs w:val="20"/>
          <w:color w:val="auto"/>
        </w:rPr>
      </w:pPr>
    </w:p>
    <w:p>
      <w:pPr>
        <w:ind w:left="2400" w:right="1440" w:hanging="161"/>
        <w:spacing w:after="0" w:line="296" w:lineRule="auto"/>
        <w:rPr>
          <w:sz w:val="20"/>
          <w:szCs w:val="20"/>
          <w:color w:val="auto"/>
        </w:rPr>
      </w:pPr>
      <w:r>
        <w:rPr>
          <w:rFonts w:ascii="Arial" w:cs="Arial" w:eastAsia="Arial" w:hAnsi="Arial"/>
          <w:sz w:val="18"/>
          <w:szCs w:val="18"/>
          <w:b w:val="1"/>
          <w:bCs w:val="1"/>
          <w:color w:val="6E6E6E"/>
        </w:rPr>
        <w:t>Item 9. Changes in and Disagreements with Accountants on Accounting and Financial Disclosures</w:t>
      </w:r>
    </w:p>
    <w:p>
      <w:pPr>
        <w:spacing w:after="0" w:line="43"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6E6E6E"/>
        </w:rPr>
        <w:t>Item 9A. Controls and Procedures</w:t>
      </w:r>
    </w:p>
    <w:p>
      <w:pPr>
        <w:spacing w:after="0" w:line="158"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6E6E6E"/>
        </w:rPr>
        <w:t>Item 9B. Other Information</w:t>
      </w:r>
    </w:p>
    <w:p>
      <w:pPr>
        <w:spacing w:after="0" w:line="158"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6E6E6E"/>
        </w:rPr>
        <w:t>Item 9C. Disclosure Regarding Foreign Jurisdictions that Prevent Inspections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400" w:type="dxa"/>
            <w:vAlign w:val="bottom"/>
          </w:tcPr>
          <w:p>
            <w:pPr>
              <w:spacing w:after="0"/>
              <w:rPr>
                <w:sz w:val="24"/>
                <w:szCs w:val="24"/>
                <w:color w:val="auto"/>
              </w:rPr>
            </w:pPr>
          </w:p>
        </w:tc>
        <w:tc>
          <w:tcPr>
            <w:tcW w:w="1480" w:type="dxa"/>
            <w:vAlign w:val="bottom"/>
            <w:tcBorders>
              <w:right w:val="single" w:sz="8" w:color="E3188A"/>
            </w:tcBorders>
            <w:vMerge w:val="restart"/>
          </w:tcPr>
          <w:p>
            <w:pPr>
              <w:jc w:val="right"/>
              <w:spacing w:after="0"/>
              <w:rPr>
                <w:sz w:val="20"/>
                <w:szCs w:val="20"/>
                <w:color w:val="auto"/>
              </w:rPr>
            </w:pPr>
            <w:r>
              <w:rPr>
                <w:rFonts w:ascii="Arial" w:cs="Arial" w:eastAsia="Arial" w:hAnsi="Arial"/>
                <w:sz w:val="94"/>
                <w:szCs w:val="94"/>
                <w:color w:val="E3188A"/>
                <w:w w:val="99"/>
              </w:rPr>
              <w:t>03</w:t>
            </w:r>
          </w:p>
        </w:tc>
        <w:tc>
          <w:tcPr>
            <w:tcW w:w="7040" w:type="dxa"/>
            <w:vAlign w:val="bottom"/>
            <w:gridSpan w:val="2"/>
          </w:tcPr>
          <w:p>
            <w:pPr>
              <w:ind w:left="340"/>
              <w:spacing w:after="0"/>
              <w:rPr>
                <w:sz w:val="20"/>
                <w:szCs w:val="20"/>
                <w:color w:val="auto"/>
              </w:rPr>
            </w:pPr>
            <w:r>
              <w:rPr>
                <w:rFonts w:ascii="Arial" w:cs="Arial" w:eastAsia="Arial" w:hAnsi="Arial"/>
                <w:sz w:val="18"/>
                <w:szCs w:val="18"/>
                <w:b w:val="1"/>
                <w:bCs w:val="1"/>
                <w:color w:val="6E6E6E"/>
              </w:rPr>
              <w:t>Item 10. Directors, Executive Officers and Corporate Governance</w:t>
            </w: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1480" w:type="dxa"/>
            <w:vAlign w:val="bottom"/>
            <w:tcBorders>
              <w:right w:val="single" w:sz="8" w:color="E3188A"/>
            </w:tcBorders>
            <w:vMerge w:val="continue"/>
          </w:tcPr>
          <w:p>
            <w:pPr>
              <w:spacing w:after="0"/>
              <w:rPr>
                <w:sz w:val="24"/>
                <w:szCs w:val="24"/>
                <w:color w:val="auto"/>
              </w:rPr>
            </w:pPr>
          </w:p>
        </w:tc>
        <w:tc>
          <w:tcPr>
            <w:tcW w:w="7040" w:type="dxa"/>
            <w:vAlign w:val="bottom"/>
            <w:gridSpan w:val="2"/>
          </w:tcPr>
          <w:p>
            <w:pPr>
              <w:ind w:left="340"/>
              <w:spacing w:after="0"/>
              <w:rPr>
                <w:sz w:val="20"/>
                <w:szCs w:val="20"/>
                <w:color w:val="auto"/>
              </w:rPr>
            </w:pPr>
            <w:r>
              <w:rPr>
                <w:rFonts w:ascii="Arial" w:cs="Arial" w:eastAsia="Arial" w:hAnsi="Arial"/>
                <w:sz w:val="18"/>
                <w:szCs w:val="18"/>
                <w:b w:val="1"/>
                <w:bCs w:val="1"/>
                <w:color w:val="6E6E6E"/>
              </w:rPr>
              <w:t>Item 11. Executive Compensation</w:t>
            </w:r>
          </w:p>
        </w:tc>
        <w:tc>
          <w:tcPr>
            <w:tcW w:w="0" w:type="dxa"/>
            <w:vAlign w:val="bottom"/>
          </w:tcPr>
          <w:p>
            <w:pPr>
              <w:spacing w:after="0"/>
              <w:rPr>
                <w:sz w:val="1"/>
                <w:szCs w:val="1"/>
                <w:color w:val="auto"/>
              </w:rPr>
            </w:pPr>
          </w:p>
        </w:tc>
      </w:tr>
      <w:tr>
        <w:trPr>
          <w:trHeight w:val="320"/>
        </w:trPr>
        <w:tc>
          <w:tcPr>
            <w:tcW w:w="400" w:type="dxa"/>
            <w:vAlign w:val="bottom"/>
          </w:tcPr>
          <w:p>
            <w:pPr>
              <w:spacing w:after="0"/>
              <w:rPr>
                <w:sz w:val="20"/>
                <w:szCs w:val="20"/>
                <w:color w:val="auto"/>
              </w:rPr>
            </w:pPr>
            <w:r>
              <w:rPr>
                <w:rFonts w:ascii="Arial" w:cs="Arial" w:eastAsia="Arial" w:hAnsi="Arial"/>
                <w:sz w:val="14"/>
                <w:szCs w:val="14"/>
                <w:b w:val="1"/>
                <w:bCs w:val="1"/>
                <w:color w:val="E3188A"/>
                <w:w w:val="99"/>
              </w:rPr>
              <w:t>PART</w:t>
            </w:r>
          </w:p>
        </w:tc>
        <w:tc>
          <w:tcPr>
            <w:tcW w:w="1480" w:type="dxa"/>
            <w:vAlign w:val="bottom"/>
            <w:tcBorders>
              <w:right w:val="single" w:sz="8" w:color="E3188A"/>
            </w:tcBorders>
            <w:vMerge w:val="continue"/>
          </w:tcPr>
          <w:p>
            <w:pPr>
              <w:spacing w:after="0"/>
              <w:rPr>
                <w:sz w:val="24"/>
                <w:szCs w:val="24"/>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6E6E6E"/>
              </w:rPr>
              <w:t>Item 12.</w:t>
            </w:r>
          </w:p>
        </w:tc>
        <w:tc>
          <w:tcPr>
            <w:tcW w:w="6000" w:type="dxa"/>
            <w:vAlign w:val="bottom"/>
          </w:tcPr>
          <w:p>
            <w:pPr>
              <w:ind w:left="20"/>
              <w:spacing w:after="0"/>
              <w:rPr>
                <w:sz w:val="20"/>
                <w:szCs w:val="20"/>
                <w:color w:val="auto"/>
              </w:rPr>
            </w:pPr>
            <w:r>
              <w:rPr>
                <w:rFonts w:ascii="Arial" w:cs="Arial" w:eastAsia="Arial" w:hAnsi="Arial"/>
                <w:sz w:val="18"/>
                <w:szCs w:val="18"/>
                <w:b w:val="1"/>
                <w:bCs w:val="1"/>
                <w:color w:val="6E6E6E"/>
                <w:w w:val="99"/>
              </w:rPr>
              <w:t>Security Ownership of Certain Beneficial Owner and Management and</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1480" w:type="dxa"/>
            <w:vAlign w:val="bottom"/>
            <w:tcBorders>
              <w:right w:val="single" w:sz="8" w:color="E3188A"/>
            </w:tcBorders>
            <w:vMerge w:val="continue"/>
          </w:tcPr>
          <w:p>
            <w:pPr>
              <w:spacing w:after="0"/>
              <w:rPr>
                <w:sz w:val="24"/>
                <w:szCs w:val="24"/>
                <w:color w:val="auto"/>
              </w:rPr>
            </w:pPr>
          </w:p>
        </w:tc>
        <w:tc>
          <w:tcPr>
            <w:tcW w:w="7040" w:type="dxa"/>
            <w:vAlign w:val="bottom"/>
            <w:gridSpan w:val="2"/>
          </w:tcPr>
          <w:p>
            <w:pPr>
              <w:ind w:left="500"/>
              <w:spacing w:after="0"/>
              <w:rPr>
                <w:sz w:val="20"/>
                <w:szCs w:val="20"/>
                <w:color w:val="auto"/>
              </w:rPr>
            </w:pPr>
            <w:r>
              <w:rPr>
                <w:rFonts w:ascii="Arial" w:cs="Arial" w:eastAsia="Arial" w:hAnsi="Arial"/>
                <w:sz w:val="18"/>
                <w:szCs w:val="18"/>
                <w:b w:val="1"/>
                <w:bCs w:val="1"/>
                <w:color w:val="6E6E6E"/>
              </w:rPr>
              <w:t>Related Stockholder Matters</w:t>
            </w: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1480" w:type="dxa"/>
            <w:vAlign w:val="bottom"/>
            <w:tcBorders>
              <w:right w:val="single" w:sz="8" w:color="E3188A"/>
            </w:tcBorders>
          </w:tcPr>
          <w:p>
            <w:pPr>
              <w:spacing w:after="0"/>
              <w:rPr>
                <w:sz w:val="22"/>
                <w:szCs w:val="22"/>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6E6E6E"/>
              </w:rPr>
              <w:t>Item 13.</w:t>
            </w:r>
          </w:p>
        </w:tc>
        <w:tc>
          <w:tcPr>
            <w:tcW w:w="6000" w:type="dxa"/>
            <w:vAlign w:val="bottom"/>
          </w:tcPr>
          <w:p>
            <w:pPr>
              <w:ind w:left="20"/>
              <w:spacing w:after="0"/>
              <w:rPr>
                <w:sz w:val="20"/>
                <w:szCs w:val="20"/>
                <w:color w:val="auto"/>
              </w:rPr>
            </w:pPr>
            <w:r>
              <w:rPr>
                <w:rFonts w:ascii="Arial" w:cs="Arial" w:eastAsia="Arial" w:hAnsi="Arial"/>
                <w:sz w:val="18"/>
                <w:szCs w:val="18"/>
                <w:b w:val="1"/>
                <w:bCs w:val="1"/>
                <w:color w:val="6E6E6E"/>
              </w:rPr>
              <w:t>Certain Relationships and Related Transactions and Director</w:t>
            </w:r>
          </w:p>
        </w:tc>
        <w:tc>
          <w:tcPr>
            <w:tcW w:w="0" w:type="dxa"/>
            <w:vAlign w:val="bottom"/>
          </w:tcPr>
          <w:p>
            <w:pPr>
              <w:spacing w:after="0"/>
              <w:rPr>
                <w:sz w:val="1"/>
                <w:szCs w:val="1"/>
                <w:color w:val="auto"/>
              </w:rPr>
            </w:pPr>
          </w:p>
        </w:tc>
      </w:tr>
      <w:tr>
        <w:trPr>
          <w:trHeight w:val="247"/>
        </w:trPr>
        <w:tc>
          <w:tcPr>
            <w:tcW w:w="400" w:type="dxa"/>
            <w:vAlign w:val="bottom"/>
          </w:tcPr>
          <w:p>
            <w:pPr>
              <w:spacing w:after="0"/>
              <w:rPr>
                <w:sz w:val="21"/>
                <w:szCs w:val="21"/>
                <w:color w:val="auto"/>
              </w:rPr>
            </w:pPr>
          </w:p>
        </w:tc>
        <w:tc>
          <w:tcPr>
            <w:tcW w:w="1480" w:type="dxa"/>
            <w:vAlign w:val="bottom"/>
            <w:tcBorders>
              <w:right w:val="single" w:sz="8" w:color="E3188A"/>
            </w:tcBorders>
          </w:tcPr>
          <w:p>
            <w:pPr>
              <w:spacing w:after="0"/>
              <w:rPr>
                <w:sz w:val="21"/>
                <w:szCs w:val="21"/>
                <w:color w:val="auto"/>
              </w:rPr>
            </w:pPr>
          </w:p>
        </w:tc>
        <w:tc>
          <w:tcPr>
            <w:tcW w:w="7040" w:type="dxa"/>
            <w:vAlign w:val="bottom"/>
            <w:gridSpan w:val="2"/>
          </w:tcPr>
          <w:p>
            <w:pPr>
              <w:ind w:left="500"/>
              <w:spacing w:after="0"/>
              <w:rPr>
                <w:sz w:val="20"/>
                <w:szCs w:val="20"/>
                <w:color w:val="auto"/>
              </w:rPr>
            </w:pPr>
            <w:r>
              <w:rPr>
                <w:rFonts w:ascii="Arial" w:cs="Arial" w:eastAsia="Arial" w:hAnsi="Arial"/>
                <w:sz w:val="18"/>
                <w:szCs w:val="18"/>
                <w:b w:val="1"/>
                <w:bCs w:val="1"/>
                <w:color w:val="6E6E6E"/>
              </w:rPr>
              <w:t>Independence</w:t>
            </w:r>
          </w:p>
        </w:tc>
        <w:tc>
          <w:tcPr>
            <w:tcW w:w="0" w:type="dxa"/>
            <w:vAlign w:val="bottom"/>
          </w:tcPr>
          <w:p>
            <w:pPr>
              <w:spacing w:after="0"/>
              <w:rPr>
                <w:sz w:val="1"/>
                <w:szCs w:val="1"/>
                <w:color w:val="auto"/>
              </w:rPr>
            </w:pPr>
          </w:p>
        </w:tc>
      </w:tr>
      <w:tr>
        <w:trPr>
          <w:trHeight w:val="338"/>
        </w:trPr>
        <w:tc>
          <w:tcPr>
            <w:tcW w:w="400" w:type="dxa"/>
            <w:vAlign w:val="bottom"/>
          </w:tcPr>
          <w:p>
            <w:pPr>
              <w:spacing w:after="0"/>
              <w:rPr>
                <w:sz w:val="24"/>
                <w:szCs w:val="24"/>
                <w:color w:val="auto"/>
              </w:rPr>
            </w:pPr>
          </w:p>
        </w:tc>
        <w:tc>
          <w:tcPr>
            <w:tcW w:w="1480" w:type="dxa"/>
            <w:vAlign w:val="bottom"/>
            <w:tcBorders>
              <w:right w:val="single" w:sz="8" w:color="E3188A"/>
            </w:tcBorders>
          </w:tcPr>
          <w:p>
            <w:pPr>
              <w:spacing w:after="0"/>
              <w:rPr>
                <w:sz w:val="24"/>
                <w:szCs w:val="24"/>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6E6E6E"/>
              </w:rPr>
              <w:t>Item 14.</w:t>
            </w:r>
          </w:p>
        </w:tc>
        <w:tc>
          <w:tcPr>
            <w:tcW w:w="6000" w:type="dxa"/>
            <w:vAlign w:val="bottom"/>
          </w:tcPr>
          <w:p>
            <w:pPr>
              <w:ind w:left="20"/>
              <w:spacing w:after="0"/>
              <w:rPr>
                <w:sz w:val="20"/>
                <w:szCs w:val="20"/>
                <w:color w:val="auto"/>
              </w:rPr>
            </w:pPr>
            <w:r>
              <w:rPr>
                <w:rFonts w:ascii="Arial" w:cs="Arial" w:eastAsia="Arial" w:hAnsi="Arial"/>
                <w:sz w:val="18"/>
                <w:szCs w:val="18"/>
                <w:b w:val="1"/>
                <w:bCs w:val="1"/>
                <w:color w:val="6E6E6E"/>
              </w:rPr>
              <w:t>Principal Accounting Fees and Services</w:t>
            </w:r>
          </w:p>
        </w:tc>
        <w:tc>
          <w:tcPr>
            <w:tcW w:w="0" w:type="dxa"/>
            <w:vAlign w:val="bottom"/>
          </w:tcPr>
          <w:p>
            <w:pPr>
              <w:spacing w:after="0"/>
              <w:rPr>
                <w:sz w:val="1"/>
                <w:szCs w:val="1"/>
                <w:color w:val="auto"/>
              </w:rPr>
            </w:pPr>
          </w:p>
        </w:tc>
      </w:tr>
      <w:tr>
        <w:trPr>
          <w:trHeight w:val="69"/>
        </w:trPr>
        <w:tc>
          <w:tcPr>
            <w:tcW w:w="400" w:type="dxa"/>
            <w:vAlign w:val="bottom"/>
          </w:tcPr>
          <w:p>
            <w:pPr>
              <w:spacing w:after="0"/>
              <w:rPr>
                <w:sz w:val="6"/>
                <w:szCs w:val="6"/>
                <w:color w:val="auto"/>
              </w:rPr>
            </w:pPr>
          </w:p>
        </w:tc>
        <w:tc>
          <w:tcPr>
            <w:tcW w:w="1480" w:type="dxa"/>
            <w:vAlign w:val="bottom"/>
            <w:tcBorders>
              <w:right w:val="single" w:sz="8" w:color="E3188A"/>
            </w:tcBorders>
          </w:tcPr>
          <w:p>
            <w:pPr>
              <w:spacing w:after="0"/>
              <w:rPr>
                <w:sz w:val="6"/>
                <w:szCs w:val="6"/>
                <w:color w:val="auto"/>
              </w:rPr>
            </w:pPr>
          </w:p>
        </w:tc>
        <w:tc>
          <w:tcPr>
            <w:tcW w:w="1040" w:type="dxa"/>
            <w:vAlign w:val="bottom"/>
          </w:tcPr>
          <w:p>
            <w:pPr>
              <w:spacing w:after="0"/>
              <w:rPr>
                <w:sz w:val="6"/>
                <w:szCs w:val="6"/>
                <w:color w:val="auto"/>
              </w:rPr>
            </w:pPr>
          </w:p>
        </w:tc>
        <w:tc>
          <w:tcPr>
            <w:tcW w:w="6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445770</wp:posOffset>
            </wp:positionV>
            <wp:extent cx="8890" cy="805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40" w:right="3480" w:firstLine="1793"/>
        <w:spacing w:after="0" w:line="180" w:lineRule="auto"/>
        <w:rPr>
          <w:sz w:val="20"/>
          <w:szCs w:val="20"/>
          <w:color w:val="auto"/>
        </w:rPr>
      </w:pPr>
      <w:r>
        <w:rPr>
          <w:rFonts w:ascii="Arial" w:cs="Arial" w:eastAsia="Arial" w:hAnsi="Arial"/>
          <w:sz w:val="17"/>
          <w:szCs w:val="17"/>
          <w:b w:val="1"/>
          <w:bCs w:val="1"/>
          <w:color w:val="6E6E6E"/>
        </w:rPr>
        <w:t xml:space="preserve">Item 15. Exhibits and Financial Statement Schedules </w:t>
      </w:r>
      <w:r>
        <w:rPr>
          <w:rFonts w:ascii="Arial" w:cs="Arial" w:eastAsia="Arial" w:hAnsi="Arial"/>
          <w:sz w:val="70"/>
          <w:szCs w:val="70"/>
          <w:color w:val="523591"/>
        </w:rPr>
        <w:t xml:space="preserve">04 </w:t>
      </w:r>
      <w:r>
        <w:rPr>
          <w:rFonts w:ascii="Arial" w:cs="Arial" w:eastAsia="Arial" w:hAnsi="Arial"/>
          <w:sz w:val="16"/>
          <w:szCs w:val="16"/>
          <w:b w:val="1"/>
          <w:bCs w:val="1"/>
          <w:color w:val="6E6E6E"/>
        </w:rPr>
        <w:t>Item 16. Form 10-K Summary</w:t>
      </w:r>
    </w:p>
    <w:p>
      <w:pPr>
        <w:ind w:left="20"/>
        <w:spacing w:after="0" w:line="189" w:lineRule="auto"/>
        <w:rPr>
          <w:sz w:val="20"/>
          <w:szCs w:val="20"/>
          <w:color w:val="auto"/>
        </w:rPr>
      </w:pPr>
      <w:r>
        <w:rPr>
          <w:rFonts w:ascii="Arial" w:cs="Arial" w:eastAsia="Arial" w:hAnsi="Arial"/>
          <w:sz w:val="13"/>
          <w:szCs w:val="13"/>
          <w:b w:val="1"/>
          <w:bCs w:val="1"/>
          <w:color w:val="523591"/>
        </w:rPr>
        <w:t>PART</w:t>
      </w:r>
    </w:p>
    <w:p>
      <w:pPr>
        <w:ind w:left="2240"/>
        <w:spacing w:after="0"/>
        <w:rPr>
          <w:sz w:val="20"/>
          <w:szCs w:val="20"/>
          <w:color w:val="auto"/>
        </w:rPr>
      </w:pPr>
      <w:r>
        <w:rPr>
          <w:rFonts w:ascii="Arial" w:cs="Arial" w:eastAsia="Arial" w:hAnsi="Arial"/>
          <w:sz w:val="18"/>
          <w:szCs w:val="18"/>
          <w:b w:val="1"/>
          <w:bCs w:val="1"/>
          <w:color w:val="6E6E6E"/>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E6E6E"/>
        </w:rPr>
        <w:t>9</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E6E6E"/>
        </w:rPr>
        <w:t>72</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6E6E6E"/>
        </w:rPr>
        <w:t>135</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6E6E6E"/>
        </w:rPr>
        <w:t>135</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6E6E6E"/>
        </w:rPr>
        <w:t>136</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6E6E6E"/>
        </w:rPr>
        <w:t>137</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6E6E6E"/>
        </w:rPr>
        <w:t>137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138</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139</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141</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152</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154</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193</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193</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195</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196</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196</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196</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196</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197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199</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6E6E6E"/>
        </w:rPr>
        <w:t>200</w:t>
      </w:r>
    </w:p>
    <w:p>
      <w:pPr>
        <w:spacing w:after="0" w:line="229" w:lineRule="exact"/>
        <w:rPr>
          <w:sz w:val="20"/>
          <w:szCs w:val="20"/>
          <w:color w:val="auto"/>
        </w:rPr>
      </w:pPr>
    </w:p>
    <w:p>
      <w:pPr>
        <w:sectPr>
          <w:pgSz w:w="11900" w:h="16838" w:orient="portrait"/>
          <w:cols w:equalWidth="0" w:num="2">
            <w:col w:w="10200" w:space="720"/>
            <w:col w:w="300"/>
          </w:cols>
          <w:pgMar w:left="320" w:top="121" w:right="35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54"/>
          <w:szCs w:val="54"/>
          <w:b w:val="1"/>
          <w:bCs w:val="1"/>
          <w:color w:val="513491"/>
        </w:rPr>
        <w:t>Risk Factor Summary</w:t>
      </w:r>
    </w:p>
    <w:p>
      <w:pPr>
        <w:spacing w:after="0" w:line="200" w:lineRule="exact"/>
        <w:rPr>
          <w:sz w:val="20"/>
          <w:szCs w:val="20"/>
          <w:color w:val="auto"/>
        </w:rPr>
      </w:pPr>
    </w:p>
    <w:p>
      <w:pPr>
        <w:spacing w:after="0" w:line="304"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Below is a summary of the principal factors that make an investment in the common stock of Recursion Pharmaceuticals, Inc. (Recursion, the Company, we, us, or our) risky or speculative. This summary does not address all of the risks we face. Additional discussion of the risks summarized below, and other risks that we face, can be found in the section titled “Item 1A. Risk Factors”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1E1E"/>
        </w:rPr>
        <w:t>Risks Related to Our Limited Operating History, Financial Position, and Need for Additional Capital</w:t>
      </w:r>
    </w:p>
    <w:p>
      <w:pPr>
        <w:spacing w:after="0" w:line="57" w:lineRule="exact"/>
        <w:rPr>
          <w:sz w:val="20"/>
          <w:szCs w:val="20"/>
          <w:color w:val="auto"/>
        </w:rPr>
      </w:pPr>
    </w:p>
    <w:p>
      <w:pPr>
        <w:ind w:left="420" w:hanging="250"/>
        <w:spacing w:after="0" w:line="286" w:lineRule="auto"/>
        <w:tabs>
          <w:tab w:leader="none" w:pos="410" w:val="left"/>
        </w:tabs>
        <w:numPr>
          <w:ilvl w:val="0"/>
          <w:numId w:val="3"/>
        </w:numPr>
        <w:rPr>
          <w:rFonts w:ascii="Arial" w:cs="Arial" w:eastAsia="Arial" w:hAnsi="Arial"/>
          <w:sz w:val="16"/>
          <w:szCs w:val="16"/>
          <w:color w:val="1E1E1E"/>
        </w:rPr>
      </w:pPr>
      <w:r>
        <w:rPr>
          <w:rFonts w:ascii="Arial" w:cs="Arial" w:eastAsia="Arial" w:hAnsi="Arial"/>
          <w:sz w:val="16"/>
          <w:szCs w:val="16"/>
          <w:color w:val="1E1E1E"/>
        </w:rPr>
        <w:t>We are a clinical-stage biotechnology company with a limited operating history and no products approved by regulators for commercial sale, which may make it difficult to evaluate our current and future business prospects.</w:t>
      </w:r>
    </w:p>
    <w:p>
      <w:pPr>
        <w:spacing w:after="0" w:line="7" w:lineRule="exact"/>
        <w:rPr>
          <w:rFonts w:ascii="Arial" w:cs="Arial" w:eastAsia="Arial" w:hAnsi="Arial"/>
          <w:sz w:val="16"/>
          <w:szCs w:val="16"/>
          <w:color w:val="1E1E1E"/>
        </w:rPr>
      </w:pPr>
    </w:p>
    <w:p>
      <w:pPr>
        <w:ind w:left="420" w:right="180" w:hanging="250"/>
        <w:spacing w:after="0" w:line="266" w:lineRule="auto"/>
        <w:tabs>
          <w:tab w:leader="none" w:pos="410" w:val="left"/>
        </w:tabs>
        <w:numPr>
          <w:ilvl w:val="0"/>
          <w:numId w:val="3"/>
        </w:numPr>
        <w:rPr>
          <w:rFonts w:ascii="Arial" w:cs="Arial" w:eastAsia="Arial" w:hAnsi="Arial"/>
          <w:sz w:val="16"/>
          <w:szCs w:val="16"/>
          <w:color w:val="1E1E1E"/>
        </w:rPr>
      </w:pPr>
      <w:r>
        <w:rPr>
          <w:rFonts w:ascii="Arial" w:cs="Arial" w:eastAsia="Arial" w:hAnsi="Arial"/>
          <w:sz w:val="16"/>
          <w:szCs w:val="16"/>
          <w:color w:val="1E1E1E"/>
        </w:rPr>
        <w:t>We have incurred significant operating losses and anticipate that we will incur continued losses for the foreseeable future, and will need to raise substantial additional funding, which may cause dilution to stockholders, restrict operations, require us to relinquish rights to our technologies or drug candidates, and divert management’s attention from our core business.</w:t>
      </w:r>
    </w:p>
    <w:p>
      <w:pPr>
        <w:spacing w:after="0" w:line="22" w:lineRule="exact"/>
        <w:rPr>
          <w:rFonts w:ascii="Arial" w:cs="Arial" w:eastAsia="Arial" w:hAnsi="Arial"/>
          <w:sz w:val="16"/>
          <w:szCs w:val="16"/>
          <w:color w:val="1E1E1E"/>
        </w:rPr>
      </w:pPr>
    </w:p>
    <w:p>
      <w:pPr>
        <w:ind w:left="420" w:right="240" w:hanging="250"/>
        <w:spacing w:after="0" w:line="275" w:lineRule="auto"/>
        <w:tabs>
          <w:tab w:leader="none" w:pos="410" w:val="left"/>
        </w:tabs>
        <w:numPr>
          <w:ilvl w:val="0"/>
          <w:numId w:val="3"/>
        </w:numPr>
        <w:rPr>
          <w:rFonts w:ascii="Arial" w:cs="Arial" w:eastAsia="Arial" w:hAnsi="Arial"/>
          <w:sz w:val="16"/>
          <w:szCs w:val="16"/>
          <w:color w:val="1E1E1E"/>
        </w:rPr>
      </w:pPr>
      <w:r>
        <w:rPr>
          <w:rFonts w:ascii="Arial" w:cs="Arial" w:eastAsia="Arial" w:hAnsi="Arial"/>
          <w:sz w:val="16"/>
          <w:szCs w:val="16"/>
          <w:color w:val="1E1E1E"/>
        </w:rPr>
        <w:t>We may be required to repurchase for cash, or to facilitate the purchase by a third party of, the shares of Class A common stock that were issued to the Bill &amp; Melinda Gates Foundation if we default under the global access commitments agreement with Exscientia, which could have an adverse impact on us.</w:t>
      </w:r>
    </w:p>
    <w:p>
      <w:pPr>
        <w:spacing w:after="0" w:line="2" w:lineRule="exact"/>
        <w:rPr>
          <w:rFonts w:ascii="Arial" w:cs="Arial" w:eastAsia="Arial" w:hAnsi="Arial"/>
          <w:sz w:val="16"/>
          <w:szCs w:val="16"/>
          <w:color w:val="1E1E1E"/>
        </w:rPr>
      </w:pPr>
    </w:p>
    <w:p>
      <w:pPr>
        <w:ind w:left="420" w:right="40" w:hanging="250"/>
        <w:spacing w:after="0" w:line="275" w:lineRule="auto"/>
        <w:tabs>
          <w:tab w:leader="none" w:pos="410" w:val="left"/>
        </w:tabs>
        <w:numPr>
          <w:ilvl w:val="0"/>
          <w:numId w:val="3"/>
        </w:numPr>
        <w:rPr>
          <w:rFonts w:ascii="Arial" w:cs="Arial" w:eastAsia="Arial" w:hAnsi="Arial"/>
          <w:sz w:val="16"/>
          <w:szCs w:val="16"/>
          <w:color w:val="1E1E1E"/>
        </w:rPr>
      </w:pPr>
      <w:r>
        <w:rPr>
          <w:rFonts w:ascii="Arial" w:cs="Arial" w:eastAsia="Arial" w:hAnsi="Arial"/>
          <w:sz w:val="16"/>
          <w:szCs w:val="16"/>
          <w:color w:val="1E1E1E"/>
        </w:rPr>
        <w:t>We are engaged in strategic collaborations and we intend to seek to establish additional collaborations, including for the clinical development or commercialization of our drug candidates. If we are unable to do so, or if current and future collaborations are not successful, we may have to alter our development and commercialization plans.</w:t>
      </w:r>
    </w:p>
    <w:p>
      <w:pPr>
        <w:spacing w:after="0" w:line="2" w:lineRule="exact"/>
        <w:rPr>
          <w:rFonts w:ascii="Arial" w:cs="Arial" w:eastAsia="Arial" w:hAnsi="Arial"/>
          <w:sz w:val="16"/>
          <w:szCs w:val="16"/>
          <w:color w:val="1E1E1E"/>
        </w:rPr>
      </w:pPr>
    </w:p>
    <w:p>
      <w:pPr>
        <w:ind w:left="420" w:right="200" w:hanging="250"/>
        <w:spacing w:after="0" w:line="275" w:lineRule="auto"/>
        <w:tabs>
          <w:tab w:leader="none" w:pos="410" w:val="left"/>
        </w:tabs>
        <w:numPr>
          <w:ilvl w:val="0"/>
          <w:numId w:val="3"/>
        </w:numPr>
        <w:rPr>
          <w:rFonts w:ascii="Arial" w:cs="Arial" w:eastAsia="Arial" w:hAnsi="Arial"/>
          <w:sz w:val="16"/>
          <w:szCs w:val="16"/>
          <w:color w:val="1E1E1E"/>
        </w:rPr>
      </w:pPr>
      <w:r>
        <w:rPr>
          <w:rFonts w:ascii="Arial" w:cs="Arial" w:eastAsia="Arial" w:hAnsi="Arial"/>
          <w:sz w:val="16"/>
          <w:szCs w:val="16"/>
          <w:color w:val="1E1E1E"/>
        </w:rPr>
        <w:t>We have no products approved for commercial sale and have not generated any revenue from product sales. We or our current and future collaborators may never successfully develop and commercialize our drug candidates, which would negatively affect our results of operation and our ability to continue our business operations.</w:t>
      </w:r>
    </w:p>
    <w:p>
      <w:pPr>
        <w:spacing w:after="0" w:line="2" w:lineRule="exact"/>
        <w:rPr>
          <w:rFonts w:ascii="Arial" w:cs="Arial" w:eastAsia="Arial" w:hAnsi="Arial"/>
          <w:sz w:val="16"/>
          <w:szCs w:val="16"/>
          <w:color w:val="1E1E1E"/>
        </w:rPr>
      </w:pPr>
    </w:p>
    <w:p>
      <w:pPr>
        <w:ind w:left="420" w:right="320" w:hanging="250"/>
        <w:spacing w:after="0" w:line="304" w:lineRule="auto"/>
        <w:tabs>
          <w:tab w:leader="none" w:pos="410" w:val="left"/>
        </w:tabs>
        <w:numPr>
          <w:ilvl w:val="0"/>
          <w:numId w:val="3"/>
        </w:numPr>
        <w:rPr>
          <w:rFonts w:ascii="Arial" w:cs="Arial" w:eastAsia="Arial" w:hAnsi="Arial"/>
          <w:sz w:val="16"/>
          <w:szCs w:val="16"/>
          <w:color w:val="1E1E1E"/>
        </w:rPr>
      </w:pPr>
      <w:r>
        <w:rPr>
          <w:rFonts w:ascii="Arial" w:cs="Arial" w:eastAsia="Arial" w:hAnsi="Arial"/>
          <w:sz w:val="16"/>
          <w:szCs w:val="16"/>
          <w:color w:val="1E1E1E"/>
        </w:rPr>
        <w:t>If we engage in future acquisitions or strategic partnerships, this may increase our capital requirements, dilute our stockholders’ equity, cause us to incur debt or assume contingent liabilities, and subject us to other risks.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1E1E"/>
        </w:rPr>
        <w:t>Risks Related to the Discovery and Development of Drug Candidates</w:t>
      </w:r>
    </w:p>
    <w:p>
      <w:pPr>
        <w:spacing w:after="0" w:line="71" w:lineRule="exact"/>
        <w:rPr>
          <w:sz w:val="20"/>
          <w:szCs w:val="20"/>
          <w:color w:val="auto"/>
        </w:rPr>
      </w:pPr>
    </w:p>
    <w:p>
      <w:pPr>
        <w:ind w:left="420" w:right="260" w:hanging="250"/>
        <w:spacing w:after="0" w:line="281" w:lineRule="auto"/>
        <w:tabs>
          <w:tab w:leader="none" w:pos="410" w:val="left"/>
        </w:tabs>
        <w:numPr>
          <w:ilvl w:val="0"/>
          <w:numId w:val="4"/>
        </w:numPr>
        <w:rPr>
          <w:rFonts w:ascii="Arial" w:cs="Arial" w:eastAsia="Arial" w:hAnsi="Arial"/>
          <w:sz w:val="16"/>
          <w:szCs w:val="16"/>
          <w:color w:val="1E1E1E"/>
        </w:rPr>
      </w:pPr>
      <w:r>
        <w:rPr>
          <w:rFonts w:ascii="Arial" w:cs="Arial" w:eastAsia="Arial" w:hAnsi="Arial"/>
          <w:sz w:val="16"/>
          <w:szCs w:val="16"/>
          <w:color w:val="1E1E1E"/>
        </w:rPr>
        <w:t>Our approach to drug discovery is unique and may not lead to successful drug products for various reasons, including, but not limited to, challenges identifying mechanisms of action for our candidates.</w:t>
      </w:r>
    </w:p>
    <w:p>
      <w:pPr>
        <w:spacing w:after="0" w:line="1" w:lineRule="exact"/>
        <w:rPr>
          <w:rFonts w:ascii="Arial" w:cs="Arial" w:eastAsia="Arial" w:hAnsi="Arial"/>
          <w:sz w:val="16"/>
          <w:szCs w:val="16"/>
          <w:color w:val="1E1E1E"/>
        </w:rPr>
      </w:pPr>
    </w:p>
    <w:p>
      <w:pPr>
        <w:ind w:left="420" w:right="180" w:hanging="250"/>
        <w:spacing w:after="0" w:line="290" w:lineRule="auto"/>
        <w:tabs>
          <w:tab w:leader="none" w:pos="410" w:val="left"/>
        </w:tabs>
        <w:numPr>
          <w:ilvl w:val="0"/>
          <w:numId w:val="4"/>
        </w:numPr>
        <w:rPr>
          <w:rFonts w:ascii="Arial" w:cs="Arial" w:eastAsia="Arial" w:hAnsi="Arial"/>
          <w:sz w:val="16"/>
          <w:szCs w:val="16"/>
          <w:color w:val="1E1E1E"/>
        </w:rPr>
      </w:pPr>
      <w:r>
        <w:rPr>
          <w:rFonts w:ascii="Arial" w:cs="Arial" w:eastAsia="Arial" w:hAnsi="Arial"/>
          <w:sz w:val="16"/>
          <w:szCs w:val="16"/>
          <w:color w:val="1E1E1E"/>
        </w:rPr>
        <w:t>Our drug candidates are in preclinical or clinical development, which are lengthy and expensive processes with uncertain outcomes and the potential for substantial delays, including due to difficulties in the enrollment of patients in clinical trials.</w:t>
      </w:r>
    </w:p>
    <w:p>
      <w:pPr>
        <w:ind w:left="420" w:right="100" w:hanging="250"/>
        <w:spacing w:after="0" w:line="286" w:lineRule="auto"/>
        <w:tabs>
          <w:tab w:leader="none" w:pos="410" w:val="left"/>
        </w:tabs>
        <w:numPr>
          <w:ilvl w:val="0"/>
          <w:numId w:val="4"/>
        </w:numPr>
        <w:rPr>
          <w:rFonts w:ascii="Arial" w:cs="Arial" w:eastAsia="Arial" w:hAnsi="Arial"/>
          <w:sz w:val="16"/>
          <w:szCs w:val="16"/>
          <w:color w:val="1E1E1E"/>
        </w:rPr>
      </w:pPr>
      <w:r>
        <w:rPr>
          <w:rFonts w:ascii="Arial" w:cs="Arial" w:eastAsia="Arial" w:hAnsi="Arial"/>
          <w:sz w:val="16"/>
          <w:szCs w:val="16"/>
          <w:color w:val="1E1E1E"/>
        </w:rPr>
        <w:t>Our planned clinical trials, or those of our current and potential future collaborators, may not be successful and may not receive regulatory approval or market acceptance.</w:t>
      </w:r>
    </w:p>
    <w:p>
      <w:pPr>
        <w:spacing w:after="0" w:line="7" w:lineRule="exact"/>
        <w:rPr>
          <w:rFonts w:ascii="Arial" w:cs="Arial" w:eastAsia="Arial" w:hAnsi="Arial"/>
          <w:sz w:val="16"/>
          <w:szCs w:val="16"/>
          <w:color w:val="1E1E1E"/>
        </w:rPr>
      </w:pPr>
    </w:p>
    <w:p>
      <w:pPr>
        <w:ind w:left="400" w:hanging="230"/>
        <w:spacing w:after="0"/>
        <w:tabs>
          <w:tab w:leader="none" w:pos="400" w:val="left"/>
        </w:tabs>
        <w:numPr>
          <w:ilvl w:val="0"/>
          <w:numId w:val="4"/>
        </w:numPr>
        <w:rPr>
          <w:rFonts w:ascii="Arial" w:cs="Arial" w:eastAsia="Arial" w:hAnsi="Arial"/>
          <w:sz w:val="16"/>
          <w:szCs w:val="16"/>
          <w:color w:val="1E1E1E"/>
        </w:rPr>
      </w:pPr>
      <w:r>
        <w:rPr>
          <w:rFonts w:ascii="Arial" w:cs="Arial" w:eastAsia="Arial" w:hAnsi="Arial"/>
          <w:sz w:val="16"/>
          <w:szCs w:val="16"/>
          <w:color w:val="1E1E1E"/>
        </w:rPr>
        <w:t>We may develop drug candidates for use in combination with other therapies, which exposes us to additional risks.</w:t>
      </w:r>
    </w:p>
    <w:p>
      <w:pPr>
        <w:spacing w:after="0" w:line="59" w:lineRule="exact"/>
        <w:rPr>
          <w:rFonts w:ascii="Arial" w:cs="Arial" w:eastAsia="Arial" w:hAnsi="Arial"/>
          <w:sz w:val="16"/>
          <w:szCs w:val="16"/>
          <w:color w:val="1E1E1E"/>
        </w:rPr>
      </w:pPr>
    </w:p>
    <w:p>
      <w:pPr>
        <w:ind w:left="420" w:right="60" w:hanging="250"/>
        <w:spacing w:after="0" w:line="290" w:lineRule="auto"/>
        <w:tabs>
          <w:tab w:leader="none" w:pos="410" w:val="left"/>
        </w:tabs>
        <w:numPr>
          <w:ilvl w:val="0"/>
          <w:numId w:val="4"/>
        </w:numPr>
        <w:rPr>
          <w:rFonts w:ascii="Arial" w:cs="Arial" w:eastAsia="Arial" w:hAnsi="Arial"/>
          <w:sz w:val="16"/>
          <w:szCs w:val="16"/>
          <w:color w:val="1E1E1E"/>
        </w:rPr>
      </w:pPr>
      <w:r>
        <w:rPr>
          <w:rFonts w:ascii="Arial" w:cs="Arial" w:eastAsia="Arial" w:hAnsi="Arial"/>
          <w:sz w:val="16"/>
          <w:szCs w:val="16"/>
          <w:color w:val="1E1E1E"/>
        </w:rPr>
        <w:t>We conduct clinical trials for our drug candidates outside the United States, and the FDA and similar foreign regulatory authorities may not accept data from such trials.</w:t>
      </w:r>
    </w:p>
    <w:p>
      <w:pPr>
        <w:ind w:left="420" w:right="200" w:hanging="250"/>
        <w:spacing w:after="0" w:line="286" w:lineRule="auto"/>
        <w:tabs>
          <w:tab w:leader="none" w:pos="410" w:val="left"/>
        </w:tabs>
        <w:numPr>
          <w:ilvl w:val="0"/>
          <w:numId w:val="4"/>
        </w:numPr>
        <w:rPr>
          <w:rFonts w:ascii="Arial" w:cs="Arial" w:eastAsia="Arial" w:hAnsi="Arial"/>
          <w:sz w:val="16"/>
          <w:szCs w:val="16"/>
          <w:color w:val="1E1E1E"/>
        </w:rPr>
      </w:pPr>
      <w:r>
        <w:rPr>
          <w:rFonts w:ascii="Arial" w:cs="Arial" w:eastAsia="Arial" w:hAnsi="Arial"/>
          <w:sz w:val="16"/>
          <w:szCs w:val="16"/>
          <w:color w:val="1E1E1E"/>
        </w:rPr>
        <w:t>It is difficult to establish with precision the incidence and prevalence for target patient populations of our drug candidates. If such data is not accurate our revenue and ability to achieve profitability will be adversely affected, possibly materially.</w:t>
      </w:r>
    </w:p>
    <w:p>
      <w:pPr>
        <w:spacing w:after="0" w:line="7" w:lineRule="exact"/>
        <w:rPr>
          <w:rFonts w:ascii="Arial" w:cs="Arial" w:eastAsia="Arial" w:hAnsi="Arial"/>
          <w:sz w:val="16"/>
          <w:szCs w:val="16"/>
          <w:color w:val="1E1E1E"/>
        </w:rPr>
      </w:pPr>
    </w:p>
    <w:p>
      <w:pPr>
        <w:ind w:left="400" w:hanging="230"/>
        <w:spacing w:after="0"/>
        <w:tabs>
          <w:tab w:leader="none" w:pos="400" w:val="left"/>
        </w:tabs>
        <w:numPr>
          <w:ilvl w:val="0"/>
          <w:numId w:val="4"/>
        </w:numPr>
        <w:rPr>
          <w:rFonts w:ascii="Arial" w:cs="Arial" w:eastAsia="Arial" w:hAnsi="Arial"/>
          <w:sz w:val="16"/>
          <w:szCs w:val="16"/>
          <w:color w:val="1E1E1E"/>
        </w:rPr>
      </w:pPr>
      <w:r>
        <w:rPr>
          <w:rFonts w:ascii="Arial" w:cs="Arial" w:eastAsia="Arial" w:hAnsi="Arial"/>
          <w:sz w:val="16"/>
          <w:szCs w:val="16"/>
          <w:color w:val="1E1E1E"/>
        </w:rPr>
        <w:t>We may never realize a return on our investment of resources and cash in our drug discovery collaborations.</w:t>
      </w:r>
    </w:p>
    <w:p>
      <w:pPr>
        <w:spacing w:after="0" w:line="59" w:lineRule="exact"/>
        <w:rPr>
          <w:rFonts w:ascii="Arial" w:cs="Arial" w:eastAsia="Arial" w:hAnsi="Arial"/>
          <w:sz w:val="16"/>
          <w:szCs w:val="16"/>
          <w:color w:val="1E1E1E"/>
        </w:rPr>
      </w:pPr>
    </w:p>
    <w:p>
      <w:pPr>
        <w:ind w:left="400" w:hanging="230"/>
        <w:spacing w:after="0"/>
        <w:tabs>
          <w:tab w:leader="none" w:pos="400" w:val="left"/>
        </w:tabs>
        <w:numPr>
          <w:ilvl w:val="0"/>
          <w:numId w:val="4"/>
        </w:numPr>
        <w:rPr>
          <w:rFonts w:ascii="Arial" w:cs="Arial" w:eastAsia="Arial" w:hAnsi="Arial"/>
          <w:sz w:val="16"/>
          <w:szCs w:val="16"/>
          <w:color w:val="1E1E1E"/>
        </w:rPr>
      </w:pPr>
      <w:r>
        <w:rPr>
          <w:rFonts w:ascii="Arial" w:cs="Arial" w:eastAsia="Arial" w:hAnsi="Arial"/>
          <w:sz w:val="16"/>
          <w:szCs w:val="16"/>
          <w:color w:val="1E1E1E"/>
        </w:rPr>
        <w:t>Our competitors may discover, develop, or commercialize products before, or more successfully than, we do.</w:t>
      </w:r>
    </w:p>
    <w:p>
      <w:pPr>
        <w:spacing w:after="0" w:line="72" w:lineRule="exact"/>
        <w:rPr>
          <w:rFonts w:ascii="Arial" w:cs="Arial" w:eastAsia="Arial" w:hAnsi="Arial"/>
          <w:sz w:val="16"/>
          <w:szCs w:val="16"/>
          <w:color w:val="1E1E1E"/>
        </w:rPr>
      </w:pPr>
    </w:p>
    <w:p>
      <w:pPr>
        <w:ind w:left="420" w:right="160" w:hanging="250"/>
        <w:spacing w:after="0" w:line="266" w:lineRule="auto"/>
        <w:tabs>
          <w:tab w:leader="none" w:pos="410" w:val="left"/>
        </w:tabs>
        <w:numPr>
          <w:ilvl w:val="0"/>
          <w:numId w:val="4"/>
        </w:numPr>
        <w:rPr>
          <w:rFonts w:ascii="Arial" w:cs="Arial" w:eastAsia="Arial" w:hAnsi="Arial"/>
          <w:sz w:val="16"/>
          <w:szCs w:val="16"/>
          <w:color w:val="1E1E1E"/>
        </w:rPr>
      </w:pPr>
      <w:r>
        <w:rPr>
          <w:rFonts w:ascii="Arial" w:cs="Arial" w:eastAsia="Arial" w:hAnsi="Arial"/>
          <w:sz w:val="16"/>
          <w:szCs w:val="16"/>
          <w:color w:val="1E1E1E"/>
        </w:rPr>
        <w:t>Because we have multiple programs and drug candidates in our pipeline and are pursuing a variety of target indications and treatment modalities, we may expend our resources to pursue a particular drug candidate and fail to capitalize on development opportunities or candidates that may be more profitable or for which there is a greater likelihood of success.</w:t>
      </w:r>
    </w:p>
    <w:p>
      <w:pPr>
        <w:spacing w:after="0" w:line="22" w:lineRule="exact"/>
        <w:rPr>
          <w:rFonts w:ascii="Arial" w:cs="Arial" w:eastAsia="Arial" w:hAnsi="Arial"/>
          <w:sz w:val="16"/>
          <w:szCs w:val="16"/>
          <w:color w:val="1E1E1E"/>
        </w:rPr>
      </w:pPr>
    </w:p>
    <w:p>
      <w:pPr>
        <w:ind w:left="420" w:right="40" w:hanging="250"/>
        <w:spacing w:after="0" w:line="275" w:lineRule="auto"/>
        <w:tabs>
          <w:tab w:leader="none" w:pos="410" w:val="left"/>
        </w:tabs>
        <w:numPr>
          <w:ilvl w:val="0"/>
          <w:numId w:val="4"/>
        </w:numPr>
        <w:rPr>
          <w:rFonts w:ascii="Arial" w:cs="Arial" w:eastAsia="Arial" w:hAnsi="Arial"/>
          <w:sz w:val="16"/>
          <w:szCs w:val="16"/>
          <w:color w:val="1E1E1E"/>
        </w:rPr>
      </w:pPr>
      <w:r>
        <w:rPr>
          <w:rFonts w:ascii="Arial" w:cs="Arial" w:eastAsia="Arial" w:hAnsi="Arial"/>
          <w:sz w:val="16"/>
          <w:szCs w:val="16"/>
          <w:color w:val="1E1E1E"/>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or market acceptance, limit commercial potential, or result in material negative consequences.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1E1E"/>
        </w:rPr>
        <w:t>Risks Related to Our Platform and Data</w:t>
      </w:r>
    </w:p>
    <w:p>
      <w:pPr>
        <w:spacing w:after="0" w:line="57" w:lineRule="exact"/>
        <w:rPr>
          <w:sz w:val="20"/>
          <w:szCs w:val="20"/>
          <w:color w:val="auto"/>
        </w:rPr>
      </w:pPr>
    </w:p>
    <w:p>
      <w:pPr>
        <w:ind w:left="420" w:right="340" w:hanging="250"/>
        <w:spacing w:after="0" w:line="275" w:lineRule="auto"/>
        <w:tabs>
          <w:tab w:leader="none" w:pos="410" w:val="left"/>
        </w:tabs>
        <w:numPr>
          <w:ilvl w:val="0"/>
          <w:numId w:val="5"/>
        </w:numPr>
        <w:rPr>
          <w:rFonts w:ascii="Arial" w:cs="Arial" w:eastAsia="Arial" w:hAnsi="Arial"/>
          <w:sz w:val="16"/>
          <w:szCs w:val="16"/>
          <w:color w:val="1E1E1E"/>
        </w:rPr>
      </w:pPr>
      <w:r>
        <w:rPr>
          <w:rFonts w:ascii="Arial" w:cs="Arial" w:eastAsia="Arial" w:hAnsi="Arial"/>
          <w:sz w:val="16"/>
          <w:szCs w:val="16"/>
          <w:color w:val="1E1E1E"/>
        </w:rPr>
        <w:t>We have invested, and expect to continue to invest, in research and development efforts to further enhance our drug discovery platform, which is central to our mission. If the return on these investments is lower or develops more slowly than we expect, our business and operating results may suffer.</w:t>
      </w:r>
    </w:p>
    <w:p>
      <w:pPr>
        <w:spacing w:after="0" w:line="15" w:lineRule="exact"/>
        <w:rPr>
          <w:rFonts w:ascii="Arial" w:cs="Arial" w:eastAsia="Arial" w:hAnsi="Arial"/>
          <w:sz w:val="16"/>
          <w:szCs w:val="16"/>
          <w:color w:val="1E1E1E"/>
        </w:rPr>
      </w:pPr>
    </w:p>
    <w:p>
      <w:pPr>
        <w:ind w:left="420" w:right="20" w:hanging="250"/>
        <w:spacing w:after="0" w:line="281" w:lineRule="auto"/>
        <w:tabs>
          <w:tab w:leader="none" w:pos="410" w:val="left"/>
        </w:tabs>
        <w:numPr>
          <w:ilvl w:val="0"/>
          <w:numId w:val="5"/>
        </w:numPr>
        <w:rPr>
          <w:rFonts w:ascii="Arial" w:cs="Arial" w:eastAsia="Arial" w:hAnsi="Arial"/>
          <w:sz w:val="16"/>
          <w:szCs w:val="16"/>
          <w:color w:val="1E1E1E"/>
        </w:rPr>
      </w:pPr>
      <w:r>
        <w:rPr>
          <w:rFonts w:ascii="Arial" w:cs="Arial" w:eastAsia="Arial" w:hAnsi="Arial"/>
          <w:sz w:val="16"/>
          <w:szCs w:val="16"/>
          <w:color w:val="1E1E1E"/>
        </w:rPr>
        <w:t>Our information technology systems and infrastructure may fail or experience security breaches and incidents that could adversely impact our business and operations and subject us to liability.</w:t>
      </w:r>
    </w:p>
    <w:p>
      <w:pPr>
        <w:spacing w:after="0" w:line="1" w:lineRule="exact"/>
        <w:rPr>
          <w:rFonts w:ascii="Arial" w:cs="Arial" w:eastAsia="Arial" w:hAnsi="Arial"/>
          <w:sz w:val="16"/>
          <w:szCs w:val="16"/>
          <w:color w:val="1E1E1E"/>
        </w:rPr>
      </w:pPr>
    </w:p>
    <w:p>
      <w:pPr>
        <w:ind w:left="420" w:right="820" w:hanging="250"/>
        <w:spacing w:after="0" w:line="304" w:lineRule="auto"/>
        <w:tabs>
          <w:tab w:leader="none" w:pos="410" w:val="left"/>
        </w:tabs>
        <w:numPr>
          <w:ilvl w:val="0"/>
          <w:numId w:val="5"/>
        </w:numPr>
        <w:rPr>
          <w:rFonts w:ascii="Arial" w:cs="Arial" w:eastAsia="Arial" w:hAnsi="Arial"/>
          <w:sz w:val="16"/>
          <w:szCs w:val="16"/>
          <w:color w:val="1E1E1E"/>
        </w:rPr>
      </w:pPr>
      <w:r>
        <w:rPr>
          <w:rFonts w:ascii="Arial" w:cs="Arial" w:eastAsia="Arial" w:hAnsi="Arial"/>
          <w:sz w:val="16"/>
          <w:szCs w:val="16"/>
          <w:color w:val="1E1E1E"/>
        </w:rPr>
        <w:t>Interruptions in the availability of server systems or communications with internet or cloud-based services, or failure to maintain the security, confidentiality, accessibility, or integrity of data stored on such systems, could harm our business.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420" w:right="200" w:hanging="250"/>
        <w:spacing w:after="0" w:line="286" w:lineRule="auto"/>
        <w:tabs>
          <w:tab w:leader="none" w:pos="410" w:val="left"/>
        </w:tabs>
        <w:numPr>
          <w:ilvl w:val="0"/>
          <w:numId w:val="6"/>
        </w:numPr>
        <w:rPr>
          <w:rFonts w:ascii="Arial" w:cs="Arial" w:eastAsia="Arial" w:hAnsi="Arial"/>
          <w:sz w:val="16"/>
          <w:szCs w:val="16"/>
          <w:color w:val="1E1E1E"/>
        </w:rPr>
      </w:pPr>
      <w:r>
        <w:rPr>
          <w:rFonts w:ascii="Arial" w:cs="Arial" w:eastAsia="Arial" w:hAnsi="Arial"/>
          <w:sz w:val="16"/>
          <w:szCs w:val="16"/>
          <w:color w:val="1E1E1E"/>
        </w:rPr>
        <w:t>Our solutions utilize third-party open source software (OSS), which presents risks that could adversely affect our business and subject us to possible litigation.</w:t>
      </w:r>
    </w:p>
    <w:p>
      <w:pPr>
        <w:spacing w:after="0" w:line="7" w:lineRule="exact"/>
        <w:rPr>
          <w:rFonts w:ascii="Arial" w:cs="Arial" w:eastAsia="Arial" w:hAnsi="Arial"/>
          <w:sz w:val="16"/>
          <w:szCs w:val="16"/>
          <w:color w:val="1E1E1E"/>
        </w:rPr>
      </w:pPr>
    </w:p>
    <w:p>
      <w:pPr>
        <w:ind w:left="400" w:hanging="230"/>
        <w:spacing w:after="0"/>
        <w:tabs>
          <w:tab w:leader="none" w:pos="400" w:val="left"/>
        </w:tabs>
        <w:numPr>
          <w:ilvl w:val="0"/>
          <w:numId w:val="6"/>
        </w:numPr>
        <w:rPr>
          <w:rFonts w:ascii="Arial" w:cs="Arial" w:eastAsia="Arial" w:hAnsi="Arial"/>
          <w:sz w:val="16"/>
          <w:szCs w:val="16"/>
          <w:color w:val="1E1E1E"/>
        </w:rPr>
      </w:pPr>
      <w:r>
        <w:rPr>
          <w:rFonts w:ascii="Arial" w:cs="Arial" w:eastAsia="Arial" w:hAnsi="Arial"/>
          <w:sz w:val="16"/>
          <w:szCs w:val="16"/>
          <w:color w:val="1E1E1E"/>
        </w:rPr>
        <w:t>Issues relating to the use of artificial intelligence and machine learning in our offerings could adversely affect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1E1E"/>
        </w:rPr>
        <w:t>Risks Related to Our Operations/Commercialization</w:t>
      </w:r>
    </w:p>
    <w:p>
      <w:pPr>
        <w:spacing w:after="0" w:line="71" w:lineRule="exact"/>
        <w:rPr>
          <w:sz w:val="20"/>
          <w:szCs w:val="20"/>
          <w:color w:val="auto"/>
        </w:rPr>
      </w:pPr>
    </w:p>
    <w:p>
      <w:pPr>
        <w:ind w:left="420" w:right="40" w:hanging="250"/>
        <w:spacing w:after="0" w:line="281" w:lineRule="auto"/>
        <w:tabs>
          <w:tab w:leader="none" w:pos="410" w:val="left"/>
        </w:tabs>
        <w:numPr>
          <w:ilvl w:val="0"/>
          <w:numId w:val="7"/>
        </w:numPr>
        <w:rPr>
          <w:rFonts w:ascii="Arial" w:cs="Arial" w:eastAsia="Arial" w:hAnsi="Arial"/>
          <w:sz w:val="16"/>
          <w:szCs w:val="16"/>
          <w:color w:val="1E1E1E"/>
        </w:rPr>
      </w:pPr>
      <w:r>
        <w:rPr>
          <w:rFonts w:ascii="Arial" w:cs="Arial" w:eastAsia="Arial" w:hAnsi="Arial"/>
          <w:sz w:val="16"/>
          <w:szCs w:val="16"/>
          <w:color w:val="1E1E1E"/>
        </w:rPr>
        <w:t>Even if any drug candidates we develop receive marketing approval, they may fail to achieve the degree of market acceptance by physicians, patients, healthcare payors, and others in medicine necessary for commercial success.</w:t>
      </w:r>
    </w:p>
    <w:p>
      <w:pPr>
        <w:spacing w:after="0" w:line="1" w:lineRule="exact"/>
        <w:rPr>
          <w:rFonts w:ascii="Arial" w:cs="Arial" w:eastAsia="Arial" w:hAnsi="Arial"/>
          <w:sz w:val="16"/>
          <w:szCs w:val="16"/>
          <w:color w:val="1E1E1E"/>
        </w:rPr>
      </w:pPr>
    </w:p>
    <w:p>
      <w:pPr>
        <w:ind w:left="420" w:hanging="250"/>
        <w:spacing w:after="0" w:line="290" w:lineRule="auto"/>
        <w:tabs>
          <w:tab w:leader="none" w:pos="410" w:val="left"/>
        </w:tabs>
        <w:numPr>
          <w:ilvl w:val="0"/>
          <w:numId w:val="7"/>
        </w:numPr>
        <w:rPr>
          <w:rFonts w:ascii="Arial" w:cs="Arial" w:eastAsia="Arial" w:hAnsi="Arial"/>
          <w:sz w:val="16"/>
          <w:szCs w:val="16"/>
          <w:color w:val="1E1E1E"/>
        </w:rPr>
      </w:pPr>
      <w:r>
        <w:rPr>
          <w:rFonts w:ascii="Arial" w:cs="Arial" w:eastAsia="Arial" w:hAnsi="Arial"/>
          <w:sz w:val="16"/>
          <w:szCs w:val="16"/>
          <w:color w:val="1E1E1E"/>
        </w:rPr>
        <w:t>If we are unable to establish sales and marketing capabilities or enter into agreements with third parties to sell and market any drug candidates we may develop, we may not be successful in commercializing those drug candidates, if approved.</w:t>
      </w:r>
    </w:p>
    <w:p>
      <w:pPr>
        <w:ind w:left="420" w:right="200" w:hanging="250"/>
        <w:spacing w:after="0" w:line="290" w:lineRule="auto"/>
        <w:tabs>
          <w:tab w:leader="none" w:pos="410" w:val="left"/>
        </w:tabs>
        <w:numPr>
          <w:ilvl w:val="0"/>
          <w:numId w:val="7"/>
        </w:numPr>
        <w:rPr>
          <w:rFonts w:ascii="Arial" w:cs="Arial" w:eastAsia="Arial" w:hAnsi="Arial"/>
          <w:sz w:val="16"/>
          <w:szCs w:val="16"/>
          <w:color w:val="1E1E1E"/>
        </w:rPr>
      </w:pPr>
      <w:r>
        <w:rPr>
          <w:rFonts w:ascii="Arial" w:cs="Arial" w:eastAsia="Arial" w:hAnsi="Arial"/>
          <w:sz w:val="16"/>
          <w:szCs w:val="16"/>
          <w:color w:val="1E1E1E"/>
        </w:rPr>
        <w:t>We are subject to regulatory and operational risks associated with the physical and digital infrastructure at both our internal facilities and those of our external service providers.</w:t>
      </w:r>
    </w:p>
    <w:p>
      <w:pPr>
        <w:jc w:val="both"/>
        <w:ind w:left="420" w:right="300" w:hanging="250"/>
        <w:spacing w:after="0" w:line="275" w:lineRule="auto"/>
        <w:tabs>
          <w:tab w:leader="none" w:pos="410" w:val="left"/>
        </w:tabs>
        <w:numPr>
          <w:ilvl w:val="0"/>
          <w:numId w:val="7"/>
        </w:numPr>
        <w:rPr>
          <w:rFonts w:ascii="Arial" w:cs="Arial" w:eastAsia="Arial" w:hAnsi="Arial"/>
          <w:sz w:val="16"/>
          <w:szCs w:val="16"/>
          <w:color w:val="1E1E1E"/>
        </w:rPr>
      </w:pPr>
      <w:r>
        <w:rPr>
          <w:rFonts w:ascii="Arial" w:cs="Arial" w:eastAsia="Arial" w:hAnsi="Arial"/>
          <w:sz w:val="16"/>
          <w:szCs w:val="16"/>
          <w:color w:val="1E1E1E"/>
        </w:rPr>
        <w:t>The manufacture of drugs is complex, and our third-party manufacturers may encounter difficulties in production or supply chain. If any of our third-party manufacturers encounter such difficulties, our ability to provide adequate supply of our product candidates for clinical trials or our products for patients, if approved, could be delayed or prevented.</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1E1E"/>
        </w:rPr>
        <w:t>Risks Related to Our Intellectual Property</w:t>
      </w:r>
    </w:p>
    <w:p>
      <w:pPr>
        <w:spacing w:after="0" w:line="57" w:lineRule="exact"/>
        <w:rPr>
          <w:sz w:val="20"/>
          <w:szCs w:val="20"/>
          <w:color w:val="auto"/>
        </w:rPr>
      </w:pPr>
    </w:p>
    <w:p>
      <w:pPr>
        <w:ind w:left="420" w:right="200" w:hanging="250"/>
        <w:spacing w:after="0" w:line="275" w:lineRule="auto"/>
        <w:tabs>
          <w:tab w:leader="none" w:pos="410" w:val="left"/>
        </w:tabs>
        <w:numPr>
          <w:ilvl w:val="0"/>
          <w:numId w:val="8"/>
        </w:numPr>
        <w:rPr>
          <w:rFonts w:ascii="Arial" w:cs="Arial" w:eastAsia="Arial" w:hAnsi="Arial"/>
          <w:sz w:val="16"/>
          <w:szCs w:val="16"/>
          <w:color w:val="1E1E1E"/>
        </w:rPr>
      </w:pPr>
      <w:r>
        <w:rPr>
          <w:rFonts w:ascii="Arial" w:cs="Arial" w:eastAsia="Arial" w:hAnsi="Arial"/>
          <w:sz w:val="16"/>
          <w:szCs w:val="16"/>
          <w:color w:val="1E1E1E"/>
        </w:rPr>
        <w:t>Our success significantly depends on our ability to obtain and maintain patents of adequate scope covering our proprietary technology and drug candidate products. Obtaining and maintaining patent assets is inherently challenging, and our pending and future patent applications may not issue with the scope we need, if at all.</w:t>
      </w:r>
    </w:p>
    <w:p>
      <w:pPr>
        <w:spacing w:after="0" w:line="15" w:lineRule="exact"/>
        <w:rPr>
          <w:rFonts w:ascii="Arial" w:cs="Arial" w:eastAsia="Arial" w:hAnsi="Arial"/>
          <w:sz w:val="16"/>
          <w:szCs w:val="16"/>
          <w:color w:val="1E1E1E"/>
        </w:rPr>
      </w:pPr>
    </w:p>
    <w:p>
      <w:pPr>
        <w:ind w:left="420" w:right="40" w:hanging="250"/>
        <w:spacing w:after="0" w:line="266" w:lineRule="auto"/>
        <w:tabs>
          <w:tab w:leader="none" w:pos="410" w:val="left"/>
        </w:tabs>
        <w:numPr>
          <w:ilvl w:val="0"/>
          <w:numId w:val="8"/>
        </w:numPr>
        <w:rPr>
          <w:rFonts w:ascii="Arial" w:cs="Arial" w:eastAsia="Arial" w:hAnsi="Arial"/>
          <w:sz w:val="16"/>
          <w:szCs w:val="16"/>
          <w:color w:val="1E1E1E"/>
        </w:rPr>
      </w:pPr>
      <w:r>
        <w:rPr>
          <w:rFonts w:ascii="Arial" w:cs="Arial" w:eastAsia="Arial" w:hAnsi="Arial"/>
          <w:sz w:val="16"/>
          <w:szCs w:val="16"/>
          <w:color w:val="1E1E1E"/>
        </w:rPr>
        <w:t>Our current proprietary position for certain drug product candidates depends upon our owned or in-licensed patent filings covering components of such drug product candidates, manufacturing-related methods, formulations, and/or methods of use, which may not adequately prevent a competitor or other third party from using the same drug candidate.</w:t>
      </w:r>
    </w:p>
    <w:p>
      <w:pPr>
        <w:spacing w:after="0" w:line="22" w:lineRule="exact"/>
        <w:rPr>
          <w:rFonts w:ascii="Arial" w:cs="Arial" w:eastAsia="Arial" w:hAnsi="Arial"/>
          <w:sz w:val="16"/>
          <w:szCs w:val="16"/>
          <w:color w:val="1E1E1E"/>
        </w:rPr>
      </w:pPr>
    </w:p>
    <w:p>
      <w:pPr>
        <w:ind w:left="400" w:hanging="230"/>
        <w:spacing w:after="0"/>
        <w:tabs>
          <w:tab w:leader="none" w:pos="400" w:val="left"/>
        </w:tabs>
        <w:numPr>
          <w:ilvl w:val="0"/>
          <w:numId w:val="8"/>
        </w:numPr>
        <w:rPr>
          <w:rFonts w:ascii="Arial" w:cs="Arial" w:eastAsia="Arial" w:hAnsi="Arial"/>
          <w:sz w:val="16"/>
          <w:szCs w:val="16"/>
          <w:color w:val="1E1E1E"/>
        </w:rPr>
      </w:pPr>
      <w:r>
        <w:rPr>
          <w:rFonts w:ascii="Arial" w:cs="Arial" w:eastAsia="Arial" w:hAnsi="Arial"/>
          <w:sz w:val="16"/>
          <w:szCs w:val="16"/>
          <w:color w:val="1E1E1E"/>
        </w:rPr>
        <w:t>We may not be able to protect our intellectual property and proprietary rights throughout the world.</w:t>
      </w:r>
    </w:p>
    <w:p>
      <w:pPr>
        <w:spacing w:after="0" w:line="59" w:lineRule="exact"/>
        <w:rPr>
          <w:rFonts w:ascii="Arial" w:cs="Arial" w:eastAsia="Arial" w:hAnsi="Arial"/>
          <w:sz w:val="16"/>
          <w:szCs w:val="16"/>
          <w:color w:val="1E1E1E"/>
        </w:rPr>
      </w:pPr>
    </w:p>
    <w:p>
      <w:pPr>
        <w:ind w:left="420" w:right="580" w:hanging="250"/>
        <w:spacing w:after="0" w:line="290" w:lineRule="auto"/>
        <w:tabs>
          <w:tab w:leader="none" w:pos="410" w:val="left"/>
        </w:tabs>
        <w:numPr>
          <w:ilvl w:val="0"/>
          <w:numId w:val="8"/>
        </w:numPr>
        <w:rPr>
          <w:rFonts w:ascii="Arial" w:cs="Arial" w:eastAsia="Arial" w:hAnsi="Arial"/>
          <w:sz w:val="16"/>
          <w:szCs w:val="16"/>
          <w:color w:val="1E1E1E"/>
        </w:rPr>
      </w:pPr>
      <w:r>
        <w:rPr>
          <w:rFonts w:ascii="Arial" w:cs="Arial" w:eastAsia="Arial" w:hAnsi="Arial"/>
          <w:sz w:val="16"/>
          <w:szCs w:val="16"/>
          <w:color w:val="1E1E1E"/>
        </w:rPr>
        <w:t>If we do not obtain patent term extension and data exclusivity for any drug product candidates we may develop, our business may be materially harmed.</w:t>
      </w:r>
    </w:p>
    <w:p>
      <w:pPr>
        <w:ind w:left="420" w:hanging="250"/>
        <w:spacing w:after="0" w:line="286" w:lineRule="auto"/>
        <w:tabs>
          <w:tab w:leader="none" w:pos="410" w:val="left"/>
        </w:tabs>
        <w:numPr>
          <w:ilvl w:val="0"/>
          <w:numId w:val="8"/>
        </w:numPr>
        <w:rPr>
          <w:rFonts w:ascii="Arial" w:cs="Arial" w:eastAsia="Arial" w:hAnsi="Arial"/>
          <w:sz w:val="16"/>
          <w:szCs w:val="16"/>
          <w:color w:val="1E1E1E"/>
        </w:rPr>
      </w:pPr>
      <w:r>
        <w:rPr>
          <w:rFonts w:ascii="Arial" w:cs="Arial" w:eastAsia="Arial" w:hAnsi="Arial"/>
          <w:sz w:val="16"/>
          <w:szCs w:val="16"/>
          <w:color w:val="1E1E1E"/>
        </w:rPr>
        <w:t>We may need to license certain intellectual property from third parties, and such licenses may not be available or may not be available on commercially reasonable terms.</w:t>
      </w:r>
    </w:p>
    <w:p>
      <w:pPr>
        <w:spacing w:after="0" w:line="7" w:lineRule="exact"/>
        <w:rPr>
          <w:rFonts w:ascii="Arial" w:cs="Arial" w:eastAsia="Arial" w:hAnsi="Arial"/>
          <w:sz w:val="16"/>
          <w:szCs w:val="16"/>
          <w:color w:val="1E1E1E"/>
        </w:rPr>
      </w:pPr>
    </w:p>
    <w:p>
      <w:pPr>
        <w:ind w:left="400" w:hanging="230"/>
        <w:spacing w:after="0"/>
        <w:tabs>
          <w:tab w:leader="none" w:pos="400" w:val="left"/>
        </w:tabs>
        <w:numPr>
          <w:ilvl w:val="0"/>
          <w:numId w:val="8"/>
        </w:numPr>
        <w:rPr>
          <w:rFonts w:ascii="Arial" w:cs="Arial" w:eastAsia="Arial" w:hAnsi="Arial"/>
          <w:sz w:val="16"/>
          <w:szCs w:val="16"/>
          <w:color w:val="1E1E1E"/>
        </w:rPr>
      </w:pPr>
      <w:r>
        <w:rPr>
          <w:rFonts w:ascii="Arial" w:cs="Arial" w:eastAsia="Arial" w:hAnsi="Arial"/>
          <w:sz w:val="16"/>
          <w:szCs w:val="16"/>
          <w:color w:val="1E1E1E"/>
        </w:rPr>
        <w:t>Changes in U.S. patent law could diminish the value of patents, thereby impairing our ability to protect our products.</w:t>
      </w:r>
    </w:p>
    <w:p>
      <w:pPr>
        <w:spacing w:after="0" w:line="59" w:lineRule="exact"/>
        <w:rPr>
          <w:rFonts w:ascii="Arial" w:cs="Arial" w:eastAsia="Arial" w:hAnsi="Arial"/>
          <w:sz w:val="16"/>
          <w:szCs w:val="16"/>
          <w:color w:val="1E1E1E"/>
        </w:rPr>
      </w:pPr>
    </w:p>
    <w:p>
      <w:pPr>
        <w:ind w:left="420" w:right="160" w:hanging="250"/>
        <w:spacing w:after="0" w:line="304" w:lineRule="auto"/>
        <w:tabs>
          <w:tab w:leader="none" w:pos="410" w:val="left"/>
        </w:tabs>
        <w:numPr>
          <w:ilvl w:val="0"/>
          <w:numId w:val="8"/>
        </w:numPr>
        <w:rPr>
          <w:rFonts w:ascii="Arial" w:cs="Arial" w:eastAsia="Arial" w:hAnsi="Arial"/>
          <w:sz w:val="16"/>
          <w:szCs w:val="16"/>
          <w:color w:val="1E1E1E"/>
        </w:rPr>
      </w:pPr>
      <w:r>
        <w:rPr>
          <w:rFonts w:ascii="Arial" w:cs="Arial" w:eastAsia="Arial" w:hAnsi="Arial"/>
          <w:sz w:val="16"/>
          <w:szCs w:val="16"/>
          <w:color w:val="1E1E1E"/>
        </w:rPr>
        <w:t>Issued patents covering our drug product candidates and proprietary technology that we have developed or may develop in the future could be found invalid or unenforceable if challenged in the United States or abroad.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1E1E"/>
        </w:rPr>
        <w:t>Risks Related to Acquisitions</w:t>
      </w:r>
    </w:p>
    <w:p>
      <w:pPr>
        <w:spacing w:after="0" w:line="57" w:lineRule="exact"/>
        <w:rPr>
          <w:sz w:val="20"/>
          <w:szCs w:val="20"/>
          <w:color w:val="auto"/>
        </w:rPr>
      </w:pPr>
    </w:p>
    <w:p>
      <w:pPr>
        <w:ind w:left="400" w:hanging="230"/>
        <w:spacing w:after="0"/>
        <w:tabs>
          <w:tab w:leader="none" w:pos="400" w:val="left"/>
        </w:tabs>
        <w:numPr>
          <w:ilvl w:val="0"/>
          <w:numId w:val="9"/>
        </w:numPr>
        <w:rPr>
          <w:rFonts w:ascii="Arial" w:cs="Arial" w:eastAsia="Arial" w:hAnsi="Arial"/>
          <w:sz w:val="16"/>
          <w:szCs w:val="16"/>
          <w:color w:val="1E1E1E"/>
        </w:rPr>
      </w:pPr>
      <w:r>
        <w:rPr>
          <w:rFonts w:ascii="Arial" w:cs="Arial" w:eastAsia="Arial" w:hAnsi="Arial"/>
          <w:sz w:val="16"/>
          <w:szCs w:val="16"/>
          <w:color w:val="1E1E1E"/>
        </w:rPr>
        <w:t>The anticipated benefits of the business combination with Exscientia may vary from expectations.</w:t>
      </w:r>
    </w:p>
    <w:p>
      <w:pPr>
        <w:spacing w:after="0" w:line="72" w:lineRule="exact"/>
        <w:rPr>
          <w:rFonts w:ascii="Arial" w:cs="Arial" w:eastAsia="Arial" w:hAnsi="Arial"/>
          <w:sz w:val="16"/>
          <w:szCs w:val="16"/>
          <w:color w:val="1E1E1E"/>
        </w:rPr>
      </w:pPr>
    </w:p>
    <w:p>
      <w:pPr>
        <w:ind w:left="420" w:right="40" w:hanging="250"/>
        <w:spacing w:after="0" w:line="286" w:lineRule="auto"/>
        <w:tabs>
          <w:tab w:leader="none" w:pos="410" w:val="left"/>
        </w:tabs>
        <w:numPr>
          <w:ilvl w:val="0"/>
          <w:numId w:val="9"/>
        </w:numPr>
        <w:rPr>
          <w:rFonts w:ascii="Arial" w:cs="Arial" w:eastAsia="Arial" w:hAnsi="Arial"/>
          <w:sz w:val="16"/>
          <w:szCs w:val="16"/>
          <w:color w:val="1E1E1E"/>
        </w:rPr>
      </w:pPr>
      <w:r>
        <w:rPr>
          <w:rFonts w:ascii="Arial" w:cs="Arial" w:eastAsia="Arial" w:hAnsi="Arial"/>
          <w:sz w:val="16"/>
          <w:szCs w:val="16"/>
          <w:color w:val="1E1E1E"/>
        </w:rPr>
        <w:t>As a company with substantial operations outside of the United States, we are subject to economic, political, regulatory and other risks associated with international operations.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1E1E"/>
        </w:rPr>
        <w:t>Risks Related to Government Regulation</w:t>
      </w:r>
    </w:p>
    <w:p>
      <w:pPr>
        <w:spacing w:after="0" w:line="57" w:lineRule="exact"/>
        <w:rPr>
          <w:sz w:val="20"/>
          <w:szCs w:val="20"/>
          <w:color w:val="auto"/>
        </w:rPr>
      </w:pPr>
    </w:p>
    <w:p>
      <w:pPr>
        <w:ind w:left="400" w:hanging="230"/>
        <w:spacing w:after="0"/>
        <w:tabs>
          <w:tab w:leader="none" w:pos="400" w:val="left"/>
        </w:tabs>
        <w:numPr>
          <w:ilvl w:val="0"/>
          <w:numId w:val="10"/>
        </w:numPr>
        <w:rPr>
          <w:rFonts w:ascii="Arial" w:cs="Arial" w:eastAsia="Arial" w:hAnsi="Arial"/>
          <w:sz w:val="16"/>
          <w:szCs w:val="16"/>
          <w:color w:val="1E1E1E"/>
        </w:rPr>
      </w:pPr>
      <w:r>
        <w:rPr>
          <w:rFonts w:ascii="Arial" w:cs="Arial" w:eastAsia="Arial" w:hAnsi="Arial"/>
          <w:sz w:val="16"/>
          <w:szCs w:val="16"/>
          <w:color w:val="1E1E1E"/>
        </w:rPr>
        <w:t>We may be unable to obtain regulatory approval and, as a result, may be unable to commercialize our product candidates.</w:t>
      </w:r>
    </w:p>
    <w:p>
      <w:pPr>
        <w:spacing w:after="0" w:line="59" w:lineRule="exact"/>
        <w:rPr>
          <w:rFonts w:ascii="Arial" w:cs="Arial" w:eastAsia="Arial" w:hAnsi="Arial"/>
          <w:sz w:val="16"/>
          <w:szCs w:val="16"/>
          <w:color w:val="1E1E1E"/>
        </w:rPr>
      </w:pPr>
    </w:p>
    <w:p>
      <w:pPr>
        <w:ind w:left="400" w:hanging="230"/>
        <w:spacing w:after="0"/>
        <w:tabs>
          <w:tab w:leader="none" w:pos="400" w:val="left"/>
        </w:tabs>
        <w:numPr>
          <w:ilvl w:val="0"/>
          <w:numId w:val="10"/>
        </w:numPr>
        <w:rPr>
          <w:rFonts w:ascii="Arial" w:cs="Arial" w:eastAsia="Arial" w:hAnsi="Arial"/>
          <w:sz w:val="16"/>
          <w:szCs w:val="16"/>
          <w:color w:val="1E1E1E"/>
        </w:rPr>
      </w:pPr>
      <w:r>
        <w:rPr>
          <w:rFonts w:ascii="Arial" w:cs="Arial" w:eastAsia="Arial" w:hAnsi="Arial"/>
          <w:sz w:val="16"/>
          <w:szCs w:val="16"/>
          <w:color w:val="1E1E1E"/>
        </w:rPr>
        <w:t>Regulatory authorities may not accept data from trials conducted in locations outside of their jurisdiction.</w:t>
      </w:r>
    </w:p>
    <w:p>
      <w:pPr>
        <w:spacing w:after="0" w:line="72" w:lineRule="exact"/>
        <w:rPr>
          <w:rFonts w:ascii="Arial" w:cs="Arial" w:eastAsia="Arial" w:hAnsi="Arial"/>
          <w:sz w:val="16"/>
          <w:szCs w:val="16"/>
          <w:color w:val="1E1E1E"/>
        </w:rPr>
      </w:pPr>
    </w:p>
    <w:p>
      <w:pPr>
        <w:ind w:left="420" w:right="100" w:hanging="250"/>
        <w:spacing w:after="0" w:line="266" w:lineRule="auto"/>
        <w:tabs>
          <w:tab w:leader="none" w:pos="410" w:val="left"/>
        </w:tabs>
        <w:numPr>
          <w:ilvl w:val="0"/>
          <w:numId w:val="10"/>
        </w:numPr>
        <w:rPr>
          <w:rFonts w:ascii="Arial" w:cs="Arial" w:eastAsia="Arial" w:hAnsi="Arial"/>
          <w:sz w:val="16"/>
          <w:szCs w:val="16"/>
          <w:color w:val="1E1E1E"/>
        </w:rPr>
      </w:pPr>
      <w:r>
        <w:rPr>
          <w:rFonts w:ascii="Arial" w:cs="Arial" w:eastAsia="Arial" w:hAnsi="Arial"/>
          <w:sz w:val="16"/>
          <w:szCs w:val="16"/>
          <w:color w:val="1E1E1E"/>
        </w:rPr>
        <w:t>Even if we receive FDA or other regulatory approval for any of our drug candidates, we will be subject to ongoing regulatory obligations and other conditions that may result in significant additional expense, as well as the potential recall or market withdrawal of an approved product if unanticipated safety issues are discovered.</w:t>
      </w:r>
    </w:p>
    <w:p>
      <w:pPr>
        <w:spacing w:after="0" w:line="22" w:lineRule="exact"/>
        <w:rPr>
          <w:rFonts w:ascii="Arial" w:cs="Arial" w:eastAsia="Arial" w:hAnsi="Arial"/>
          <w:sz w:val="16"/>
          <w:szCs w:val="16"/>
          <w:color w:val="1E1E1E"/>
        </w:rPr>
      </w:pPr>
    </w:p>
    <w:p>
      <w:pPr>
        <w:ind w:left="400" w:hanging="230"/>
        <w:spacing w:after="0"/>
        <w:tabs>
          <w:tab w:leader="none" w:pos="400" w:val="left"/>
        </w:tabs>
        <w:numPr>
          <w:ilvl w:val="0"/>
          <w:numId w:val="10"/>
        </w:numPr>
        <w:rPr>
          <w:rFonts w:ascii="Arial" w:cs="Arial" w:eastAsia="Arial" w:hAnsi="Arial"/>
          <w:sz w:val="16"/>
          <w:szCs w:val="16"/>
          <w:color w:val="1E1E1E"/>
        </w:rPr>
      </w:pPr>
      <w:r>
        <w:rPr>
          <w:rFonts w:ascii="Arial" w:cs="Arial" w:eastAsia="Arial" w:hAnsi="Arial"/>
          <w:sz w:val="16"/>
          <w:szCs w:val="16"/>
          <w:color w:val="1E1E1E"/>
        </w:rPr>
        <w:t>Regulatory agencies actively enforce the laws and regulations prohibiting the promotion of off-label uses.</w:t>
      </w:r>
    </w:p>
    <w:p>
      <w:pPr>
        <w:spacing w:after="0" w:line="59" w:lineRule="exact"/>
        <w:rPr>
          <w:rFonts w:ascii="Arial" w:cs="Arial" w:eastAsia="Arial" w:hAnsi="Arial"/>
          <w:sz w:val="16"/>
          <w:szCs w:val="16"/>
          <w:color w:val="1E1E1E"/>
        </w:rPr>
      </w:pPr>
    </w:p>
    <w:p>
      <w:pPr>
        <w:ind w:left="420" w:right="120" w:hanging="250"/>
        <w:spacing w:after="0" w:line="290" w:lineRule="auto"/>
        <w:tabs>
          <w:tab w:leader="none" w:pos="410" w:val="left"/>
        </w:tabs>
        <w:numPr>
          <w:ilvl w:val="0"/>
          <w:numId w:val="10"/>
        </w:numPr>
        <w:rPr>
          <w:rFonts w:ascii="Arial" w:cs="Arial" w:eastAsia="Arial" w:hAnsi="Arial"/>
          <w:sz w:val="16"/>
          <w:szCs w:val="16"/>
          <w:color w:val="1E1E1E"/>
        </w:rPr>
      </w:pPr>
      <w:r>
        <w:rPr>
          <w:rFonts w:ascii="Arial" w:cs="Arial" w:eastAsia="Arial" w:hAnsi="Arial"/>
          <w:sz w:val="16"/>
          <w:szCs w:val="16"/>
          <w:color w:val="1E1E1E"/>
        </w:rPr>
        <w:t>Though we have been granted orphan drug designation for certain of our drug candidates, we may be unsuccessful or unable to maintain the benefits associated with such a designation, including the potential for market exclusivity.</w:t>
      </w:r>
    </w:p>
    <w:p>
      <w:pPr>
        <w:ind w:left="420" w:right="200" w:hanging="250"/>
        <w:spacing w:after="0" w:line="286" w:lineRule="auto"/>
        <w:tabs>
          <w:tab w:leader="none" w:pos="410" w:val="left"/>
        </w:tabs>
        <w:numPr>
          <w:ilvl w:val="0"/>
          <w:numId w:val="10"/>
        </w:numPr>
        <w:rPr>
          <w:rFonts w:ascii="Arial" w:cs="Arial" w:eastAsia="Arial" w:hAnsi="Arial"/>
          <w:sz w:val="16"/>
          <w:szCs w:val="16"/>
          <w:color w:val="1E1E1E"/>
        </w:rPr>
      </w:pPr>
      <w:r>
        <w:rPr>
          <w:rFonts w:ascii="Arial" w:cs="Arial" w:eastAsia="Arial" w:hAnsi="Arial"/>
          <w:sz w:val="16"/>
          <w:szCs w:val="16"/>
          <w:color w:val="1E1E1E"/>
        </w:rPr>
        <w:t>We are subject to U.S. and foreign laws regarding privacy, data protection, and data security that could entail substantial compliance costs, while the failure to comply could subject us to significant liability.</w:t>
      </w:r>
    </w:p>
    <w:p>
      <w:pPr>
        <w:spacing w:after="0" w:line="7" w:lineRule="exact"/>
        <w:rPr>
          <w:rFonts w:ascii="Arial" w:cs="Arial" w:eastAsia="Arial" w:hAnsi="Arial"/>
          <w:sz w:val="16"/>
          <w:szCs w:val="16"/>
          <w:color w:val="1E1E1E"/>
        </w:rPr>
      </w:pPr>
    </w:p>
    <w:p>
      <w:pPr>
        <w:ind w:left="420" w:right="360" w:hanging="250"/>
        <w:spacing w:after="0" w:line="286" w:lineRule="auto"/>
        <w:tabs>
          <w:tab w:leader="none" w:pos="410" w:val="left"/>
        </w:tabs>
        <w:numPr>
          <w:ilvl w:val="0"/>
          <w:numId w:val="10"/>
        </w:numPr>
        <w:rPr>
          <w:rFonts w:ascii="Arial" w:cs="Arial" w:eastAsia="Arial" w:hAnsi="Arial"/>
          <w:sz w:val="16"/>
          <w:szCs w:val="16"/>
          <w:color w:val="1E1E1E"/>
        </w:rPr>
      </w:pPr>
      <w:r>
        <w:rPr>
          <w:rFonts w:ascii="Arial" w:cs="Arial" w:eastAsia="Arial" w:hAnsi="Arial"/>
          <w:sz w:val="16"/>
          <w:szCs w:val="16"/>
          <w:color w:val="1E1E1E"/>
        </w:rPr>
        <w:t>Regulatory and legislative developments related to the use of AI could adversely affect our use of such technologies in our products, services, and business.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1E1E"/>
        </w:rPr>
        <w:t>Other Risks</w:t>
      </w:r>
    </w:p>
    <w:p>
      <w:pPr>
        <w:spacing w:after="0" w:line="57" w:lineRule="exact"/>
        <w:rPr>
          <w:sz w:val="20"/>
          <w:szCs w:val="20"/>
          <w:color w:val="auto"/>
        </w:rPr>
      </w:pPr>
    </w:p>
    <w:p>
      <w:pPr>
        <w:ind w:left="420" w:right="220" w:hanging="250"/>
        <w:spacing w:after="0" w:line="286" w:lineRule="auto"/>
        <w:tabs>
          <w:tab w:leader="none" w:pos="410" w:val="left"/>
        </w:tabs>
        <w:numPr>
          <w:ilvl w:val="0"/>
          <w:numId w:val="11"/>
        </w:numPr>
        <w:rPr>
          <w:rFonts w:ascii="Arial" w:cs="Arial" w:eastAsia="Arial" w:hAnsi="Arial"/>
          <w:sz w:val="16"/>
          <w:szCs w:val="16"/>
          <w:color w:val="1E1E1E"/>
        </w:rPr>
      </w:pPr>
      <w:r>
        <w:rPr>
          <w:rFonts w:ascii="Arial" w:cs="Arial" w:eastAsia="Arial" w:hAnsi="Arial"/>
          <w:sz w:val="16"/>
          <w:szCs w:val="16"/>
          <w:color w:val="1E1E1E"/>
        </w:rPr>
        <w:t>Third parties that perform some of our research and preclinical testing or conduct our clinical trials may not perform satisfactorily or their agreements may be terminated.</w:t>
      </w:r>
    </w:p>
    <w:p>
      <w:pPr>
        <w:spacing w:after="0" w:line="7" w:lineRule="exact"/>
        <w:rPr>
          <w:rFonts w:ascii="Arial" w:cs="Arial" w:eastAsia="Arial" w:hAnsi="Arial"/>
          <w:sz w:val="16"/>
          <w:szCs w:val="16"/>
          <w:color w:val="1E1E1E"/>
        </w:rPr>
      </w:pPr>
    </w:p>
    <w:p>
      <w:pPr>
        <w:ind w:left="420" w:hanging="250"/>
        <w:spacing w:after="0" w:line="286" w:lineRule="auto"/>
        <w:tabs>
          <w:tab w:leader="none" w:pos="410" w:val="left"/>
        </w:tabs>
        <w:numPr>
          <w:ilvl w:val="0"/>
          <w:numId w:val="11"/>
        </w:numPr>
        <w:rPr>
          <w:rFonts w:ascii="Arial" w:cs="Arial" w:eastAsia="Arial" w:hAnsi="Arial"/>
          <w:sz w:val="16"/>
          <w:szCs w:val="16"/>
          <w:color w:val="1E1E1E"/>
        </w:rPr>
      </w:pPr>
      <w:r>
        <w:rPr>
          <w:rFonts w:ascii="Arial" w:cs="Arial" w:eastAsia="Arial" w:hAnsi="Arial"/>
          <w:sz w:val="16"/>
          <w:szCs w:val="16"/>
          <w:color w:val="1E1E1E"/>
        </w:rPr>
        <w:t>Third parties that manufacture our drug candidates for preclinical development, clinical testing, and future commercialization may not provide sufficient quantities of our drug candidates or products at an acceptable cost, which could delay, impair, or prevent our development or commercialization efforts.</w:t>
      </w:r>
    </w:p>
    <w:p>
      <w:pPr>
        <w:spacing w:after="0" w:line="7" w:lineRule="exact"/>
        <w:rPr>
          <w:rFonts w:ascii="Arial" w:cs="Arial" w:eastAsia="Arial" w:hAnsi="Arial"/>
          <w:sz w:val="16"/>
          <w:szCs w:val="16"/>
          <w:color w:val="1E1E1E"/>
        </w:rPr>
      </w:pPr>
    </w:p>
    <w:p>
      <w:pPr>
        <w:ind w:left="400" w:hanging="230"/>
        <w:spacing w:after="0"/>
        <w:tabs>
          <w:tab w:leader="none" w:pos="400" w:val="left"/>
        </w:tabs>
        <w:numPr>
          <w:ilvl w:val="0"/>
          <w:numId w:val="11"/>
        </w:numPr>
        <w:rPr>
          <w:rFonts w:ascii="Arial" w:cs="Arial" w:eastAsia="Arial" w:hAnsi="Arial"/>
          <w:sz w:val="16"/>
          <w:szCs w:val="16"/>
          <w:color w:val="1E1E1E"/>
        </w:rPr>
      </w:pPr>
      <w:r>
        <w:rPr>
          <w:rFonts w:ascii="Arial" w:cs="Arial" w:eastAsia="Arial" w:hAnsi="Arial"/>
          <w:sz w:val="16"/>
          <w:szCs w:val="16"/>
          <w:color w:val="1E1E1E"/>
        </w:rPr>
        <w:t>We may not realize all of the anticipated outcomes and benefits of our Acquisitions.</w:t>
      </w:r>
    </w:p>
    <w:p>
      <w:pPr>
        <w:spacing w:after="0" w:line="59" w:lineRule="exact"/>
        <w:rPr>
          <w:rFonts w:ascii="Arial" w:cs="Arial" w:eastAsia="Arial" w:hAnsi="Arial"/>
          <w:sz w:val="16"/>
          <w:szCs w:val="16"/>
          <w:color w:val="1E1E1E"/>
        </w:rPr>
      </w:pPr>
    </w:p>
    <w:p>
      <w:pPr>
        <w:ind w:left="400" w:hanging="230"/>
        <w:spacing w:after="0"/>
        <w:tabs>
          <w:tab w:leader="none" w:pos="400" w:val="left"/>
        </w:tabs>
        <w:numPr>
          <w:ilvl w:val="0"/>
          <w:numId w:val="11"/>
        </w:numPr>
        <w:rPr>
          <w:rFonts w:ascii="Arial" w:cs="Arial" w:eastAsia="Arial" w:hAnsi="Arial"/>
          <w:sz w:val="16"/>
          <w:szCs w:val="16"/>
          <w:color w:val="1E1E1E"/>
        </w:rPr>
      </w:pPr>
      <w:r>
        <w:rPr>
          <w:rFonts w:ascii="Arial" w:cs="Arial" w:eastAsia="Arial" w:hAnsi="Arial"/>
          <w:sz w:val="16"/>
          <w:szCs w:val="16"/>
          <w:color w:val="1E1E1E"/>
        </w:rPr>
        <w:t>Our future success depends on our ability to attract, retain, and motivate key personnel.</w:t>
      </w:r>
    </w:p>
    <w:p>
      <w:pPr>
        <w:spacing w:after="0" w:line="59" w:lineRule="exact"/>
        <w:rPr>
          <w:rFonts w:ascii="Arial" w:cs="Arial" w:eastAsia="Arial" w:hAnsi="Arial"/>
          <w:sz w:val="16"/>
          <w:szCs w:val="16"/>
          <w:color w:val="1E1E1E"/>
        </w:rPr>
      </w:pPr>
    </w:p>
    <w:p>
      <w:pPr>
        <w:ind w:left="400" w:hanging="230"/>
        <w:spacing w:after="0"/>
        <w:tabs>
          <w:tab w:leader="none" w:pos="400" w:val="left"/>
        </w:tabs>
        <w:numPr>
          <w:ilvl w:val="0"/>
          <w:numId w:val="11"/>
        </w:numPr>
        <w:rPr>
          <w:rFonts w:ascii="Arial" w:cs="Arial" w:eastAsia="Arial" w:hAnsi="Arial"/>
          <w:sz w:val="16"/>
          <w:szCs w:val="16"/>
          <w:color w:val="1E1E1E"/>
        </w:rPr>
      </w:pPr>
      <w:r>
        <w:rPr>
          <w:rFonts w:ascii="Arial" w:cs="Arial" w:eastAsia="Arial" w:hAnsi="Arial"/>
          <w:sz w:val="16"/>
          <w:szCs w:val="16"/>
          <w:color w:val="1E1E1E"/>
        </w:rPr>
        <w:t>We have identified material weaknesses in our internal control over financial reporting.</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8" w:name="page9"/>
    <w:bookmarkEnd w:id="8"/>
    <w:p>
      <w:pPr>
        <w:ind w:right="1760"/>
        <w:spacing w:after="0" w:line="300" w:lineRule="auto"/>
        <w:rPr>
          <w:sz w:val="20"/>
          <w:szCs w:val="20"/>
          <w:color w:val="auto"/>
        </w:rPr>
      </w:pPr>
      <w:r>
        <w:rPr>
          <w:rFonts w:ascii="Arial" w:cs="Arial" w:eastAsia="Arial" w:hAnsi="Arial"/>
          <w:sz w:val="54"/>
          <w:szCs w:val="54"/>
          <w:b w:val="1"/>
          <w:bCs w:val="1"/>
          <w:color w:val="513491"/>
        </w:rPr>
        <w:t>Cautionary Note Regarding Forward-Looking Statements</w:t>
      </w:r>
    </w:p>
    <w:p>
      <w:pPr>
        <w:spacing w:after="0" w:line="4" w:lineRule="exact"/>
        <w:rPr>
          <w:sz w:val="20"/>
          <w:szCs w:val="20"/>
          <w:color w:val="auto"/>
        </w:rPr>
      </w:pPr>
    </w:p>
    <w:p>
      <w:pPr>
        <w:spacing w:after="0" w:line="265" w:lineRule="auto"/>
        <w:rPr>
          <w:sz w:val="20"/>
          <w:szCs w:val="20"/>
          <w:color w:val="auto"/>
        </w:rPr>
      </w:pPr>
      <w:r>
        <w:rPr>
          <w:rFonts w:ascii="Arial" w:cs="Arial" w:eastAsia="Arial" w:hAnsi="Arial"/>
          <w:sz w:val="16"/>
          <w:szCs w:val="16"/>
          <w:color w:val="1E1E1E"/>
        </w:rPr>
        <w:t>This Annual Report on Form 10-K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172" w:lineRule="exact"/>
        <w:rPr>
          <w:sz w:val="20"/>
          <w:szCs w:val="20"/>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research and development programs;</w:t>
      </w:r>
    </w:p>
    <w:p>
      <w:pPr>
        <w:spacing w:after="0" w:line="21" w:lineRule="exact"/>
        <w:rPr>
          <w:rFonts w:ascii="Arial" w:cs="Arial" w:eastAsia="Arial" w:hAnsi="Arial"/>
          <w:sz w:val="16"/>
          <w:szCs w:val="16"/>
          <w:color w:val="auto"/>
        </w:rPr>
      </w:pPr>
    </w:p>
    <w:p>
      <w:pPr>
        <w:ind w:left="500" w:right="100" w:hanging="249"/>
        <w:spacing w:after="0" w:line="252" w:lineRule="auto"/>
        <w:tabs>
          <w:tab w:leader="none" w:pos="4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 and key milestones will be met;</w:t>
      </w:r>
    </w:p>
    <w:p>
      <w:pPr>
        <w:ind w:left="480" w:hanging="229"/>
        <w:spacing w:after="0" w:line="228"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continued ability to achieve milestones and receive associated milestone payments and royalties from current and future collaborations;</w:t>
      </w:r>
    </w:p>
    <w:p>
      <w:pPr>
        <w:ind w:left="480" w:hanging="229"/>
        <w:spacing w:after="0" w:line="228"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use our combined assets from our business combination to create a fully integrated, technology-first drug discovery platform;</w:t>
      </w: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reduce our cash burn;</w:t>
      </w:r>
    </w:p>
    <w:p>
      <w:pPr>
        <w:spacing w:after="0" w:line="5" w:lineRule="exact"/>
        <w:rPr>
          <w:rFonts w:ascii="Arial" w:cs="Arial" w:eastAsia="Arial" w:hAnsi="Arial"/>
          <w:sz w:val="16"/>
          <w:szCs w:val="16"/>
          <w:color w:val="auto"/>
        </w:rPr>
      </w:pPr>
    </w:p>
    <w:p>
      <w:pPr>
        <w:ind w:left="500" w:right="20" w:hanging="249"/>
        <w:spacing w:after="0" w:line="244" w:lineRule="auto"/>
        <w:tabs>
          <w:tab w:leader="none" w:pos="4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timing and likelihood of our ability to shift our wet-lab from a source of data generation to a model for validating data from AI-generated results and the projected impact of our ClinTech platform on our business;</w:t>
      </w:r>
    </w:p>
    <w:p>
      <w:pPr>
        <w:ind w:left="500" w:right="860" w:hanging="249"/>
        <w:spacing w:after="0" w:line="249" w:lineRule="auto"/>
        <w:tabs>
          <w:tab w:leader="none" w:pos="4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ability and willingness of our collaborators to continue research and development activities relating to our development candidates and investigational medicines;</w:t>
      </w: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future agreements with third parties in connection with the commercialization of our investigational medicines and any other approved product;</w:t>
      </w:r>
    </w:p>
    <w:p>
      <w:pPr>
        <w:spacing w:after="0" w:line="14" w:lineRule="exact"/>
        <w:rPr>
          <w:rFonts w:ascii="Arial" w:cs="Arial" w:eastAsia="Arial" w:hAnsi="Arial"/>
          <w:sz w:val="16"/>
          <w:szCs w:val="16"/>
          <w:color w:val="auto"/>
        </w:rPr>
      </w:pPr>
    </w:p>
    <w:p>
      <w:pPr>
        <w:jc w:val="both"/>
        <w:ind w:left="500" w:right="20" w:hanging="249"/>
        <w:spacing w:after="0" w:line="254" w:lineRule="auto"/>
        <w:tabs>
          <w:tab w:leader="none" w:pos="4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timing, scope, and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timing, scope, or likelihood of foreign regulatory filings and approvals, including our ability to maintain any such approvals;</w:t>
      </w:r>
    </w:p>
    <w:p>
      <w:pPr>
        <w:spacing w:after="0" w:line="5" w:lineRule="exact"/>
        <w:rPr>
          <w:rFonts w:ascii="Arial" w:cs="Arial" w:eastAsia="Arial" w:hAnsi="Arial"/>
          <w:sz w:val="16"/>
          <w:szCs w:val="16"/>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size of the potential market opportunity for TechBio companies, including the expected impact of AI-enabled technologies;</w:t>
      </w:r>
    </w:p>
    <w:p>
      <w:pPr>
        <w:spacing w:after="0" w:line="14" w:lineRule="exact"/>
        <w:rPr>
          <w:rFonts w:ascii="Arial" w:cs="Arial" w:eastAsia="Arial" w:hAnsi="Arial"/>
          <w:sz w:val="16"/>
          <w:szCs w:val="16"/>
          <w:color w:val="auto"/>
        </w:rPr>
      </w:pPr>
    </w:p>
    <w:p>
      <w:pPr>
        <w:ind w:left="500" w:right="20" w:hanging="249"/>
        <w:spacing w:after="0" w:line="255" w:lineRule="auto"/>
        <w:tabs>
          <w:tab w:leader="none" w:pos="4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size of the potential market opportunity for our drug candidates, including our estimates of the number of patients who suffer from the diseases we are targeting;</w:t>
      </w:r>
    </w:p>
    <w:p>
      <w:pPr>
        <w:ind w:left="500" w:right="20" w:hanging="249"/>
        <w:spacing w:after="0" w:line="249" w:lineRule="auto"/>
        <w:tabs>
          <w:tab w:leader="none" w:pos="4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identify viable new drug candidates for clinical development and the rate at which we expect to identify such candidates, whether through an inferential approach or otherwise;</w:t>
      </w: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expectation that the assets that will drive the most value for us are those that we will identify in the future using our datasets and tools;</w:t>
      </w:r>
    </w:p>
    <w:p>
      <w:pPr>
        <w:spacing w:after="0" w:line="14" w:lineRule="exact"/>
        <w:rPr>
          <w:rFonts w:ascii="Arial" w:cs="Arial" w:eastAsia="Arial" w:hAnsi="Arial"/>
          <w:sz w:val="16"/>
          <w:szCs w:val="16"/>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develop and advance our current drug candidates and programs into, and successfully complete, clinical studies;</w:t>
      </w:r>
    </w:p>
    <w:p>
      <w:pPr>
        <w:spacing w:after="0" w:line="8" w:lineRule="exact"/>
        <w:rPr>
          <w:rFonts w:ascii="Arial" w:cs="Arial" w:eastAsia="Arial" w:hAnsi="Arial"/>
          <w:sz w:val="16"/>
          <w:szCs w:val="16"/>
          <w:color w:val="auto"/>
        </w:rPr>
      </w:pPr>
    </w:p>
    <w:p>
      <w:pPr>
        <w:ind w:left="500" w:right="240" w:hanging="249"/>
        <w:spacing w:after="0" w:line="255" w:lineRule="auto"/>
        <w:tabs>
          <w:tab w:leader="none" w:pos="4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reduce the time or cost or increase the likelihood of success of our research and development relative to the traditional drug discovery paradigm, including the use of data sets from our partners to accelerate the development of our AI-enabled technologies;</w:t>
      </w:r>
    </w:p>
    <w:p>
      <w:pPr>
        <w:ind w:left="500" w:right="360" w:hanging="249"/>
        <w:spacing w:after="0" w:line="252" w:lineRule="auto"/>
        <w:tabs>
          <w:tab w:leader="none" w:pos="4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improve, and the rate of improvement in, our infrastructure, datasets, biology, technology tools, and drug discovery platform, and our ability to realize benefits from such improvements;</w:t>
      </w:r>
    </w:p>
    <w:p>
      <w:pPr>
        <w:spacing w:after="0" w:line="1" w:lineRule="exact"/>
        <w:rPr>
          <w:rFonts w:ascii="Arial" w:cs="Arial" w:eastAsia="Arial" w:hAnsi="Arial"/>
          <w:sz w:val="16"/>
          <w:szCs w:val="16"/>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effectively use machine learning and artificial intelligence in our drug development process;</w:t>
      </w:r>
    </w:p>
    <w:p>
      <w:pPr>
        <w:spacing w:after="0" w:line="8" w:lineRule="exact"/>
        <w:rPr>
          <w:rFonts w:ascii="Arial" w:cs="Arial" w:eastAsia="Arial" w:hAnsi="Arial"/>
          <w:sz w:val="16"/>
          <w:szCs w:val="16"/>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leverage our collaborations and partnerships to develop our products and grow our business;</w:t>
      </w:r>
    </w:p>
    <w:p>
      <w:pPr>
        <w:spacing w:after="0" w:line="14" w:lineRule="exact"/>
        <w:rPr>
          <w:rFonts w:ascii="Arial" w:cs="Arial" w:eastAsia="Arial" w:hAnsi="Arial"/>
          <w:sz w:val="16"/>
          <w:szCs w:val="16"/>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expectations related to the performance and benefits of our BioHive-2 supercomputer, Recursion OS, and our digital chemistry platform;</w:t>
      </w:r>
    </w:p>
    <w:p>
      <w:pPr>
        <w:spacing w:after="0" w:line="8" w:lineRule="exact"/>
        <w:rPr>
          <w:rFonts w:ascii="Arial" w:cs="Arial" w:eastAsia="Arial" w:hAnsi="Arial"/>
          <w:sz w:val="16"/>
          <w:szCs w:val="16"/>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realize a return on our investment of resources and cash in our drug discovery collaborations;</w:t>
      </w:r>
    </w:p>
    <w:p>
      <w:pPr>
        <w:spacing w:after="0" w:line="5" w:lineRule="exact"/>
        <w:rPr>
          <w:rFonts w:ascii="Arial" w:cs="Arial" w:eastAsia="Arial" w:hAnsi="Arial"/>
          <w:sz w:val="16"/>
          <w:szCs w:val="16"/>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sell or license assets and re-invest proceeds into funding our long-term strategy;</w:t>
      </w:r>
    </w:p>
    <w:p>
      <w:pPr>
        <w:spacing w:after="0" w:line="14" w:lineRule="exact"/>
        <w:rPr>
          <w:rFonts w:ascii="Arial" w:cs="Arial" w:eastAsia="Arial" w:hAnsi="Arial"/>
          <w:sz w:val="16"/>
          <w:szCs w:val="16"/>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scale like a technology company and to add more programs to our pipeline each year;</w:t>
      </w:r>
    </w:p>
    <w:p>
      <w:pPr>
        <w:spacing w:after="0" w:line="8" w:lineRule="exact"/>
        <w:rPr>
          <w:rFonts w:ascii="Arial" w:cs="Arial" w:eastAsia="Arial" w:hAnsi="Arial"/>
          <w:sz w:val="16"/>
          <w:szCs w:val="16"/>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acquire and generate datasets to train and develop our AI-enabled technologies;</w:t>
      </w:r>
    </w:p>
    <w:p>
      <w:pPr>
        <w:spacing w:after="0" w:line="5" w:lineRule="exact"/>
        <w:rPr>
          <w:rFonts w:ascii="Arial" w:cs="Arial" w:eastAsia="Arial" w:hAnsi="Arial"/>
          <w:sz w:val="16"/>
          <w:szCs w:val="16"/>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successfully compete in a highly competitive market;</w:t>
      </w:r>
    </w:p>
    <w:p>
      <w:pPr>
        <w:spacing w:after="0" w:line="14" w:lineRule="exact"/>
        <w:rPr>
          <w:rFonts w:ascii="Arial" w:cs="Arial" w:eastAsia="Arial" w:hAnsi="Arial"/>
          <w:sz w:val="16"/>
          <w:szCs w:val="16"/>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manufacturing, commercialization, and marketing capabilities and strategies;</w:t>
      </w:r>
    </w:p>
    <w:p>
      <w:pPr>
        <w:spacing w:after="0" w:line="8" w:lineRule="exact"/>
        <w:rPr>
          <w:rFonts w:ascii="Arial" w:cs="Arial" w:eastAsia="Arial" w:hAnsi="Arial"/>
          <w:sz w:val="16"/>
          <w:szCs w:val="16"/>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plans relating to commercializing our drug candidates, if approved, including the geographic areas of focus and sales strategy;</w:t>
      </w:r>
    </w:p>
    <w:p>
      <w:pPr>
        <w:spacing w:after="0" w:line="14" w:lineRule="exact"/>
        <w:rPr>
          <w:rFonts w:ascii="Arial" w:cs="Arial" w:eastAsia="Arial" w:hAnsi="Arial"/>
          <w:sz w:val="16"/>
          <w:szCs w:val="16"/>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expectations regarding the approval and use of our drug candidates in combination with other drugs;</w:t>
      </w:r>
    </w:p>
    <w:p>
      <w:pPr>
        <w:spacing w:after="0" w:line="8" w:lineRule="exact"/>
        <w:rPr>
          <w:rFonts w:ascii="Arial" w:cs="Arial" w:eastAsia="Arial" w:hAnsi="Arial"/>
          <w:sz w:val="16"/>
          <w:szCs w:val="16"/>
          <w:color w:val="auto"/>
        </w:rPr>
      </w:pPr>
    </w:p>
    <w:p>
      <w:pPr>
        <w:ind w:left="480" w:hanging="22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rate and degree of market acceptance and clinical utility of our current drug candidates, if approved, and other drug candidates we may develop;</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9" w:name="page10"/>
    <w:bookmarkEnd w:id="9"/>
    <w:p>
      <w:pPr>
        <w:ind w:left="500" w:right="580" w:hanging="249"/>
        <w:spacing w:after="0" w:line="263" w:lineRule="auto"/>
        <w:tabs>
          <w:tab w:leader="none" w:pos="4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competitive position and the success of competing approaches that are or may become available, including with respect to our AI-enabled technologies;</w:t>
      </w: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estimates of the number of patients that we will enroll in our clinical trials and the timing of their enrollment;</w:t>
      </w:r>
    </w:p>
    <w:p>
      <w:pPr>
        <w:spacing w:after="0" w:line="8" w:lineRule="exact"/>
        <w:rPr>
          <w:rFonts w:ascii="Arial" w:cs="Arial" w:eastAsia="Arial" w:hAnsi="Arial"/>
          <w:sz w:val="16"/>
          <w:szCs w:val="16"/>
          <w:color w:val="auto"/>
        </w:rPr>
      </w:pP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beneficial characteristics, safety, efficacy, and therapeutic effects of our drug candidates;</w:t>
      </w:r>
    </w:p>
    <w:p>
      <w:pPr>
        <w:spacing w:after="0" w:line="14" w:lineRule="exact"/>
        <w:rPr>
          <w:rFonts w:ascii="Arial" w:cs="Arial" w:eastAsia="Arial" w:hAnsi="Arial"/>
          <w:sz w:val="16"/>
          <w:szCs w:val="16"/>
          <w:color w:val="auto"/>
        </w:rPr>
      </w:pP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plans for further development of our drug candidates, including additional indications we may pursue;</w:t>
      </w:r>
    </w:p>
    <w:p>
      <w:pPr>
        <w:spacing w:after="0" w:line="8" w:lineRule="exact"/>
        <w:rPr>
          <w:rFonts w:ascii="Arial" w:cs="Arial" w:eastAsia="Arial" w:hAnsi="Arial"/>
          <w:sz w:val="16"/>
          <w:szCs w:val="16"/>
          <w:color w:val="auto"/>
        </w:rPr>
      </w:pPr>
    </w:p>
    <w:p>
      <w:pPr>
        <w:ind w:left="500" w:right="40" w:hanging="249"/>
        <w:spacing w:after="0" w:line="254" w:lineRule="auto"/>
        <w:tabs>
          <w:tab w:leader="none" w:pos="4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ind w:left="500" w:right="600" w:hanging="249"/>
        <w:spacing w:after="0" w:line="249" w:lineRule="auto"/>
        <w:tabs>
          <w:tab w:leader="none" w:pos="4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impact of any intellectual property disputes and our ability to defend against claims of infringement, misappropriation, or other violations of intellectual property rights;</w:t>
      </w: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keep pace with new technological developments, including with respect to AI;</w:t>
      </w:r>
    </w:p>
    <w:p>
      <w:pPr>
        <w:spacing w:after="0" w:line="14" w:lineRule="exact"/>
        <w:rPr>
          <w:rFonts w:ascii="Arial" w:cs="Arial" w:eastAsia="Arial" w:hAnsi="Arial"/>
          <w:sz w:val="16"/>
          <w:szCs w:val="16"/>
          <w:color w:val="auto"/>
        </w:rPr>
      </w:pP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utilize third-party open source software and cloud-based infrastructure, on which we are dependent;</w:t>
      </w:r>
    </w:p>
    <w:p>
      <w:pPr>
        <w:spacing w:after="0" w:line="8" w:lineRule="exact"/>
        <w:rPr>
          <w:rFonts w:ascii="Arial" w:cs="Arial" w:eastAsia="Arial" w:hAnsi="Arial"/>
          <w:sz w:val="16"/>
          <w:szCs w:val="16"/>
          <w:color w:val="auto"/>
        </w:rPr>
      </w:pP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adequacy of our insurance policies and the scope of their coverage;</w:t>
      </w:r>
    </w:p>
    <w:p>
      <w:pPr>
        <w:spacing w:after="0" w:line="5" w:lineRule="exact"/>
        <w:rPr>
          <w:rFonts w:ascii="Arial" w:cs="Arial" w:eastAsia="Arial" w:hAnsi="Arial"/>
          <w:sz w:val="16"/>
          <w:szCs w:val="16"/>
          <w:color w:val="auto"/>
        </w:rPr>
      </w:pPr>
    </w:p>
    <w:p>
      <w:pPr>
        <w:ind w:left="500" w:right="20" w:hanging="249"/>
        <w:spacing w:after="0" w:line="255" w:lineRule="auto"/>
        <w:tabs>
          <w:tab w:leader="none" w:pos="4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w:t>
      </w: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maintain our technical operations infrastructure to avoid errors, delays, or cybersecurity breaches;</w:t>
      </w:r>
    </w:p>
    <w:p>
      <w:pPr>
        <w:spacing w:after="0" w:line="14" w:lineRule="exact"/>
        <w:rPr>
          <w:rFonts w:ascii="Arial" w:cs="Arial" w:eastAsia="Arial" w:hAnsi="Arial"/>
          <w:sz w:val="16"/>
          <w:szCs w:val="16"/>
          <w:color w:val="auto"/>
        </w:rPr>
      </w:pPr>
    </w:p>
    <w:p>
      <w:pPr>
        <w:ind w:left="500" w:right="220" w:hanging="249"/>
        <w:spacing w:after="0" w:line="249" w:lineRule="auto"/>
        <w:tabs>
          <w:tab w:leader="none" w:pos="4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continued reliance on third parties to conduct additional clinical trials of our drug candidates, and for the manufacture of our drug candidates for preclinical studies and clinical trials;</w:t>
      </w:r>
    </w:p>
    <w:p>
      <w:pPr>
        <w:ind w:left="500" w:right="540" w:hanging="249"/>
        <w:spacing w:after="0" w:line="255" w:lineRule="auto"/>
        <w:tabs>
          <w:tab w:leader="none" w:pos="4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obtain, and negotiate favorable terms of, any collaboration, licensing or other arrangements that may be necessary or desirable to research, develop, manufacture, or commercialize our platform and drug candidates;</w:t>
      </w: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pricing and reimbursement of our current drug candidates and other drug candidates we may develop, if approved;</w:t>
      </w:r>
    </w:p>
    <w:p>
      <w:pPr>
        <w:spacing w:after="0" w:line="14" w:lineRule="exact"/>
        <w:rPr>
          <w:rFonts w:ascii="Arial" w:cs="Arial" w:eastAsia="Arial" w:hAnsi="Arial"/>
          <w:sz w:val="16"/>
          <w:szCs w:val="16"/>
          <w:color w:val="auto"/>
        </w:rPr>
      </w:pP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 for additional financing;</w:t>
      </w:r>
    </w:p>
    <w:p>
      <w:pPr>
        <w:spacing w:after="0" w:line="8" w:lineRule="exact"/>
        <w:rPr>
          <w:rFonts w:ascii="Arial" w:cs="Arial" w:eastAsia="Arial" w:hAnsi="Arial"/>
          <w:sz w:val="16"/>
          <w:szCs w:val="16"/>
          <w:color w:val="auto"/>
        </w:rPr>
      </w:pP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financial performance;</w:t>
      </w:r>
    </w:p>
    <w:p>
      <w:pPr>
        <w:spacing w:after="0" w:line="5" w:lineRule="exact"/>
        <w:rPr>
          <w:rFonts w:ascii="Arial" w:cs="Arial" w:eastAsia="Arial" w:hAnsi="Arial"/>
          <w:sz w:val="16"/>
          <w:szCs w:val="16"/>
          <w:color w:val="auto"/>
        </w:rPr>
      </w:pPr>
    </w:p>
    <w:p>
      <w:pPr>
        <w:ind w:left="500" w:right="720" w:hanging="249"/>
        <w:spacing w:after="0" w:line="255" w:lineRule="auto"/>
        <w:tabs>
          <w:tab w:leader="none" w:pos="4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period over which we estimate our existing cash and cash equivalents will be sufficient to fund our future operating expenses and capital expenditure requirements;</w:t>
      </w: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raise substantial additional funding;</w:t>
      </w:r>
    </w:p>
    <w:p>
      <w:pPr>
        <w:spacing w:after="0" w:line="14" w:lineRule="exact"/>
        <w:rPr>
          <w:rFonts w:ascii="Arial" w:cs="Arial" w:eastAsia="Arial" w:hAnsi="Arial"/>
          <w:sz w:val="16"/>
          <w:szCs w:val="16"/>
          <w:color w:val="auto"/>
        </w:rPr>
      </w:pP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impact of current and future laws and regulations, and our ability to comply with all regulations that we are, or may become, subject to;</w:t>
      </w:r>
    </w:p>
    <w:p>
      <w:pPr>
        <w:spacing w:after="0" w:line="8" w:lineRule="exact"/>
        <w:rPr>
          <w:rFonts w:ascii="Arial" w:cs="Arial" w:eastAsia="Arial" w:hAnsi="Arial"/>
          <w:sz w:val="16"/>
          <w:szCs w:val="16"/>
          <w:color w:val="auto"/>
        </w:rPr>
      </w:pP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need to hire additional personnel and our ability to attract and retain such personnel;</w:t>
      </w:r>
    </w:p>
    <w:p>
      <w:pPr>
        <w:spacing w:after="0" w:line="5" w:lineRule="exact"/>
        <w:rPr>
          <w:rFonts w:ascii="Arial" w:cs="Arial" w:eastAsia="Arial" w:hAnsi="Arial"/>
          <w:sz w:val="16"/>
          <w:szCs w:val="16"/>
          <w:color w:val="auto"/>
        </w:rPr>
      </w:pP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impact of any current or future litigation, which may arise during the ordinary course of business and be costly to defend;</w:t>
      </w:r>
    </w:p>
    <w:p>
      <w:pPr>
        <w:spacing w:after="0" w:line="14" w:lineRule="exact"/>
        <w:rPr>
          <w:rFonts w:ascii="Arial" w:cs="Arial" w:eastAsia="Arial" w:hAnsi="Arial"/>
          <w:sz w:val="16"/>
          <w:szCs w:val="16"/>
          <w:color w:val="auto"/>
        </w:rPr>
      </w:pPr>
    </w:p>
    <w:p>
      <w:pPr>
        <w:ind w:left="500" w:right="220" w:hanging="249"/>
        <w:spacing w:after="0" w:line="255" w:lineRule="auto"/>
        <w:tabs>
          <w:tab w:leader="none" w:pos="4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maintain effective internal control over financial reporting and disclosure controls and procedures, including our ability to remediate the material weaknesses in internal control over financial reporting;</w:t>
      </w: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anticipated use of our existing resources and the net proceeds from our public offerings; and</w:t>
      </w:r>
    </w:p>
    <w:p>
      <w:pPr>
        <w:spacing w:after="0" w:line="8" w:lineRule="exact"/>
        <w:rPr>
          <w:rFonts w:ascii="Arial" w:cs="Arial" w:eastAsia="Arial" w:hAnsi="Arial"/>
          <w:sz w:val="16"/>
          <w:szCs w:val="16"/>
          <w:color w:val="auto"/>
        </w:rPr>
      </w:pPr>
    </w:p>
    <w:p>
      <w:pPr>
        <w:ind w:left="480" w:hanging="229"/>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risks and uncertainties, including those listed in the section titled “Risk Factors.”</w:t>
      </w:r>
    </w:p>
    <w:p>
      <w:pPr>
        <w:spacing w:after="0" w:line="23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02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9202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54"/>
          <w:szCs w:val="54"/>
          <w:b w:val="1"/>
          <w:bCs w:val="1"/>
          <w:color w:val="513491"/>
        </w:rPr>
        <w:t>Item 1. Business.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7"/>
          <w:szCs w:val="27"/>
          <w:b w:val="1"/>
          <w:bCs w:val="1"/>
          <w:color w:val="E2188A"/>
        </w:rPr>
        <w:t>Business Overview</w:t>
      </w:r>
    </w:p>
    <w:p>
      <w:pPr>
        <w:spacing w:after="0" w:line="123"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1E1E1E"/>
        </w:rPr>
        <w:t>Recursion is a clinical-stage TechBio company with a mission to decode biology to radically improve lives. We have advanced a portfolio of differentiated internal programs and strategic partnerships powered by our integrated drug discovery and development platform, the Recursion Operating System (OS). This platform provides end-to-end, AI-native capabilities that span from novel biological ideas through the clinic, integrating multimodal biological data generation, AI-powered small molecule synthesis, and AI-enabled clinical development. All of our technologies are designed to translate complex science into medicines that matter — faster, better, and at scale — for patients who are waiting.</w:t>
      </w:r>
    </w:p>
    <w:p>
      <w:pPr>
        <w:spacing w:after="0" w:line="18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1E1E1E"/>
        </w:rPr>
        <w:t>Historically, it has taken over ten years and an average capitalized R&amp;D cost of approximately $2-3.5 billion to move a drug discovery project from early discovery to an approved therapeutic, with less than 4% of drug discovery programs initiated resulting in an approved medicine.</w:t>
      </w:r>
      <w:r>
        <w:rPr>
          <w:rFonts w:ascii="Arial" w:cs="Arial" w:eastAsia="Arial" w:hAnsi="Arial"/>
          <w:sz w:val="21"/>
          <w:szCs w:val="21"/>
          <w:color w:val="1E1E1E"/>
          <w:vertAlign w:val="superscript"/>
        </w:rPr>
        <w:t>1,2,3,4,5,6</w:t>
      </w:r>
      <w:r>
        <w:rPr>
          <w:rFonts w:ascii="Arial" w:cs="Arial" w:eastAsia="Arial" w:hAnsi="Arial"/>
          <w:sz w:val="16"/>
          <w:szCs w:val="16"/>
          <w:color w:val="1E1E1E"/>
        </w:rPr>
        <w:t xml:space="preserve"> Today, we are working to transform the traditional high-attrition, “V-shaped” discovery funnel by pivoting to a ‘T-shaped’ model. By leveraging advanced computational tools across biology, chemistry and clinical development, we aim to rapidly narrow a broad set of potential medicines to the candidates with the highest probabilities of success, with the goal to move programs through development more efficiently and with less attrition.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240030</wp:posOffset>
            </wp:positionV>
            <wp:extent cx="5863590" cy="23914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359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320"/>
        <w:spacing w:after="0" w:line="345" w:lineRule="auto"/>
        <w:rPr>
          <w:sz w:val="20"/>
          <w:szCs w:val="20"/>
          <w:color w:val="auto"/>
        </w:rPr>
      </w:pPr>
      <w:r>
        <w:rPr>
          <w:rFonts w:ascii="Arial" w:cs="Arial" w:eastAsia="Arial" w:hAnsi="Arial"/>
          <w:sz w:val="14"/>
          <w:szCs w:val="14"/>
          <w:b w:val="1"/>
          <w:bCs w:val="1"/>
          <w:color w:val="6E6E6E"/>
        </w:rPr>
        <w:t xml:space="preserve">Figure 1. </w:t>
      </w:r>
      <w:r>
        <w:rPr>
          <w:rFonts w:ascii="Arial" w:cs="Arial" w:eastAsia="Arial" w:hAnsi="Arial"/>
          <w:sz w:val="14"/>
          <w:szCs w:val="14"/>
          <w:color w:val="6E6E6E"/>
        </w:rPr>
        <w:t>Illustrative. Reshaping the drug discovery funnel. Recursion’s goal is to leverage technology to reshape the typical drug discovery funnel towards its ideal state by</w:t>
      </w:r>
      <w:r>
        <w:rPr>
          <w:rFonts w:ascii="Arial" w:cs="Arial" w:eastAsia="Arial" w:hAnsi="Arial"/>
          <w:sz w:val="14"/>
          <w:szCs w:val="14"/>
          <w:b w:val="1"/>
          <w:bCs w:val="1"/>
          <w:color w:val="6E6E6E"/>
        </w:rPr>
        <w:t xml:space="preserve"> </w:t>
      </w:r>
      <w:r>
        <w:rPr>
          <w:rFonts w:ascii="Arial" w:cs="Arial" w:eastAsia="Arial" w:hAnsi="Arial"/>
          <w:sz w:val="14"/>
          <w:szCs w:val="14"/>
          <w:color w:val="6E6E6E"/>
        </w:rPr>
        <w:t>moving failure as early as possible to rapidly narrowing the funnel into programs with the highest probability of success.</w:t>
      </w:r>
    </w:p>
    <w:p>
      <w:pPr>
        <w:spacing w:after="0" w:line="72"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1E1E1E"/>
        </w:rPr>
        <w:t>In recent years, advances in artificial intelligence and machine learning (“AI/ML”) have increasingly influenced both the technology and biopharmaceutical industries. Industry reports estimate that a majority of large biopharmaceutical companies now employ AI/ML in some aspect of drug discovery or development, and global investment in AI-enabled drug discovery has grown to several billions of dollars annually. Regulators and policymakers have also engaged more actively in this area, with AI/ML-enabled approaches being applied across multiple stages of drug discovery and development, including target identification, molecular design, chemical synthesis, clinical development, and manufacturing. We believe the increasing adoption of these technologies reflects a growing industry consensus that AI/ML has the potential to improve efficiency, decision-making, and productivity in drug discovery and development — the extent and timing of these benefits remain subject to ongoing validation and focus on proof-of-concept by leading players, including Recursion.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14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9" w:lineRule="exact"/>
        <w:rPr>
          <w:sz w:val="20"/>
          <w:szCs w:val="20"/>
          <w:color w:val="auto"/>
        </w:rPr>
      </w:pPr>
    </w:p>
    <w:p>
      <w:pPr>
        <w:ind w:left="100" w:hanging="92"/>
        <w:spacing w:after="0"/>
        <w:tabs>
          <w:tab w:leader="none" w:pos="100" w:val="left"/>
        </w:tabs>
        <w:numPr>
          <w:ilvl w:val="0"/>
          <w:numId w:val="14"/>
        </w:numPr>
        <w:rPr>
          <w:rFonts w:ascii="Arial" w:cs="Arial" w:eastAsia="Arial" w:hAnsi="Arial"/>
          <w:sz w:val="19"/>
          <w:szCs w:val="19"/>
          <w:i w:val="1"/>
          <w:iCs w:val="1"/>
          <w:color w:val="6E6E6E"/>
          <w:vertAlign w:val="superscript"/>
        </w:rPr>
      </w:pPr>
      <w:r>
        <w:rPr>
          <w:rFonts w:ascii="Arial" w:cs="Arial" w:eastAsia="Arial" w:hAnsi="Arial"/>
          <w:sz w:val="14"/>
          <w:szCs w:val="14"/>
          <w:i w:val="1"/>
          <w:iCs w:val="1"/>
          <w:color w:val="6E6E6E"/>
        </w:rPr>
        <w:t>Zhou, S. and Johnson, R. (2018). Pharmaceutical Probability of Success. Alacrita Consulting, 1-42.</w:t>
      </w:r>
    </w:p>
    <w:p>
      <w:pPr>
        <w:spacing w:after="0" w:line="11" w:lineRule="exact"/>
        <w:rPr>
          <w:sz w:val="20"/>
          <w:szCs w:val="20"/>
          <w:color w:val="auto"/>
        </w:rPr>
      </w:pPr>
    </w:p>
    <w:p>
      <w:pPr>
        <w:ind w:left="100" w:hanging="92"/>
        <w:spacing w:after="0"/>
        <w:tabs>
          <w:tab w:leader="none" w:pos="100" w:val="left"/>
        </w:tabs>
        <w:numPr>
          <w:ilvl w:val="0"/>
          <w:numId w:val="15"/>
        </w:numPr>
        <w:rPr>
          <w:rFonts w:ascii="Arial" w:cs="Arial" w:eastAsia="Arial" w:hAnsi="Arial"/>
          <w:sz w:val="19"/>
          <w:szCs w:val="19"/>
          <w:i w:val="1"/>
          <w:iCs w:val="1"/>
          <w:color w:val="6E6E6E"/>
          <w:vertAlign w:val="superscript"/>
        </w:rPr>
      </w:pPr>
      <w:r>
        <w:rPr>
          <w:rFonts w:ascii="Arial" w:cs="Arial" w:eastAsia="Arial" w:hAnsi="Arial"/>
          <w:sz w:val="14"/>
          <w:szCs w:val="14"/>
          <w:i w:val="1"/>
          <w:iCs w:val="1"/>
          <w:color w:val="6E6E6E"/>
        </w:rPr>
        <w:t>Steedman, M, and Taylor, K. (2024). Measuring the return from pharmaceutical innovation. Deloitte. 1-28.</w:t>
      </w:r>
    </w:p>
    <w:p>
      <w:pPr>
        <w:spacing w:after="0" w:line="11" w:lineRule="exact"/>
        <w:rPr>
          <w:sz w:val="20"/>
          <w:szCs w:val="20"/>
          <w:color w:val="auto"/>
        </w:rPr>
      </w:pPr>
    </w:p>
    <w:p>
      <w:pPr>
        <w:ind w:left="100" w:hanging="92"/>
        <w:spacing w:after="0"/>
        <w:tabs>
          <w:tab w:leader="none" w:pos="100" w:val="left"/>
        </w:tabs>
        <w:numPr>
          <w:ilvl w:val="0"/>
          <w:numId w:val="16"/>
        </w:numPr>
        <w:rPr>
          <w:rFonts w:ascii="Arial" w:cs="Arial" w:eastAsia="Arial" w:hAnsi="Arial"/>
          <w:sz w:val="19"/>
          <w:szCs w:val="19"/>
          <w:i w:val="1"/>
          <w:iCs w:val="1"/>
          <w:color w:val="6E6E6E"/>
          <w:vertAlign w:val="superscript"/>
        </w:rPr>
      </w:pPr>
      <w:r>
        <w:rPr>
          <w:rFonts w:ascii="Arial" w:cs="Arial" w:eastAsia="Arial" w:hAnsi="Arial"/>
          <w:sz w:val="14"/>
          <w:szCs w:val="14"/>
          <w:i w:val="1"/>
          <w:iCs w:val="1"/>
          <w:color w:val="6E6E6E"/>
        </w:rPr>
        <w:t>DiMasi et al. (2016). Innovation in the pharmaceutical industry: New estimates of R&amp;D costs. Journal of Health Economics. 47, 20-33.</w:t>
      </w:r>
    </w:p>
    <w:p>
      <w:pPr>
        <w:spacing w:after="0" w:line="11" w:lineRule="exact"/>
        <w:rPr>
          <w:sz w:val="20"/>
          <w:szCs w:val="20"/>
          <w:color w:val="auto"/>
        </w:rPr>
      </w:pPr>
    </w:p>
    <w:p>
      <w:pPr>
        <w:ind w:left="100" w:hanging="92"/>
        <w:spacing w:after="0"/>
        <w:tabs>
          <w:tab w:leader="none" w:pos="100" w:val="left"/>
        </w:tabs>
        <w:numPr>
          <w:ilvl w:val="0"/>
          <w:numId w:val="17"/>
        </w:numPr>
        <w:rPr>
          <w:rFonts w:ascii="Arial" w:cs="Arial" w:eastAsia="Arial" w:hAnsi="Arial"/>
          <w:sz w:val="19"/>
          <w:szCs w:val="19"/>
          <w:i w:val="1"/>
          <w:iCs w:val="1"/>
          <w:color w:val="6E6E6E"/>
          <w:vertAlign w:val="superscript"/>
        </w:rPr>
      </w:pPr>
      <w:r>
        <w:rPr>
          <w:rFonts w:ascii="Arial" w:cs="Arial" w:eastAsia="Arial" w:hAnsi="Arial"/>
          <w:sz w:val="14"/>
          <w:szCs w:val="14"/>
          <w:i w:val="1"/>
          <w:iCs w:val="1"/>
          <w:color w:val="6E6E6E"/>
        </w:rPr>
        <w:t>Paul, et al. (2010). How to improve R&amp;D productivity: the pharmaceutical industry’s grand challenge. Nature Reviews Drug Discovery. 9,203-214.</w:t>
      </w:r>
    </w:p>
    <w:p>
      <w:pPr>
        <w:spacing w:after="0" w:line="39" w:lineRule="exact"/>
        <w:rPr>
          <w:rFonts w:ascii="Arial" w:cs="Arial" w:eastAsia="Arial" w:hAnsi="Arial"/>
          <w:sz w:val="19"/>
          <w:szCs w:val="19"/>
          <w:i w:val="1"/>
          <w:iCs w:val="1"/>
          <w:color w:val="6E6E6E"/>
          <w:vertAlign w:val="superscript"/>
        </w:rPr>
      </w:pPr>
    </w:p>
    <w:p>
      <w:pPr>
        <w:spacing w:after="0"/>
        <w:rPr>
          <w:rFonts w:ascii="Arial" w:cs="Arial" w:eastAsia="Arial" w:hAnsi="Arial"/>
          <w:sz w:val="19"/>
          <w:szCs w:val="19"/>
          <w:i w:val="1"/>
          <w:iCs w:val="1"/>
          <w:color w:val="6E6E6E"/>
          <w:vertAlign w:val="superscript"/>
        </w:rPr>
      </w:pPr>
      <w:r>
        <w:rPr>
          <w:rFonts w:ascii="Arial" w:cs="Arial" w:eastAsia="Arial" w:hAnsi="Arial"/>
          <w:sz w:val="9"/>
          <w:szCs w:val="9"/>
          <w:i w:val="1"/>
          <w:iCs w:val="1"/>
          <w:color w:val="6E6E6E"/>
        </w:rPr>
        <w:t xml:space="preserve">5 </w:t>
      </w:r>
      <w:r>
        <w:rPr>
          <w:rFonts w:ascii="Arial" w:cs="Arial" w:eastAsia="Arial" w:hAnsi="Arial"/>
          <w:sz w:val="14"/>
          <w:szCs w:val="14"/>
          <w:i w:val="1"/>
          <w:iCs w:val="1"/>
          <w:color w:val="6E6E6E"/>
        </w:rPr>
        <w:t>Martin et al. (2017). Clinical trial cycle times continue to increase despite industry efforts. Nature Reviews Drug Discovery. 16, 157.</w:t>
      </w:r>
    </w:p>
    <w:p>
      <w:pPr>
        <w:spacing w:after="0" w:line="52" w:lineRule="exact"/>
        <w:rPr>
          <w:rFonts w:ascii="Arial" w:cs="Arial" w:eastAsia="Arial" w:hAnsi="Arial"/>
          <w:sz w:val="19"/>
          <w:szCs w:val="19"/>
          <w:i w:val="1"/>
          <w:iCs w:val="1"/>
          <w:color w:val="6E6E6E"/>
          <w:vertAlign w:val="superscript"/>
        </w:rPr>
      </w:pPr>
    </w:p>
    <w:p>
      <w:pPr>
        <w:spacing w:after="0"/>
        <w:rPr>
          <w:rFonts w:ascii="Arial" w:cs="Arial" w:eastAsia="Arial" w:hAnsi="Arial"/>
          <w:sz w:val="19"/>
          <w:szCs w:val="19"/>
          <w:i w:val="1"/>
          <w:iCs w:val="1"/>
          <w:color w:val="6E6E6E"/>
          <w:vertAlign w:val="superscript"/>
        </w:rPr>
      </w:pPr>
      <w:r>
        <w:rPr>
          <w:rFonts w:ascii="Arial" w:cs="Arial" w:eastAsia="Arial" w:hAnsi="Arial"/>
          <w:sz w:val="18"/>
          <w:szCs w:val="18"/>
          <w:i w:val="1"/>
          <w:iCs w:val="1"/>
          <w:color w:val="6E6E6E"/>
          <w:vertAlign w:val="superscript"/>
        </w:rPr>
        <w:t>6</w:t>
      </w:r>
      <w:r>
        <w:rPr>
          <w:rFonts w:ascii="Arial" w:cs="Arial" w:eastAsia="Arial" w:hAnsi="Arial"/>
          <w:sz w:val="14"/>
          <w:szCs w:val="14"/>
          <w:i w:val="1"/>
          <w:iCs w:val="1"/>
          <w:color w:val="6E6E6E"/>
        </w:rPr>
        <w:t xml:space="preserve"> European Federation of Pharmaceutical Industries and Associations (EFPIA). (2024). The pharmaceutical industry in figures: Key data 2024.</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Our Strategic Focus Across Three Pillars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1E1E1E"/>
        </w:rPr>
        <w:t>The Recursion OS provides a common foundation for mapping biology, navigating disease space, designing molecules, and optimizing clinical trials across therapeutic areas and modalities. We deploy these capabilities to meet the specific differentiation and risk-reward needs of each program, tailoring our approach based on medical, market, regulatory, and capital considerations through a combination of internal pipeline development and strategic partnerships.</w:t>
      </w:r>
    </w:p>
    <w:p>
      <w:pPr>
        <w:spacing w:after="0" w:line="167"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1E1E1E"/>
        </w:rPr>
        <w:t>This approach allows us to balance near-term learning and proof generation with longer-term platform innovation, while allocating capital where Recursion has the highest confidence and greatest potential for differentiation. The three strategic pillars described below reflect how we operationalize this model to drive disciplined value creation and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177800</wp:posOffset>
            </wp:positionV>
            <wp:extent cx="5863590" cy="2717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6359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2. </w:t>
      </w:r>
      <w:r>
        <w:rPr>
          <w:rFonts w:ascii="Arial" w:cs="Arial" w:eastAsia="Arial" w:hAnsi="Arial"/>
          <w:sz w:val="14"/>
          <w:szCs w:val="14"/>
          <w:color w:val="6E6E6E"/>
        </w:rPr>
        <w:t>Recursion’s strategy is organized around three core pillars, described below.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1AA7DF"/>
        </w:rPr>
        <w:t>Pillar 1 – Translate insights to proof points – on the path to new medicines</w:t>
      </w:r>
    </w:p>
    <w:p>
      <w:pPr>
        <w:spacing w:after="0" w:line="68"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1E1E1E"/>
        </w:rPr>
        <w:t>A core pillar of our strategy is demonstrating that our AI platform can consistently translate scientific insights into medicines that deliver meaningful patient impact. In 2025, we made tangible progress against this objective, including a positive clinical readout from our familial adenomatous polyposis (FAP) program, where our novel platform-derived insight, identifying the potential therapeutic benefit of MEK1/2 inhibition in FAP, translated into clinically meaningful reductions in polyp burden in a disease with no approved therapies. We have several clinical-stage and multiple preclinical programs that are differentiated by novel biology, chemistry, and/or patient understanding from our platform. We have achieved key progress-based milestones across multiple strategic partnerships that further validate the applicability of our platform across diverse aspects of discovery and therapeutic areas. To date, we have received over $500 million in partner payments for novel data generation (e.g. maps optioned by Roche and Genentech) and advancing AI-designed small molecule programs with Sanofi and others. We expect to receive additional milestone payments as programs continue to progress. Together, these advancements across our internal and partnered pipeline provide growing evidence that our approach can convert insights into early proof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128270</wp:posOffset>
            </wp:positionV>
            <wp:extent cx="5863590" cy="2606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359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60"/>
        <w:spacing w:after="0" w:line="323" w:lineRule="auto"/>
        <w:rPr>
          <w:sz w:val="20"/>
          <w:szCs w:val="20"/>
          <w:color w:val="auto"/>
        </w:rPr>
      </w:pPr>
      <w:r>
        <w:rPr>
          <w:rFonts w:ascii="Arial" w:cs="Arial" w:eastAsia="Arial" w:hAnsi="Arial"/>
          <w:sz w:val="14"/>
          <w:szCs w:val="14"/>
          <w:b w:val="1"/>
          <w:bCs w:val="1"/>
          <w:color w:val="6E6E6E"/>
        </w:rPr>
        <w:t>Figure 3. Recursion: Progress, by the numbers</w:t>
      </w:r>
      <w:r>
        <w:rPr>
          <w:rFonts w:ascii="Arial" w:cs="Arial" w:eastAsia="Arial" w:hAnsi="Arial"/>
          <w:sz w:val="14"/>
          <w:szCs w:val="14"/>
          <w:color w:val="6E6E6E"/>
        </w:rPr>
        <w:t>. 1. Includes preclinical programs that are expected to enter the clinic within the next 18 months. 2: Milestones: Potential</w:t>
      </w:r>
      <w:r>
        <w:rPr>
          <w:rFonts w:ascii="Arial" w:cs="Arial" w:eastAsia="Arial" w:hAnsi="Arial"/>
          <w:sz w:val="14"/>
          <w:szCs w:val="14"/>
          <w:b w:val="1"/>
          <w:bCs w:val="1"/>
          <w:color w:val="6E6E6E"/>
        </w:rPr>
        <w:t xml:space="preserve"> </w:t>
      </w:r>
      <w:r>
        <w:rPr>
          <w:rFonts w:ascii="Arial" w:cs="Arial" w:eastAsia="Arial" w:hAnsi="Arial"/>
          <w:sz w:val="14"/>
          <w:szCs w:val="14"/>
          <w:color w:val="6E6E6E"/>
        </w:rPr>
        <w:t>Roche and Genentech and Sanofi milestones per small molecule program. Royalties: Recursion is eligible for tiered royalties up to high single digits (Roche and Genentech) and up to double digits (Sanofi).</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1AA7DF"/>
        </w:rPr>
        <w:t>Pillar 2 – Focused innovation, grounded in clear impact</w:t>
      </w:r>
    </w:p>
    <w:p>
      <w:pPr>
        <w:spacing w:after="0" w:line="68"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1E1E1E"/>
        </w:rPr>
        <w:t>We have built an end-to-end, AI-native platform that spans biological discovery, small molecule design, and clinical development, and our strategy is to continue investing selectively in capabilities that improve the probability of success, speed, and confidence of scientific and clinical decision-making. For example, a key area of focus in 2025 was the build out of our ClinTech capabilities, where we are applying data, automation, and AI to enable more efficient trial design, patient stratification, and evidence generation. Leveraging our Recursion OS platform, we have also been able to advance small molecule drug candidates that potentially solve complex design problems, while synthesizing approximately 90% fewer compounds than the industry average. Looking ahead, we will continue to direct resources toward platform capabilities that address critical bottlenecks in research and development and that we believe can drive durable differentiation and long-term value creation.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394335</wp:posOffset>
            </wp:positionV>
            <wp:extent cx="5863590" cy="1920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0"/>
        <w:spacing w:after="0" w:line="323" w:lineRule="auto"/>
        <w:rPr>
          <w:sz w:val="20"/>
          <w:szCs w:val="20"/>
          <w:color w:val="auto"/>
        </w:rPr>
      </w:pPr>
      <w:r>
        <w:rPr>
          <w:rFonts w:ascii="Arial" w:cs="Arial" w:eastAsia="Arial" w:hAnsi="Arial"/>
          <w:sz w:val="14"/>
          <w:szCs w:val="14"/>
          <w:b w:val="1"/>
          <w:bCs w:val="1"/>
          <w:color w:val="6E6E6E"/>
        </w:rPr>
        <w:t xml:space="preserve">Figure 4. The Recursion OS. </w:t>
      </w:r>
      <w:r>
        <w:rPr>
          <w:rFonts w:ascii="Arial" w:cs="Arial" w:eastAsia="Arial" w:hAnsi="Arial"/>
          <w:sz w:val="14"/>
          <w:szCs w:val="14"/>
          <w:color w:val="6E6E6E"/>
        </w:rPr>
        <w:t>The Recursion OS is designed to use AI to advance and accelerate decision-making and insight across the entire R&amp;D value chain with the end</w:t>
      </w:r>
      <w:r>
        <w:rPr>
          <w:rFonts w:ascii="Arial" w:cs="Arial" w:eastAsia="Arial" w:hAnsi="Arial"/>
          <w:sz w:val="14"/>
          <w:szCs w:val="14"/>
          <w:b w:val="1"/>
          <w:bCs w:val="1"/>
          <w:color w:val="6E6E6E"/>
        </w:rPr>
        <w:t xml:space="preserve"> </w:t>
      </w:r>
      <w:r>
        <w:rPr>
          <w:rFonts w:ascii="Arial" w:cs="Arial" w:eastAsia="Arial" w:hAnsi="Arial"/>
          <w:sz w:val="14"/>
          <w:szCs w:val="14"/>
          <w:color w:val="6E6E6E"/>
        </w:rPr>
        <w:t>goal to make novel medicines that matter. The Recursion OS generates value by advancing a pipeline of differentiated investigational medicines, in addition to building pipelines for our partners.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1AA7DF"/>
        </w:rPr>
        <w:t>Pillar 3 – Pair bold ambition with disciplined execution</w:t>
      </w:r>
    </w:p>
    <w:p>
      <w:pPr>
        <w:spacing w:after="0" w:line="81"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Our strategy emphasizes pairing long-term ambition with disciplined execution, clear prioritization, and prudent capital allocation. We apply rigorous go/no-go decision-making across our portfolio and focus resources on programs and initiatives where we believe we have a true strategic advantage. Actions taken in 2025, including prioritizing our clinical portfolio and streamlining operations, reflect this disciplined approach and are intended to support sustainable execution over the long term. Going forward, we will continue to balance investment in innovation with operational and financial discipline, aligning resources with our highest-impact opportunities while maintaining flexibility as we advance our mission.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1AA7DF"/>
        </w:rPr>
        <w:t>Foundation – Empowering exceptional, bilingual teams to deliver impact with humanity</w:t>
      </w:r>
    </w:p>
    <w:p>
      <w:pPr>
        <w:spacing w:after="0" w:line="68"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1E1E1E"/>
        </w:rPr>
        <w:t>As Recursion works to transform how better medicines are brought to patients, we believe a new, integrated culture is essential to success. A core foundation of our strategy is our people, which we view as a critical operating advantage in translating platform capability into real-world impact. Recursion has intentionally built integrated, bilingual teams that operate fluently across science, computation, and engineering, enabling tight collaboration between wet-lab experimentation, model development, and clinical strategy. We continue to invest in our people and teams to reduce friction across workflows, accelerate iteration, and ensure that experimental design, AI models, and development decisions are informed by a common context. Paired with a culture that emphasizes rigor, accountability, and disciplined execution, this talent model is expected to enable us to pursue bold scientific ambition while consistently delivering progress toward medicines that matter — with speed, confidence, and humanity.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Building a Pipeline – Wholly Owned and Partnered Discovery</w:t>
      </w:r>
    </w:p>
    <w:p>
      <w:pPr>
        <w:spacing w:after="0" w:line="77"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1E1E1E"/>
        </w:rPr>
        <w:t>Our combined wholly-owned and partnered pipeline represents the primary vehicle for translating novel insights and capabilities from the Recursion OS into tangible medicines. We utilize a wide range of AI and automation to achieve differentiation in biology, chemical design, and clinical development, targeting areas of high unmet need with a speed and precision unique to our AI-native approach. The progression of the portfolio through clinical development represents a critical step in validating our OS-driven methodology. Our goal remains for these proprietary insights to be translated into successful clinical outcomes across our internal focus areas of oncology and rare disease, as well as for our partners across oncology, neuroscience, immunology, and other therapeutic areas with high unmet need. All of our programs target differentiated medicines in select patient populations.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1AA7DF"/>
        </w:rPr>
        <w:t>Advancing our Wholly Owned Pipeline</w:t>
      </w:r>
    </w:p>
    <w:p>
      <w:pPr>
        <w:spacing w:after="0" w:line="6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1E1E1E"/>
        </w:rPr>
        <w:t xml:space="preserve">We are accelerating critical clinical milestones while delivering measurable progress against diseases with high unmet medical needs. To focus resources on programs with the strongest scientific rationale and the highest potential for near- and long-term impact, such as REC-4881 in FAP and REC-617 in advanced solid tumors, we streamlined our portfolio in May 2025. As part of this prioritization, the clinical programs REC-2282 for NF2, REC-994 for CCM, and REC-3964 for </w:t>
      </w:r>
      <w:r>
        <w:rPr>
          <w:rFonts w:ascii="Arial" w:cs="Arial" w:eastAsia="Arial" w:hAnsi="Arial"/>
          <w:sz w:val="16"/>
          <w:szCs w:val="16"/>
          <w:i w:val="1"/>
          <w:iCs w:val="1"/>
          <w:color w:val="1E1E1E"/>
        </w:rPr>
        <w:t>C. difficile</w:t>
      </w:r>
      <w:r>
        <w:rPr>
          <w:rFonts w:ascii="Arial" w:cs="Arial" w:eastAsia="Arial" w:hAnsi="Arial"/>
          <w:sz w:val="16"/>
          <w:szCs w:val="16"/>
          <w:color w:val="1E1E1E"/>
        </w:rPr>
        <w:t xml:space="preserve"> were discontinued and/or partnering opportunities are being pursued.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123190</wp:posOffset>
            </wp:positionV>
            <wp:extent cx="5863590" cy="2245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359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345" w:lineRule="auto"/>
        <w:rPr>
          <w:sz w:val="20"/>
          <w:szCs w:val="20"/>
          <w:color w:val="auto"/>
        </w:rPr>
      </w:pPr>
      <w:r>
        <w:rPr>
          <w:rFonts w:ascii="Arial" w:cs="Arial" w:eastAsia="Arial" w:hAnsi="Arial"/>
          <w:sz w:val="14"/>
          <w:szCs w:val="14"/>
          <w:b w:val="1"/>
          <w:bCs w:val="1"/>
          <w:color w:val="6E6E6E"/>
        </w:rPr>
        <w:t xml:space="preserve">Figure 5. </w:t>
      </w:r>
      <w:r>
        <w:rPr>
          <w:rFonts w:ascii="Arial" w:cs="Arial" w:eastAsia="Arial" w:hAnsi="Arial"/>
          <w:sz w:val="14"/>
          <w:szCs w:val="14"/>
          <w:color w:val="6E6E6E"/>
        </w:rPr>
        <w:t>Recursion’s wholly-owned clinical pipeline includes differentiated medicines across oncology and rare disease. The current pipeline consists of 5 clinical programs and</w:t>
      </w:r>
      <w:r>
        <w:rPr>
          <w:rFonts w:ascii="Arial" w:cs="Arial" w:eastAsia="Arial" w:hAnsi="Arial"/>
          <w:sz w:val="14"/>
          <w:szCs w:val="14"/>
          <w:b w:val="1"/>
          <w:bCs w:val="1"/>
          <w:color w:val="6E6E6E"/>
        </w:rPr>
        <w:t xml:space="preserve"> </w:t>
      </w:r>
      <w:r>
        <w:rPr>
          <w:rFonts w:ascii="Arial" w:cs="Arial" w:eastAsia="Arial" w:hAnsi="Arial"/>
          <w:sz w:val="14"/>
          <w:szCs w:val="14"/>
          <w:color w:val="6E6E6E"/>
        </w:rPr>
        <w:t>2 preclinical programs with the potential to enter Phase 1 pending go/no go decision.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6E6E6E"/>
        </w:rPr>
        <w:t>Pipeline Highlights from 2025</w:t>
      </w:r>
    </w:p>
    <w:p>
      <w:pPr>
        <w:spacing w:after="0" w:line="30"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1E1E1E"/>
        </w:rPr>
        <w:t>In 2025, we reported the first clinical validation of the Recursion OS, with positive Phase 1b/2 results from our REC-4881 MEK1/2 inhibitor program in FAP. The rapid and durable reduction in polyp burden observed in the Phase 2 portion of the TUPELO study shows how unbiased phenotypic and mechanistic insights from the Recursion OS, such as MEK1/2 rescue of APC loss-of-function, can translate to novel, differentiated therapeutics for diseases like FAP. We expect to engage with the FDA to define a potential registration path for REC-4881 while further optimizing dosing schedule in the ongoing TUPELO trial, to continue to progress in this disease with no approved pharmacotherapies.</w:t>
      </w:r>
    </w:p>
    <w:p>
      <w:pPr>
        <w:spacing w:after="0" w:line="187"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1E1E1E"/>
        </w:rPr>
        <w:t>In parallel, Recursion has three other clinical studies ongoing: ELUCIDATE (Phase 1/2, REC-617, CDK7i), DAHLIA (Phase 1/2, REC-1245, RBM39 degrader) and EXCELERIZE (Phase 1, REC-3565, MALT1i). A fourth study, ENLYGHT (REC-4539, LSD1i) is expected to enter Phase 1 for solid tumors in 2026. IND-enabling studies are ongoing for REC-7735 (PI3Kα H1047Ri) and REC-102 (ENPP1i), with the potential to enter Phase 1 studies pending go/no go decision.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6E6E6E"/>
        </w:rPr>
        <w:t>Anticipated Near-term Catalysts</w:t>
      </w:r>
    </w:p>
    <w:p>
      <w:pPr>
        <w:spacing w:after="0" w:line="28"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1E1E1E"/>
        </w:rPr>
        <w:t>Recursion is poised for a catalyst-rich period, with multiple programs reaching meaningful milestones over the next 24 months. In the first half of 2026, we will engage with the FDA to define a registration path for REC-4881, and we will report early monotherapy safety and PK data for REC-1245 (RBM39 degrader) during the same period. Go/no-go decisions on the initiation of Phase 1 studies for REC-7735 (PI3Kα H1047Ri) and REC-102 (ENPP1i) are expected in the second half of 2026. Additional clinical data for REC-4881 (MEK1/2i), early combination safety and PK data for REC-617 (CDK7i), and early monotherapy safety and PK data for REC-3565 (MALT1i) will be reported in the first half of 2027, with early monotherapy safety and PK data for REC-4539 (LSD1i) reported in the second half of that year.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1AA7DF"/>
        </w:rPr>
        <w:t>Impact Through Partnered Pipeline</w:t>
      </w:r>
    </w:p>
    <w:p>
      <w:pPr>
        <w:spacing w:after="0" w:line="6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1E1E1E"/>
        </w:rPr>
        <w:t>Through our partnerships with leading pharmaceutical companies including Roche and Genentech, Sanofi, Bayer, and Merck KGaA (Darmstadt, Germany), we have secured more than $500 million in upfront and progress-based milestone payments to date, with the potential for over $20 billion in additional milestones before royalties. These global collaborations not only provide near-term cash flows but also combine our scaled biology, precision chemistry, and automated synthesis capabilities to pave the way for transformative therapies in oncology, neuroscience, immunology, and other therapeutic areas with high unmet need. By partnering with some of the best biopharmaceutical companies in their respective areas, our platform and team have an opportunity to learn from some of the most experienced in the industry. By uniting our AI-driven platforms, vast proprietary data, and deep scientific expertise, we continue to unlock powerful innovations and expand patient impact. Below are some of the latest developments illustrating this momentum: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1E1E1E"/>
        </w:rPr>
        <w:t xml:space="preserve">Sanofi: </w:t>
      </w:r>
      <w:r>
        <w:rPr>
          <w:rFonts w:ascii="Arial" w:cs="Arial" w:eastAsia="Arial" w:hAnsi="Arial"/>
          <w:sz w:val="16"/>
          <w:szCs w:val="16"/>
          <w:i w:val="1"/>
          <w:iCs w:val="1"/>
          <w:color w:val="1E1E1E"/>
        </w:rPr>
        <w:t>Designing molecules against difficult and diverse protein targets in challenging data-poor and data-rich environments</w:t>
      </w:r>
    </w:p>
    <w:p>
      <w:pPr>
        <w:spacing w:after="0" w:line="248" w:lineRule="exact"/>
        <w:rPr>
          <w:sz w:val="20"/>
          <w:szCs w:val="20"/>
          <w:color w:val="auto"/>
        </w:rPr>
      </w:pPr>
    </w:p>
    <w:p>
      <w:pPr>
        <w:ind w:left="660" w:right="260" w:hanging="328"/>
        <w:spacing w:after="0" w:line="292" w:lineRule="auto"/>
        <w:tabs>
          <w:tab w:leader="none" w:pos="649" w:val="left"/>
        </w:tabs>
        <w:numPr>
          <w:ilvl w:val="0"/>
          <w:numId w:val="18"/>
        </w:numPr>
        <w:rPr>
          <w:rFonts w:ascii="Arial" w:cs="Arial" w:eastAsia="Arial" w:hAnsi="Arial"/>
          <w:sz w:val="16"/>
          <w:szCs w:val="16"/>
          <w:color w:val="1E1E1E"/>
        </w:rPr>
      </w:pPr>
      <w:r>
        <w:rPr>
          <w:rFonts w:ascii="Arial" w:cs="Arial" w:eastAsia="Arial" w:hAnsi="Arial"/>
          <w:sz w:val="16"/>
          <w:szCs w:val="16"/>
          <w:b w:val="1"/>
          <w:bCs w:val="1"/>
          <w:color w:val="1E1E1E"/>
        </w:rPr>
        <w:t xml:space="preserve">Small Molecule Joint Portfolio: </w:t>
      </w:r>
      <w:r>
        <w:rPr>
          <w:rFonts w:ascii="Arial" w:cs="Arial" w:eastAsia="Arial" w:hAnsi="Arial"/>
          <w:sz w:val="16"/>
          <w:szCs w:val="16"/>
          <w:color w:val="1E1E1E"/>
        </w:rPr>
        <w:t>Recursion is using its platform to discover and advance a joint portfolio of 5+ AI-driven and differentiated novel</w:t>
      </w:r>
      <w:r>
        <w:rPr>
          <w:rFonts w:ascii="Arial" w:cs="Arial" w:eastAsia="Arial" w:hAnsi="Arial"/>
          <w:sz w:val="16"/>
          <w:szCs w:val="16"/>
          <w:b w:val="1"/>
          <w:bCs w:val="1"/>
          <w:color w:val="1E1E1E"/>
        </w:rPr>
        <w:t xml:space="preserve"> </w:t>
      </w:r>
      <w:r>
        <w:rPr>
          <w:rFonts w:ascii="Arial" w:cs="Arial" w:eastAsia="Arial" w:hAnsi="Arial"/>
          <w:sz w:val="16"/>
          <w:szCs w:val="16"/>
          <w:color w:val="1E1E1E"/>
        </w:rPr>
        <w:t>small molecule programs in immunology and oncology therapeutic areas. The joint collaboration has the potential for up to 15 AI-driven small molecule programs.</w:t>
      </w:r>
    </w:p>
    <w:p>
      <w:pPr>
        <w:spacing w:after="0" w:line="16" w:lineRule="exact"/>
        <w:rPr>
          <w:rFonts w:ascii="Arial" w:cs="Arial" w:eastAsia="Arial" w:hAnsi="Arial"/>
          <w:sz w:val="16"/>
          <w:szCs w:val="16"/>
          <w:color w:val="1E1E1E"/>
        </w:rPr>
      </w:pPr>
    </w:p>
    <w:p>
      <w:pPr>
        <w:ind w:left="660" w:right="140" w:hanging="328"/>
        <w:spacing w:after="0" w:line="292" w:lineRule="auto"/>
        <w:tabs>
          <w:tab w:leader="none" w:pos="649" w:val="left"/>
        </w:tabs>
        <w:numPr>
          <w:ilvl w:val="0"/>
          <w:numId w:val="18"/>
        </w:numPr>
        <w:rPr>
          <w:rFonts w:ascii="Arial" w:cs="Arial" w:eastAsia="Arial" w:hAnsi="Arial"/>
          <w:sz w:val="16"/>
          <w:szCs w:val="16"/>
          <w:color w:val="1E1E1E"/>
        </w:rPr>
      </w:pPr>
      <w:r>
        <w:rPr>
          <w:rFonts w:ascii="Arial" w:cs="Arial" w:eastAsia="Arial" w:hAnsi="Arial"/>
          <w:sz w:val="16"/>
          <w:szCs w:val="16"/>
          <w:b w:val="1"/>
          <w:bCs w:val="1"/>
          <w:color w:val="1E1E1E"/>
        </w:rPr>
        <w:t xml:space="preserve">Milestones and Collaboration: </w:t>
      </w:r>
      <w:r>
        <w:rPr>
          <w:rFonts w:ascii="Arial" w:cs="Arial" w:eastAsia="Arial" w:hAnsi="Arial"/>
          <w:sz w:val="16"/>
          <w:szCs w:val="16"/>
          <w:color w:val="1E1E1E"/>
        </w:rPr>
        <w:t>In February 2026, we achieved our fifth milestone across the collaboration, generating a $4 million payment from</w:t>
      </w:r>
      <w:r>
        <w:rPr>
          <w:rFonts w:ascii="Arial" w:cs="Arial" w:eastAsia="Arial" w:hAnsi="Arial"/>
          <w:sz w:val="16"/>
          <w:szCs w:val="16"/>
          <w:b w:val="1"/>
          <w:bCs w:val="1"/>
          <w:color w:val="1E1E1E"/>
        </w:rPr>
        <w:t xml:space="preserve"> </w:t>
      </w:r>
      <w:r>
        <w:rPr>
          <w:rFonts w:ascii="Arial" w:cs="Arial" w:eastAsia="Arial" w:hAnsi="Arial"/>
          <w:sz w:val="16"/>
          <w:szCs w:val="16"/>
          <w:color w:val="1E1E1E"/>
        </w:rPr>
        <w:t>Sanofi. In total, we have achieved $134 million in upfront and progress-based milestones to date. There is potential for additional near-term milestones as the first programs advance towards development candidate milestones and earlier-stage programs progress.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1E1E1E"/>
        </w:rPr>
        <w:t xml:space="preserve">Roche and Genentech: </w:t>
      </w:r>
      <w:r>
        <w:rPr>
          <w:rFonts w:ascii="Arial" w:cs="Arial" w:eastAsia="Arial" w:hAnsi="Arial"/>
          <w:sz w:val="16"/>
          <w:szCs w:val="16"/>
          <w:i w:val="1"/>
          <w:iCs w:val="1"/>
          <w:color w:val="1E1E1E"/>
        </w:rPr>
        <w:t>Turning novel insights from proprietary digital maps of complex biology into potential novel therapeutics</w:t>
      </w:r>
    </w:p>
    <w:p>
      <w:pPr>
        <w:spacing w:after="0" w:line="235" w:lineRule="exact"/>
        <w:rPr>
          <w:sz w:val="20"/>
          <w:szCs w:val="20"/>
          <w:color w:val="auto"/>
        </w:rPr>
      </w:pPr>
    </w:p>
    <w:p>
      <w:pPr>
        <w:ind w:left="660" w:hanging="328"/>
        <w:spacing w:after="0" w:line="289" w:lineRule="auto"/>
        <w:tabs>
          <w:tab w:leader="none" w:pos="649" w:val="left"/>
        </w:tabs>
        <w:numPr>
          <w:ilvl w:val="0"/>
          <w:numId w:val="19"/>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Neuron Map: </w:t>
      </w:r>
      <w:r>
        <w:rPr>
          <w:rFonts w:ascii="Arial" w:cs="Arial" w:eastAsia="Arial" w:hAnsi="Arial"/>
          <w:sz w:val="16"/>
          <w:szCs w:val="16"/>
          <w:color w:val="1E1E1E"/>
        </w:rPr>
        <w:t>In partnership with Roche and Genentech, Recursion built the first whole-genome CRISPR knockout map generated from a subset of</w:t>
      </w:r>
      <w:r>
        <w:rPr>
          <w:rFonts w:ascii="Arial" w:cs="Arial" w:eastAsia="Arial" w:hAnsi="Arial"/>
          <w:sz w:val="16"/>
          <w:szCs w:val="16"/>
          <w:b w:val="1"/>
          <w:bCs w:val="1"/>
          <w:color w:val="1E1E1E"/>
        </w:rPr>
        <w:t xml:space="preserve"> </w:t>
      </w:r>
      <w:r>
        <w:rPr>
          <w:rFonts w:ascii="Arial" w:cs="Arial" w:eastAsia="Arial" w:hAnsi="Arial"/>
          <w:sz w:val="16"/>
          <w:szCs w:val="16"/>
          <w:color w:val="1E1E1E"/>
        </w:rPr>
        <w:t>1 trillion internally manufactured iPSC-derived neuronal cells ($30 million milestone payment, accepted in 2024). This proprietary dataset is being used in partnership with Roche and Genentech to identify potential new targets in neuroscience, a field which has historically suffered from limited new discoveries.</w:t>
      </w:r>
    </w:p>
    <w:p>
      <w:pPr>
        <w:spacing w:after="0" w:line="18" w:lineRule="exact"/>
        <w:rPr>
          <w:rFonts w:ascii="Arial" w:cs="Arial" w:eastAsia="Arial" w:hAnsi="Arial"/>
          <w:sz w:val="16"/>
          <w:szCs w:val="16"/>
          <w:b w:val="1"/>
          <w:bCs w:val="1"/>
          <w:color w:val="1E1E1E"/>
        </w:rPr>
      </w:pPr>
    </w:p>
    <w:p>
      <w:pPr>
        <w:ind w:left="660" w:right="20" w:hanging="328"/>
        <w:spacing w:after="0" w:line="283" w:lineRule="auto"/>
        <w:tabs>
          <w:tab w:leader="none" w:pos="649" w:val="left"/>
        </w:tabs>
        <w:numPr>
          <w:ilvl w:val="0"/>
          <w:numId w:val="19"/>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Microglia Map: </w:t>
      </w:r>
      <w:r>
        <w:rPr>
          <w:rFonts w:ascii="Arial" w:cs="Arial" w:eastAsia="Arial" w:hAnsi="Arial"/>
          <w:sz w:val="16"/>
          <w:szCs w:val="16"/>
          <w:color w:val="1E1E1E"/>
        </w:rPr>
        <w:t>Recursion built and Roche and Genentech accepted a second neuroscience Phenomap, a first-of-its-kind whole-genome CRISPR</w:t>
      </w:r>
      <w:r>
        <w:rPr>
          <w:rFonts w:ascii="Arial" w:cs="Arial" w:eastAsia="Arial" w:hAnsi="Arial"/>
          <w:sz w:val="16"/>
          <w:szCs w:val="16"/>
          <w:b w:val="1"/>
          <w:bCs w:val="1"/>
          <w:color w:val="1E1E1E"/>
        </w:rPr>
        <w:t xml:space="preserve"> </w:t>
      </w:r>
      <w:r>
        <w:rPr>
          <w:rFonts w:ascii="Arial" w:cs="Arial" w:eastAsia="Arial" w:hAnsi="Arial"/>
          <w:sz w:val="16"/>
          <w:szCs w:val="16"/>
          <w:color w:val="1E1E1E"/>
        </w:rPr>
        <w:t>knockout map generated from over 100 billion internally manufactured iPSC-derived microglial cells ($30 million milestone payment, accepted in 2025). With approximately 46 million images, the scale and quality of this proprietary map enables us, in partnership with Roche and Genentech, to leverage the power of AI to explore novel targets and pathways.</w:t>
      </w:r>
    </w:p>
    <w:p>
      <w:pPr>
        <w:spacing w:after="0" w:line="23" w:lineRule="exact"/>
        <w:rPr>
          <w:rFonts w:ascii="Arial" w:cs="Arial" w:eastAsia="Arial" w:hAnsi="Arial"/>
          <w:sz w:val="16"/>
          <w:szCs w:val="16"/>
          <w:b w:val="1"/>
          <w:bCs w:val="1"/>
          <w:color w:val="1E1E1E"/>
        </w:rPr>
      </w:pPr>
    </w:p>
    <w:p>
      <w:pPr>
        <w:ind w:left="660" w:right="140" w:hanging="328"/>
        <w:spacing w:after="0" w:line="292" w:lineRule="auto"/>
        <w:tabs>
          <w:tab w:leader="none" w:pos="649" w:val="left"/>
        </w:tabs>
        <w:numPr>
          <w:ilvl w:val="0"/>
          <w:numId w:val="19"/>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Gastrointestinal-Oncology Advancements: </w:t>
      </w:r>
      <w:r>
        <w:rPr>
          <w:rFonts w:ascii="Arial" w:cs="Arial" w:eastAsia="Arial" w:hAnsi="Arial"/>
          <w:sz w:val="16"/>
          <w:szCs w:val="16"/>
          <w:color w:val="1E1E1E"/>
        </w:rPr>
        <w:t>We have built four proprietary Phenomaps which are being leveraged under the collaboration to</w:t>
      </w:r>
      <w:r>
        <w:rPr>
          <w:rFonts w:ascii="Arial" w:cs="Arial" w:eastAsia="Arial" w:hAnsi="Arial"/>
          <w:sz w:val="16"/>
          <w:szCs w:val="16"/>
          <w:b w:val="1"/>
          <w:bCs w:val="1"/>
          <w:color w:val="1E1E1E"/>
        </w:rPr>
        <w:t xml:space="preserve"> </w:t>
      </w:r>
      <w:r>
        <w:rPr>
          <w:rFonts w:ascii="Arial" w:cs="Arial" w:eastAsia="Arial" w:hAnsi="Arial"/>
          <w:sz w:val="16"/>
          <w:szCs w:val="16"/>
          <w:color w:val="1E1E1E"/>
        </w:rPr>
        <w:t>identify novel insights that can be used to initiate programs for a gastrointestinal-oncology indication including continuing to advance one program optioned by Roche and Genentech.</w:t>
      </w:r>
    </w:p>
    <w:p>
      <w:pPr>
        <w:spacing w:after="0" w:line="16" w:lineRule="exact"/>
        <w:rPr>
          <w:rFonts w:ascii="Arial" w:cs="Arial" w:eastAsia="Arial" w:hAnsi="Arial"/>
          <w:sz w:val="16"/>
          <w:szCs w:val="16"/>
          <w:b w:val="1"/>
          <w:bCs w:val="1"/>
          <w:color w:val="1E1E1E"/>
        </w:rPr>
      </w:pPr>
    </w:p>
    <w:p>
      <w:pPr>
        <w:ind w:left="660" w:right="20" w:hanging="328"/>
        <w:spacing w:after="0" w:line="292" w:lineRule="auto"/>
        <w:tabs>
          <w:tab w:leader="none" w:pos="649" w:val="left"/>
        </w:tabs>
        <w:numPr>
          <w:ilvl w:val="0"/>
          <w:numId w:val="19"/>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Milestones and Collaboration: </w:t>
      </w:r>
      <w:r>
        <w:rPr>
          <w:rFonts w:ascii="Arial" w:cs="Arial" w:eastAsia="Arial" w:hAnsi="Arial"/>
          <w:sz w:val="16"/>
          <w:szCs w:val="16"/>
          <w:color w:val="1E1E1E"/>
        </w:rPr>
        <w:t>In total, Recursion has received $213 million in upfront and milestone payments from the collaboration. Roche and</w:t>
      </w:r>
      <w:r>
        <w:rPr>
          <w:rFonts w:ascii="Arial" w:cs="Arial" w:eastAsia="Arial" w:hAnsi="Arial"/>
          <w:sz w:val="16"/>
          <w:szCs w:val="16"/>
          <w:b w:val="1"/>
          <w:bCs w:val="1"/>
          <w:color w:val="1E1E1E"/>
        </w:rPr>
        <w:t xml:space="preserve"> </w:t>
      </w:r>
      <w:r>
        <w:rPr>
          <w:rFonts w:ascii="Arial" w:cs="Arial" w:eastAsia="Arial" w:hAnsi="Arial"/>
          <w:sz w:val="16"/>
          <w:szCs w:val="16"/>
          <w:color w:val="1E1E1E"/>
        </w:rPr>
        <w:t>Genentech have accepted six Phenomaps and initiated one small molecule program based on Phenomap insights to date. The companies have also identified a number of biological insights from Phenomaps that are now being validated or advanced as potential novel targets.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1E1E1E"/>
        </w:rPr>
        <w:t xml:space="preserve">Bayer: </w:t>
      </w:r>
      <w:r>
        <w:rPr>
          <w:rFonts w:ascii="Arial" w:cs="Arial" w:eastAsia="Arial" w:hAnsi="Arial"/>
          <w:sz w:val="16"/>
          <w:szCs w:val="16"/>
          <w:i w:val="1"/>
          <w:iCs w:val="1"/>
          <w:color w:val="1E1E1E"/>
        </w:rPr>
        <w:t>Developing programs in challenging oncology indications with high unmet need</w:t>
      </w:r>
    </w:p>
    <w:p>
      <w:pPr>
        <w:spacing w:after="0" w:line="235"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Oncology: </w:t>
      </w:r>
      <w:r>
        <w:rPr>
          <w:rFonts w:ascii="Arial" w:cs="Arial" w:eastAsia="Arial" w:hAnsi="Arial"/>
          <w:sz w:val="16"/>
          <w:szCs w:val="16"/>
          <w:color w:val="1E1E1E"/>
        </w:rPr>
        <w:t>With our partners at Bayer, we are advancing multiple programs towards lead series milestones in precision oncology.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1E1E1E"/>
        </w:rPr>
        <w:t xml:space="preserve">Merck KGaA (Darmstadt, Germany): </w:t>
      </w:r>
      <w:r>
        <w:rPr>
          <w:rFonts w:ascii="Arial" w:cs="Arial" w:eastAsia="Arial" w:hAnsi="Arial"/>
          <w:sz w:val="16"/>
          <w:szCs w:val="16"/>
          <w:i w:val="1"/>
          <w:iCs w:val="1"/>
          <w:color w:val="1E1E1E"/>
        </w:rPr>
        <w:t>Leveraging Recursion’s discovery engine to identify differentiated targets across oncology and immunology</w:t>
      </w:r>
    </w:p>
    <w:p>
      <w:pPr>
        <w:spacing w:after="0" w:line="235" w:lineRule="exact"/>
        <w:rPr>
          <w:sz w:val="20"/>
          <w:szCs w:val="20"/>
          <w:color w:val="auto"/>
        </w:rPr>
      </w:pPr>
    </w:p>
    <w:p>
      <w:pPr>
        <w:ind w:left="660" w:right="740" w:hanging="328"/>
        <w:spacing w:after="0" w:line="321" w:lineRule="auto"/>
        <w:tabs>
          <w:tab w:leader="none" w:pos="649" w:val="left"/>
        </w:tabs>
        <w:numPr>
          <w:ilvl w:val="0"/>
          <w:numId w:val="21"/>
        </w:numPr>
        <w:rPr>
          <w:rFonts w:ascii="Arial" w:cs="Arial" w:eastAsia="Arial" w:hAnsi="Arial"/>
          <w:sz w:val="16"/>
          <w:szCs w:val="16"/>
          <w:color w:val="1E1E1E"/>
        </w:rPr>
      </w:pPr>
      <w:r>
        <w:rPr>
          <w:rFonts w:ascii="Arial" w:cs="Arial" w:eastAsia="Arial" w:hAnsi="Arial"/>
          <w:sz w:val="16"/>
          <w:szCs w:val="16"/>
          <w:b w:val="1"/>
          <w:bCs w:val="1"/>
          <w:color w:val="1E1E1E"/>
        </w:rPr>
        <w:t xml:space="preserve">Oncology and immunology: </w:t>
      </w:r>
      <w:r>
        <w:rPr>
          <w:rFonts w:ascii="Arial" w:cs="Arial" w:eastAsia="Arial" w:hAnsi="Arial"/>
          <w:sz w:val="16"/>
          <w:szCs w:val="16"/>
          <w:color w:val="1E1E1E"/>
        </w:rPr>
        <w:t>With our partners at Merck KGaA, we are focused on identifying differentiated targets across oncology and</w:t>
      </w:r>
      <w:r>
        <w:rPr>
          <w:rFonts w:ascii="Arial" w:cs="Arial" w:eastAsia="Arial" w:hAnsi="Arial"/>
          <w:sz w:val="16"/>
          <w:szCs w:val="16"/>
          <w:b w:val="1"/>
          <w:bCs w:val="1"/>
          <w:color w:val="1E1E1E"/>
        </w:rPr>
        <w:t xml:space="preserve"> </w:t>
      </w:r>
      <w:r>
        <w:rPr>
          <w:rFonts w:ascii="Arial" w:cs="Arial" w:eastAsia="Arial" w:hAnsi="Arial"/>
          <w:sz w:val="16"/>
          <w:szCs w:val="16"/>
          <w:color w:val="1E1E1E"/>
        </w:rPr>
        <w:t>immunology and assessing target tractability using our precision design chemistry platform.</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The Recursion OS – A Platform that Powers a Portfolio</w:t>
      </w:r>
    </w:p>
    <w:p>
      <w:pPr>
        <w:spacing w:after="0" w:line="77"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1E1E1E"/>
        </w:rPr>
        <w:t>The Recursion OS is a unified, AI-native operating system for drug discovery and development that integrates biology, chemistry, and clinical execution end-to-end. Built on proprietary, multimodal data generated at unprecedented scale through automated wet and dry labs and partnerships, the OS combines large-scale phenomics, emerging omics layers, AI-driven chemistry design, and clinical development intelligence into a single, closed-loop system. Powered by purpose-built models, scalable compute, and bilingual teams fluent in both science and AI, the Recursion OS enables faster translation of insights into proof points, reduces R&amp;D bottlenecks, and supports the delivery of better medicines at scale for patients who are waiting.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128270</wp:posOffset>
            </wp:positionV>
            <wp:extent cx="5863590" cy="2811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0"/>
        <w:spacing w:after="0" w:line="345" w:lineRule="auto"/>
        <w:rPr>
          <w:sz w:val="20"/>
          <w:szCs w:val="20"/>
          <w:color w:val="auto"/>
        </w:rPr>
      </w:pPr>
      <w:r>
        <w:rPr>
          <w:rFonts w:ascii="Arial" w:cs="Arial" w:eastAsia="Arial" w:hAnsi="Arial"/>
          <w:sz w:val="14"/>
          <w:szCs w:val="14"/>
          <w:b w:val="1"/>
          <w:bCs w:val="1"/>
          <w:color w:val="6E6E6E"/>
        </w:rPr>
        <w:t xml:space="preserve">Figure 6. </w:t>
      </w:r>
      <w:r>
        <w:rPr>
          <w:rFonts w:ascii="Arial" w:cs="Arial" w:eastAsia="Arial" w:hAnsi="Arial"/>
          <w:sz w:val="14"/>
          <w:szCs w:val="14"/>
          <w:color w:val="6E6E6E"/>
        </w:rPr>
        <w:t>Recursion combines proprietary multimodal data, purpose-built models and compute, and our bilingual teams and culture to create the first AI-native, end-to-end</w:t>
      </w:r>
      <w:r>
        <w:rPr>
          <w:rFonts w:ascii="Arial" w:cs="Arial" w:eastAsia="Arial" w:hAnsi="Arial"/>
          <w:sz w:val="14"/>
          <w:szCs w:val="14"/>
          <w:b w:val="1"/>
          <w:bCs w:val="1"/>
          <w:color w:val="6E6E6E"/>
        </w:rPr>
        <w:t xml:space="preserve"> </w:t>
      </w:r>
      <w:r>
        <w:rPr>
          <w:rFonts w:ascii="Arial" w:cs="Arial" w:eastAsia="Arial" w:hAnsi="Arial"/>
          <w:sz w:val="14"/>
          <w:szCs w:val="14"/>
          <w:color w:val="6E6E6E"/>
        </w:rPr>
        <w:t>platform spanning idea through the clinic.</w:t>
      </w:r>
    </w:p>
    <w:p>
      <w:pPr>
        <w:spacing w:after="0" w:line="8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E1E1E"/>
        </w:rPr>
        <w:t>Rather than optimizing isolated steps, the Recursion OS improves decision-making across the entire R&amp;D value chain—from decoding unknown biology and generating first-in-class targets, to designing synthetically feasible molecules, to selecting the right patients and executing trials more efficiently. By systematically generating, integrating, and analyzing high-dimensional experimental and real-world data, we train purpose-built machine learning and foundation models that translate complex biology into actionable insights across discovery and development. Throughout these processes, we are deploying AI agents and automated systems to help orchestrate our wet-lab experimentation and dry-lab modeling, standardizing workflows, coordinating data generation and analysis, and enabling faster, more consistent, and higher-confidence decisions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5863590" cy="1920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359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23" w:lineRule="auto"/>
        <w:rPr>
          <w:sz w:val="20"/>
          <w:szCs w:val="20"/>
          <w:color w:val="auto"/>
        </w:rPr>
      </w:pPr>
      <w:r>
        <w:rPr>
          <w:rFonts w:ascii="Arial" w:cs="Arial" w:eastAsia="Arial" w:hAnsi="Arial"/>
          <w:sz w:val="14"/>
          <w:szCs w:val="14"/>
          <w:b w:val="1"/>
          <w:bCs w:val="1"/>
          <w:color w:val="6E6E6E"/>
        </w:rPr>
        <w:t xml:space="preserve">Figure 7. The Recursion OS. </w:t>
      </w:r>
      <w:r>
        <w:rPr>
          <w:rFonts w:ascii="Arial" w:cs="Arial" w:eastAsia="Arial" w:hAnsi="Arial"/>
          <w:sz w:val="14"/>
          <w:szCs w:val="14"/>
          <w:color w:val="6E6E6E"/>
        </w:rPr>
        <w:t>The Recursion OS is designed to use AI to advance and accelerate decision-making and insight across the entire R&amp;D value chain with the end</w:t>
      </w:r>
      <w:r>
        <w:rPr>
          <w:rFonts w:ascii="Arial" w:cs="Arial" w:eastAsia="Arial" w:hAnsi="Arial"/>
          <w:sz w:val="14"/>
          <w:szCs w:val="14"/>
          <w:b w:val="1"/>
          <w:bCs w:val="1"/>
          <w:color w:val="6E6E6E"/>
        </w:rPr>
        <w:t xml:space="preserve"> </w:t>
      </w:r>
      <w:r>
        <w:rPr>
          <w:rFonts w:ascii="Arial" w:cs="Arial" w:eastAsia="Arial" w:hAnsi="Arial"/>
          <w:sz w:val="14"/>
          <w:szCs w:val="14"/>
          <w:color w:val="6E6E6E"/>
        </w:rPr>
        <w:t>goal to make novel medicines that matter. The Recursion OS generates value by advancing a pipeline of differentiated investigational medicines, in addition to building pipelines for our partners.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1E1E1E"/>
        </w:rPr>
        <w:t>As models are increasingly integrated across biology, chemistry, and clinical data, Recursion is building a systems-level representation of how biology and chemistry function. This enables high-confidence predictions about previously untested hypotheses and shifts the role of the wet lab from primarily generating data to scaled validation of model-derived insights. In practice, the platform is used to simulate and prioritize targets, mechanisms, and chemistries with the highest probability of clinical success and a well-defined target product profile, followed by rapid experimental validation.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Bilingual Teams and Culture – Fluent in Tech and Science</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1E1E1E"/>
        </w:rPr>
        <w:t xml:space="preserve">Our mission at Recursion, </w:t>
      </w:r>
      <w:r>
        <w:rPr>
          <w:rFonts w:ascii="Arial" w:cs="Arial" w:eastAsia="Arial" w:hAnsi="Arial"/>
          <w:sz w:val="16"/>
          <w:szCs w:val="16"/>
          <w:b w:val="1"/>
          <w:bCs w:val="1"/>
          <w:i w:val="1"/>
          <w:iCs w:val="1"/>
          <w:color w:val="1E1E1E"/>
        </w:rPr>
        <w:t>Decoding Biology to Radically Improve Lives</w:t>
      </w:r>
      <w:r>
        <w:rPr>
          <w:rFonts w:ascii="Arial" w:cs="Arial" w:eastAsia="Arial" w:hAnsi="Arial"/>
          <w:sz w:val="16"/>
          <w:szCs w:val="16"/>
          <w:color w:val="1E1E1E"/>
        </w:rPr>
        <w:t>, flows naturally from our vision. We interpret our mission expansively and believe it to be a durable direction and source of inspiration for our team. We seek not only to radically improve the lives of patients who could benefit from the medicines we help to deliver, but the lives of those who care for those patients, the lives of our employees and their families, as well as the communities in which we operate our company.</w:t>
      </w:r>
    </w:p>
    <w:p>
      <w:pPr>
        <w:spacing w:after="0" w:line="18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1E1E1E"/>
        </w:rPr>
        <w:t>We’ve intentionally designed our culture to fuel the pursuit of our mission. Our Guiding Principles are guideposts for scientific and technical decisions, and our Values underpin how our employees engage day-to-day with colleagues inside and outside the company. The Recursion Mindset, a deep commitment to achieving impact at unprecedented scale through new industrialized approaches, is an essential component of building our TechBio ecosystem. Our employees bring all these to life, contributing their unique expertise and experiences from their incredible breadth of fields and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114935</wp:posOffset>
            </wp:positionV>
            <wp:extent cx="5863590" cy="2117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6359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20"/>
        <w:spacing w:after="0" w:line="345" w:lineRule="auto"/>
        <w:rPr>
          <w:sz w:val="20"/>
          <w:szCs w:val="20"/>
          <w:color w:val="auto"/>
        </w:rPr>
      </w:pPr>
      <w:r>
        <w:rPr>
          <w:rFonts w:ascii="Arial" w:cs="Arial" w:eastAsia="Arial" w:hAnsi="Arial"/>
          <w:sz w:val="14"/>
          <w:szCs w:val="14"/>
          <w:b w:val="1"/>
          <w:bCs w:val="1"/>
          <w:color w:val="6E6E6E"/>
        </w:rPr>
        <w:t xml:space="preserve">Figure 8. </w:t>
      </w:r>
      <w:r>
        <w:rPr>
          <w:rFonts w:ascii="Arial" w:cs="Arial" w:eastAsia="Arial" w:hAnsi="Arial"/>
          <w:sz w:val="14"/>
          <w:szCs w:val="14"/>
          <w:color w:val="6E6E6E"/>
        </w:rPr>
        <w:t>Recursion’s teams operate at the interface of many diverse fields. We have bilingual teams and cultures, scientists that understand AI, and AI researchers that</w:t>
      </w:r>
      <w:r>
        <w:rPr>
          <w:rFonts w:ascii="Arial" w:cs="Arial" w:eastAsia="Arial" w:hAnsi="Arial"/>
          <w:sz w:val="14"/>
          <w:szCs w:val="14"/>
          <w:b w:val="1"/>
          <w:bCs w:val="1"/>
          <w:color w:val="6E6E6E"/>
        </w:rPr>
        <w:t xml:space="preserve"> </w:t>
      </w:r>
      <w:r>
        <w:rPr>
          <w:rFonts w:ascii="Arial" w:cs="Arial" w:eastAsia="Arial" w:hAnsi="Arial"/>
          <w:sz w:val="14"/>
          <w:szCs w:val="14"/>
          <w:color w:val="6E6E6E"/>
        </w:rPr>
        <w:t>understand science.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386080</wp:posOffset>
            </wp:positionV>
            <wp:extent cx="5863590" cy="7578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63590" cy="7578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0"/>
        <w:spacing w:after="0" w:line="345" w:lineRule="auto"/>
        <w:rPr>
          <w:sz w:val="20"/>
          <w:szCs w:val="20"/>
          <w:color w:val="auto"/>
        </w:rPr>
      </w:pPr>
      <w:r>
        <w:rPr>
          <w:rFonts w:ascii="Arial" w:cs="Arial" w:eastAsia="Arial" w:hAnsi="Arial"/>
          <w:sz w:val="14"/>
          <w:szCs w:val="14"/>
          <w:b w:val="1"/>
          <w:bCs w:val="1"/>
          <w:color w:val="6E6E6E"/>
        </w:rPr>
        <w:t xml:space="preserve">Figure 9. </w:t>
      </w:r>
      <w:r>
        <w:rPr>
          <w:rFonts w:ascii="Arial" w:cs="Arial" w:eastAsia="Arial" w:hAnsi="Arial"/>
          <w:sz w:val="14"/>
          <w:szCs w:val="14"/>
          <w:color w:val="6E6E6E"/>
        </w:rPr>
        <w:t>Recursion’s Guiding Principles and Values support our ambitious mission. Together, these elements shape Recursion’s culture by guiding our people to high-impact</w:t>
      </w:r>
      <w:r>
        <w:rPr>
          <w:rFonts w:ascii="Arial" w:cs="Arial" w:eastAsia="Arial" w:hAnsi="Arial"/>
          <w:sz w:val="14"/>
          <w:szCs w:val="14"/>
          <w:b w:val="1"/>
          <w:bCs w:val="1"/>
          <w:color w:val="6E6E6E"/>
        </w:rPr>
        <w:t xml:space="preserve"> </w:t>
      </w:r>
      <w:r>
        <w:rPr>
          <w:rFonts w:ascii="Arial" w:cs="Arial" w:eastAsia="Arial" w:hAnsi="Arial"/>
          <w:sz w:val="14"/>
          <w:szCs w:val="14"/>
          <w:color w:val="6E6E6E"/>
        </w:rPr>
        <w:t>decision-making and behaviors.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E2188A"/>
        </w:rPr>
        <w:t>Recursion In-Depth</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6E6E6E"/>
        </w:rPr>
        <w:t>AI-native end-to-end platform from idea to clinic: making novel medicines that matter</w:t>
      </w:r>
    </w:p>
    <w:p>
      <w:pPr>
        <w:spacing w:after="0" w:line="28"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1E1E1E"/>
        </w:rPr>
        <w:t>We have built an integrated, AI-native platform to decode complex biology and chemistry from multi-modal data into potentially transformative medicines. The strength of our platform is not defined by a single asset or model, but by the scale and quality of our core capabilities and underlying infrastructure, including:</w:t>
      </w:r>
    </w:p>
    <w:p>
      <w:pPr>
        <w:spacing w:after="0" w:line="165" w:lineRule="exact"/>
        <w:rPr>
          <w:sz w:val="20"/>
          <w:szCs w:val="20"/>
          <w:color w:val="auto"/>
        </w:rPr>
      </w:pPr>
    </w:p>
    <w:p>
      <w:pPr>
        <w:ind w:left="660" w:right="20" w:hanging="328"/>
        <w:spacing w:after="0" w:line="292" w:lineRule="auto"/>
        <w:tabs>
          <w:tab w:leader="none" w:pos="649" w:val="left"/>
        </w:tabs>
        <w:numPr>
          <w:ilvl w:val="0"/>
          <w:numId w:val="22"/>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Proprietary Data: </w:t>
      </w:r>
      <w:r>
        <w:rPr>
          <w:rFonts w:ascii="Arial" w:cs="Arial" w:eastAsia="Arial" w:hAnsi="Arial"/>
          <w:sz w:val="16"/>
          <w:szCs w:val="16"/>
          <w:color w:val="1E1E1E"/>
        </w:rPr>
        <w:t>We have generated one of the largest relatable data sets in biopharma using our automated high throughput labs, which can run</w:t>
      </w:r>
      <w:r>
        <w:rPr>
          <w:rFonts w:ascii="Arial" w:cs="Arial" w:eastAsia="Arial" w:hAnsi="Arial"/>
          <w:sz w:val="16"/>
          <w:szCs w:val="16"/>
          <w:b w:val="1"/>
          <w:bCs w:val="1"/>
          <w:color w:val="1E1E1E"/>
        </w:rPr>
        <w:t xml:space="preserve"> </w:t>
      </w:r>
      <w:r>
        <w:rPr>
          <w:rFonts w:ascii="Arial" w:cs="Arial" w:eastAsia="Arial" w:hAnsi="Arial"/>
          <w:sz w:val="16"/>
          <w:szCs w:val="16"/>
          <w:color w:val="1E1E1E"/>
        </w:rPr>
        <w:t>over 2 million experiments per week. Our data includes cellular phenomics, captured using brightfield microscopy, as well as chemical synthesis, transcriptomics, proteomics, ADMET, genomics, and patient data.</w:t>
      </w:r>
    </w:p>
    <w:p>
      <w:pPr>
        <w:spacing w:after="0" w:line="16" w:lineRule="exact"/>
        <w:rPr>
          <w:rFonts w:ascii="Arial" w:cs="Arial" w:eastAsia="Arial" w:hAnsi="Arial"/>
          <w:sz w:val="16"/>
          <w:szCs w:val="16"/>
          <w:b w:val="1"/>
          <w:bCs w:val="1"/>
          <w:color w:val="1E1E1E"/>
        </w:rPr>
      </w:pPr>
    </w:p>
    <w:p>
      <w:pPr>
        <w:ind w:left="660" w:right="60" w:hanging="328"/>
        <w:spacing w:after="0" w:line="292" w:lineRule="auto"/>
        <w:tabs>
          <w:tab w:leader="none" w:pos="649" w:val="left"/>
        </w:tabs>
        <w:numPr>
          <w:ilvl w:val="0"/>
          <w:numId w:val="22"/>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Models &amp; Compute: </w:t>
      </w:r>
      <w:r>
        <w:rPr>
          <w:rFonts w:ascii="Arial" w:cs="Arial" w:eastAsia="Arial" w:hAnsi="Arial"/>
          <w:sz w:val="16"/>
          <w:szCs w:val="16"/>
          <w:color w:val="1E1E1E"/>
        </w:rPr>
        <w:t>We use our proprietary data to train purpose-built AI models that accelerate learning and address specific bottlenecks across</w:t>
      </w:r>
      <w:r>
        <w:rPr>
          <w:rFonts w:ascii="Arial" w:cs="Arial" w:eastAsia="Arial" w:hAnsi="Arial"/>
          <w:sz w:val="16"/>
          <w:szCs w:val="16"/>
          <w:b w:val="1"/>
          <w:bCs w:val="1"/>
          <w:color w:val="1E1E1E"/>
        </w:rPr>
        <w:t xml:space="preserve"> </w:t>
      </w:r>
      <w:r>
        <w:rPr>
          <w:rFonts w:ascii="Arial" w:cs="Arial" w:eastAsia="Arial" w:hAnsi="Arial"/>
          <w:sz w:val="16"/>
          <w:szCs w:val="16"/>
          <w:color w:val="1E1E1E"/>
        </w:rPr>
        <w:t>the R&amp;D value chain. We largely train models using our own supercomputer, BioHive-2, one of the largest supercomputers in biopharma, built in collaboration with NVIDIA.</w:t>
      </w:r>
    </w:p>
    <w:p>
      <w:pPr>
        <w:spacing w:after="0" w:line="16" w:lineRule="exact"/>
        <w:rPr>
          <w:rFonts w:ascii="Arial" w:cs="Arial" w:eastAsia="Arial" w:hAnsi="Arial"/>
          <w:sz w:val="16"/>
          <w:szCs w:val="16"/>
          <w:b w:val="1"/>
          <w:bCs w:val="1"/>
          <w:color w:val="1E1E1E"/>
        </w:rPr>
      </w:pPr>
    </w:p>
    <w:p>
      <w:pPr>
        <w:ind w:left="660" w:right="1280" w:hanging="328"/>
        <w:spacing w:after="0" w:line="304" w:lineRule="auto"/>
        <w:tabs>
          <w:tab w:leader="none" w:pos="649" w:val="left"/>
        </w:tabs>
        <w:numPr>
          <w:ilvl w:val="0"/>
          <w:numId w:val="22"/>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People &amp; Culture: </w:t>
      </w:r>
      <w:r>
        <w:rPr>
          <w:rFonts w:ascii="Arial" w:cs="Arial" w:eastAsia="Arial" w:hAnsi="Arial"/>
          <w:sz w:val="16"/>
          <w:szCs w:val="16"/>
          <w:color w:val="1E1E1E"/>
        </w:rPr>
        <w:t>A core differentiator is our people and culture—a unique, "bilingual" team of experts fluent in both life sciences</w:t>
      </w:r>
      <w:r>
        <w:rPr>
          <w:rFonts w:ascii="Arial" w:cs="Arial" w:eastAsia="Arial" w:hAnsi="Arial"/>
          <w:sz w:val="16"/>
          <w:szCs w:val="16"/>
          <w:b w:val="1"/>
          <w:bCs w:val="1"/>
          <w:color w:val="1E1E1E"/>
        </w:rPr>
        <w:t xml:space="preserve"> </w:t>
      </w:r>
      <w:r>
        <w:rPr>
          <w:rFonts w:ascii="Arial" w:cs="Arial" w:eastAsia="Arial" w:hAnsi="Arial"/>
          <w:sz w:val="16"/>
          <w:szCs w:val="16"/>
          <w:color w:val="1E1E1E"/>
        </w:rPr>
        <w:t>(biology/chemistry) and technology (data science/engineering).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115570</wp:posOffset>
            </wp:positionV>
            <wp:extent cx="5863590" cy="1920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6359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313" w:lineRule="auto"/>
        <w:rPr>
          <w:sz w:val="20"/>
          <w:szCs w:val="20"/>
          <w:color w:val="auto"/>
        </w:rPr>
      </w:pPr>
      <w:r>
        <w:rPr>
          <w:rFonts w:ascii="Arial" w:cs="Arial" w:eastAsia="Arial" w:hAnsi="Arial"/>
          <w:sz w:val="14"/>
          <w:szCs w:val="14"/>
          <w:b w:val="1"/>
          <w:bCs w:val="1"/>
          <w:color w:val="6E6E6E"/>
        </w:rPr>
        <w:t xml:space="preserve">Figure 10. The Recursion OS. </w:t>
      </w:r>
      <w:r>
        <w:rPr>
          <w:rFonts w:ascii="Arial" w:cs="Arial" w:eastAsia="Arial" w:hAnsi="Arial"/>
          <w:sz w:val="14"/>
          <w:szCs w:val="14"/>
          <w:color w:val="6E6E6E"/>
        </w:rPr>
        <w:t>The Recursion OS is designed to use AI to advance and accelerate decision-making and insight across the entire R&amp;D value chain with the end</w:t>
      </w:r>
      <w:r>
        <w:rPr>
          <w:rFonts w:ascii="Arial" w:cs="Arial" w:eastAsia="Arial" w:hAnsi="Arial"/>
          <w:sz w:val="14"/>
          <w:szCs w:val="14"/>
          <w:b w:val="1"/>
          <w:bCs w:val="1"/>
          <w:color w:val="6E6E6E"/>
        </w:rPr>
        <w:t xml:space="preserve"> </w:t>
      </w:r>
      <w:r>
        <w:rPr>
          <w:rFonts w:ascii="Arial" w:cs="Arial" w:eastAsia="Arial" w:hAnsi="Arial"/>
          <w:sz w:val="14"/>
          <w:szCs w:val="14"/>
          <w:color w:val="6E6E6E"/>
        </w:rPr>
        <w:t>goal to make novel medicines that matter. The Recursion OS generates value by advancing a pipeline of differentiated investigational medicines, in addition to building pipelines for our partners.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Our Portfolio</w:t>
      </w:r>
    </w:p>
    <w:p>
      <w:pPr>
        <w:spacing w:after="0" w:line="77"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1E1E1E"/>
        </w:rPr>
        <w:t>Our portfolio reflects the industrial scale of our discovery engine, comprising a robust pipeline of wholly owned programs alongside strategic partnerships with leading pharmaceutical companies. This pipeline currently includes approximately five wholly owned programs in clinical development and roughly 15 discovery-stage programs spanning our internal and partnered efforts. Each milestone across this diverse portfolio serves as a critical proof point for our ability to translate AI-native insights into meaningful clinical candidates, with the breadth of the pipeline providing multiple, concurrent opportunities to validate the Recursion OS as a transformative engine for drug discovery.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386080</wp:posOffset>
            </wp:positionV>
            <wp:extent cx="5863590" cy="2708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6359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345" w:lineRule="auto"/>
        <w:rPr>
          <w:sz w:val="20"/>
          <w:szCs w:val="20"/>
          <w:color w:val="auto"/>
        </w:rPr>
      </w:pPr>
      <w:r>
        <w:rPr>
          <w:rFonts w:ascii="Arial" w:cs="Arial" w:eastAsia="Arial" w:hAnsi="Arial"/>
          <w:sz w:val="14"/>
          <w:szCs w:val="14"/>
          <w:b w:val="1"/>
          <w:bCs w:val="1"/>
          <w:color w:val="6E6E6E"/>
        </w:rPr>
        <w:t xml:space="preserve">Figure 11. </w:t>
      </w:r>
      <w:r>
        <w:rPr>
          <w:rFonts w:ascii="Arial" w:cs="Arial" w:eastAsia="Arial" w:hAnsi="Arial"/>
          <w:sz w:val="14"/>
          <w:szCs w:val="14"/>
          <w:color w:val="6E6E6E"/>
        </w:rPr>
        <w:t>All pipeline programs leverage our platform, which has evolved, across biology to insight, insight to molecule, and molecule to patient. We leverage and track how we</w:t>
      </w:r>
      <w:r>
        <w:rPr>
          <w:rFonts w:ascii="Arial" w:cs="Arial" w:eastAsia="Arial" w:hAnsi="Arial"/>
          <w:sz w:val="14"/>
          <w:szCs w:val="14"/>
          <w:b w:val="1"/>
          <w:bCs w:val="1"/>
          <w:color w:val="6E6E6E"/>
        </w:rPr>
        <w:t xml:space="preserve"> </w:t>
      </w:r>
      <w:r>
        <w:rPr>
          <w:rFonts w:ascii="Arial" w:cs="Arial" w:eastAsia="Arial" w:hAnsi="Arial"/>
          <w:sz w:val="14"/>
          <w:szCs w:val="14"/>
          <w:color w:val="6E6E6E"/>
        </w:rPr>
        <w:t>use our platform across every single program. For example. some programs are focused on novel biological insight, design, or both.</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Our Internal Pipeline: Clinical Programs Overview in Oncology and Rare Disease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1AA7DF"/>
        </w:rPr>
        <w:t xml:space="preserve">REC-4881 – </w:t>
      </w:r>
      <w:r>
        <w:rPr>
          <w:rFonts w:ascii="Arial" w:cs="Arial" w:eastAsia="Arial" w:hAnsi="Arial"/>
          <w:sz w:val="18"/>
          <w:szCs w:val="18"/>
          <w:i w:val="1"/>
          <w:iCs w:val="1"/>
          <w:color w:val="1AA7DF"/>
        </w:rPr>
        <w:t>Familial Adenomatous Polyposis</w:t>
      </w:r>
    </w:p>
    <w:p>
      <w:pPr>
        <w:spacing w:after="0" w:line="68"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1E1E1E"/>
        </w:rPr>
        <w:t>We are developing REC-4881, a highly potent and selective, potential best-in-class MEK1/2 inhibitor, for familial adenomatous polyposis (FAP). FAP is a genetic condition characterized by the development of adenomas throughout the GI tract. It is an orphan disease caused by inactivating mutations in APC, with most patients undergoing prophylactic colectomy due to nearly 100% likelihood of CRC by age 40.</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1E1E1E"/>
        </w:rPr>
        <w:t>During a collaboration with Takeda, we leveraged machine learning and automated analysis to quantify hundreds of cellular parameters linked to APC siRNA knockdown. We screened numerous compounds in this genetic background within 24 hours and identified REC-4881 as a potent molecule that rescued the phenotype in a concentration dependent manner. In preclinical studies, REC-4881 demonstrated over 1,000-fold selectivity in APC-mutant tumor cell lines and effectively inhibited spheroid growth and organization. In the APC</w:t>
      </w:r>
      <w:r>
        <w:rPr>
          <w:rFonts w:ascii="Arial" w:cs="Arial" w:eastAsia="Arial" w:hAnsi="Arial"/>
          <w:sz w:val="21"/>
          <w:szCs w:val="21"/>
          <w:color w:val="1E1E1E"/>
          <w:vertAlign w:val="superscript"/>
        </w:rPr>
        <w:t>min</w:t>
      </w:r>
      <w:r>
        <w:rPr>
          <w:rFonts w:ascii="Arial" w:cs="Arial" w:eastAsia="Arial" w:hAnsi="Arial"/>
          <w:sz w:val="16"/>
          <w:szCs w:val="16"/>
          <w:color w:val="1E1E1E"/>
        </w:rPr>
        <w:t xml:space="preserve"> mouse model of FAP, REC-4881 showed up to a 70% reduction in total polyps, surpassing celecoxib’s 30% reduction, highlighting its potential as a highly selective and efficacious therapy for FAP.</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6"/>
          <w:szCs w:val="16"/>
          <w:color w:val="1E1E1E"/>
        </w:rPr>
        <w:t>The IND was reactivated by Recursion and the Phase 1b/2 trial (TUPELO) of REC-4881 was initiated. As of December 31, 2025, Part 1 of the study is complete and Part 2 remains ongoing. In Part 1, which assessed safety, tolerability, and PK in FAP patients, REC-4881 was observed to have a safety profile consistent with other MEK inhibitors. A 4 mg dose of REC-4881 was shown to be pharmacologically active in FAP and progressed to Part 2. In May 2025, preliminary Phase 1b/2 data was shared at Digestive Disease Week 2025 for 6 patients following 13 weeks of treatment with REC-4881, demonstrating reduced polyp burden and an early safety profile generally consistent with that of prior MEK1/2 inhibitors. Expanded data was shared in December 2025 for a larger cohort of FAP patients treated for 12 weeks with REC-4881, followed by a 12 week off-treatment phase. Rapid reductions in polyp burden were demonstrated by week 13 (median polyp burden reduction of 43%), with a durability of effect and reductions maintained through the off-treatment phase at week 25 (median polyp burden reduction of 53%). The safety profile of REC-4881 was consistent with MEK1/2 inhibition, with adverse events predominantly low grade and N=4 discontinuations. This data provided the first clinical validation of the Recursion OS, from an unbiased phenotypic signal identifying MEK1/2 inhibition as a rescue mechanism for APC loss-of-function, through mechanistic confirmation and clinical translation, to positive clinical data. In the first half of 2026, we expect to engage with the FDA to define a registration path while further optimizing dosing schedule in the ongoing TUPELO trial. We expect to provide additional clinical data in the first half of 2027.</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1AA7DF"/>
        </w:rPr>
        <w:t xml:space="preserve">REC-617 – </w:t>
      </w:r>
      <w:r>
        <w:rPr>
          <w:rFonts w:ascii="Arial" w:cs="Arial" w:eastAsia="Arial" w:hAnsi="Arial"/>
          <w:sz w:val="18"/>
          <w:szCs w:val="18"/>
          <w:i w:val="1"/>
          <w:iCs w:val="1"/>
          <w:color w:val="1AA7DF"/>
        </w:rPr>
        <w:t>Advanced Solid Tumors</w:t>
      </w:r>
    </w:p>
    <w:p>
      <w:pPr>
        <w:spacing w:after="0" w:line="68"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1E1E1E"/>
        </w:rPr>
        <w:t>REC-617 is a potential best-in-class, potent and selective oral small molecule inhibitor of CDK7 with demonstrated activity in preclinical studies. CDK7 controls cell cycle progression and gene transcription, often overexpressed in advanced stage cancers reliant on transcriptional pathways. This program utilized our generative AI and active learning platform to optimize molecule design, including non-covalent binding and improved ADME/PK for rapid absorption. This rapid design cycle enabled us to synthesize 136 novel compounds and select REC-617 as our lead candidate in under 11 months.</w:t>
      </w:r>
    </w:p>
    <w:p>
      <w:pPr>
        <w:spacing w:after="0" w:line="18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1E1E1E"/>
        </w:rPr>
        <w:t>A multicenter, open-label, Phase 1/2 dose escalation and dose expansion study (ELUCIDATE) is currently ongoing in advanced solid tumors. Initial results from 19 patients were presented at the 2024 AACR Special Conference in Cancer Research, with data from a larger cohort of 29 heavily pretreated patients reported in November 2025. From this monotherapy dose escalation (QD and BID) portion of the study, REC-617 demonstrated signs of preliminary efficacy. One heavily pre-treated ovarian cancer patient achieved a confirmed durable partial response (PR), which correlated with significant reductions in clinical tumor markers (CA125 and TK1). Five additional patients achieved durable stable disease (SD) as their best response. REC-617 was generally well-tolerated, with adverse events predominantly low grade and the most common DLTs being nausea and thrombocytopenia. 7% (N=2) discontinued due to a treatment-related adverse event. The MTD was established at 10 mg once daily.</w:t>
      </w:r>
    </w:p>
    <w:p>
      <w:pPr>
        <w:spacing w:after="0" w:line="19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1E1E1E"/>
        </w:rPr>
        <w:t>Monotherapy dose escalation remains ongoing to assess alternative dosing schedules, and in 2025 the ELUCIDATE study was expanded into platinum-resistant ovarian cancer (PROC), with a Phase 2 dose expansion monotherapy cohort ongoing and a Phase 1 dose escalation combination arm also initiated. Initial combination regimens include bevacizumab plus paclitaxel or pegylated liposomal doxorubicin (PLD). We expect to provide early safety and PK combination data in 2027.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1AA7DF"/>
        </w:rPr>
        <w:t xml:space="preserve">REC-1245 – </w:t>
      </w:r>
      <w:r>
        <w:rPr>
          <w:rFonts w:ascii="Arial" w:cs="Arial" w:eastAsia="Arial" w:hAnsi="Arial"/>
          <w:sz w:val="18"/>
          <w:szCs w:val="18"/>
          <w:i w:val="1"/>
          <w:iCs w:val="1"/>
          <w:color w:val="1AA7DF"/>
        </w:rPr>
        <w:t>Biomarker-enriched Solid Tumors and Lymphoma</w:t>
      </w:r>
    </w:p>
    <w:p>
      <w:pPr>
        <w:spacing w:after="0" w:line="81"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1E1E1E"/>
        </w:rPr>
        <w:t>REC-1245 is a potential first-in-class, novel, potent, and selective molecular glue degrader of RBM39, a critical RNA-binding protein involved in alternative splicing and DNA damage repair (DDR) pathways. Leveraging the Recursion OS, we discovered that genetic knockout of RBM39 can phenotypically mimic CDK12 loss – a validated DDR target – without impacting CDK13 which, to our knowledge, is the first report of this novel biological insight. Utilizing our phenomics based platform for SAR, we synthesized 204 candidates and advanced this program from target ID to IND-enabling studies in 18 months (vs. industry average of 42 months).</w:t>
      </w:r>
    </w:p>
    <w:p>
      <w:pPr>
        <w:spacing w:after="0" w:line="188" w:lineRule="exact"/>
        <w:rPr>
          <w:sz w:val="20"/>
          <w:szCs w:val="20"/>
          <w:color w:val="auto"/>
        </w:rPr>
      </w:pPr>
    </w:p>
    <w:p>
      <w:pPr>
        <w:jc w:val="both"/>
        <w:ind w:right="180"/>
        <w:spacing w:after="0" w:line="292" w:lineRule="auto"/>
        <w:rPr>
          <w:sz w:val="20"/>
          <w:szCs w:val="20"/>
          <w:color w:val="auto"/>
        </w:rPr>
      </w:pPr>
      <w:r>
        <w:rPr>
          <w:rFonts w:ascii="Arial" w:cs="Arial" w:eastAsia="Arial" w:hAnsi="Arial"/>
          <w:sz w:val="16"/>
          <w:szCs w:val="16"/>
          <w:color w:val="1E1E1E"/>
        </w:rPr>
        <w:t>Preclinical data confirmed strong anti-tumor activity, including tumor regressions in a BRCA-proficient ovarian cancer model, minimal off-target effects, and no CDK12 kinase inhibition. With over 100,000 addressable patients in the US and EU5 each year, REC-1245 has the potential to be a novel therapy in a biomarker-enriched advanced solid tumor and lymphoma patient population – either as a monotherapy and/or in combination regimens.</w:t>
      </w:r>
    </w:p>
    <w:p>
      <w:pPr>
        <w:spacing w:after="0" w:line="165"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1E1E1E"/>
        </w:rPr>
        <w:t>Following IND clearance, we initiated a Phase 1/2 study (DAHLIA) to evaluate the safety, tolerability, PK/PD, and preliminary efficacy of REC-1245 in unresectable, locally advanced, or metastatic cancers. This includes a biomarker-enriched population that may benefit most from targeted RBM39 degradation. In the third quarter of 2025, we reported updated information on the population being enrolled into the DAHLIA study, to include cancers with high genomic instability (for example endometrial cancer) and to confirm specific biomarker-enriched populations (for example 2L+ MSI-H/dMMR) based on early preclinical data that showed that REC-1245 reduces viability in tumors characterized by replication stress and DNA repair vulnerabilities (DDR defects) across multiple solid tumor types. The trial is currently enrolling at sites in the US and Canada, and we expect to share early safety and PK data from the Phase 1 monotherapy dose-escalation portion of the study in the first half of 2026.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1AA7DF"/>
        </w:rPr>
        <w:t xml:space="preserve">REC-3565 – </w:t>
      </w:r>
      <w:r>
        <w:rPr>
          <w:rFonts w:ascii="Arial" w:cs="Arial" w:eastAsia="Arial" w:hAnsi="Arial"/>
          <w:sz w:val="18"/>
          <w:szCs w:val="18"/>
          <w:i w:val="1"/>
          <w:iCs w:val="1"/>
          <w:color w:val="1AA7DF"/>
        </w:rPr>
        <w:t>Relapsed / Refractory B-cell Malignancies</w:t>
      </w:r>
    </w:p>
    <w:p>
      <w:pPr>
        <w:spacing w:after="0" w:line="8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1E1E1E"/>
        </w:rPr>
        <w:t>We are advancing REC-3565, our reversible allosteric potential best-in-class MALT1 inhibitor, for the treatment of patients with relapsed or refractory B-cell malignancies. A variety of mutations seen in lymphomas induce constitutive MALT1 protease activation, leading to aberrant NF-κB signaling that drives survival and proliferation of B-cell tumors. Key preclinical data demonstrates sustained anti-tumor activity as a single-agent or in combination with BTK inhibitors.</w:t>
      </w:r>
    </w:p>
    <w:p>
      <w:pPr>
        <w:spacing w:after="0" w:line="167"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1E1E1E"/>
        </w:rPr>
        <w:t>We leveraged physics-based predictive modelling using our molecular dynamics toolkit and AI-powered hotspot analysis to deliver a candidate with lower predicted safety risk in the clinic. We synthesized 344 novel compounds and advanced this program from hit ID to lead candidate in 15 months.</w:t>
      </w:r>
    </w:p>
    <w:p>
      <w:pPr>
        <w:spacing w:after="0" w:line="142" w:lineRule="exact"/>
        <w:rPr>
          <w:sz w:val="20"/>
          <w:szCs w:val="20"/>
          <w:color w:val="auto"/>
        </w:rPr>
      </w:pPr>
    </w:p>
    <w:p>
      <w:pPr>
        <w:spacing w:after="0" w:line="290" w:lineRule="auto"/>
        <w:rPr>
          <w:sz w:val="20"/>
          <w:szCs w:val="20"/>
          <w:color w:val="auto"/>
        </w:rPr>
      </w:pPr>
      <w:r>
        <w:rPr>
          <w:rFonts w:ascii="Arial" w:cs="Arial" w:eastAsia="Arial" w:hAnsi="Arial"/>
          <w:sz w:val="16"/>
          <w:szCs w:val="16"/>
          <w:color w:val="1E1E1E"/>
        </w:rPr>
        <w:t>The molecule’s unique profile minimizes UGT1A1 inhibition risk, demonstrating superior target selectivity compared to oral competitors, both of which reported treatment-related hyperbilirubinemia in early Phase 1/2 studies. As a result, REC-3565’s enhanced selectivity supports the potential for a more favorable therapeutic index not only as a monotherapy, but also in combinations with BTK and BCL2 inhibitors. A multicenter, open-label, dose escalation Phase 1 study (EXCELERIZE) is ongoing, with the first patient dosed in April 2025. We expect to share early safety and PK monotherapy data in the first half of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1AA7DF"/>
        </w:rPr>
        <w:t xml:space="preserve">REC-4539 – </w:t>
      </w:r>
      <w:r>
        <w:rPr>
          <w:rFonts w:ascii="Arial" w:cs="Arial" w:eastAsia="Arial" w:hAnsi="Arial"/>
          <w:sz w:val="18"/>
          <w:szCs w:val="18"/>
          <w:i w:val="1"/>
          <w:iCs w:val="1"/>
          <w:color w:val="1AA7DF"/>
        </w:rPr>
        <w:t>Solid Tumors and Hematology Oncology</w:t>
      </w:r>
    </w:p>
    <w:p>
      <w:pPr>
        <w:spacing w:after="0" w:line="68"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E1E1E"/>
        </w:rPr>
        <w:t>REC-4539 is a reversible, CNS penetrant, orally bioavailable, and potential best-in-class inhibitor of LSD1. LSD1 is an epigenetic enzyme that removes methyl groups from histones to control gene expression. LSD1 is abnormally overexpressed in a broad spectrum of solid tumors including lung, breast, prostate, esophageal, and bladder cancers, as well as acute myeloid leukemia, with evidence suggesting that LSD1 is a promising therapeutic target. This is exemplified within lung cancer by small cell lung cancer (SCLC). SCLC is particularly dependent on LSD1 to maintain a neuroendocrine phenotype that drives tumor cell survival in this aggressive lung cancer subtype. In AML, LSD1 has been shown to disrupt normal hematopoiesis by modulating key oncogenic pathways and transcriptional regulators like GFI1 and SNAI1. Preclinical studies demonstrate that REC-4539 shows anti-tumor activity in SCLC and AML human xenografts with limited impact on platelets.</w:t>
      </w:r>
    </w:p>
    <w:p>
      <w:pPr>
        <w:spacing w:after="0" w:line="17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1E1E1E"/>
        </w:rPr>
        <w:t>Our program used multi-parameter optimization to design a unique candidate combining reversibility with CNS penetrance. We synthesized 414 novel candidates to arrive at our lead candidate in 22 months. Following IND clearance in January 2025, the program was placed on strategic pause in May 2025. While the broader field has faced safety challenges, REC-4539 remains highly differentiated by its optimized profile, with a potential improved therapeutic index through better management of on-target toxicities e.g. reduced impact on platelets. We now expect to initiate the Phase 1 trial (ENLYGHT) in the first half of 2026, with early monotherapy safety and PK data expected in the second half of 2027.</w:t>
      </w:r>
    </w:p>
    <w:p>
      <w:pPr>
        <w:spacing w:after="0" w:line="235" w:lineRule="exact"/>
        <w:rPr>
          <w:sz w:val="20"/>
          <w:szCs w:val="20"/>
          <w:color w:val="auto"/>
        </w:rPr>
      </w:pPr>
    </w:p>
    <w:p>
      <w:pPr>
        <w:spacing w:after="0"/>
        <w:rPr>
          <w:sz w:val="20"/>
          <w:szCs w:val="20"/>
          <w:color w:val="auto"/>
        </w:rPr>
      </w:pPr>
      <w:r>
        <w:rPr>
          <w:rFonts w:ascii="Arial" w:cs="Arial" w:eastAsia="Arial" w:hAnsi="Arial"/>
          <w:sz w:val="27"/>
          <w:szCs w:val="27"/>
          <w:b w:val="1"/>
          <w:bCs w:val="1"/>
          <w:color w:val="E2188A"/>
        </w:rPr>
        <w:t>Deep Dive into Clinical Programs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REC-4881 for Familial Adenomatous Polyposis (FAP) - Phase 1b/2</w:t>
      </w:r>
    </w:p>
    <w:p>
      <w:pPr>
        <w:spacing w:after="0" w:line="9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1E1E1E"/>
        </w:rPr>
        <w:t>REC-4881 is an orally bioavailable, non-ATP-competitive, allosteric small molecule inhibitor of MEK1 and MEK2 currently under development for familial adenomatous polyposis (FAP). REC-4881 demonstrated dose-dependent increases in exposure and pharmacological activity, with a safety profile consistent with other MEK inhibitors. We are currently enrolling patients in TUPELO, a Phase 1b/2, open-label, multicenter study to evaluate the effect of REC-4881 on polyp burden reduction. Orphan Drug Designation in the US and EU as well as Fast Track Designation in the US were granted to REC-4881 for FAP. Following positive clinical data from TUPELO shared in 2025, in the first half of 2026 we expect to engage with the FDA to define a registration path while further optimizing dosing schedule within the trial. We expect to provide additional clinical data from TUPELO in the first half of 2027.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1AA7DF"/>
        </w:rPr>
        <w:t>Disease Overview</w:t>
      </w:r>
    </w:p>
    <w:p>
      <w:pPr>
        <w:spacing w:after="0" w:line="6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1E1E1E"/>
        </w:rPr>
        <w:t>FAP is a rare, inherited tumor predisposition syndrome affecting more than 50,000 patients in the US and EU5, resulting from autosomal dominant mutations in the APC gene, a key negative regulator of the Wnt signaling pathway. FAP is a lifelong continuum of disease progression and intervention driven by chronic polyposis, with an almost 100% lifetime risk of colorectal cancer by the age of approximately 40 if untreated.</w:t>
      </w:r>
    </w:p>
    <w:p>
      <w:pPr>
        <w:spacing w:after="0" w:line="158"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1E1E1E"/>
        </w:rPr>
        <w:t>In adolescence and early adulthood, patients typically develop hundreds to thousands of precancerous adenomas in their colon and rectum. As disease burden increases, most patients will require a colectomy to remove the colon and manage disease progression and cancer risk. While this surgery addresses immediate cancer risk in the colon, it does not stop the development of further adenomas in the remaining rectum, pouch, or duodenum. Post-colectomy, patients with FAP still require decades of repeat endoscopies and excisional procedures. Approximately 50% of these patients will eventually require removal of the remaining rectum pouch in order to manage uncontrolled polyposis, a life-altering surgery that impacts quality of life. Disease progression continues in the upper GI tract, where approximately 90% of FAP patients will develop duodenal adenomas, which can often be difficult to manage endoscopically. Around 6% of these patients will undergo duodenectomy or Whipple surgeries, which are some of the most significant life-altering surgeries associated with high morbidity and mortality. Despite this substantial disease burden, no approved therapies currently exist for FAP.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1AA7DF"/>
        </w:rPr>
        <w:t>Insights from Recursion OS</w:t>
      </w:r>
    </w:p>
    <w:p>
      <w:pPr>
        <w:spacing w:after="0" w:line="6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1E1E1E"/>
        </w:rPr>
        <w:t>REC-4881 was identified as a potential first-in-disease therapy for FAP using a high-content phenotypic screening approach targeting APC-deficient human cells. In this screen, REC-4881 emerged as a potent allosteric MEK1/2 inhibitor that rescued an APC siRNA genetic knockdown-associated morphological phenotype. Compared to other MEK inhibitors, REC-4881 demonstrated a highly selective and concentration-dependent response, suggesting best-in-class potential. As a result, REC-4881 was in-licensed from Takeda and subsequently advanced into preclinical studies.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394335</wp:posOffset>
            </wp:positionV>
            <wp:extent cx="2948940" cy="25203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4894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60"/>
        <w:spacing w:after="0" w:line="345" w:lineRule="auto"/>
        <w:rPr>
          <w:sz w:val="20"/>
          <w:szCs w:val="20"/>
          <w:color w:val="auto"/>
        </w:rPr>
      </w:pPr>
      <w:r>
        <w:rPr>
          <w:rFonts w:ascii="Arial" w:cs="Arial" w:eastAsia="Arial" w:hAnsi="Arial"/>
          <w:sz w:val="14"/>
          <w:szCs w:val="14"/>
          <w:b w:val="1"/>
          <w:bCs w:val="1"/>
          <w:color w:val="6E6E6E"/>
        </w:rPr>
        <w:t xml:space="preserve">Figure 12. </w:t>
      </w:r>
      <w:r>
        <w:rPr>
          <w:rFonts w:ascii="Arial" w:cs="Arial" w:eastAsia="Arial" w:hAnsi="Arial"/>
          <w:sz w:val="14"/>
          <w:szCs w:val="14"/>
          <w:color w:val="6E6E6E"/>
        </w:rPr>
        <w:t>Discovery of REC-4881 in Recursion OS. Compared to thousands of other molecules tested, REC-4881 rescued phenotypic defects associated with APC siRNA</w:t>
      </w:r>
      <w:r>
        <w:rPr>
          <w:rFonts w:ascii="Arial" w:cs="Arial" w:eastAsia="Arial" w:hAnsi="Arial"/>
          <w:sz w:val="14"/>
          <w:szCs w:val="14"/>
          <w:b w:val="1"/>
          <w:bCs w:val="1"/>
          <w:color w:val="6E6E6E"/>
        </w:rPr>
        <w:t xml:space="preserve"> </w:t>
      </w:r>
      <w:r>
        <w:rPr>
          <w:rFonts w:ascii="Arial" w:cs="Arial" w:eastAsia="Arial" w:hAnsi="Arial"/>
          <w:sz w:val="14"/>
          <w:szCs w:val="14"/>
          <w:color w:val="6E6E6E"/>
        </w:rPr>
        <w:t>genetic knockdown.</w:t>
      </w:r>
    </w:p>
    <w:p>
      <w:pPr>
        <w:spacing w:after="0" w:line="86"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1E1E1E"/>
        </w:rPr>
        <w:t>REC-4881 is an orally bioavailable, non-ATP-competitive allosteric inhibitor of MEK1 (IC</w:t>
      </w:r>
      <w:r>
        <w:rPr>
          <w:rFonts w:ascii="Arial" w:cs="Arial" w:eastAsia="Arial" w:hAnsi="Arial"/>
          <w:sz w:val="10"/>
          <w:szCs w:val="10"/>
          <w:color w:val="1E1E1E"/>
        </w:rPr>
        <w:t>50</w:t>
      </w:r>
      <w:r>
        <w:rPr>
          <w:rFonts w:ascii="Arial" w:cs="Arial" w:eastAsia="Arial" w:hAnsi="Arial"/>
          <w:sz w:val="16"/>
          <w:szCs w:val="16"/>
          <w:color w:val="1E1E1E"/>
        </w:rPr>
        <w:t>: 2-3 nM) and MEK2 (IC</w:t>
      </w:r>
      <w:r>
        <w:rPr>
          <w:rFonts w:ascii="Arial" w:cs="Arial" w:eastAsia="Arial" w:hAnsi="Arial"/>
          <w:sz w:val="10"/>
          <w:szCs w:val="10"/>
          <w:color w:val="1E1E1E"/>
        </w:rPr>
        <w:t>50</w:t>
      </w:r>
      <w:r>
        <w:rPr>
          <w:rFonts w:ascii="Arial" w:cs="Arial" w:eastAsia="Arial" w:hAnsi="Arial"/>
          <w:sz w:val="16"/>
          <w:szCs w:val="16"/>
          <w:color w:val="1E1E1E"/>
        </w:rPr>
        <w:t>: 3-5 nM) being developed as a potential first-in-disease therapy for FAP. Loss of APC disrupts β-catenin regulation, leading to uncontrolled Wnt signaling, RAS stabilization, and ERK pathway activation, which drives MYC-dependent proliferation. REC-4881 inhibits MEK1/2, and blocks ERK phosphorylation downstream. This reduces MYC expression levels in the cell and potentially restores Wnt pathway control. Given ERK signaling activity in both adenoma epithelium and tumor stroma, as well as frequent MAPK-activating mutations in FAP, MEK inhibition offers a targeted strategy to suppress disease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120015</wp:posOffset>
            </wp:positionV>
            <wp:extent cx="5863590" cy="2674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6359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80"/>
        <w:spacing w:after="0" w:line="334" w:lineRule="auto"/>
        <w:rPr>
          <w:sz w:val="20"/>
          <w:szCs w:val="20"/>
          <w:color w:val="auto"/>
        </w:rPr>
      </w:pPr>
      <w:r>
        <w:rPr>
          <w:rFonts w:ascii="Arial" w:cs="Arial" w:eastAsia="Arial" w:hAnsi="Arial"/>
          <w:sz w:val="14"/>
          <w:szCs w:val="14"/>
          <w:b w:val="1"/>
          <w:bCs w:val="1"/>
          <w:color w:val="6E6E6E"/>
        </w:rPr>
        <w:t xml:space="preserve">Figure 13. </w:t>
      </w:r>
      <w:r>
        <w:rPr>
          <w:rFonts w:ascii="Arial" w:cs="Arial" w:eastAsia="Arial" w:hAnsi="Arial"/>
          <w:sz w:val="14"/>
          <w:szCs w:val="14"/>
          <w:color w:val="6E6E6E"/>
        </w:rPr>
        <w:t>REC-4881 inhibits APC-mutation induced MAPK signaling to block cell proliferation in the context of FAP. A potential mechanism of action of REC-4881 in cells with</w:t>
      </w:r>
      <w:r>
        <w:rPr>
          <w:rFonts w:ascii="Arial" w:cs="Arial" w:eastAsia="Arial" w:hAnsi="Arial"/>
          <w:sz w:val="14"/>
          <w:szCs w:val="14"/>
          <w:b w:val="1"/>
          <w:bCs w:val="1"/>
          <w:color w:val="6E6E6E"/>
        </w:rPr>
        <w:t xml:space="preserve"> </w:t>
      </w:r>
      <w:r>
        <w:rPr>
          <w:rFonts w:ascii="Arial" w:cs="Arial" w:eastAsia="Arial" w:hAnsi="Arial"/>
          <w:sz w:val="14"/>
          <w:szCs w:val="14"/>
          <w:color w:val="6E6E6E"/>
        </w:rPr>
        <w:t>loss of function mutations in APC.</w:t>
      </w:r>
      <w:r>
        <w:rPr>
          <w:rFonts w:ascii="Arial" w:cs="Arial" w:eastAsia="Arial" w:hAnsi="Arial"/>
          <w:sz w:val="18"/>
          <w:szCs w:val="18"/>
          <w:color w:val="6E6E6E"/>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14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45" w:lineRule="exact"/>
        <w:rPr>
          <w:sz w:val="20"/>
          <w:szCs w:val="20"/>
          <w:color w:val="auto"/>
        </w:rPr>
      </w:pPr>
    </w:p>
    <w:p>
      <w:pPr>
        <w:ind w:firstLine="8"/>
        <w:spacing w:after="0" w:line="302" w:lineRule="auto"/>
        <w:tabs>
          <w:tab w:leader="none" w:pos="92" w:val="left"/>
        </w:tabs>
        <w:numPr>
          <w:ilvl w:val="0"/>
          <w:numId w:val="23"/>
        </w:numPr>
        <w:rPr>
          <w:rFonts w:ascii="Arial" w:cs="Arial" w:eastAsia="Arial" w:hAnsi="Arial"/>
          <w:sz w:val="9"/>
          <w:szCs w:val="9"/>
          <w:i w:val="1"/>
          <w:iCs w:val="1"/>
          <w:color w:val="6E6E6E"/>
        </w:rPr>
      </w:pPr>
      <w:r>
        <w:rPr>
          <w:rFonts w:ascii="Arial" w:cs="Arial" w:eastAsia="Arial" w:hAnsi="Arial"/>
          <w:sz w:val="14"/>
          <w:szCs w:val="14"/>
          <w:i w:val="1"/>
          <w:iCs w:val="1"/>
          <w:color w:val="6E6E6E"/>
        </w:rPr>
        <w:t>Jeon, WJ, et al. (2018). Interaction between Wnt/β-catenin and RAS-ERK pathways and an anti-cancer strategy via degradations of β-catenin and RAS by targeting the Wnt/β-catenin pathway. NPJ Precision Oncology, 2(5).</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1AA7DF"/>
        </w:rPr>
        <w:t>Preclinical</w:t>
      </w:r>
    </w:p>
    <w:p>
      <w:pPr>
        <w:spacing w:after="0" w:line="68"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1E1E1E"/>
        </w:rPr>
        <w:t>REC-4881’s activity was validated in tumor cell lines and spheroid models derived from APC-mutant human epithelial tumor cells. In these systems, REC-4881 inhibited spheroid growth and disrupted cellular organization, demonstrating over 1,000-fold selectivity in APC-mutant cells. In a disease-relevant FAP model, Apc</w:t>
      </w:r>
      <w:r>
        <w:rPr>
          <w:rFonts w:ascii="Arial" w:cs="Arial" w:eastAsia="Arial" w:hAnsi="Arial"/>
          <w:sz w:val="21"/>
          <w:szCs w:val="21"/>
          <w:color w:val="1E1E1E"/>
          <w:vertAlign w:val="superscript"/>
        </w:rPr>
        <w:t>Min/+</w:t>
      </w:r>
      <w:r>
        <w:rPr>
          <w:rFonts w:ascii="Arial" w:cs="Arial" w:eastAsia="Arial" w:hAnsi="Arial"/>
          <w:sz w:val="16"/>
          <w:szCs w:val="16"/>
          <w:color w:val="1E1E1E"/>
        </w:rPr>
        <w:t xml:space="preserve"> mice were treated with multiple oral doses of REC-4881 or celecoxib over eight weeks. While celecoxib reduced polyp formation by approximately 30% compared to vehicle, REC-4881 treatment led to a reduction of 50% (1-3 mg/kg), and 70% (10 mg/kg). Mice that were treated with 10 mg/kg REC-4881, the highest dose tested, exhibited an approximately 70% reduction in total polyps. Histological analysis of gastrointestinal tissues further revealed that, unlike celecoxib, which primarily affected benign polyps, REC-4881 significantly reduced both benign polyps and high-grade adenomas. These findings suggest that REC-4881 not only limits early polyp formation but may also inhibit progression to advanced adenomas, highlighting its potential to address both pre- and post-colectomy FAP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137160</wp:posOffset>
            </wp:positionV>
            <wp:extent cx="4114800" cy="2486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148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b w:val="1"/>
          <w:bCs w:val="1"/>
          <w:color w:val="6E6E6E"/>
        </w:rPr>
        <w:t>Figure 14. REC-4881 reduces GI polyp count and pre-cancerous, high-grade adenomas in the APC</w:t>
      </w:r>
      <w:r>
        <w:rPr>
          <w:rFonts w:ascii="Arial" w:cs="Arial" w:eastAsia="Arial" w:hAnsi="Arial"/>
          <w:sz w:val="18"/>
          <w:szCs w:val="18"/>
          <w:b w:val="1"/>
          <w:bCs w:val="1"/>
          <w:color w:val="6E6E6E"/>
          <w:vertAlign w:val="superscript"/>
        </w:rPr>
        <w:t>Min/+</w:t>
      </w:r>
      <w:r>
        <w:rPr>
          <w:rFonts w:ascii="Arial" w:cs="Arial" w:eastAsia="Arial" w:hAnsi="Arial"/>
          <w:sz w:val="14"/>
          <w:szCs w:val="14"/>
          <w:b w:val="1"/>
          <w:bCs w:val="1"/>
          <w:color w:val="6E6E6E"/>
        </w:rPr>
        <w:t xml:space="preserve"> mouse model of FAP. </w:t>
      </w:r>
      <w:r>
        <w:rPr>
          <w:rFonts w:ascii="Arial" w:cs="Arial" w:eastAsia="Arial" w:hAnsi="Arial"/>
          <w:sz w:val="14"/>
          <w:szCs w:val="14"/>
          <w:color w:val="6E6E6E"/>
        </w:rPr>
        <w:t>GI polyp count (left) and the percentage of</w:t>
      </w:r>
      <w:r>
        <w:rPr>
          <w:rFonts w:ascii="Arial" w:cs="Arial" w:eastAsia="Arial" w:hAnsi="Arial"/>
          <w:sz w:val="14"/>
          <w:szCs w:val="14"/>
          <w:b w:val="1"/>
          <w:bCs w:val="1"/>
          <w:color w:val="6E6E6E"/>
        </w:rPr>
        <w:t xml:space="preserve"> </w:t>
      </w:r>
      <w:r>
        <w:rPr>
          <w:rFonts w:ascii="Arial" w:cs="Arial" w:eastAsia="Arial" w:hAnsi="Arial"/>
          <w:sz w:val="14"/>
          <w:szCs w:val="14"/>
          <w:color w:val="6E6E6E"/>
        </w:rPr>
        <w:t>high-grade adenomas (right) after oral administration of indicated dose of REC-4881, celecoxib, or vehicle control for 8 weeks. Polyp count at the start of dosing reflects animals sacrificed at the start of study (15 weeks of age). P &lt; 0.001 for all REC-4881 treatment groups vs. vehicle control. Quantification of high-grade adenomas versus total polyps was based on blinded histological review by a pathologist. While celecoxib reduces benign polyps, most remaining lesions are high-grade adenomas. By contrast, REC-4881 reduces both polyps and high-grade adenomas.</w:t>
      </w:r>
      <w:r>
        <w:rPr>
          <w:rFonts w:ascii="Arial" w:cs="Arial" w:eastAsia="Arial" w:hAnsi="Arial"/>
          <w:sz w:val="9"/>
          <w:szCs w:val="9"/>
          <w:color w:val="6E6E6E"/>
        </w:rPr>
        <w:t>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1AA7DF"/>
        </w:rPr>
        <w:t>Clinical</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1E1E1E"/>
        </w:rPr>
        <w:t>REC-4881 has been evaluated in multiple clinical studies, demonstrating a well-tolerated safety profile and pharmacological activity.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6E6E6E"/>
        </w:rPr>
        <w:t>Phase 1 Oncology Studies</w:t>
      </w:r>
    </w:p>
    <w:p>
      <w:pPr>
        <w:spacing w:after="0" w:line="30" w:lineRule="exact"/>
        <w:rPr>
          <w:sz w:val="20"/>
          <w:szCs w:val="20"/>
          <w:color w:val="auto"/>
        </w:rPr>
      </w:pPr>
    </w:p>
    <w:p>
      <w:pPr>
        <w:ind w:right="400"/>
        <w:spacing w:after="0" w:line="281" w:lineRule="auto"/>
        <w:rPr>
          <w:sz w:val="20"/>
          <w:szCs w:val="20"/>
          <w:color w:val="auto"/>
        </w:rPr>
      </w:pPr>
      <w:r>
        <w:rPr>
          <w:rFonts w:ascii="Arial" w:cs="Arial" w:eastAsia="Arial" w:hAnsi="Arial"/>
          <w:sz w:val="16"/>
          <w:szCs w:val="16"/>
          <w:color w:val="1E1E1E"/>
        </w:rPr>
        <w:t>In a prior dose-escalation study (C20001) conducted by Millennium Pharmaceuticals in 51 participants with advanced solid tumors, REC-4881 (formerly TAK-733) was administered at doses ranging from 0.2 mg to 22 mg once daily on days 1–21 of 28-day treatment cycles. The maximum tolerated dose (MTD) was determined to be 16 mg. The most common adverse events (AEs) were rash (67%; 57% Gr1-2, 10% Gr3), diarrhea (29%, All Gr1-2), and increased blood CPK (20%, 10% Gr1-2, 10% Gr3). Treatment-related serious adverse events (SAEs) were infrequent. No unexpected safety concerns emerged, and pharmacokinetic analyses showed a less-than-dose proportional increase in exposure.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6E6E6E"/>
        </w:rPr>
        <w:t>REC-4881-101 (Healthy Volunteers)</w:t>
      </w:r>
    </w:p>
    <w:p>
      <w:pPr>
        <w:spacing w:after="0" w:line="28" w:lineRule="exact"/>
        <w:rPr>
          <w:sz w:val="20"/>
          <w:szCs w:val="20"/>
          <w:color w:val="auto"/>
        </w:rPr>
      </w:pPr>
    </w:p>
    <w:p>
      <w:pPr>
        <w:jc w:val="both"/>
        <w:ind w:right="220"/>
        <w:spacing w:after="0" w:line="282" w:lineRule="auto"/>
        <w:rPr>
          <w:sz w:val="20"/>
          <w:szCs w:val="20"/>
          <w:color w:val="auto"/>
        </w:rPr>
      </w:pPr>
      <w:r>
        <w:rPr>
          <w:rFonts w:ascii="Arial" w:cs="Arial" w:eastAsia="Arial" w:hAnsi="Arial"/>
          <w:sz w:val="16"/>
          <w:szCs w:val="16"/>
          <w:color w:val="1E1E1E"/>
        </w:rPr>
        <w:t>We conducted a Phase 1 study to evaluate the safety and pharmacokinetics of REC-4881 in 25 healthy participants receiving single doses of 4 mg, 8 mg, and 12 mg. REC-4881 was well tolerated, with no SAEs or dose-related safety concerns. The most common treatment-emergent adverse events (TEAEs) were mild and self-limiting, including transient blurred vision and vitreous floaters. No QTcF abnormalities were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14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1" w:lineRule="exact"/>
        <w:rPr>
          <w:sz w:val="20"/>
          <w:szCs w:val="20"/>
          <w:color w:val="auto"/>
        </w:rPr>
      </w:pPr>
    </w:p>
    <w:p>
      <w:pPr>
        <w:ind w:left="100" w:hanging="92"/>
        <w:spacing w:after="0"/>
        <w:tabs>
          <w:tab w:leader="none" w:pos="10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i w:val="1"/>
          <w:iCs w:val="1"/>
          <w:color w:val="6E6E6E"/>
        </w:rPr>
        <w:t>Data on file.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6E6E6E"/>
        </w:rPr>
        <w:t>Phase 1b/2 in FAP (TUPELO)</w:t>
      </w:r>
    </w:p>
    <w:p>
      <w:pPr>
        <w:spacing w:after="0" w:line="28" w:lineRule="exact"/>
        <w:rPr>
          <w:sz w:val="20"/>
          <w:szCs w:val="20"/>
          <w:color w:val="auto"/>
        </w:rPr>
      </w:pPr>
    </w:p>
    <w:p>
      <w:pPr>
        <w:spacing w:after="0" w:line="278" w:lineRule="auto"/>
        <w:rPr>
          <w:sz w:val="20"/>
          <w:szCs w:val="20"/>
          <w:color w:val="auto"/>
        </w:rPr>
      </w:pPr>
      <w:r>
        <w:rPr>
          <w:rFonts w:ascii="Arial" w:cs="Arial" w:eastAsia="Arial" w:hAnsi="Arial"/>
          <w:sz w:val="16"/>
          <w:szCs w:val="16"/>
          <w:color w:val="1E1E1E"/>
        </w:rPr>
        <w:t>We are currently enrolling patients in a Phase 1b/2 open-label, multicenter study (TUPELO) evaluating the efficacy, safety, pharmacokinetics, and pharmacodynamics of REC-4881 in FAP. Part 1 assessed safety, tolerability, and pharmacokinetics in FAP patients receiving 4 mg once daily for 14 days. REC-4881 was generally well-tolerated, with a safety profile consistent with other MEK inhibitors. Pharmacodynamic data showed that the 4 mg dose was pharmacologically active in FAP, and this dose progressed to Part 2 of the study. Part 2 is evaluating efficacy, safety, and pharmacokinetics in post-colectomy FAP patients with confirmed germline APC mutations. Participants will receive once-daily REC-4881 for three months (the on-treatment phase, with readout at week 13), followed by a 3 month off-treatment phase (with a readout at week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129540</wp:posOffset>
            </wp:positionV>
            <wp:extent cx="4637405" cy="2820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37405" cy="282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325" w:lineRule="auto"/>
        <w:rPr>
          <w:sz w:val="20"/>
          <w:szCs w:val="20"/>
          <w:color w:val="auto"/>
        </w:rPr>
      </w:pPr>
      <w:r>
        <w:rPr>
          <w:rFonts w:ascii="Arial" w:cs="Arial" w:eastAsia="Arial" w:hAnsi="Arial"/>
          <w:sz w:val="14"/>
          <w:szCs w:val="14"/>
          <w:b w:val="1"/>
          <w:bCs w:val="1"/>
          <w:color w:val="6E6E6E"/>
        </w:rPr>
        <w:t xml:space="preserve">Figure 15. TUPELO study design. </w:t>
      </w:r>
      <w:r>
        <w:rPr>
          <w:rFonts w:ascii="Arial" w:cs="Arial" w:eastAsia="Arial" w:hAnsi="Arial"/>
          <w:sz w:val="14"/>
          <w:szCs w:val="14"/>
          <w:color w:val="6E6E6E"/>
        </w:rPr>
        <w:t>Phase 1b/2 clinical study to assess the efficacy, safety, and pharmacokinetics of REC-4881 in patients with classical familial adenomatous</w:t>
      </w:r>
      <w:r>
        <w:rPr>
          <w:rFonts w:ascii="Arial" w:cs="Arial" w:eastAsia="Arial" w:hAnsi="Arial"/>
          <w:sz w:val="14"/>
          <w:szCs w:val="14"/>
          <w:b w:val="1"/>
          <w:bCs w:val="1"/>
          <w:color w:val="6E6E6E"/>
        </w:rPr>
        <w:t xml:space="preserve"> </w:t>
      </w:r>
      <w:r>
        <w:rPr>
          <w:rFonts w:ascii="Arial" w:cs="Arial" w:eastAsia="Arial" w:hAnsi="Arial"/>
          <w:sz w:val="14"/>
          <w:szCs w:val="14"/>
          <w:color w:val="6E6E6E"/>
        </w:rPr>
        <w:t>polyposis (FAP)</w:t>
      </w:r>
    </w:p>
    <w:p>
      <w:pPr>
        <w:spacing w:after="0" w:line="99"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As of December 2025, treatment with REC-4881 (4 mg QD) demonstrated meaningful and durable reductions in polyp burden in patients with FAP within the Phase 2 portion of TUPELO. A rapid reduction in polyp burden was reported at week 13. The majority of evaluable patients responded, with 75% showing reductions in polyp burden, and a median 43% reduction in total polyp burden observed among 12 efficacy-evaluable patients. 40% of patients also achieved a ≥1-point improvement in Spigelman stage from baseline, which is a clinically meaningful measure of upper GI disease severity to assess surveillance and clinical management. Durability of effect was maintained at week 25, following the 12 week off-therapy phase. 82% (N=9) of 11 evaluable patients responded to treatment with REC-4881, with a 53% median reduction in total polyp burden observed from baseline, which is shown in the figure below. 40% of patients also maintained a ≥1-point improvement in Spigelman stage from baseline.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386080</wp:posOffset>
            </wp:positionV>
            <wp:extent cx="5349240" cy="27946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90" w:lineRule="auto"/>
        <w:rPr>
          <w:sz w:val="20"/>
          <w:szCs w:val="20"/>
          <w:color w:val="auto"/>
        </w:rPr>
      </w:pPr>
      <w:r>
        <w:rPr>
          <w:rFonts w:ascii="Arial" w:cs="Arial" w:eastAsia="Arial" w:hAnsi="Arial"/>
          <w:sz w:val="14"/>
          <w:szCs w:val="14"/>
          <w:b w:val="1"/>
          <w:bCs w:val="1"/>
          <w:color w:val="6E6E6E"/>
        </w:rPr>
        <w:t xml:space="preserve">Figure 16. Durable reductions in polyp burden at week 25 of the TUPELO study. </w:t>
      </w:r>
      <w:r>
        <w:rPr>
          <w:rFonts w:ascii="Arial" w:cs="Arial" w:eastAsia="Arial" w:hAnsi="Arial"/>
          <w:sz w:val="14"/>
          <w:szCs w:val="14"/>
          <w:color w:val="6E6E6E"/>
        </w:rPr>
        <w:t>Percent change in baseline in total polyp burden at week 25 (12 weeks on therapy / 12</w:t>
      </w:r>
      <w:r>
        <w:rPr>
          <w:rFonts w:ascii="Arial" w:cs="Arial" w:eastAsia="Arial" w:hAnsi="Arial"/>
          <w:sz w:val="14"/>
          <w:szCs w:val="14"/>
          <w:b w:val="1"/>
          <w:bCs w:val="1"/>
          <w:color w:val="6E6E6E"/>
        </w:rPr>
        <w:t xml:space="preserve"> </w:t>
      </w:r>
      <w:r>
        <w:rPr>
          <w:rFonts w:ascii="Arial" w:cs="Arial" w:eastAsia="Arial" w:hAnsi="Arial"/>
          <w:sz w:val="14"/>
          <w:szCs w:val="14"/>
          <w:color w:val="6E6E6E"/>
        </w:rPr>
        <w:t xml:space="preserve">weeks off therapy) for patients with FAP treated with 4mg REC-4881. Percent (%) change from baseline calculates the change between post-resection value from screening visit to the pre-resection value at Week 25/EOT visit. Note: Polyp burden defined as the sum of all diameters of polyps in the GI. </w:t>
      </w:r>
      <w:r>
        <w:rPr>
          <w:rFonts w:ascii="Arial" w:cs="Arial" w:eastAsia="Arial" w:hAnsi="Arial"/>
          <w:sz w:val="18"/>
          <w:szCs w:val="18"/>
          <w:color w:val="6E6E6E"/>
          <w:vertAlign w:val="superscript"/>
        </w:rPr>
        <w:t>1</w:t>
      </w:r>
      <w:r>
        <w:rPr>
          <w:rFonts w:ascii="Arial" w:cs="Arial" w:eastAsia="Arial" w:hAnsi="Arial"/>
          <w:sz w:val="14"/>
          <w:szCs w:val="14"/>
          <w:color w:val="6E6E6E"/>
        </w:rPr>
        <w:t>Non-responder with 233% increase – polyp burden increased from 3mm to 10mm due to one polyp growth at Week 25. Efficacy Evaluable Population: Defined as all participants who have measurable disease (non-zero polyp burden) at end of baseline endoscopy, received at least 75% of study drug, and have at least one post-baseline on study endoscopic assessment. One patient who had a week 13 endoscopy did not have a Week 25 endoscopy.</w:t>
      </w:r>
      <w:r>
        <w:rPr>
          <w:rFonts w:ascii="Arial" w:cs="Arial" w:eastAsia="Arial" w:hAnsi="Arial"/>
          <w:sz w:val="9"/>
          <w:szCs w:val="9"/>
          <w:color w:val="6E6E6E"/>
        </w:rPr>
        <w:t>9</w:t>
      </w:r>
    </w:p>
    <w:p>
      <w:pPr>
        <w:spacing w:after="0" w:line="12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1E1E1E"/>
        </w:rPr>
        <w:t>The safety profile of REC-4881 4 mg QD across the combined Phase 1b/2 cohort (19 safety evaluable patients) was consistent with prior MEK1/2 inhibitors. Treatment-related adverse events were predominantly low grade and N=4 discontinuations occurred due to TRAEs. The most frequent TRAEs (at greater than or equal to 10%) included dermatitis acneiform (57.9%; 52.6% Grade 1/2, 5.3% Grade 3) / rash (31.6%; all Grade 1/2) and blood CPK increase (36.8%; 26.3% Grade 1/2, 10.5% Grade 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6E6E6E"/>
        </w:rPr>
        <w:t>Natural History Analysis</w:t>
      </w:r>
    </w:p>
    <w:p>
      <w:pPr>
        <w:spacing w:after="0" w:line="28" w:lineRule="exact"/>
        <w:rPr>
          <w:sz w:val="20"/>
          <w:szCs w:val="20"/>
          <w:color w:val="auto"/>
        </w:rPr>
      </w:pPr>
    </w:p>
    <w:p>
      <w:pPr>
        <w:ind w:right="400"/>
        <w:spacing w:after="0" w:line="277" w:lineRule="auto"/>
        <w:rPr>
          <w:sz w:val="20"/>
          <w:szCs w:val="20"/>
          <w:color w:val="auto"/>
        </w:rPr>
      </w:pPr>
      <w:r>
        <w:rPr>
          <w:rFonts w:ascii="Arial" w:cs="Arial" w:eastAsia="Arial" w:hAnsi="Arial"/>
          <w:sz w:val="16"/>
          <w:szCs w:val="16"/>
          <w:color w:val="1E1E1E"/>
        </w:rPr>
        <w:t>In December 2025, we reported on a natural history analysis in collaboration with Amsterdam University Medical Centre to contextualize the single-arm efficacy TUPELO trial of REC-4881, and to better understand the natural history of FAP. The study analyzed a subset of 55 patients from a FAP registry which met key inclusion criteria of TUPELO. Results suggested that the natural history of FAP is to progress: 87% of untreated patients in the registry experienced annualized increase in polyp burden, with 10% being stable and 3% experiencing a modest decrease in polyp burden, shown in the figure below. A mean increase of 60% and median increase of 28% in annualized polyp burden was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14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6" w:lineRule="exact"/>
        <w:rPr>
          <w:sz w:val="20"/>
          <w:szCs w:val="20"/>
          <w:color w:val="auto"/>
        </w:rPr>
      </w:pPr>
    </w:p>
    <w:p>
      <w:pPr>
        <w:ind w:left="100" w:hanging="92"/>
        <w:spacing w:after="0"/>
        <w:tabs>
          <w:tab w:leader="none" w:pos="100" w:val="left"/>
        </w:tabs>
        <w:numPr>
          <w:ilvl w:val="0"/>
          <w:numId w:val="25"/>
        </w:numPr>
        <w:rPr>
          <w:rFonts w:ascii="Arial" w:cs="Arial" w:eastAsia="Arial" w:hAnsi="Arial"/>
          <w:sz w:val="19"/>
          <w:szCs w:val="19"/>
          <w:i w:val="1"/>
          <w:iCs w:val="1"/>
          <w:color w:val="6E6E6E"/>
          <w:vertAlign w:val="superscript"/>
        </w:rPr>
      </w:pPr>
      <w:r>
        <w:rPr>
          <w:rFonts w:ascii="Arial" w:cs="Arial" w:eastAsia="Arial" w:hAnsi="Arial"/>
          <w:sz w:val="14"/>
          <w:szCs w:val="14"/>
          <w:i w:val="1"/>
          <w:iCs w:val="1"/>
          <w:color w:val="6E6E6E"/>
        </w:rPr>
        <w:t>Data on file.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394335</wp:posOffset>
            </wp:positionV>
            <wp:extent cx="4688840" cy="2880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8884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09" w:lineRule="auto"/>
        <w:rPr>
          <w:sz w:val="20"/>
          <w:szCs w:val="20"/>
          <w:color w:val="auto"/>
        </w:rPr>
      </w:pPr>
      <w:r>
        <w:rPr>
          <w:rFonts w:ascii="Arial" w:cs="Arial" w:eastAsia="Arial" w:hAnsi="Arial"/>
          <w:sz w:val="14"/>
          <w:szCs w:val="14"/>
          <w:b w:val="1"/>
          <w:bCs w:val="1"/>
          <w:color w:val="6E6E6E"/>
        </w:rPr>
        <w:t xml:space="preserve">Figure 17. Annualized percent change in polyp burden in a natural history cohort. </w:t>
      </w:r>
      <w:r>
        <w:rPr>
          <w:rFonts w:ascii="Arial" w:cs="Arial" w:eastAsia="Arial" w:hAnsi="Arial"/>
          <w:sz w:val="14"/>
          <w:szCs w:val="14"/>
          <w:color w:val="6E6E6E"/>
        </w:rPr>
        <w:t>Each bar represents one patient. 6 patients had separate endoscopic evaluations for</w:t>
      </w:r>
      <w:r>
        <w:rPr>
          <w:rFonts w:ascii="Arial" w:cs="Arial" w:eastAsia="Arial" w:hAnsi="Arial"/>
          <w:sz w:val="14"/>
          <w:szCs w:val="14"/>
          <w:b w:val="1"/>
          <w:bCs w:val="1"/>
          <w:color w:val="6E6E6E"/>
        </w:rPr>
        <w:t xml:space="preserve"> </w:t>
      </w:r>
      <w:r>
        <w:rPr>
          <w:rFonts w:ascii="Arial" w:cs="Arial" w:eastAsia="Arial" w:hAnsi="Arial"/>
          <w:sz w:val="14"/>
          <w:szCs w:val="14"/>
          <w:color w:val="6E6E6E"/>
        </w:rPr>
        <w:t>upper and lower GI involvement and have repeated bars. Data includes 55 patients aged ≥55 with a history of colectomy and measurable polyp burden at baseline endoscopy. In routine care, endoscopies for lower and upper GI are performed annually with variability. Therefore, polyp burden percent change was annualized. 52 (97%) of the 55 patients had an increase or stable polyp burden.</w:t>
      </w:r>
      <w:r>
        <w:rPr>
          <w:rFonts w:ascii="Arial" w:cs="Arial" w:eastAsia="Arial" w:hAnsi="Arial"/>
          <w:sz w:val="9"/>
          <w:szCs w:val="9"/>
          <w:color w:val="6E6E6E"/>
        </w:rPr>
        <w:t>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1AA7DF"/>
        </w:rPr>
        <w:t>Competitors</w:t>
      </w:r>
    </w:p>
    <w:p>
      <w:pPr>
        <w:spacing w:after="0" w:line="81"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1E1E1E"/>
        </w:rPr>
        <w:t>No drugs have been approved for FAP patients, though some generic drugs are used in selected patients to reduce polyp burden. The following programs represent the most clinically advanced efforts specifically evaluated in FAP populations:</w:t>
      </w:r>
    </w:p>
    <w:p>
      <w:pPr>
        <w:spacing w:after="0" w:line="168" w:lineRule="exact"/>
        <w:rPr>
          <w:sz w:val="20"/>
          <w:szCs w:val="20"/>
          <w:color w:val="auto"/>
        </w:rPr>
      </w:pPr>
    </w:p>
    <w:p>
      <w:pPr>
        <w:ind w:left="660" w:right="20" w:hanging="328"/>
        <w:spacing w:after="0" w:line="289" w:lineRule="auto"/>
        <w:tabs>
          <w:tab w:leader="none" w:pos="649" w:val="left"/>
        </w:tabs>
        <w:numPr>
          <w:ilvl w:val="0"/>
          <w:numId w:val="26"/>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Flynpovi (Panbela Therapeutics) </w:t>
      </w:r>
      <w:r>
        <w:rPr>
          <w:rFonts w:ascii="Arial" w:cs="Arial" w:eastAsia="Arial" w:hAnsi="Arial"/>
          <w:sz w:val="16"/>
          <w:szCs w:val="16"/>
          <w:color w:val="1E1E1E"/>
        </w:rPr>
        <w:t>— A fixed-dose combination of sulindac and eflornithine. The combination of the individual drugs was previously</w:t>
      </w:r>
      <w:r>
        <w:rPr>
          <w:rFonts w:ascii="Arial" w:cs="Arial" w:eastAsia="Arial" w:hAnsi="Arial"/>
          <w:sz w:val="16"/>
          <w:szCs w:val="16"/>
          <w:b w:val="1"/>
          <w:bCs w:val="1"/>
          <w:color w:val="1E1E1E"/>
        </w:rPr>
        <w:t xml:space="preserve"> </w:t>
      </w:r>
      <w:r>
        <w:rPr>
          <w:rFonts w:ascii="Arial" w:cs="Arial" w:eastAsia="Arial" w:hAnsi="Arial"/>
          <w:sz w:val="16"/>
          <w:szCs w:val="16"/>
          <w:color w:val="1E1E1E"/>
        </w:rPr>
        <w:t>evaluated vs. the individual drugs alone in a randomized Phase 3 trial in FAP. Post hoc analyses suggested a potential effect on delaying lower gastrointestinal surgery; Panbela had indicated plans for a new Phase 3 study in FAP patients, including those with an intact colon, although the company has provided no updates on development plans since 2023.</w:t>
      </w:r>
    </w:p>
    <w:p>
      <w:pPr>
        <w:spacing w:after="0" w:line="4" w:lineRule="exact"/>
        <w:rPr>
          <w:rFonts w:ascii="Arial" w:cs="Arial" w:eastAsia="Arial" w:hAnsi="Arial"/>
          <w:sz w:val="16"/>
          <w:szCs w:val="16"/>
          <w:b w:val="1"/>
          <w:bCs w:val="1"/>
          <w:color w:val="1E1E1E"/>
        </w:rPr>
      </w:pPr>
    </w:p>
    <w:p>
      <w:pPr>
        <w:ind w:left="660" w:right="200" w:hanging="328"/>
        <w:spacing w:after="0" w:line="308" w:lineRule="auto"/>
        <w:tabs>
          <w:tab w:leader="none" w:pos="649" w:val="left"/>
        </w:tabs>
        <w:numPr>
          <w:ilvl w:val="0"/>
          <w:numId w:val="26"/>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eRapa (Biodexa Pharmaceuticals) </w:t>
      </w:r>
      <w:r>
        <w:rPr>
          <w:rFonts w:ascii="Arial" w:cs="Arial" w:eastAsia="Arial" w:hAnsi="Arial"/>
          <w:sz w:val="16"/>
          <w:szCs w:val="16"/>
          <w:color w:val="1E1E1E"/>
        </w:rPr>
        <w:t>— A formulation of rapamycin currently being evaluated in a Phase 3 study in FAP patients both prior to and</w:t>
      </w:r>
      <w:r>
        <w:rPr>
          <w:rFonts w:ascii="Arial" w:cs="Arial" w:eastAsia="Arial" w:hAnsi="Arial"/>
          <w:sz w:val="16"/>
          <w:szCs w:val="16"/>
          <w:b w:val="1"/>
          <w:bCs w:val="1"/>
          <w:color w:val="1E1E1E"/>
        </w:rPr>
        <w:t xml:space="preserve"> </w:t>
      </w:r>
      <w:r>
        <w:rPr>
          <w:rFonts w:ascii="Arial" w:cs="Arial" w:eastAsia="Arial" w:hAnsi="Arial"/>
          <w:sz w:val="16"/>
          <w:szCs w:val="16"/>
          <w:color w:val="1E1E1E"/>
        </w:rPr>
        <w:t>following colectomy, with primary completion in 2030.</w:t>
      </w:r>
    </w:p>
    <w:p>
      <w:pPr>
        <w:ind w:left="1300" w:right="60" w:hanging="320"/>
        <w:spacing w:after="0" w:line="316" w:lineRule="auto"/>
        <w:tabs>
          <w:tab w:leader="none" w:pos="1290" w:val="left"/>
        </w:tabs>
        <w:numPr>
          <w:ilvl w:val="1"/>
          <w:numId w:val="26"/>
        </w:numPr>
        <w:rPr>
          <w:rFonts w:ascii="Arial" w:cs="Arial" w:eastAsia="Arial" w:hAnsi="Arial"/>
          <w:sz w:val="16"/>
          <w:szCs w:val="16"/>
          <w:color w:val="1E1E1E"/>
        </w:rPr>
      </w:pPr>
      <w:r>
        <w:rPr>
          <w:rFonts w:ascii="Arial" w:cs="Arial" w:eastAsia="Arial" w:hAnsi="Arial"/>
          <w:sz w:val="16"/>
          <w:szCs w:val="16"/>
          <w:color w:val="1E1E1E"/>
        </w:rPr>
        <w:t>Phase 2 data among adult patients with and without intact colon in cohort 2 (Phase 3 dose) showed a 29% median reduction in total polyp burden at 12 months.</w:t>
      </w:r>
    </w:p>
    <w:p>
      <w:pPr>
        <w:spacing w:after="0" w:line="1" w:lineRule="exact"/>
        <w:rPr>
          <w:rFonts w:ascii="Arial" w:cs="Arial" w:eastAsia="Arial" w:hAnsi="Arial"/>
          <w:sz w:val="16"/>
          <w:szCs w:val="16"/>
          <w:color w:val="1E1E1E"/>
        </w:rPr>
      </w:pPr>
    </w:p>
    <w:p>
      <w:pPr>
        <w:ind w:left="660" w:right="720" w:hanging="328"/>
        <w:spacing w:after="0" w:line="304" w:lineRule="auto"/>
        <w:tabs>
          <w:tab w:leader="none" w:pos="649" w:val="left"/>
        </w:tabs>
        <w:numPr>
          <w:ilvl w:val="0"/>
          <w:numId w:val="26"/>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Eicosapentaenoic Acid (SLA Pharma) </w:t>
      </w:r>
      <w:r>
        <w:rPr>
          <w:rFonts w:ascii="Arial" w:cs="Arial" w:eastAsia="Arial" w:hAnsi="Arial"/>
          <w:sz w:val="16"/>
          <w:szCs w:val="16"/>
          <w:color w:val="1E1E1E"/>
        </w:rPr>
        <w:t>— A derivative of an omega-3 fatty acid which was under evaluation in a Phase 3 study for polyp</w:t>
      </w:r>
      <w:r>
        <w:rPr>
          <w:rFonts w:ascii="Arial" w:cs="Arial" w:eastAsia="Arial" w:hAnsi="Arial"/>
          <w:sz w:val="16"/>
          <w:szCs w:val="16"/>
          <w:b w:val="1"/>
          <w:bCs w:val="1"/>
          <w:color w:val="1E1E1E"/>
        </w:rPr>
        <w:t xml:space="preserve"> </w:t>
      </w:r>
      <w:r>
        <w:rPr>
          <w:rFonts w:ascii="Arial" w:cs="Arial" w:eastAsia="Arial" w:hAnsi="Arial"/>
          <w:sz w:val="16"/>
          <w:szCs w:val="16"/>
          <w:color w:val="1E1E1E"/>
        </w:rPr>
        <w:t>suppression in FAP, completed over 6 years in 2024 and is pending data updates. It has previously shared data from a Phase 2/3 study:</w:t>
      </w:r>
    </w:p>
    <w:p>
      <w:pPr>
        <w:spacing w:after="0" w:line="6" w:lineRule="exact"/>
        <w:rPr>
          <w:rFonts w:ascii="Arial" w:cs="Arial" w:eastAsia="Arial" w:hAnsi="Arial"/>
          <w:sz w:val="16"/>
          <w:szCs w:val="16"/>
          <w:b w:val="1"/>
          <w:bCs w:val="1"/>
          <w:color w:val="1E1E1E"/>
        </w:rPr>
      </w:pPr>
    </w:p>
    <w:p>
      <w:pPr>
        <w:ind w:left="1300" w:hanging="320"/>
        <w:spacing w:after="0"/>
        <w:tabs>
          <w:tab w:leader="none" w:pos="1300" w:val="left"/>
        </w:tabs>
        <w:numPr>
          <w:ilvl w:val="1"/>
          <w:numId w:val="26"/>
        </w:numPr>
        <w:rPr>
          <w:rFonts w:ascii="Arial" w:cs="Arial" w:eastAsia="Arial" w:hAnsi="Arial"/>
          <w:sz w:val="16"/>
          <w:szCs w:val="16"/>
          <w:color w:val="1E1E1E"/>
        </w:rPr>
      </w:pPr>
      <w:r>
        <w:rPr>
          <w:rFonts w:ascii="Arial" w:cs="Arial" w:eastAsia="Arial" w:hAnsi="Arial"/>
          <w:sz w:val="16"/>
          <w:szCs w:val="16"/>
          <w:color w:val="1E1E1E"/>
        </w:rPr>
        <w:t>A 17% reduction in polyp size (diameters) vs baseline at 6 months, which translates to 29.8% mean reduction vs. placebo.</w:t>
      </w:r>
    </w:p>
    <w:p>
      <w:pPr>
        <w:spacing w:after="0" w:line="72" w:lineRule="exact"/>
        <w:rPr>
          <w:rFonts w:ascii="Arial" w:cs="Arial" w:eastAsia="Arial" w:hAnsi="Arial"/>
          <w:sz w:val="16"/>
          <w:szCs w:val="16"/>
          <w:color w:val="1E1E1E"/>
        </w:rPr>
      </w:pPr>
    </w:p>
    <w:p>
      <w:pPr>
        <w:ind w:left="1300" w:hanging="320"/>
        <w:spacing w:after="0"/>
        <w:tabs>
          <w:tab w:leader="none" w:pos="1300" w:val="left"/>
        </w:tabs>
        <w:numPr>
          <w:ilvl w:val="1"/>
          <w:numId w:val="26"/>
        </w:numPr>
        <w:rPr>
          <w:rFonts w:ascii="Arial" w:cs="Arial" w:eastAsia="Arial" w:hAnsi="Arial"/>
          <w:sz w:val="16"/>
          <w:szCs w:val="16"/>
          <w:color w:val="1E1E1E"/>
        </w:rPr>
      </w:pPr>
      <w:r>
        <w:rPr>
          <w:rFonts w:ascii="Arial" w:cs="Arial" w:eastAsia="Arial" w:hAnsi="Arial"/>
          <w:sz w:val="16"/>
          <w:szCs w:val="16"/>
          <w:color w:val="1E1E1E"/>
        </w:rPr>
        <w:t>A decrease 34% from baseline in global rectal polyp burden was reported vs. a 9% increase with placebo.</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1E1E1E"/>
        </w:rPr>
        <w:t>Depending on jurisdiction, this product may be regulated differently from traditional prescription pharmaceuticals.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1E1E1E"/>
        </w:rPr>
        <w:t>The following programs are in early clinical development or include FAP as a subset of a broader development strategy:</w:t>
      </w:r>
    </w:p>
    <w:p>
      <w:pPr>
        <w:spacing w:after="0" w:line="235" w:lineRule="exact"/>
        <w:rPr>
          <w:sz w:val="20"/>
          <w:szCs w:val="20"/>
          <w:color w:val="auto"/>
        </w:rPr>
      </w:pPr>
    </w:p>
    <w:p>
      <w:pPr>
        <w:ind w:left="660" w:right="220" w:hanging="328"/>
        <w:spacing w:after="0" w:line="308" w:lineRule="auto"/>
        <w:tabs>
          <w:tab w:leader="none" w:pos="649" w:val="left"/>
        </w:tabs>
        <w:numPr>
          <w:ilvl w:val="0"/>
          <w:numId w:val="27"/>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FOG-001 (zolucatetide, Parabilis Medicines) </w:t>
      </w:r>
      <w:r>
        <w:rPr>
          <w:rFonts w:ascii="Arial" w:cs="Arial" w:eastAsia="Arial" w:hAnsi="Arial"/>
          <w:sz w:val="16"/>
          <w:szCs w:val="16"/>
          <w:color w:val="1E1E1E"/>
        </w:rPr>
        <w:t>— A peptide-based investigational therapy with early clinical evidence reported in FAP. Additional</w:t>
      </w:r>
      <w:r>
        <w:rPr>
          <w:rFonts w:ascii="Arial" w:cs="Arial" w:eastAsia="Arial" w:hAnsi="Arial"/>
          <w:sz w:val="16"/>
          <w:szCs w:val="16"/>
          <w:b w:val="1"/>
          <w:bCs w:val="1"/>
          <w:color w:val="1E1E1E"/>
        </w:rPr>
        <w:t xml:space="preserve"> </w:t>
      </w:r>
      <w:r>
        <w:rPr>
          <w:rFonts w:ascii="Arial" w:cs="Arial" w:eastAsia="Arial" w:hAnsi="Arial"/>
          <w:sz w:val="16"/>
          <w:szCs w:val="16"/>
          <w:color w:val="1E1E1E"/>
        </w:rPr>
        <w:t>clinical data are expected in 2026.</w:t>
      </w:r>
    </w:p>
    <w:p>
      <w:pPr>
        <w:ind w:left="640" w:hanging="308"/>
        <w:spacing w:after="0"/>
        <w:tabs>
          <w:tab w:leader="none" w:pos="640" w:val="left"/>
        </w:tabs>
        <w:numPr>
          <w:ilvl w:val="0"/>
          <w:numId w:val="27"/>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TPST-1495 (Tempest Therapeutics) </w:t>
      </w:r>
      <w:r>
        <w:rPr>
          <w:rFonts w:ascii="Arial" w:cs="Arial" w:eastAsia="Arial" w:hAnsi="Arial"/>
          <w:sz w:val="16"/>
          <w:szCs w:val="16"/>
          <w:color w:val="1E1E1E"/>
        </w:rPr>
        <w:t>— A dual EP2/EP4 antagonist with a Phase 2 study in FAP(NCI run study) anticipated to initiate in 2026.</w:t>
      </w:r>
    </w:p>
    <w:p>
      <w:pPr>
        <w:spacing w:after="0" w:line="86" w:lineRule="exact"/>
        <w:rPr>
          <w:rFonts w:ascii="Arial" w:cs="Arial" w:eastAsia="Arial" w:hAnsi="Arial"/>
          <w:sz w:val="16"/>
          <w:szCs w:val="16"/>
          <w:b w:val="1"/>
          <w:bCs w:val="1"/>
          <w:color w:val="1E1E1E"/>
        </w:rPr>
      </w:pPr>
    </w:p>
    <w:p>
      <w:pPr>
        <w:ind w:left="660" w:right="160" w:hanging="328"/>
        <w:spacing w:after="0" w:line="321" w:lineRule="auto"/>
        <w:tabs>
          <w:tab w:leader="none" w:pos="649" w:val="left"/>
        </w:tabs>
        <w:numPr>
          <w:ilvl w:val="0"/>
          <w:numId w:val="27"/>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ZKN-013 (Eloxx Pharmaceuticals / Almirall) </w:t>
      </w:r>
      <w:r>
        <w:rPr>
          <w:rFonts w:ascii="Arial" w:cs="Arial" w:eastAsia="Arial" w:hAnsi="Arial"/>
          <w:sz w:val="16"/>
          <w:szCs w:val="16"/>
          <w:color w:val="1E1E1E"/>
        </w:rPr>
        <w:t>— A small-molecule read through agent currently in a Phase 1 clinical trial that includes a cohort of</w:t>
      </w:r>
      <w:r>
        <w:rPr>
          <w:rFonts w:ascii="Arial" w:cs="Arial" w:eastAsia="Arial" w:hAnsi="Arial"/>
          <w:sz w:val="16"/>
          <w:szCs w:val="16"/>
          <w:b w:val="1"/>
          <w:bCs w:val="1"/>
          <w:color w:val="1E1E1E"/>
        </w:rPr>
        <w:t xml:space="preserve"> </w:t>
      </w:r>
      <w:r>
        <w:rPr>
          <w:rFonts w:ascii="Arial" w:cs="Arial" w:eastAsia="Arial" w:hAnsi="Arial"/>
          <w:sz w:val="16"/>
          <w:szCs w:val="16"/>
          <w:color w:val="1E1E1E"/>
        </w:rPr>
        <w:t>patients with FAP.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714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7"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9"/>
          <w:szCs w:val="19"/>
          <w:i w:val="1"/>
          <w:iCs w:val="1"/>
          <w:color w:val="6E6E6E"/>
          <w:vertAlign w:val="superscript"/>
        </w:rPr>
      </w:pPr>
      <w:r>
        <w:rPr>
          <w:rFonts w:ascii="Arial" w:cs="Arial" w:eastAsia="Arial" w:hAnsi="Arial"/>
          <w:sz w:val="14"/>
          <w:szCs w:val="14"/>
          <w:i w:val="1"/>
          <w:iCs w:val="1"/>
          <w:color w:val="6E6E6E"/>
        </w:rPr>
        <w:t>Data on file.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REC-617 for Advanced Solid Tumors – Phase 1/2</w:t>
      </w:r>
    </w:p>
    <w:p>
      <w:pPr>
        <w:spacing w:after="0" w:line="77"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1E1E1E"/>
        </w:rPr>
        <w:t>REC-617 is an orally bioavailable, cyclin-dependent kinase 7 (CDK7) inhibitor currently under development for the treatment of advanced solid tumors. Inhibiting CDK7 targets both cell cycle dysregulation and transcriptional "addiction", which are hallmarks of multiple aggressive cancers including, but not limited to, CDK4/6 resistant breast cancer, ovarian cancer, and other solid tumors. There are currently no CDK7 inhibitors approved by the FDA. ELUCIDATE, a Phase 1/2 open-label, multicenter, safety, PK, PD and preliminary efficacy study is currently underway. Interim monotherapy Phase 1 safety, PK, PD, and efficacy data were shared in the fourth quarter of 2024, with expanded data from a larger cohort of patients shared in the fourth quarter of 2025. Phase 1 monotherapy dose escalation is ongoing in 2026, to evaluate alternative dosing schedules. Phase 1 dose escalation combination cohorts were initiated in 2L+ PROC in 2025, with initial combination regimens including bevacizumab plus paclitaxel or pegylated liposomal doxorubicin (PLD). A Phase 2 dose expansion monotherapy cohort in PROC was also initiated in 2025. We expect to provide early safety and PK combination data in 2027.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1AA7DF"/>
        </w:rPr>
        <w:t>Disease Overview</w:t>
      </w:r>
    </w:p>
    <w:p>
      <w:pPr>
        <w:spacing w:after="0" w:line="6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1E1E1E"/>
        </w:rPr>
        <w:t>The importance of cell cycle inhibitors in oncology has been established with CDK4/6 inhibitors, which generated approximately $10.5 billion in sales in 2023. Aberrant CDK7 overexpression is common in many cancer indications and associated with poor prognosis. CDK7 presents an opportunity to improve treatment outcomes over CDK4/6 inhibitors due to CDK7’s dual role in cell cycle progression and transcription. Potential specific indications include ovarian cancer, HR+ breast cancer, triple negative breast cancer, pancreatic cancer, ovarian cancer, head and neck cancer, and NSCLC for which we estimate an addressable population of approximately 150,000 drug-treatable patients per year in the US and EU5.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1AA7DF"/>
        </w:rPr>
        <w:t>Insight from Recursion OS</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6"/>
          <w:szCs w:val="16"/>
          <w:color w:val="1E1E1E"/>
        </w:rPr>
        <w:t>CDK7 inhibitor development has faced significant challenges, primarily due to off-target effects and suboptimal pharmacokinetics. Previous attempts often employed covalent binding mechanisms or exhibited poor oral bioavailability, leading to undesirable side effects in the clinic. Current candidates in development for CDK7 feature covalent binding or extended half-lives potentially resulting in substantial on-target toxicity. In addition, the reversible inhibitors under investigation are transporter substrates, likely compromising their absorption and exacerbating gastrointestinal adverse events. These limitations underscore the critical need for novel CDK7 inhibitor designs that optimize both safety and efficacy profiles.</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1E1E1E"/>
        </w:rPr>
        <w:t>Leveraging our AI-driven multi-parameter optimization approach, we identified critical design limitations in existing CDK7 inhibitors. This insight led to an improved target product profile and a novel molecule design. REC-617 is an orally bioavailable, potent and selective CDK7 inhibitor with enhanced oral bioavailability. It has a non-covalent, reversible mechanism of action, and a predicted shorter human half-life compared to other drugs in development. These characteristics potentially offer an improved therapeutic index, less off-target effects, and more consistent absorption.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1AA7DF"/>
        </w:rPr>
        <w:t>Preclinical</w:t>
      </w:r>
    </w:p>
    <w:p>
      <w:pPr>
        <w:spacing w:after="0" w:line="68"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1E1E1E"/>
        </w:rPr>
        <w:t>REC-617 has demonstrated strong anti-tumor activities in preclinical studies, and in vivo experiments showed potent tumor regression across multiple solid tumor types. Notably, in the OVCAR3 ovarian cancer xenograft model as shown below, complete tumor regression was observed in all 8 mice treated with 10 mg/kg by Day 27. Importantly, no significant body weight loss was observed across treatment arms. Mouse PK studies revealed that maintaining 8-10 hours of CDK7 IC</w:t>
      </w:r>
      <w:r>
        <w:rPr>
          <w:rFonts w:ascii="Arial" w:cs="Arial" w:eastAsia="Arial" w:hAnsi="Arial"/>
          <w:sz w:val="21"/>
          <w:szCs w:val="21"/>
          <w:color w:val="1E1E1E"/>
          <w:vertAlign w:val="subscript"/>
        </w:rPr>
        <w:t>80</w:t>
      </w:r>
      <w:r>
        <w:rPr>
          <w:rFonts w:ascii="Arial" w:cs="Arial" w:eastAsia="Arial" w:hAnsi="Arial"/>
          <w:sz w:val="16"/>
          <w:szCs w:val="16"/>
          <w:color w:val="1E1E1E"/>
        </w:rPr>
        <w:t xml:space="preserve"> coverage resulted in potent tumor regression with minimal side effects, while coverage beyond 10 hours led to significant body weight loss. This defined an optimal therapeutic window that guided target efficacious exposures in the clinic.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394335</wp:posOffset>
            </wp:positionV>
            <wp:extent cx="4937760" cy="22542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3776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20" w:lineRule="auto"/>
        <w:rPr>
          <w:sz w:val="20"/>
          <w:szCs w:val="20"/>
          <w:color w:val="auto"/>
        </w:rPr>
      </w:pPr>
      <w:r>
        <w:rPr>
          <w:rFonts w:ascii="Arial" w:cs="Arial" w:eastAsia="Arial" w:hAnsi="Arial"/>
          <w:sz w:val="14"/>
          <w:szCs w:val="14"/>
          <w:b w:val="1"/>
          <w:bCs w:val="1"/>
          <w:color w:val="6E6E6E"/>
        </w:rPr>
        <w:t xml:space="preserve">Figure 18. REC-1245 anti-tumor activity and PK in preclinical tumor models. </w:t>
      </w:r>
      <w:r>
        <w:rPr>
          <w:rFonts w:ascii="Arial" w:cs="Arial" w:eastAsia="Arial" w:hAnsi="Arial"/>
          <w:sz w:val="14"/>
          <w:szCs w:val="14"/>
          <w:color w:val="6E6E6E"/>
        </w:rPr>
        <w:t>(Left) REC-617 induces tumor regression in the OVCAR3 cell line derived xenograft mouse</w:t>
      </w:r>
      <w:r>
        <w:rPr>
          <w:rFonts w:ascii="Arial" w:cs="Arial" w:eastAsia="Arial" w:hAnsi="Arial"/>
          <w:sz w:val="14"/>
          <w:szCs w:val="14"/>
          <w:b w:val="1"/>
          <w:bCs w:val="1"/>
          <w:color w:val="6E6E6E"/>
        </w:rPr>
        <w:t xml:space="preserve"> </w:t>
      </w:r>
      <w:r>
        <w:rPr>
          <w:rFonts w:ascii="Arial" w:cs="Arial" w:eastAsia="Arial" w:hAnsi="Arial"/>
          <w:sz w:val="14"/>
          <w:szCs w:val="14"/>
          <w:color w:val="6E6E6E"/>
        </w:rPr>
        <w:t>model. N=8, 28 days of treatment, REC-617 administered QD PO. (Right) REC-617 administration results in 8-10 hours of therapeutic coverage at IC</w:t>
      </w:r>
      <w:r>
        <w:rPr>
          <w:rFonts w:ascii="Arial" w:cs="Arial" w:eastAsia="Arial" w:hAnsi="Arial"/>
          <w:sz w:val="9"/>
          <w:szCs w:val="9"/>
          <w:color w:val="6E6E6E"/>
        </w:rPr>
        <w:t>80</w:t>
      </w:r>
      <w:r>
        <w:rPr>
          <w:rFonts w:ascii="Arial" w:cs="Arial" w:eastAsia="Arial" w:hAnsi="Arial"/>
          <w:sz w:val="14"/>
          <w:szCs w:val="14"/>
          <w:color w:val="6E6E6E"/>
        </w:rPr>
        <w:t>. PK studies conducted in CD1 mice, single-dose administration PO.</w:t>
      </w:r>
      <w:r>
        <w:rPr>
          <w:rFonts w:ascii="Arial" w:cs="Arial" w:eastAsia="Arial" w:hAnsi="Arial"/>
          <w:sz w:val="18"/>
          <w:szCs w:val="18"/>
          <w:color w:val="6E6E6E"/>
          <w:vertAlign w:val="superscript"/>
        </w:rPr>
        <w:t>11,12</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1AA7DF"/>
        </w:rPr>
        <w:t>Clinical</w:t>
      </w:r>
    </w:p>
    <w:p>
      <w:pPr>
        <w:spacing w:after="0" w:line="81"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1E1E1E"/>
        </w:rPr>
        <w:t>In the third quarter of 2023, we initiated a Phase 1/2 open-label, multicenter study (ELUCIDATE) in patients with advanced solid tumors, with the design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116205</wp:posOffset>
            </wp:positionV>
            <wp:extent cx="4277360" cy="2588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7736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19. ELUCIDATE study design. </w:t>
      </w:r>
      <w:r>
        <w:rPr>
          <w:rFonts w:ascii="Arial" w:cs="Arial" w:eastAsia="Arial" w:hAnsi="Arial"/>
          <w:sz w:val="14"/>
          <w:szCs w:val="14"/>
          <w:color w:val="6E6E6E"/>
        </w:rPr>
        <w:t>Phase 1/2 trial design to assess the safety, PK, exploratory PD, and efficacy of REC-617 in patients with advanced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714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94" w:lineRule="exact"/>
        <w:rPr>
          <w:sz w:val="20"/>
          <w:szCs w:val="20"/>
          <w:color w:val="auto"/>
        </w:rPr>
      </w:pPr>
    </w:p>
    <w:p>
      <w:pPr>
        <w:ind w:right="1540" w:firstLine="8"/>
        <w:spacing w:after="0" w:line="270" w:lineRule="auto"/>
        <w:tabs>
          <w:tab w:leader="none" w:pos="137" w:val="left"/>
        </w:tabs>
        <w:numPr>
          <w:ilvl w:val="0"/>
          <w:numId w:val="29"/>
        </w:numPr>
        <w:rPr>
          <w:rFonts w:ascii="Arial" w:cs="Arial" w:eastAsia="Arial" w:hAnsi="Arial"/>
          <w:sz w:val="17"/>
          <w:szCs w:val="17"/>
          <w:i w:val="1"/>
          <w:iCs w:val="1"/>
          <w:color w:val="6E6E6E"/>
          <w:vertAlign w:val="superscript"/>
        </w:rPr>
      </w:pPr>
      <w:r>
        <w:rPr>
          <w:rFonts w:ascii="Arial" w:cs="Arial" w:eastAsia="Arial" w:hAnsi="Arial"/>
          <w:sz w:val="13"/>
          <w:szCs w:val="13"/>
          <w:i w:val="1"/>
          <w:iCs w:val="1"/>
          <w:color w:val="6E6E6E"/>
        </w:rPr>
        <w:t>Besnard, et al. (2022). AI-driven discovery and profiling of GTAEXS-617, a selective and highly potent inhibitor of CDK7 [abstract]. AACR; Cancer Res 2022;82(12_Supplement): 3930.</w:t>
      </w:r>
    </w:p>
    <w:p>
      <w:pPr>
        <w:spacing w:after="0" w:line="3" w:lineRule="exact"/>
        <w:rPr>
          <w:rFonts w:ascii="Arial" w:cs="Arial" w:eastAsia="Arial" w:hAnsi="Arial"/>
          <w:sz w:val="17"/>
          <w:szCs w:val="17"/>
          <w:i w:val="1"/>
          <w:iCs w:val="1"/>
          <w:color w:val="6E6E6E"/>
          <w:vertAlign w:val="superscript"/>
        </w:rPr>
      </w:pPr>
    </w:p>
    <w:p>
      <w:pPr>
        <w:ind w:right="140" w:firstLine="8"/>
        <w:spacing w:after="0" w:line="302" w:lineRule="auto"/>
        <w:tabs>
          <w:tab w:leader="none" w:pos="144" w:val="left"/>
        </w:tabs>
        <w:numPr>
          <w:ilvl w:val="0"/>
          <w:numId w:val="29"/>
        </w:numPr>
        <w:rPr>
          <w:rFonts w:ascii="Arial" w:cs="Arial" w:eastAsia="Arial" w:hAnsi="Arial"/>
          <w:sz w:val="9"/>
          <w:szCs w:val="9"/>
          <w:i w:val="1"/>
          <w:iCs w:val="1"/>
          <w:color w:val="6E6E6E"/>
        </w:rPr>
      </w:pPr>
      <w:r>
        <w:rPr>
          <w:rFonts w:ascii="Arial" w:cs="Arial" w:eastAsia="Arial" w:hAnsi="Arial"/>
          <w:sz w:val="14"/>
          <w:szCs w:val="14"/>
          <w:i w:val="1"/>
          <w:iCs w:val="1"/>
          <w:color w:val="6E6E6E"/>
        </w:rPr>
        <w:t>Hallett, et al. (2024). Overcoming traditional design limitations with AI-based discovery. AACR Special Conference in Cancer Research: Optimizing Therapeutic Efficacy and Tolerability through Cancer Chemistry; Plenary Session 1</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1E1E1E"/>
        </w:rPr>
        <w:t>In December 2024, we presented results from the initial 18 response evaluable patients from Phase 1 monotherapy dose escalation at an AACR Special Conference in Cancer Research. In November 2025, updated results from a monotherapy cohort of 29 heavily pre-treated patients who received 6 dose levels of REC-617 (QD and BID) were reported. REC-617 was well-tolerated with predominantly Grade 1-2 adverse events, and fewer GI side-effects than reported for other CDK7 inhibitors. The most common DLTs were nausea and thrombocytopenia, and 6.9% (N=2) of patients discontinued due to a TRAE. The MTD was established at 10 mg once daily. PK data support dose-proportional exposure (see figure below), rapid absorption, and a short half-life (~5h).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128270</wp:posOffset>
            </wp:positionV>
            <wp:extent cx="3703320" cy="22802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0332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20"/>
        <w:spacing w:after="0" w:line="334" w:lineRule="auto"/>
        <w:rPr>
          <w:sz w:val="20"/>
          <w:szCs w:val="20"/>
          <w:color w:val="auto"/>
        </w:rPr>
      </w:pPr>
      <w:r>
        <w:rPr>
          <w:rFonts w:ascii="Arial" w:cs="Arial" w:eastAsia="Arial" w:hAnsi="Arial"/>
          <w:sz w:val="14"/>
          <w:szCs w:val="14"/>
          <w:b w:val="1"/>
          <w:bCs w:val="1"/>
          <w:color w:val="6E6E6E"/>
        </w:rPr>
        <w:t xml:space="preserve">Figure 20. REC-617 clinical plasma pharmacokinetics. </w:t>
      </w:r>
      <w:r>
        <w:rPr>
          <w:rFonts w:ascii="Arial" w:cs="Arial" w:eastAsia="Arial" w:hAnsi="Arial"/>
          <w:sz w:val="14"/>
          <w:szCs w:val="14"/>
          <w:color w:val="6E6E6E"/>
        </w:rPr>
        <w:t>REC-617 demonstrates dose-proportional exposures exceeding CDK7 IC50. Exposures remain below CDK2 IC80,</w:t>
      </w:r>
      <w:r>
        <w:rPr>
          <w:rFonts w:ascii="Arial" w:cs="Arial" w:eastAsia="Arial" w:hAnsi="Arial"/>
          <w:sz w:val="14"/>
          <w:szCs w:val="14"/>
          <w:b w:val="1"/>
          <w:bCs w:val="1"/>
          <w:color w:val="6E6E6E"/>
        </w:rPr>
        <w:t xml:space="preserve"> </w:t>
      </w:r>
      <w:r>
        <w:rPr>
          <w:rFonts w:ascii="Arial" w:cs="Arial" w:eastAsia="Arial" w:hAnsi="Arial"/>
          <w:sz w:val="14"/>
          <w:szCs w:val="14"/>
          <w:color w:val="6E6E6E"/>
        </w:rPr>
        <w:t>supporting selective target inhibition.</w:t>
      </w:r>
      <w:r>
        <w:rPr>
          <w:rFonts w:ascii="Arial" w:cs="Arial" w:eastAsia="Arial" w:hAnsi="Arial"/>
          <w:sz w:val="18"/>
          <w:szCs w:val="18"/>
          <w:color w:val="6E6E6E"/>
          <w:vertAlign w:val="superscript"/>
        </w:rPr>
        <w:t>13</w:t>
      </w:r>
    </w:p>
    <w:p>
      <w:pPr>
        <w:spacing w:after="0" w:line="23" w:lineRule="exact"/>
        <w:rPr>
          <w:sz w:val="20"/>
          <w:szCs w:val="20"/>
          <w:color w:val="auto"/>
        </w:rPr>
      </w:pPr>
    </w:p>
    <w:p>
      <w:pPr>
        <w:jc w:val="both"/>
        <w:ind w:right="360"/>
        <w:spacing w:after="0" w:line="301" w:lineRule="auto"/>
        <w:rPr>
          <w:sz w:val="20"/>
          <w:szCs w:val="20"/>
          <w:color w:val="auto"/>
        </w:rPr>
      </w:pPr>
      <w:r>
        <w:rPr>
          <w:rFonts w:ascii="Arial" w:cs="Arial" w:eastAsia="Arial" w:hAnsi="Arial"/>
          <w:sz w:val="16"/>
          <w:szCs w:val="16"/>
          <w:color w:val="1E1E1E"/>
        </w:rPr>
        <w:t>Encouraging antitumor activity included a confirmed partial response (PR), in a heavily pre-treated metastatic ovarian cancer patient. The patient had a maintained durable response and was treated with REC-617 for approximately 7 months. Patient LDH levels were also normalized, and reductions were observed in CA125 (-44%) and TK1 (-68%). Five additional patients achieved the best response of stable disease (SD) lasting up to six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1AA7DF"/>
        </w:rPr>
        <w:t>Competitors</w:t>
      </w:r>
    </w:p>
    <w:p>
      <w:pPr>
        <w:spacing w:after="0" w:line="8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1E1E1E"/>
        </w:rPr>
        <w:t>Several investigational CDK7 inhibitor programs have entered clinical development; however, the competitive landscape remains relatively limited, with only a small number of programs currently advancing in active clinical development. These programs vary by mechanism, combination strategy, geographic focus, and development priority.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1E1E1E"/>
        </w:rPr>
        <w:t>Programs with active clinical development and strategic focus</w:t>
      </w:r>
    </w:p>
    <w:p>
      <w:pPr>
        <w:spacing w:after="0" w:line="248" w:lineRule="exact"/>
        <w:rPr>
          <w:sz w:val="20"/>
          <w:szCs w:val="20"/>
          <w:color w:val="auto"/>
        </w:rPr>
      </w:pPr>
    </w:p>
    <w:p>
      <w:pPr>
        <w:ind w:left="660" w:right="180" w:hanging="328"/>
        <w:spacing w:after="0" w:line="308" w:lineRule="auto"/>
        <w:tabs>
          <w:tab w:leader="none" w:pos="649" w:val="left"/>
        </w:tabs>
        <w:numPr>
          <w:ilvl w:val="0"/>
          <w:numId w:val="30"/>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Samuraciclib (Carrick Therapeutics) </w:t>
      </w:r>
      <w:r>
        <w:rPr>
          <w:rFonts w:ascii="Arial" w:cs="Arial" w:eastAsia="Arial" w:hAnsi="Arial"/>
          <w:sz w:val="16"/>
          <w:szCs w:val="16"/>
          <w:color w:val="1E1E1E"/>
        </w:rPr>
        <w:t>— An oral CDK7 inhibitor currently in Phase 2 clinical development, primarily in combination with selective</w:t>
      </w:r>
      <w:r>
        <w:rPr>
          <w:rFonts w:ascii="Arial" w:cs="Arial" w:eastAsia="Arial" w:hAnsi="Arial"/>
          <w:sz w:val="16"/>
          <w:szCs w:val="16"/>
          <w:b w:val="1"/>
          <w:bCs w:val="1"/>
          <w:color w:val="1E1E1E"/>
        </w:rPr>
        <w:t xml:space="preserve"> </w:t>
      </w:r>
      <w:r>
        <w:rPr>
          <w:rFonts w:ascii="Arial" w:cs="Arial" w:eastAsia="Arial" w:hAnsi="Arial"/>
          <w:sz w:val="16"/>
          <w:szCs w:val="16"/>
          <w:color w:val="1E1E1E"/>
        </w:rPr>
        <w:t>estrogen receptor degraders (SERDs) for patients with HR-positive, HER2-negative breast cancer following progression on CDK4/6 inhibitors.</w:t>
      </w:r>
    </w:p>
    <w:p>
      <w:pPr>
        <w:ind w:left="1300" w:right="160" w:hanging="320"/>
        <w:spacing w:after="0" w:line="308" w:lineRule="auto"/>
        <w:tabs>
          <w:tab w:leader="none" w:pos="1290" w:val="left"/>
        </w:tabs>
        <w:numPr>
          <w:ilvl w:val="1"/>
          <w:numId w:val="30"/>
        </w:numPr>
        <w:rPr>
          <w:rFonts w:ascii="Arial" w:cs="Arial" w:eastAsia="Arial" w:hAnsi="Arial"/>
          <w:sz w:val="16"/>
          <w:szCs w:val="16"/>
          <w:b w:val="1"/>
          <w:bCs w:val="1"/>
          <w:color w:val="1E1E1E"/>
        </w:rPr>
      </w:pPr>
      <w:r>
        <w:rPr>
          <w:rFonts w:ascii="Arial" w:cs="Arial" w:eastAsia="Arial" w:hAnsi="Arial"/>
          <w:sz w:val="16"/>
          <w:szCs w:val="16"/>
          <w:b w:val="1"/>
          <w:bCs w:val="1"/>
          <w:color w:val="1E1E1E"/>
        </w:rPr>
        <w:t>Recent data update from Ph2 randomized study evaluating samuraciclib + fulvestrant vs. fulvestrant alone in, fulvestrant naive, post CDK4/6+AI patient population was directionally positive but with limited quantitative power</w:t>
      </w:r>
    </w:p>
    <w:p>
      <w:pPr>
        <w:ind w:left="1940" w:hanging="312"/>
        <w:spacing w:after="0"/>
        <w:tabs>
          <w:tab w:leader="none" w:pos="1940" w:val="left"/>
        </w:tabs>
        <w:numPr>
          <w:ilvl w:val="2"/>
          <w:numId w:val="30"/>
        </w:numPr>
        <w:rPr>
          <w:rFonts w:ascii="Arial" w:cs="Arial" w:eastAsia="Arial" w:hAnsi="Arial"/>
          <w:sz w:val="16"/>
          <w:szCs w:val="16"/>
          <w:color w:val="1E1E1E"/>
        </w:rPr>
      </w:pPr>
      <w:r>
        <w:rPr>
          <w:rFonts w:ascii="Arial" w:cs="Arial" w:eastAsia="Arial" w:hAnsi="Arial"/>
          <w:sz w:val="16"/>
          <w:szCs w:val="16"/>
          <w:color w:val="1E1E1E"/>
        </w:rPr>
        <w:t>Positive direction holds true across ORR, CBR, PFS and in sub-cohorts (TP53wt)</w:t>
      </w:r>
    </w:p>
    <w:p>
      <w:pPr>
        <w:spacing w:after="0" w:line="86" w:lineRule="exact"/>
        <w:rPr>
          <w:rFonts w:ascii="Arial" w:cs="Arial" w:eastAsia="Arial" w:hAnsi="Arial"/>
          <w:sz w:val="16"/>
          <w:szCs w:val="16"/>
          <w:color w:val="1E1E1E"/>
        </w:rPr>
      </w:pPr>
    </w:p>
    <w:p>
      <w:pPr>
        <w:ind w:left="2580" w:hanging="304"/>
        <w:spacing w:after="0"/>
        <w:tabs>
          <w:tab w:leader="none" w:pos="2580" w:val="left"/>
        </w:tabs>
        <w:numPr>
          <w:ilvl w:val="3"/>
          <w:numId w:val="30"/>
        </w:numPr>
        <w:rPr>
          <w:rFonts w:ascii="Arial" w:cs="Arial" w:eastAsia="Arial" w:hAnsi="Arial"/>
          <w:sz w:val="16"/>
          <w:szCs w:val="16"/>
          <w:color w:val="1E1E1E"/>
        </w:rPr>
      </w:pPr>
      <w:r>
        <w:rPr>
          <w:rFonts w:ascii="Arial" w:cs="Arial" w:eastAsia="Arial" w:hAnsi="Arial"/>
          <w:sz w:val="16"/>
          <w:szCs w:val="16"/>
          <w:color w:val="1E1E1E"/>
        </w:rPr>
        <w:t>ORR: 28% with combo (n=32) vs. 14% (n=14) with fulvestrant alone</w:t>
      </w:r>
    </w:p>
    <w:p>
      <w:pPr>
        <w:spacing w:after="0" w:line="86" w:lineRule="exact"/>
        <w:rPr>
          <w:rFonts w:ascii="Arial" w:cs="Arial" w:eastAsia="Arial" w:hAnsi="Arial"/>
          <w:sz w:val="16"/>
          <w:szCs w:val="16"/>
          <w:color w:val="1E1E1E"/>
        </w:rPr>
      </w:pPr>
    </w:p>
    <w:p>
      <w:pPr>
        <w:ind w:left="2580" w:hanging="304"/>
        <w:spacing w:after="0"/>
        <w:tabs>
          <w:tab w:leader="none" w:pos="2580" w:val="left"/>
        </w:tabs>
        <w:numPr>
          <w:ilvl w:val="3"/>
          <w:numId w:val="30"/>
        </w:numPr>
        <w:rPr>
          <w:rFonts w:ascii="Arial" w:cs="Arial" w:eastAsia="Arial" w:hAnsi="Arial"/>
          <w:sz w:val="16"/>
          <w:szCs w:val="16"/>
          <w:color w:val="1E1E1E"/>
        </w:rPr>
      </w:pPr>
      <w:r>
        <w:rPr>
          <w:rFonts w:ascii="Arial" w:cs="Arial" w:eastAsia="Arial" w:hAnsi="Arial"/>
          <w:sz w:val="16"/>
          <w:szCs w:val="16"/>
          <w:color w:val="1E1E1E"/>
        </w:rPr>
        <w:t>mPFS: 7.8mo to 8.5mo (n=39) vs. 5.6mo (n=20)</w:t>
      </w:r>
    </w:p>
    <w:p>
      <w:pPr>
        <w:spacing w:after="0" w:line="72" w:lineRule="exact"/>
        <w:rPr>
          <w:rFonts w:ascii="Arial" w:cs="Arial" w:eastAsia="Arial" w:hAnsi="Arial"/>
          <w:sz w:val="16"/>
          <w:szCs w:val="16"/>
          <w:color w:val="1E1E1E"/>
        </w:rPr>
      </w:pPr>
    </w:p>
    <w:p>
      <w:pPr>
        <w:ind w:left="2580" w:hanging="304"/>
        <w:spacing w:after="0"/>
        <w:tabs>
          <w:tab w:leader="none" w:pos="2580" w:val="left"/>
        </w:tabs>
        <w:numPr>
          <w:ilvl w:val="3"/>
          <w:numId w:val="30"/>
        </w:numPr>
        <w:rPr>
          <w:rFonts w:ascii="Arial" w:cs="Arial" w:eastAsia="Arial" w:hAnsi="Arial"/>
          <w:sz w:val="16"/>
          <w:szCs w:val="16"/>
          <w:color w:val="1E1E1E"/>
        </w:rPr>
      </w:pPr>
      <w:r>
        <w:rPr>
          <w:rFonts w:ascii="Arial" w:cs="Arial" w:eastAsia="Arial" w:hAnsi="Arial"/>
          <w:sz w:val="16"/>
          <w:szCs w:val="16"/>
          <w:color w:val="1E1E1E"/>
        </w:rPr>
        <w:t>In TP53mut not detected: mPFS of 9.6-14.5mo (n=30) vs 6.8mo (n=11)</w:t>
      </w:r>
    </w:p>
    <w:p>
      <w:pPr>
        <w:spacing w:after="0" w:line="86" w:lineRule="exact"/>
        <w:rPr>
          <w:rFonts w:ascii="Arial" w:cs="Arial" w:eastAsia="Arial" w:hAnsi="Arial"/>
          <w:sz w:val="16"/>
          <w:szCs w:val="16"/>
          <w:color w:val="1E1E1E"/>
        </w:rPr>
      </w:pPr>
    </w:p>
    <w:p>
      <w:pPr>
        <w:ind w:left="1940" w:hanging="312"/>
        <w:spacing w:after="0"/>
        <w:tabs>
          <w:tab w:leader="none" w:pos="1940" w:val="left"/>
        </w:tabs>
        <w:numPr>
          <w:ilvl w:val="2"/>
          <w:numId w:val="30"/>
        </w:numPr>
        <w:rPr>
          <w:rFonts w:ascii="Arial" w:cs="Arial" w:eastAsia="Arial" w:hAnsi="Arial"/>
          <w:sz w:val="16"/>
          <w:szCs w:val="16"/>
          <w:color w:val="1E1E1E"/>
        </w:rPr>
      </w:pPr>
      <w:r>
        <w:rPr>
          <w:rFonts w:ascii="Arial" w:cs="Arial" w:eastAsia="Arial" w:hAnsi="Arial"/>
          <w:sz w:val="16"/>
          <w:szCs w:val="16"/>
          <w:color w:val="1E1E1E"/>
        </w:rPr>
        <w:t>The drug continues to show GI toxicities in &gt;80% patients at RP2D (360mg)</w:t>
      </w:r>
    </w:p>
    <w:p>
      <w:pPr>
        <w:spacing w:after="0" w:line="72" w:lineRule="exact"/>
        <w:rPr>
          <w:rFonts w:ascii="Arial" w:cs="Arial" w:eastAsia="Arial" w:hAnsi="Arial"/>
          <w:sz w:val="16"/>
          <w:szCs w:val="16"/>
          <w:color w:val="1E1E1E"/>
        </w:rPr>
      </w:pPr>
    </w:p>
    <w:p>
      <w:pPr>
        <w:ind w:left="660" w:right="180" w:hanging="328"/>
        <w:spacing w:after="0" w:line="292" w:lineRule="auto"/>
        <w:tabs>
          <w:tab w:leader="none" w:pos="649" w:val="left"/>
        </w:tabs>
        <w:numPr>
          <w:ilvl w:val="0"/>
          <w:numId w:val="30"/>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Q-901 (Qurient) </w:t>
      </w:r>
      <w:r>
        <w:rPr>
          <w:rFonts w:ascii="Arial" w:cs="Arial" w:eastAsia="Arial" w:hAnsi="Arial"/>
          <w:sz w:val="16"/>
          <w:szCs w:val="16"/>
          <w:color w:val="1E1E1E"/>
        </w:rPr>
        <w:t>— An intravenous CDK7 inhibitor in Phase 1/2 clinical development as monotherapy and in combination with PD-1 inhibitors</w:t>
      </w:r>
      <w:r>
        <w:rPr>
          <w:rFonts w:ascii="Arial" w:cs="Arial" w:eastAsia="Arial" w:hAnsi="Arial"/>
          <w:sz w:val="16"/>
          <w:szCs w:val="16"/>
          <w:b w:val="1"/>
          <w:bCs w:val="1"/>
          <w:color w:val="1E1E1E"/>
        </w:rPr>
        <w:t xml:space="preserve"> </w:t>
      </w:r>
      <w:r>
        <w:rPr>
          <w:rFonts w:ascii="Arial" w:cs="Arial" w:eastAsia="Arial" w:hAnsi="Arial"/>
          <w:sz w:val="16"/>
          <w:szCs w:val="16"/>
          <w:color w:val="1E1E1E"/>
        </w:rPr>
        <w:t>across solid tumors. No efficacy data has been shared so far. Qurient is also developing a HER2-targeted antibody–drug conjugate (QP-101) that incorporates a CDK7 inhibitor payload in combination with a topoisomerase I inhibitor, currently in preclinical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4"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9"/>
          <w:szCs w:val="19"/>
          <w:i w:val="1"/>
          <w:iCs w:val="1"/>
          <w:color w:val="6E6E6E"/>
          <w:vertAlign w:val="superscript"/>
        </w:rPr>
      </w:pPr>
      <w:r>
        <w:rPr>
          <w:rFonts w:ascii="Arial" w:cs="Arial" w:eastAsia="Arial" w:hAnsi="Arial"/>
          <w:sz w:val="14"/>
          <w:szCs w:val="14"/>
          <w:i w:val="1"/>
          <w:iCs w:val="1"/>
          <w:color w:val="6E6E6E"/>
        </w:rPr>
        <w:t>Data on file.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1E1E1E"/>
        </w:rPr>
        <w:t>Other notable programs with limited or geographically-constrained clinical presence</w:t>
      </w:r>
    </w:p>
    <w:p>
      <w:pPr>
        <w:spacing w:after="0" w:line="248"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TY-2699a (TYK Medicines) </w:t>
      </w:r>
      <w:r>
        <w:rPr>
          <w:rFonts w:ascii="Arial" w:cs="Arial" w:eastAsia="Arial" w:hAnsi="Arial"/>
          <w:sz w:val="16"/>
          <w:szCs w:val="16"/>
          <w:color w:val="1E1E1E"/>
        </w:rPr>
        <w:t>— A CDK7 inhibitor currently in Phase 1 clinical development in China.</w:t>
      </w:r>
    </w:p>
    <w:p>
      <w:pPr>
        <w:spacing w:after="0" w:line="72" w:lineRule="exact"/>
        <w:rPr>
          <w:rFonts w:ascii="Arial" w:cs="Arial" w:eastAsia="Arial" w:hAnsi="Arial"/>
          <w:sz w:val="16"/>
          <w:szCs w:val="16"/>
          <w:b w:val="1"/>
          <w:bCs w:val="1"/>
          <w:color w:val="1E1E1E"/>
        </w:rPr>
      </w:pPr>
    </w:p>
    <w:p>
      <w:pPr>
        <w:ind w:left="640" w:hanging="308"/>
        <w:spacing w:after="0"/>
        <w:tabs>
          <w:tab w:leader="none" w:pos="640" w:val="left"/>
        </w:tabs>
        <w:numPr>
          <w:ilvl w:val="0"/>
          <w:numId w:val="32"/>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EOC-237 (EOC Pharma) </w:t>
      </w:r>
      <w:r>
        <w:rPr>
          <w:rFonts w:ascii="Arial" w:cs="Arial" w:eastAsia="Arial" w:hAnsi="Arial"/>
          <w:sz w:val="16"/>
          <w:szCs w:val="16"/>
          <w:color w:val="1E1E1E"/>
        </w:rPr>
        <w:t>— A CDK7 inhibitor currently in Phase 1 clinical development in China.</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REC-1245 for Solid Tumors and Lymphoma – Phase 1/2</w:t>
      </w:r>
    </w:p>
    <w:p>
      <w:pPr>
        <w:spacing w:after="0" w:line="77"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REC-1245 is a novel, potent and selective molecular glue degrader of RNA-binding motif protein 39 (RBM39) currently under development for the treatment of biomarker-enriched solid tumors and lymphoma. There are currently no RBM39 degraders approved by the FDA. We initiated a Phase 1/2 open-label, multicenter study (DAHLIA) to evaluate the safety, tolerability, PK, PD, RP2D, and preliminary efficacy of REC-1245. In the third quarter of 2025, we reported updated information on the population being enrolled into the DAHLIA study, to include cancers with high genomic instability (for example endometrial cancer) and to confirm specific biomarker-enriched populations (for example 2L+ MSI-H/dMMR). We expect to share early safety and PK data from the Phase 1 monotherapy dose-escalation portion of the study in the first half of 2026.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1AA7DF"/>
        </w:rPr>
        <w:t>Disease Overview</w:t>
      </w:r>
    </w:p>
    <w:p>
      <w:pPr>
        <w:spacing w:after="0" w:line="81"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1E1E1E"/>
        </w:rPr>
        <w:t>Alternative splicing and RNA-binding proteins (RBPs) have emerged as attractive therapeutic targets for cancer due to their critical roles in the regulation of post-transcriptional modifications, impacts on DNA damage repair pathways, and modulation of cell cycle functions. Of these, RNA-binding motif protein 39 (RBM39) is a critical splicing factor that many high-risk cancers rely on to maintain transcriptional integrity and drive tumor progression. As a target, RBM39 is vulnerable to a 'molecular glue' approach, where its selective degradation triggers a cascade of lethal splicing errors across key oncogenic pathways, including those involving DNA damage repair. With over 100,000 addressable patients, with biomarker-enriched solid tumors and other select histologies where RBM39 could be targeted in the US and EU5 each year, REC-1245 has the potential to be used as a single agent or in combination with chemotherapy and/or immunotherapy.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1AA7DF"/>
        </w:rPr>
        <w:t>Insight from Recursion OS</w:t>
      </w:r>
    </w:p>
    <w:p>
      <w:pPr>
        <w:spacing w:after="0" w:line="68"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1E1E1E"/>
        </w:rPr>
        <w:t>Reports suggest that genetic or pharmacologic depletion of CDK12 can reduce the expression of several genes involved in the homologous recombination repair pathway such as BRCA1 and BRCA2, inducing a BRCA-like phenotype and DDR response. Therefore, CDK12 has received considerable interest as a therapeutic target and tumor biomarker for HR-proficient cancers; however, success has been limited by toxicity associated with CDK12 inhibitors also inhibiting the structurally related CDK13. Despite reports of functional redundancy, we observed that the genetic knockout of CDK12 could be clearly distinguished phenotypically from that of CDK13. Using map-based inference to characterize and relate cellular phenotypes, we identified RBM39 as an alternative target that selectively mimics CDK12 loss, but not CDK13, providing a novel approach for targeting CDK12 biology while circumventing any toxicities that may arise due to CDK13. We subsequently discovered REC-1245 as an RBM39 molecular glue degrader that closely mimics the phenotypic loss of CDK12 and RBM39, but not CDK13. Functionally, REC-1245 treatment globally impacts the expression of many DDR genes but does so in a CDK12 independent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128270</wp:posOffset>
            </wp:positionV>
            <wp:extent cx="4766310" cy="2468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6631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40"/>
        <w:spacing w:after="0" w:line="345" w:lineRule="auto"/>
        <w:rPr>
          <w:sz w:val="20"/>
          <w:szCs w:val="20"/>
          <w:color w:val="auto"/>
        </w:rPr>
      </w:pPr>
      <w:r>
        <w:rPr>
          <w:rFonts w:ascii="Arial" w:cs="Arial" w:eastAsia="Arial" w:hAnsi="Arial"/>
          <w:sz w:val="14"/>
          <w:szCs w:val="14"/>
          <w:b w:val="1"/>
          <w:bCs w:val="1"/>
          <w:color w:val="6E6E6E"/>
        </w:rPr>
        <w:t xml:space="preserve">Figure 21. Inferred map relationships between CDK12, CDK13, RBM39, and REC-1245. </w:t>
      </w:r>
      <w:r>
        <w:rPr>
          <w:rFonts w:ascii="Arial" w:cs="Arial" w:eastAsia="Arial" w:hAnsi="Arial"/>
          <w:sz w:val="14"/>
          <w:szCs w:val="14"/>
          <w:color w:val="6E6E6E"/>
        </w:rPr>
        <w:t>Map representation demonstrates a high degree of phenotypic similarity between</w:t>
      </w:r>
      <w:r>
        <w:rPr>
          <w:rFonts w:ascii="Arial" w:cs="Arial" w:eastAsia="Arial" w:hAnsi="Arial"/>
          <w:sz w:val="14"/>
          <w:szCs w:val="14"/>
          <w:b w:val="1"/>
          <w:bCs w:val="1"/>
          <w:color w:val="6E6E6E"/>
        </w:rPr>
        <w:t xml:space="preserve"> </w:t>
      </w:r>
      <w:r>
        <w:rPr>
          <w:rFonts w:ascii="Arial" w:cs="Arial" w:eastAsia="Arial" w:hAnsi="Arial"/>
          <w:sz w:val="14"/>
          <w:szCs w:val="14"/>
          <w:color w:val="6E6E6E"/>
        </w:rPr>
        <w:t>CDK12, RBM39, and multiple concentrations of REC-1245. CDK13 shows little or no functional similarity to CDK12, RBM39, or any concentration of REC-1245.</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1AA7DF"/>
        </w:rPr>
        <w:t>Preclinical</w:t>
      </w:r>
    </w:p>
    <w:p>
      <w:pPr>
        <w:spacing w:after="0" w:line="68"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1E1E1E"/>
        </w:rPr>
        <w:t>REC-1245 is a potent, potential first-in-class RBM39 molecular glue degrader with compelling preclinical activity. It showed no significant in vitro safety concerns (CEREP, hERG), no CDK12 kinase activity, and minimal ITGA2 liability – an off-target effect seen with prior RBM39 degraders. As shown in the figures below, REC-1245 demonstrated strong antitumor activities as a single-agent, including tumor regression in an ovarian cancer BRCA-proficient, p53 mutant, OVK18 in vivo cell line derived xenograft (CDX) model. In addition, dose-dependent anti-tumor activity correlated with increases in RBM39 degradation confirming target engagement and an exposure-response-efficacy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116205</wp:posOffset>
            </wp:positionV>
            <wp:extent cx="3780155" cy="22542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8015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0"/>
        <w:spacing w:after="0" w:line="334" w:lineRule="auto"/>
        <w:rPr>
          <w:sz w:val="20"/>
          <w:szCs w:val="20"/>
          <w:color w:val="auto"/>
        </w:rPr>
      </w:pPr>
      <w:r>
        <w:rPr>
          <w:rFonts w:ascii="Arial" w:cs="Arial" w:eastAsia="Arial" w:hAnsi="Arial"/>
          <w:sz w:val="14"/>
          <w:szCs w:val="14"/>
          <w:b w:val="1"/>
          <w:bCs w:val="1"/>
          <w:color w:val="6E6E6E"/>
        </w:rPr>
        <w:t xml:space="preserve">Figure 22. REC-1245 single-agent activity and target engagement. </w:t>
      </w:r>
      <w:r>
        <w:rPr>
          <w:rFonts w:ascii="Arial" w:cs="Arial" w:eastAsia="Arial" w:hAnsi="Arial"/>
          <w:sz w:val="14"/>
          <w:szCs w:val="14"/>
          <w:color w:val="6E6E6E"/>
        </w:rPr>
        <w:t>(Left) REC-1245 administered BID PO at doses noted for 15 days. N=8 mice per group. (Right) Percent</w:t>
      </w:r>
      <w:r>
        <w:rPr>
          <w:rFonts w:ascii="Arial" w:cs="Arial" w:eastAsia="Arial" w:hAnsi="Arial"/>
          <w:sz w:val="14"/>
          <w:szCs w:val="14"/>
          <w:b w:val="1"/>
          <w:bCs w:val="1"/>
          <w:color w:val="6E6E6E"/>
        </w:rPr>
        <w:t xml:space="preserve"> </w:t>
      </w:r>
      <w:r>
        <w:rPr>
          <w:rFonts w:ascii="Arial" w:cs="Arial" w:eastAsia="Arial" w:hAnsi="Arial"/>
          <w:sz w:val="14"/>
          <w:szCs w:val="14"/>
          <w:color w:val="6E6E6E"/>
        </w:rPr>
        <w:t>RBM39 degradation (PD) evaluated at REC-1245 doses noted after 5 days BID oral administration of REC-1245. N=3 mice per group.</w:t>
      </w:r>
      <w:r>
        <w:rPr>
          <w:rFonts w:ascii="Arial" w:cs="Arial" w:eastAsia="Arial" w:hAnsi="Arial"/>
          <w:sz w:val="18"/>
          <w:szCs w:val="18"/>
          <w:color w:val="6E6E6E"/>
          <w:vertAlign w:val="superscript"/>
        </w:rPr>
        <w:t>14</w:t>
      </w:r>
    </w:p>
    <w:p>
      <w:pPr>
        <w:spacing w:after="0" w:line="3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1E1E1E"/>
        </w:rPr>
        <w:t>Emerging preclinical data has shown that REC-1245 reduces viability in tumors characterized by replication stress and DNA repair vulnerabilities (DDR defects) across multiple solid tumor types, including MSI-H/dMMR, HRR altered cancers, and other tumors, as shown below, which could provide a potential signature for REC-1245 sensitivity. The data also suggests greater sensitivity to REC-1245 for tumors with high replicative stress signatures and DNA repair vulnerabilities,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114935</wp:posOffset>
            </wp:positionV>
            <wp:extent cx="3368675" cy="2588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867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334" w:lineRule="auto"/>
        <w:rPr>
          <w:sz w:val="20"/>
          <w:szCs w:val="20"/>
          <w:color w:val="auto"/>
        </w:rPr>
      </w:pPr>
      <w:r>
        <w:rPr>
          <w:rFonts w:ascii="Arial" w:cs="Arial" w:eastAsia="Arial" w:hAnsi="Arial"/>
          <w:sz w:val="14"/>
          <w:szCs w:val="14"/>
          <w:b w:val="1"/>
          <w:bCs w:val="1"/>
          <w:color w:val="6E6E6E"/>
        </w:rPr>
        <w:t xml:space="preserve">Figure 23. In vitro cell viability following REC-1245 treatment. </w:t>
      </w:r>
      <w:r>
        <w:rPr>
          <w:rFonts w:ascii="Arial" w:cs="Arial" w:eastAsia="Arial" w:hAnsi="Arial"/>
          <w:sz w:val="14"/>
          <w:szCs w:val="14"/>
          <w:color w:val="6E6E6E"/>
        </w:rPr>
        <w:t>Cell lines were assigned to broad pathway dysregulation contexts based on 1 or more documented alteration</w:t>
      </w:r>
      <w:r>
        <w:rPr>
          <w:rFonts w:ascii="Arial" w:cs="Arial" w:eastAsia="Arial" w:hAnsi="Arial"/>
          <w:sz w:val="14"/>
          <w:szCs w:val="14"/>
          <w:b w:val="1"/>
          <w:bCs w:val="1"/>
          <w:color w:val="6E6E6E"/>
        </w:rPr>
        <w:t xml:space="preserve"> </w:t>
      </w:r>
      <w:r>
        <w:rPr>
          <w:rFonts w:ascii="Arial" w:cs="Arial" w:eastAsia="Arial" w:hAnsi="Arial"/>
          <w:sz w:val="14"/>
          <w:szCs w:val="14"/>
          <w:color w:val="6E6E6E"/>
        </w:rPr>
        <w:t>from CCLE/GSDC databases.</w:t>
      </w:r>
      <w:r>
        <w:rPr>
          <w:rFonts w:ascii="Arial" w:cs="Arial" w:eastAsia="Arial" w:hAnsi="Arial"/>
          <w:sz w:val="18"/>
          <w:szCs w:val="18"/>
          <w:color w:val="6E6E6E"/>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714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15"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9"/>
          <w:szCs w:val="19"/>
          <w:i w:val="1"/>
          <w:iCs w:val="1"/>
          <w:color w:val="6E6E6E"/>
          <w:vertAlign w:val="superscript"/>
        </w:rPr>
      </w:pPr>
      <w:r>
        <w:rPr>
          <w:rFonts w:ascii="Arial" w:cs="Arial" w:eastAsia="Arial" w:hAnsi="Arial"/>
          <w:sz w:val="14"/>
          <w:szCs w:val="14"/>
          <w:i w:val="1"/>
          <w:iCs w:val="1"/>
          <w:color w:val="6E6E6E"/>
        </w:rPr>
        <w:t>Data on file.</w:t>
      </w:r>
    </w:p>
    <w:p>
      <w:pPr>
        <w:spacing w:after="0" w:line="53" w:lineRule="exact"/>
        <w:rPr>
          <w:rFonts w:ascii="Arial" w:cs="Arial" w:eastAsia="Arial" w:hAnsi="Arial"/>
          <w:sz w:val="19"/>
          <w:szCs w:val="19"/>
          <w:i w:val="1"/>
          <w:iCs w:val="1"/>
          <w:color w:val="6E6E6E"/>
          <w:vertAlign w:val="superscript"/>
        </w:rPr>
      </w:pPr>
    </w:p>
    <w:p>
      <w:pPr>
        <w:ind w:left="160" w:hanging="152"/>
        <w:spacing w:after="0" w:line="193" w:lineRule="auto"/>
        <w:tabs>
          <w:tab w:leader="none" w:pos="160" w:val="left"/>
        </w:tabs>
        <w:numPr>
          <w:ilvl w:val="0"/>
          <w:numId w:val="33"/>
        </w:numPr>
        <w:rPr>
          <w:rFonts w:ascii="Arial" w:cs="Arial" w:eastAsia="Arial" w:hAnsi="Arial"/>
          <w:sz w:val="19"/>
          <w:szCs w:val="19"/>
          <w:i w:val="1"/>
          <w:iCs w:val="1"/>
          <w:color w:val="6E6E6E"/>
          <w:vertAlign w:val="superscript"/>
        </w:rPr>
      </w:pPr>
      <w:r>
        <w:rPr>
          <w:rFonts w:ascii="Arial" w:cs="Arial" w:eastAsia="Arial" w:hAnsi="Arial"/>
          <w:sz w:val="14"/>
          <w:szCs w:val="14"/>
          <w:i w:val="1"/>
          <w:iCs w:val="1"/>
          <w:color w:val="6E6E6E"/>
        </w:rPr>
        <w:t>Data on file.</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394335</wp:posOffset>
            </wp:positionV>
            <wp:extent cx="4937760" cy="29317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3776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24. Reduction in tumor volume across different tumors with high replication stress and DNA repair vulnerabilities. </w:t>
      </w:r>
      <w:r>
        <w:rPr>
          <w:rFonts w:ascii="Arial" w:cs="Arial" w:eastAsia="Arial" w:hAnsi="Arial"/>
          <w:sz w:val="14"/>
          <w:szCs w:val="14"/>
          <w:color w:val="6E6E6E"/>
        </w:rPr>
        <w:t>N=4 mice per group.</w:t>
      </w:r>
      <w:r>
        <w:rPr>
          <w:rFonts w:ascii="Arial" w:cs="Arial" w:eastAsia="Arial" w:hAnsi="Arial"/>
          <w:sz w:val="18"/>
          <w:szCs w:val="18"/>
          <w:color w:val="6E6E6E"/>
          <w:vertAlign w:val="superscript"/>
        </w:rPr>
        <w:t>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1AA7DF"/>
        </w:rPr>
        <w:t>Clinical</w:t>
      </w:r>
    </w:p>
    <w:p>
      <w:pPr>
        <w:spacing w:after="0" w:line="68" w:lineRule="exact"/>
        <w:rPr>
          <w:sz w:val="20"/>
          <w:szCs w:val="20"/>
          <w:color w:val="auto"/>
        </w:rPr>
      </w:pPr>
    </w:p>
    <w:p>
      <w:pPr>
        <w:spacing w:after="0" w:line="289" w:lineRule="auto"/>
        <w:rPr>
          <w:sz w:val="20"/>
          <w:szCs w:val="20"/>
          <w:color w:val="auto"/>
        </w:rPr>
      </w:pPr>
      <w:r>
        <w:rPr>
          <w:rFonts w:ascii="Arial" w:cs="Arial" w:eastAsia="Arial" w:hAnsi="Arial"/>
          <w:sz w:val="16"/>
          <w:szCs w:val="16"/>
          <w:color w:val="1E1E1E"/>
        </w:rPr>
        <w:t>In December 2024, we initiated a Phase 1/2 open-label, multicenter study to characterize the safety, tolerability, PK, PD, and preliminary anti-tumor activity of REC-1245 in participants with unresectable locally advanced or metastatic cancer. As of December 31, 2025, the trial is currently active and enrolling at sites in the US and Canada. We expect to share early safety and PK data from the Phase 1 monotherapy dose-escalation portion of the study in the first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114935</wp:posOffset>
            </wp:positionV>
            <wp:extent cx="4766310" cy="29146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6631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80"/>
        <w:spacing w:after="0" w:line="345" w:lineRule="auto"/>
        <w:rPr>
          <w:sz w:val="20"/>
          <w:szCs w:val="20"/>
          <w:color w:val="auto"/>
        </w:rPr>
      </w:pPr>
      <w:r>
        <w:rPr>
          <w:rFonts w:ascii="Arial" w:cs="Arial" w:eastAsia="Arial" w:hAnsi="Arial"/>
          <w:sz w:val="14"/>
          <w:szCs w:val="14"/>
          <w:b w:val="1"/>
          <w:bCs w:val="1"/>
          <w:color w:val="6E6E6E"/>
        </w:rPr>
        <w:t xml:space="preserve">Figure 25. DAHLIA study design. </w:t>
      </w:r>
      <w:r>
        <w:rPr>
          <w:rFonts w:ascii="Arial" w:cs="Arial" w:eastAsia="Arial" w:hAnsi="Arial"/>
          <w:sz w:val="14"/>
          <w:szCs w:val="14"/>
          <w:color w:val="6E6E6E"/>
        </w:rPr>
        <w:t>Phase 1/2 trial design to assess the safety, tolerability, PK, PD, and preliminary anti-tumor activity of REC-1245 in participants with</w:t>
      </w:r>
      <w:r>
        <w:rPr>
          <w:rFonts w:ascii="Arial" w:cs="Arial" w:eastAsia="Arial" w:hAnsi="Arial"/>
          <w:sz w:val="14"/>
          <w:szCs w:val="14"/>
          <w:b w:val="1"/>
          <w:bCs w:val="1"/>
          <w:color w:val="6E6E6E"/>
        </w:rPr>
        <w:t xml:space="preserve"> </w:t>
      </w:r>
      <w:r>
        <w:rPr>
          <w:rFonts w:ascii="Arial" w:cs="Arial" w:eastAsia="Arial" w:hAnsi="Arial"/>
          <w:sz w:val="14"/>
          <w:szCs w:val="14"/>
          <w:color w:val="6E6E6E"/>
        </w:rPr>
        <w:t>unresectable locally advanced or metastatic cancer, and who are refractory to, had a relapse on, or intolerant of, established standard of care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1714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64"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9"/>
          <w:szCs w:val="19"/>
          <w:i w:val="1"/>
          <w:iCs w:val="1"/>
          <w:color w:val="6E6E6E"/>
          <w:vertAlign w:val="superscript"/>
        </w:rPr>
      </w:pPr>
      <w:r>
        <w:rPr>
          <w:rFonts w:ascii="Arial" w:cs="Arial" w:eastAsia="Arial" w:hAnsi="Arial"/>
          <w:sz w:val="14"/>
          <w:szCs w:val="14"/>
          <w:i w:val="1"/>
          <w:iCs w:val="1"/>
          <w:color w:val="6E6E6E"/>
        </w:rPr>
        <w:t>Data on file.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1E1E1E"/>
        </w:rPr>
        <w:t>The clinical development landscape for RBM39 degraders remains limited. While the mechanism of RBM39 degradation has been explored historically through legacy aryl-sulfonamide compounds, only a small number of programs are currently believed to be under active clinical development as purpose-built RBM39 degraders.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1E1E1E"/>
        </w:rPr>
        <w:t>Active RBM39-focused development programs</w:t>
      </w:r>
    </w:p>
    <w:p>
      <w:pPr>
        <w:spacing w:after="0" w:line="235" w:lineRule="exact"/>
        <w:rPr>
          <w:sz w:val="20"/>
          <w:szCs w:val="20"/>
          <w:color w:val="auto"/>
        </w:rPr>
      </w:pPr>
    </w:p>
    <w:p>
      <w:pPr>
        <w:ind w:left="660" w:right="160" w:hanging="328"/>
        <w:spacing w:after="0" w:line="316" w:lineRule="auto"/>
        <w:tabs>
          <w:tab w:leader="none" w:pos="649" w:val="left"/>
        </w:tabs>
        <w:numPr>
          <w:ilvl w:val="0"/>
          <w:numId w:val="35"/>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ST-01156 (SEED Therapeutics) </w:t>
      </w:r>
      <w:r>
        <w:rPr>
          <w:rFonts w:ascii="Arial" w:cs="Arial" w:eastAsia="Arial" w:hAnsi="Arial"/>
          <w:sz w:val="16"/>
          <w:szCs w:val="16"/>
          <w:color w:val="1E1E1E"/>
        </w:rPr>
        <w:t>— An investigational RBM39 degrader that initiated a Phase 1a open-label clinical trial in patients with advanced</w:t>
      </w:r>
      <w:r>
        <w:rPr>
          <w:rFonts w:ascii="Arial" w:cs="Arial" w:eastAsia="Arial" w:hAnsi="Arial"/>
          <w:sz w:val="16"/>
          <w:szCs w:val="16"/>
          <w:b w:val="1"/>
          <w:bCs w:val="1"/>
          <w:color w:val="1E1E1E"/>
        </w:rPr>
        <w:t xml:space="preserve"> </w:t>
      </w:r>
      <w:r>
        <w:rPr>
          <w:rFonts w:ascii="Arial" w:cs="Arial" w:eastAsia="Arial" w:hAnsi="Arial"/>
          <w:sz w:val="16"/>
          <w:szCs w:val="16"/>
          <w:color w:val="1E1E1E"/>
        </w:rPr>
        <w:t>solid tumors, with first patient dosed in January 2026.</w:t>
      </w:r>
    </w:p>
    <w:p>
      <w:pPr>
        <w:spacing w:after="0" w:line="1" w:lineRule="exact"/>
        <w:rPr>
          <w:rFonts w:ascii="Arial" w:cs="Arial" w:eastAsia="Arial" w:hAnsi="Arial"/>
          <w:sz w:val="16"/>
          <w:szCs w:val="16"/>
          <w:b w:val="1"/>
          <w:bCs w:val="1"/>
          <w:color w:val="1E1E1E"/>
        </w:rPr>
      </w:pPr>
    </w:p>
    <w:p>
      <w:pPr>
        <w:ind w:left="660" w:right="80" w:hanging="328"/>
        <w:spacing w:after="0" w:line="283" w:lineRule="auto"/>
        <w:tabs>
          <w:tab w:leader="none" w:pos="649" w:val="left"/>
        </w:tabs>
        <w:numPr>
          <w:ilvl w:val="0"/>
          <w:numId w:val="35"/>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E7820 (Eisai) </w:t>
      </w:r>
      <w:r>
        <w:rPr>
          <w:rFonts w:ascii="Arial" w:cs="Arial" w:eastAsia="Arial" w:hAnsi="Arial"/>
          <w:sz w:val="16"/>
          <w:szCs w:val="16"/>
          <w:color w:val="1E1E1E"/>
        </w:rPr>
        <w:t>— A legacy aryl-sulfonamide compound now understood to induce RBM39 degradation via DCAF15. Eisai is collaborating with the</w:t>
      </w:r>
      <w:r>
        <w:rPr>
          <w:rFonts w:ascii="Arial" w:cs="Arial" w:eastAsia="Arial" w:hAnsi="Arial"/>
          <w:sz w:val="16"/>
          <w:szCs w:val="16"/>
          <w:b w:val="1"/>
          <w:bCs w:val="1"/>
          <w:color w:val="1E1E1E"/>
        </w:rPr>
        <w:t xml:space="preserve"> </w:t>
      </w:r>
      <w:r>
        <w:rPr>
          <w:rFonts w:ascii="Arial" w:cs="Arial" w:eastAsia="Arial" w:hAnsi="Arial"/>
          <w:sz w:val="16"/>
          <w:szCs w:val="16"/>
          <w:color w:val="1E1E1E"/>
        </w:rPr>
        <w:t>National Cancer Center (NCC) Japan, which is conducting a Phase 1 investigator-initiated trial (CIRCUS) evaluating E7820 in Japanese patients with unresectable tumors. Advancement to Phase 2 is expected to be considered following determination of tolerability and a recommended Phase 2 dose.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REC-3565 for B-Cell Malignancies – Phase 1</w:t>
      </w:r>
    </w:p>
    <w:p>
      <w:pPr>
        <w:spacing w:after="0" w:line="77"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1E1E1E"/>
        </w:rPr>
        <w:t>REC-3565 is an orally bioavailable, highly potent and selective, potential best-in-class MALT1 inhibitor currently under development for the treatment of B-cell malignancies, including chronic lymphocytic leukemia (CLL). MALT1 is a protease crucial for activation of the NF-κB pathway, which drives the proliferation of malignant B-cells in hematological cancers. There are currently no MALT1 inhibitors approved by the FDA. Following clearance of a CTA by the MHRA in December 2024, we initiated EXCELERIZE, a Phase 1 open-label, multicenter, dose escalation study to evaluate the safety, tolerability, PK, PD, and preliminary anti-tumor activity of REC-3565 in 2025. The first patient was dosed in April 2025, and we expect to share early safety and PK monotherapy data in the first half of 2027.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1AA7DF"/>
        </w:rPr>
        <w:t>Disease Overview</w:t>
      </w:r>
    </w:p>
    <w:p>
      <w:pPr>
        <w:spacing w:after="0" w:line="68" w:lineRule="exact"/>
        <w:rPr>
          <w:sz w:val="20"/>
          <w:szCs w:val="20"/>
          <w:color w:val="auto"/>
        </w:rPr>
      </w:pPr>
    </w:p>
    <w:p>
      <w:pPr>
        <w:spacing w:after="0" w:line="279" w:lineRule="auto"/>
        <w:rPr>
          <w:sz w:val="20"/>
          <w:szCs w:val="20"/>
          <w:color w:val="auto"/>
        </w:rPr>
      </w:pPr>
      <w:r>
        <w:rPr>
          <w:rFonts w:ascii="Arial" w:cs="Arial" w:eastAsia="Arial" w:hAnsi="Arial"/>
          <w:sz w:val="16"/>
          <w:szCs w:val="16"/>
          <w:color w:val="1E1E1E"/>
        </w:rPr>
        <w:t>B-cell malignancies encompass a range of hematological cancers, including lymphomas such as diffuse large B-cell lymphoma (DLBCL), follicular lymphoma (FL), mantle cell lymphoma (MCL), and leukemias such as CLL and small lymphocytic lymphoma (SLL). These diseases are characterized by the dysregulated growth or function of B-cells and are often driven by chronic B-cell receptor (BCR) signaling, which leads to unchecked NF-κB activation. MALT1 functions downstream of the BCR and the widely targeted Bruton’s tyrosine kinase (BTK), mediating pro-tumorigenic signals in malignant B-cells. Current therapies (e.g. BTK inhibitors) have transformed the treatment landscape, yet resistance remains a significant challenge. By inhibiting MALT1, REC-3565 may help overcome resistance and improve therapeutic outcomes, either as a monotherapy or in combination with BTK and/or BCL2 inhibitors. Notably, the total addressable population for MALT1 inhibitors spans multiple hematologic indications, with approximately 41,000 relapsed and/or refractory (R/R) patients with CLL and B-cell lymphomas in the US and EU5 annually.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1AA7DF"/>
        </w:rPr>
        <w:t>Insight from Recursion OS</w:t>
      </w:r>
    </w:p>
    <w:p>
      <w:pPr>
        <w:spacing w:after="0" w:line="68"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1E1E1E"/>
        </w:rPr>
        <w:t>BTK inhibitors and other therapies for B-cell malignancies can cause drug-induced liver injury (DILI), limiting combination treatment options. Current MALT1 inhibitor scaffolds significantly inhibit UGT1A1, leading to dose-limiting toxicities, potentially restricting their utility in combination. Leveraging our AI-driven, multi-parameter optimization approach, we focused on an allosteric mechanism to enhance potency, selectivity, and safety for REC-3565. Hotspot analyses and physics-based molecular dynamics guided our design strategy, helping us address the hydrophobic and highly mobile nature of the allosteric binding site. As a result, REC-3565 does not significantly inhibit UGT1A1, potentially mitigating liver toxicity risks and facilitating higher target engagement. This profile also supports combination strategies with agents known to affect liver function like BTK and BCL2 inhibitors, offering a path to potentially deeper and more durable responses.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1AA7DF"/>
        </w:rPr>
        <w:t>Preclinical</w:t>
      </w:r>
    </w:p>
    <w:p>
      <w:pPr>
        <w:spacing w:after="0" w:line="6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1E1E1E"/>
        </w:rPr>
        <w:t>REC-3565 demonstrated significant antitumor activity across multiple B-cell lymphoma models. As a monotherapy, it drove tumor regressions in ABC-DLBCL xenografts, and in combination with zanubrutinib – a next-generation BTK inhibitor – it produced durable responses, with 70% of mice displaying no palpable tumors 10 days after the last dose. Additional in vitro analyses revealed minimal UGT1A1 inhibitory effects relative to other MALT1 inhibitor scaffolds in clinical development, suggesting an improved safety and combination therapy profile.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394335</wp:posOffset>
            </wp:positionV>
            <wp:extent cx="5246370" cy="25114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4637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spacing w:after="0" w:line="306" w:lineRule="auto"/>
        <w:rPr>
          <w:sz w:val="20"/>
          <w:szCs w:val="20"/>
          <w:color w:val="auto"/>
        </w:rPr>
      </w:pPr>
      <w:r>
        <w:rPr>
          <w:rFonts w:ascii="Arial" w:cs="Arial" w:eastAsia="Arial" w:hAnsi="Arial"/>
          <w:sz w:val="14"/>
          <w:szCs w:val="14"/>
          <w:b w:val="1"/>
          <w:bCs w:val="1"/>
          <w:color w:val="6E6E6E"/>
        </w:rPr>
        <w:t xml:space="preserve">Figure 26. Preclinical data highlighting REC-3565 as a potential best-in-class MALT1 inhibitor. </w:t>
      </w:r>
      <w:r>
        <w:rPr>
          <w:rFonts w:ascii="Arial" w:cs="Arial" w:eastAsia="Arial" w:hAnsi="Arial"/>
          <w:sz w:val="14"/>
          <w:szCs w:val="14"/>
          <w:color w:val="6E6E6E"/>
        </w:rPr>
        <w:t>(Left) REC-3565 showed tumor growth regression as a single agent and</w:t>
      </w:r>
      <w:r>
        <w:rPr>
          <w:rFonts w:ascii="Arial" w:cs="Arial" w:eastAsia="Arial" w:hAnsi="Arial"/>
          <w:sz w:val="14"/>
          <w:szCs w:val="14"/>
          <w:b w:val="1"/>
          <w:bCs w:val="1"/>
          <w:color w:val="6E6E6E"/>
        </w:rPr>
        <w:t xml:space="preserve"> </w:t>
      </w:r>
      <w:r>
        <w:rPr>
          <w:rFonts w:ascii="Arial" w:cs="Arial" w:eastAsia="Arial" w:hAnsi="Arial"/>
          <w:sz w:val="14"/>
          <w:szCs w:val="14"/>
          <w:color w:val="6E6E6E"/>
        </w:rPr>
        <w:t>when combined with zanubrutinib. N=10 per group mice per group, REC-3565 and zanubrutinib dosed BID. PD evaluated after 5 days BID oral administration of REC-1245 at doses noted. N=3 mice per group in PD portion. N=8 mice per group REC-3565 administered BID PO at doses noted. (Right) REC-3565 has best-in-class potential, especially given REC-3565 has &gt;10 uM vs. &lt;1 uM for other MALT1 inhibitors in clinical development. Development candidate criteria: MALT1 IC50 nM: green &lt;100 nM; yellow &gt;100-&lt;300 nM; red&gt;300 nM; OCI-Ly3 IC50 nM: green &lt;400 nM; yellow &gt;400-&lt;1000 nM; red&gt;1000 nM; UGT1A1 IC50 uM: green &gt;10 uM; yellow &lt;10-&gt;1 uM; red&lt;1 uM; Caco-2 A2B (efflux): green &gt;5(&lt;3); yellow &gt;1-&lt;5(&gt;3-&lt;10); red &lt;1(&gt;10).</w:t>
      </w:r>
      <w:r>
        <w:rPr>
          <w:rFonts w:ascii="Arial" w:cs="Arial" w:eastAsia="Arial" w:hAnsi="Arial"/>
          <w:sz w:val="9"/>
          <w:szCs w:val="9"/>
          <w:color w:val="6E6E6E"/>
        </w:rPr>
        <w:t>17,18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AA7DF"/>
        </w:rPr>
        <w:t>Clinical</w:t>
      </w:r>
    </w:p>
    <w:p>
      <w:pPr>
        <w:spacing w:after="0" w:line="81" w:lineRule="exact"/>
        <w:rPr>
          <w:sz w:val="20"/>
          <w:szCs w:val="20"/>
          <w:color w:val="auto"/>
        </w:rPr>
      </w:pPr>
    </w:p>
    <w:p>
      <w:pPr>
        <w:spacing w:after="0" w:line="283" w:lineRule="auto"/>
        <w:rPr>
          <w:sz w:val="20"/>
          <w:szCs w:val="20"/>
          <w:color w:val="auto"/>
        </w:rPr>
      </w:pPr>
      <w:r>
        <w:rPr>
          <w:rFonts w:ascii="Arial" w:cs="Arial" w:eastAsia="Arial" w:hAnsi="Arial"/>
          <w:sz w:val="16"/>
          <w:szCs w:val="16"/>
          <w:color w:val="1E1E1E"/>
        </w:rPr>
        <w:t>EXCELERIZE is a Phase 1 open-label, multicenter, dose escalation study designed to evaluate the safety, tolerability, PK, PD and preliminary anti-tumor activity of REC-3565 in patients with R/R B-cell malignancies. Part A will assess monotherapy dosing to identify a recommended dose for combination in Part B, which will evaluate combination regimens to inform future studies in B-cell cancers. The first patient was dosed in the second quarter of 2025, and we expect to share early safety and PK monotherapy data in the first half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126365</wp:posOffset>
            </wp:positionV>
            <wp:extent cx="4277360" cy="26231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7736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40"/>
        <w:spacing w:after="0" w:line="325" w:lineRule="auto"/>
        <w:rPr>
          <w:sz w:val="20"/>
          <w:szCs w:val="20"/>
          <w:color w:val="auto"/>
        </w:rPr>
      </w:pPr>
      <w:r>
        <w:rPr>
          <w:rFonts w:ascii="Arial" w:cs="Arial" w:eastAsia="Arial" w:hAnsi="Arial"/>
          <w:sz w:val="14"/>
          <w:szCs w:val="14"/>
          <w:b w:val="1"/>
          <w:bCs w:val="1"/>
          <w:color w:val="6E6E6E"/>
        </w:rPr>
        <w:t xml:space="preserve">Figure 27. EXCELERIZE study design. </w:t>
      </w:r>
      <w:r>
        <w:rPr>
          <w:rFonts w:ascii="Arial" w:cs="Arial" w:eastAsia="Arial" w:hAnsi="Arial"/>
          <w:sz w:val="14"/>
          <w:szCs w:val="14"/>
          <w:color w:val="6E6E6E"/>
        </w:rPr>
        <w:t>Phase 1 trial to evaluate safety, tolerability, PK, PD and preliminary anti-tumor activity of REC-3565 in patients with R/R B-cell</w:t>
      </w:r>
      <w:r>
        <w:rPr>
          <w:rFonts w:ascii="Arial" w:cs="Arial" w:eastAsia="Arial" w:hAnsi="Arial"/>
          <w:sz w:val="14"/>
          <w:szCs w:val="14"/>
          <w:b w:val="1"/>
          <w:bCs w:val="1"/>
          <w:color w:val="6E6E6E"/>
        </w:rPr>
        <w:t xml:space="preserve"> </w:t>
      </w:r>
      <w:r>
        <w:rPr>
          <w:rFonts w:ascii="Arial" w:cs="Arial" w:eastAsia="Arial" w:hAnsi="Arial"/>
          <w:sz w:val="14"/>
          <w:szCs w:val="14"/>
          <w:color w:val="6E6E6E"/>
        </w:rPr>
        <w:t>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714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1" w:lineRule="exact"/>
        <w:rPr>
          <w:sz w:val="20"/>
          <w:szCs w:val="20"/>
          <w:color w:val="auto"/>
        </w:rPr>
      </w:pPr>
    </w:p>
    <w:p>
      <w:pPr>
        <w:ind w:right="360" w:firstLine="8"/>
        <w:spacing w:after="0" w:line="237" w:lineRule="auto"/>
        <w:tabs>
          <w:tab w:leader="none" w:pos="144" w:val="left"/>
        </w:tabs>
        <w:numPr>
          <w:ilvl w:val="0"/>
          <w:numId w:val="36"/>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Payne, et al. (2024). Combining next-generation BTK and MALT1 inhibitors to enhance efficacy and therapeutic utility in B-cell malignancies [poster]. EORTC-NCI-AACR (ENA) Symposium: PB206.</w:t>
      </w:r>
    </w:p>
    <w:p>
      <w:pPr>
        <w:spacing w:after="0" w:line="28" w:lineRule="exact"/>
        <w:rPr>
          <w:rFonts w:ascii="Arial" w:cs="Arial" w:eastAsia="Arial" w:hAnsi="Arial"/>
          <w:sz w:val="18"/>
          <w:szCs w:val="18"/>
          <w:i w:val="1"/>
          <w:iCs w:val="1"/>
          <w:color w:val="6E6E6E"/>
          <w:vertAlign w:val="superscript"/>
        </w:rPr>
      </w:pPr>
    </w:p>
    <w:p>
      <w:pPr>
        <w:ind w:left="160" w:hanging="152"/>
        <w:spacing w:after="0"/>
        <w:tabs>
          <w:tab w:leader="none" w:pos="160" w:val="left"/>
        </w:tabs>
        <w:numPr>
          <w:ilvl w:val="0"/>
          <w:numId w:val="36"/>
        </w:numPr>
        <w:rPr>
          <w:rFonts w:ascii="Arial" w:cs="Arial" w:eastAsia="Arial" w:hAnsi="Arial"/>
          <w:sz w:val="9"/>
          <w:szCs w:val="9"/>
          <w:i w:val="1"/>
          <w:iCs w:val="1"/>
          <w:color w:val="6E6E6E"/>
        </w:rPr>
      </w:pPr>
      <w:r>
        <w:rPr>
          <w:rFonts w:ascii="Arial" w:cs="Arial" w:eastAsia="Arial" w:hAnsi="Arial"/>
          <w:sz w:val="14"/>
          <w:szCs w:val="14"/>
          <w:i w:val="1"/>
          <w:iCs w:val="1"/>
          <w:color w:val="6E6E6E"/>
        </w:rPr>
        <w:t>Data on file.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1AA7DF"/>
        </w:rPr>
        <w:t>Competitors</w:t>
      </w:r>
    </w:p>
    <w:p>
      <w:pPr>
        <w:spacing w:after="0" w:line="68" w:lineRule="exact"/>
        <w:rPr>
          <w:sz w:val="20"/>
          <w:szCs w:val="20"/>
          <w:color w:val="auto"/>
        </w:rPr>
      </w:pPr>
    </w:p>
    <w:p>
      <w:pPr>
        <w:jc w:val="both"/>
        <w:ind w:right="720"/>
        <w:spacing w:after="0" w:line="301" w:lineRule="auto"/>
        <w:rPr>
          <w:sz w:val="20"/>
          <w:szCs w:val="20"/>
          <w:color w:val="auto"/>
        </w:rPr>
      </w:pPr>
      <w:r>
        <w:rPr>
          <w:rFonts w:ascii="Arial" w:cs="Arial" w:eastAsia="Arial" w:hAnsi="Arial"/>
          <w:sz w:val="16"/>
          <w:szCs w:val="16"/>
          <w:color w:val="1E1E1E"/>
        </w:rPr>
        <w:t>Early MALT1 inhibitors have shown UGT1A1 liability that has led to instances of hyperbilirubinemia in the clinic and limited combinability, while also potentially leaving efficacy on the table. The following competitors have or are currently generating data in the clinic with a strategic focus on B-cell lymphomas:</w:t>
      </w:r>
    </w:p>
    <w:p>
      <w:pPr>
        <w:spacing w:after="0" w:line="158" w:lineRule="exact"/>
        <w:rPr>
          <w:sz w:val="20"/>
          <w:szCs w:val="20"/>
          <w:color w:val="auto"/>
        </w:rPr>
      </w:pPr>
    </w:p>
    <w:p>
      <w:pPr>
        <w:ind w:left="660" w:right="300" w:hanging="328"/>
        <w:spacing w:after="0" w:line="308" w:lineRule="auto"/>
        <w:tabs>
          <w:tab w:leader="none" w:pos="649" w:val="left"/>
        </w:tabs>
        <w:numPr>
          <w:ilvl w:val="0"/>
          <w:numId w:val="37"/>
        </w:numPr>
        <w:rPr>
          <w:rFonts w:ascii="Arial" w:cs="Arial" w:eastAsia="Arial" w:hAnsi="Arial"/>
          <w:sz w:val="16"/>
          <w:szCs w:val="16"/>
          <w:b w:val="1"/>
          <w:bCs w:val="1"/>
          <w:i w:val="1"/>
          <w:iCs w:val="1"/>
          <w:color w:val="1E1E1E"/>
        </w:rPr>
      </w:pPr>
      <w:r>
        <w:rPr>
          <w:rFonts w:ascii="Arial" w:cs="Arial" w:eastAsia="Arial" w:hAnsi="Arial"/>
          <w:sz w:val="16"/>
          <w:szCs w:val="16"/>
          <w:b w:val="1"/>
          <w:bCs w:val="1"/>
          <w:color w:val="1E1E1E"/>
        </w:rPr>
        <w:t xml:space="preserve">JNJ-6786633 (Johnson &amp; Johnson) - </w:t>
      </w:r>
      <w:r>
        <w:rPr>
          <w:rFonts w:ascii="Arial" w:cs="Arial" w:eastAsia="Arial" w:hAnsi="Arial"/>
          <w:sz w:val="16"/>
          <w:szCs w:val="16"/>
          <w:color w:val="1E1E1E"/>
        </w:rPr>
        <w:t>An oral MALT1 inhibitor, that showed significant hyperbilirubinemia in the clinic. Ph2 trials in combination</w:t>
      </w:r>
      <w:r>
        <w:rPr>
          <w:rFonts w:ascii="Arial" w:cs="Arial" w:eastAsia="Arial" w:hAnsi="Arial"/>
          <w:sz w:val="16"/>
          <w:szCs w:val="16"/>
          <w:b w:val="1"/>
          <w:bCs w:val="1"/>
          <w:color w:val="1E1E1E"/>
        </w:rPr>
        <w:t xml:space="preserve"> </w:t>
      </w:r>
      <w:r>
        <w:rPr>
          <w:rFonts w:ascii="Arial" w:cs="Arial" w:eastAsia="Arial" w:hAnsi="Arial"/>
          <w:sz w:val="16"/>
          <w:szCs w:val="16"/>
          <w:color w:val="1E1E1E"/>
        </w:rPr>
        <w:t>with BTK inhibitors have since started and been marked complete, though no further data has been disclosed.</w:t>
      </w:r>
    </w:p>
    <w:p>
      <w:pPr>
        <w:jc w:val="both"/>
        <w:ind w:left="660" w:right="460" w:hanging="328"/>
        <w:spacing w:after="0" w:line="292" w:lineRule="auto"/>
        <w:tabs>
          <w:tab w:leader="none" w:pos="649" w:val="left"/>
        </w:tabs>
        <w:numPr>
          <w:ilvl w:val="0"/>
          <w:numId w:val="37"/>
        </w:numPr>
        <w:rPr>
          <w:rFonts w:ascii="Arial" w:cs="Arial" w:eastAsia="Arial" w:hAnsi="Arial"/>
          <w:sz w:val="16"/>
          <w:szCs w:val="16"/>
          <w:b w:val="1"/>
          <w:bCs w:val="1"/>
          <w:i w:val="1"/>
          <w:iCs w:val="1"/>
          <w:color w:val="1E1E1E"/>
        </w:rPr>
      </w:pPr>
      <w:r>
        <w:rPr>
          <w:rFonts w:ascii="Arial" w:cs="Arial" w:eastAsia="Arial" w:hAnsi="Arial"/>
          <w:sz w:val="16"/>
          <w:szCs w:val="16"/>
          <w:b w:val="1"/>
          <w:bCs w:val="1"/>
          <w:color w:val="1E1E1E"/>
        </w:rPr>
        <w:t xml:space="preserve">SGR-1505 (Schrödinger) - </w:t>
      </w:r>
      <w:r>
        <w:rPr>
          <w:rFonts w:ascii="Arial" w:cs="Arial" w:eastAsia="Arial" w:hAnsi="Arial"/>
          <w:sz w:val="16"/>
          <w:szCs w:val="16"/>
          <w:color w:val="1E1E1E"/>
        </w:rPr>
        <w:t>An oral MALT1 inhibitor with Phase 1 monotherapy results reported for the ongoing trial in R/R B-cell lymphomas.</w:t>
      </w:r>
      <w:r>
        <w:rPr>
          <w:rFonts w:ascii="Arial" w:cs="Arial" w:eastAsia="Arial" w:hAnsi="Arial"/>
          <w:sz w:val="16"/>
          <w:szCs w:val="16"/>
          <w:b w:val="1"/>
          <w:bCs w:val="1"/>
          <w:color w:val="1E1E1E"/>
        </w:rPr>
        <w:t xml:space="preserve"> </w:t>
      </w:r>
      <w:r>
        <w:rPr>
          <w:rFonts w:ascii="Arial" w:cs="Arial" w:eastAsia="Arial" w:hAnsi="Arial"/>
          <w:sz w:val="16"/>
          <w:szCs w:val="16"/>
          <w:color w:val="1E1E1E"/>
        </w:rPr>
        <w:t>Received US orphan drug designation for Waldenström's macroglobulinemia (WM) and mantle cell lymphomas (MCL), along with a fast track designation for treatment of WM patients in post BTK 3L+ setting.</w:t>
      </w:r>
    </w:p>
    <w:p>
      <w:pPr>
        <w:spacing w:after="0" w:line="16" w:lineRule="exact"/>
        <w:rPr>
          <w:rFonts w:ascii="Arial" w:cs="Arial" w:eastAsia="Arial" w:hAnsi="Arial"/>
          <w:sz w:val="16"/>
          <w:szCs w:val="16"/>
          <w:b w:val="1"/>
          <w:bCs w:val="1"/>
          <w:i w:val="1"/>
          <w:iCs w:val="1"/>
          <w:color w:val="1E1E1E"/>
        </w:rPr>
      </w:pPr>
    </w:p>
    <w:p>
      <w:pPr>
        <w:ind w:left="660" w:right="220" w:hanging="328"/>
        <w:spacing w:after="0" w:line="308" w:lineRule="auto"/>
        <w:tabs>
          <w:tab w:leader="none" w:pos="649" w:val="left"/>
        </w:tabs>
        <w:numPr>
          <w:ilvl w:val="0"/>
          <w:numId w:val="37"/>
        </w:numPr>
        <w:rPr>
          <w:rFonts w:ascii="Arial" w:cs="Arial" w:eastAsia="Arial" w:hAnsi="Arial"/>
          <w:sz w:val="16"/>
          <w:szCs w:val="16"/>
          <w:b w:val="1"/>
          <w:bCs w:val="1"/>
          <w:i w:val="1"/>
          <w:iCs w:val="1"/>
          <w:color w:val="1E1E1E"/>
        </w:rPr>
      </w:pPr>
      <w:r>
        <w:rPr>
          <w:rFonts w:ascii="Arial" w:cs="Arial" w:eastAsia="Arial" w:hAnsi="Arial"/>
          <w:sz w:val="16"/>
          <w:szCs w:val="16"/>
          <w:b w:val="1"/>
          <w:bCs w:val="1"/>
          <w:color w:val="1E1E1E"/>
        </w:rPr>
        <w:t xml:space="preserve">ABBV-525 (AbbVie/Lupin) - </w:t>
      </w:r>
      <w:r>
        <w:rPr>
          <w:rFonts w:ascii="Arial" w:cs="Arial" w:eastAsia="Arial" w:hAnsi="Arial"/>
          <w:sz w:val="16"/>
          <w:szCs w:val="16"/>
          <w:color w:val="1E1E1E"/>
        </w:rPr>
        <w:t>An oral MALT1 inhibitor with a Phase 1/2a trial ongoing in R/R B-cell malignancies. Primary completion of the trial is</w:t>
      </w:r>
      <w:r>
        <w:rPr>
          <w:rFonts w:ascii="Arial" w:cs="Arial" w:eastAsia="Arial" w:hAnsi="Arial"/>
          <w:sz w:val="16"/>
          <w:szCs w:val="16"/>
          <w:b w:val="1"/>
          <w:bCs w:val="1"/>
          <w:color w:val="1E1E1E"/>
        </w:rPr>
        <w:t xml:space="preserve"> </w:t>
      </w:r>
      <w:r>
        <w:rPr>
          <w:rFonts w:ascii="Arial" w:cs="Arial" w:eastAsia="Arial" w:hAnsi="Arial"/>
          <w:sz w:val="16"/>
          <w:szCs w:val="16"/>
          <w:color w:val="1E1E1E"/>
        </w:rPr>
        <w:t>expected in 2029.</w:t>
      </w:r>
    </w:p>
    <w:p>
      <w:pPr>
        <w:ind w:left="660" w:right="180" w:hanging="328"/>
        <w:spacing w:after="0" w:line="292" w:lineRule="auto"/>
        <w:tabs>
          <w:tab w:leader="none" w:pos="649" w:val="left"/>
        </w:tabs>
        <w:numPr>
          <w:ilvl w:val="0"/>
          <w:numId w:val="37"/>
        </w:numPr>
        <w:rPr>
          <w:rFonts w:ascii="Arial" w:cs="Arial" w:eastAsia="Arial" w:hAnsi="Arial"/>
          <w:sz w:val="16"/>
          <w:szCs w:val="16"/>
          <w:b w:val="1"/>
          <w:bCs w:val="1"/>
          <w:i w:val="1"/>
          <w:iCs w:val="1"/>
          <w:color w:val="1E1E1E"/>
        </w:rPr>
      </w:pPr>
      <w:r>
        <w:rPr>
          <w:rFonts w:ascii="Arial" w:cs="Arial" w:eastAsia="Arial" w:hAnsi="Arial"/>
          <w:sz w:val="16"/>
          <w:szCs w:val="16"/>
          <w:b w:val="1"/>
          <w:bCs w:val="1"/>
          <w:color w:val="1E1E1E"/>
        </w:rPr>
        <w:t xml:space="preserve">AUR-112 (Aurigene) - </w:t>
      </w:r>
      <w:r>
        <w:rPr>
          <w:rFonts w:ascii="Arial" w:cs="Arial" w:eastAsia="Arial" w:hAnsi="Arial"/>
          <w:sz w:val="16"/>
          <w:szCs w:val="16"/>
          <w:color w:val="1E1E1E"/>
        </w:rPr>
        <w:t>An oral MALT1 protease inhibitor, with Phase I trial (AUR112-101) ongoing for relapsed advanced lymphoma. Initial results</w:t>
      </w:r>
      <w:r>
        <w:rPr>
          <w:rFonts w:ascii="Arial" w:cs="Arial" w:eastAsia="Arial" w:hAnsi="Arial"/>
          <w:sz w:val="16"/>
          <w:szCs w:val="16"/>
          <w:b w:val="1"/>
          <w:bCs w:val="1"/>
          <w:color w:val="1E1E1E"/>
        </w:rPr>
        <w:t xml:space="preserve"> </w:t>
      </w:r>
      <w:r>
        <w:rPr>
          <w:rFonts w:ascii="Arial" w:cs="Arial" w:eastAsia="Arial" w:hAnsi="Arial"/>
          <w:sz w:val="16"/>
          <w:szCs w:val="16"/>
          <w:color w:val="1E1E1E"/>
        </w:rPr>
        <w:t>were reported at December 2025 press release, which showed limited Gr3 hyperbilirubinemiand 64% response rate (6 PR, 1CR) across B-cell lymphomas.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1E1E1E"/>
        </w:rPr>
        <w:t>Other assets that have been discontinued or have a different strategic focus includes:</w:t>
      </w:r>
    </w:p>
    <w:p>
      <w:pPr>
        <w:spacing w:after="0" w:line="248" w:lineRule="exact"/>
        <w:rPr>
          <w:sz w:val="20"/>
          <w:szCs w:val="20"/>
          <w:color w:val="auto"/>
        </w:rPr>
      </w:pPr>
    </w:p>
    <w:p>
      <w:pPr>
        <w:ind w:left="660" w:right="360" w:hanging="328"/>
        <w:spacing w:after="0" w:line="304" w:lineRule="auto"/>
        <w:tabs>
          <w:tab w:leader="none" w:pos="649" w:val="left"/>
        </w:tabs>
        <w:numPr>
          <w:ilvl w:val="0"/>
          <w:numId w:val="38"/>
        </w:numPr>
        <w:rPr>
          <w:rFonts w:ascii="Arial" w:cs="Arial" w:eastAsia="Arial" w:hAnsi="Arial"/>
          <w:sz w:val="16"/>
          <w:szCs w:val="16"/>
          <w:b w:val="1"/>
          <w:bCs w:val="1"/>
          <w:i w:val="1"/>
          <w:iCs w:val="1"/>
          <w:color w:val="1E1E1E"/>
        </w:rPr>
      </w:pPr>
      <w:r>
        <w:rPr>
          <w:rFonts w:ascii="Arial" w:cs="Arial" w:eastAsia="Arial" w:hAnsi="Arial"/>
          <w:sz w:val="16"/>
          <w:szCs w:val="16"/>
          <w:b w:val="1"/>
          <w:bCs w:val="1"/>
          <w:color w:val="1E1E1E"/>
        </w:rPr>
        <w:t xml:space="preserve">CTX-177/ONO-7018 (Chordia/ONO) - </w:t>
      </w:r>
      <w:r>
        <w:rPr>
          <w:rFonts w:ascii="Arial" w:cs="Arial" w:eastAsia="Arial" w:hAnsi="Arial"/>
          <w:sz w:val="16"/>
          <w:szCs w:val="16"/>
          <w:color w:val="1E1E1E"/>
        </w:rPr>
        <w:t>An oral MALT1 inhibitor that was in Phase 1 trial for patients with R/R NHL/CLL which has recently been</w:t>
      </w:r>
      <w:r>
        <w:rPr>
          <w:rFonts w:ascii="Arial" w:cs="Arial" w:eastAsia="Arial" w:hAnsi="Arial"/>
          <w:sz w:val="16"/>
          <w:szCs w:val="16"/>
          <w:b w:val="1"/>
          <w:bCs w:val="1"/>
          <w:color w:val="1E1E1E"/>
        </w:rPr>
        <w:t xml:space="preserve"> </w:t>
      </w:r>
      <w:r>
        <w:rPr>
          <w:rFonts w:ascii="Arial" w:cs="Arial" w:eastAsia="Arial" w:hAnsi="Arial"/>
          <w:sz w:val="16"/>
          <w:szCs w:val="16"/>
          <w:color w:val="1E1E1E"/>
        </w:rPr>
        <w:t>discontinued with the company looking to out license the asset.</w:t>
      </w:r>
    </w:p>
    <w:p>
      <w:pPr>
        <w:spacing w:after="0" w:line="6" w:lineRule="exact"/>
        <w:rPr>
          <w:rFonts w:ascii="Arial" w:cs="Arial" w:eastAsia="Arial" w:hAnsi="Arial"/>
          <w:sz w:val="16"/>
          <w:szCs w:val="16"/>
          <w:b w:val="1"/>
          <w:bCs w:val="1"/>
          <w:i w:val="1"/>
          <w:iCs w:val="1"/>
          <w:color w:val="1E1E1E"/>
        </w:rPr>
      </w:pPr>
    </w:p>
    <w:p>
      <w:pPr>
        <w:ind w:left="640" w:hanging="308"/>
        <w:spacing w:after="0"/>
        <w:tabs>
          <w:tab w:leader="none" w:pos="640" w:val="left"/>
        </w:tabs>
        <w:numPr>
          <w:ilvl w:val="0"/>
          <w:numId w:val="38"/>
        </w:numPr>
        <w:rPr>
          <w:rFonts w:ascii="Arial" w:cs="Arial" w:eastAsia="Arial" w:hAnsi="Arial"/>
          <w:sz w:val="16"/>
          <w:szCs w:val="16"/>
          <w:b w:val="1"/>
          <w:bCs w:val="1"/>
          <w:i w:val="1"/>
          <w:iCs w:val="1"/>
          <w:color w:val="1E1E1E"/>
        </w:rPr>
      </w:pPr>
      <w:r>
        <w:rPr>
          <w:rFonts w:ascii="Arial" w:cs="Arial" w:eastAsia="Arial" w:hAnsi="Arial"/>
          <w:sz w:val="16"/>
          <w:szCs w:val="16"/>
          <w:b w:val="1"/>
          <w:bCs w:val="1"/>
          <w:color w:val="1E1E1E"/>
        </w:rPr>
        <w:t xml:space="preserve">RB-201 (Rarefied Biosciences) - </w:t>
      </w:r>
      <w:r>
        <w:rPr>
          <w:rFonts w:ascii="Arial" w:cs="Arial" w:eastAsia="Arial" w:hAnsi="Arial"/>
          <w:sz w:val="16"/>
          <w:szCs w:val="16"/>
          <w:color w:val="1E1E1E"/>
        </w:rPr>
        <w:t>An oral MALT1 inhibitor currently in a healthy volunteer's study, with a strategic focus on autoimmune diseases.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REC-4539 for Solid Tumors and Hematology Oncology – Phase 1</w:t>
      </w:r>
    </w:p>
    <w:p>
      <w:pPr>
        <w:spacing w:after="0" w:line="77"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REC-4539 is an orally bioavailable, highly potent and selective, CNS penetrant, and potential best-in-class inhibitor under development for the treatment of solid tumors and hematological malignancies. LSD1 is an epigenetic regulator that removes methyl groups from histones, thereby controlling the expression of tumor suppressors and oncogenes. By inhibiting LSD1, REC-4539 promotes the reactivation of tumor suppressor pathways and may slow tumor growth or enhance sensitivity to cytotoxic agents. There are currently no LSD1 inhibitors approved by the FDA. In January 2025, the FDA cleared an IND application for ENLYGHT, a Phase 1 open-label multicenter study evaluating REC-4359. In May 2025, the program was placed on strategic pause, to allow review of emerging clinical data and to ensure the program has a competitive Target Product Profile. Following completion of this review, we now expect to initiate a Phase 1 trial in the first half of 2026, with the dose escalation study evaluating REC-4539 in patients with SCLC or other select solid tumors. We expect to share early safety and PK data in the second half of 2027.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1AA7DF"/>
        </w:rPr>
        <w:t>Disease Overview</w:t>
      </w:r>
    </w:p>
    <w:p>
      <w:pPr>
        <w:spacing w:after="0" w:line="81"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1E1E1E"/>
        </w:rPr>
        <w:t>LSD1 is abnormally overexpressed in a broad spectrum of solid tumors including lung, breast, prostate, esophageal, and bladder cancers, as well as acute myeloid leukemia (AML), with evidence suggesting that LSD1 is a promising therapeutic target. One indication of focus is SCLC, a poorly differentiated neuroendocrine tumor, representing roughly 15% of all lung cancer diagnoses. The majority of SCLC patients present with metastatic (extensive) or unresectable disease and, notably, over 50% of patients eventually develop brain metastases. Despite some improvements in frontline therapy such as chemotherapy plus immunotherapy, treatment options after progression remain limited. Median survival in ES-SCLC is poor, with a 5-year overall survival rate of approximately 3%. Across the US and EU5, approximately 45,000 patients have a treatable Stage III/IV SCLC each year.</w:t>
      </w:r>
    </w:p>
    <w:p>
      <w:pPr>
        <w:spacing w:after="0" w:line="174"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1E1E1E"/>
        </w:rPr>
        <w:t>Within SCLC, LSD1 plays a key epigenetic role by demethylating histones that regulate critical tumor suppressor genes. Inhibiting LSD1 can reverse this epigenetic repression, upregulating pathways such as NOTCH, that promote differentiation of neuroendocrine tumor cells into a more quiescent state, potentially sensitizing them to cytotoxic therapies. However, effective LSD1 inhibition requires a reversible, brain-penetrant molecule with a short half-life to minimize risks such as thrombocytopenia. Many LSD1 inhibitors have failed to achieve these parameters, particularly brain penetration and controlled on-target effects, highlighting the unmet need that REC-4539 aims to address.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1E1E1E"/>
        </w:rPr>
        <w:t>A second indication of focus is acute myeloid leukemia (AML), which is the most prevalent adult leukemia. The disease accounts for approximately 80% of cases and is characterized by the aggressive expansion of immature "blast cells." While advancements in management have improved outcomes for younger patients, the prognosis for the elderly population remains poor, with cure rates as low as 15%. At the molecular level, LSD1 is abnormally overexpressed, acting as an epigenetic master regulator that complexes with GFI1 to arrest myeloid differentiation and drive the self-renewal of leukemic stem cells.</w:t>
      </w:r>
    </w:p>
    <w:p>
      <w:pPr>
        <w:spacing w:after="0" w:line="18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1E1E1E"/>
        </w:rPr>
        <w:t>While the therapeutic potential of LSD1 inhibition is well-documented across various genetic profiles, the broader clinical field has been limited by significant safety hurdles. REC-4539 addresses this critical unmet need with an optimized profile designed to maximize anti-leukemic efficacy while mitigating the systemic risks that have hindered previous candidates, offering a highly differentiated solution for a patient population with few remaining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1AA7DF"/>
        </w:rPr>
        <w:t>Insight from Recursion OS</w:t>
      </w:r>
    </w:p>
    <w:p>
      <w:pPr>
        <w:spacing w:after="0" w:line="68" w:lineRule="exact"/>
        <w:rPr>
          <w:sz w:val="20"/>
          <w:szCs w:val="20"/>
          <w:color w:val="auto"/>
        </w:rPr>
      </w:pPr>
    </w:p>
    <w:p>
      <w:pPr>
        <w:spacing w:after="0" w:line="279" w:lineRule="auto"/>
        <w:rPr>
          <w:sz w:val="20"/>
          <w:szCs w:val="20"/>
          <w:color w:val="auto"/>
        </w:rPr>
      </w:pPr>
      <w:r>
        <w:rPr>
          <w:rFonts w:ascii="Arial" w:cs="Arial" w:eastAsia="Arial" w:hAnsi="Arial"/>
          <w:sz w:val="16"/>
          <w:szCs w:val="16"/>
          <w:color w:val="1E1E1E"/>
        </w:rPr>
        <w:t>Developing a selective LSD1 inhibitor for solid tumor indications requires a reversible mechanism, a short half-life to minimize on-target toxicity (e.g. thrombocytopenia), and the ability to penetrate the blood-brain barrier to address frequent metastases seen in indications such as SCLC. Many existing LSD1 agents fail to meet these criteria, resulting in dose-limiting toxicity and poor CNS exposure. Using our AI-driven, multi-parameter optimization approach, we generated and screened diverse chemical scaffolds for potency, selectivity, ADME properties, and CNS penetration. Active learning identified counterintuitive yet informative compounds, enabling a rapid design breakthrough. As a result, we created REC-4539 – a potent, selective, reversible, brain-penetrant, and potential best-in-class LSD1 inhibitor with a short predicted half-life and potential improved therapeutic index through better management of on-target toxicities such as reduced impact on platelets. We believe these key attributes provide competitive differentiation for REC-4539 versus prior LSD1-targeted molecules.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1AA7DF"/>
        </w:rPr>
        <w:t>Preclinical</w:t>
      </w:r>
    </w:p>
    <w:p>
      <w:pPr>
        <w:spacing w:after="0" w:line="68"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1E1E1E"/>
        </w:rPr>
        <w:t>REC-4539 demonstrated potent anti-tumor activity across multiple preclinical models, including the NCI-H1417 human SCLC xenograft. In this model, dose-dependent tumor growth inhibition correlated with a corresponding decrease in the neuroendocrine tumor biomarker progastrin-releasing peptide (proGRP). Additionally, REC-4539 treatment was well-tolerated, with minimal impact on platelet 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122555</wp:posOffset>
            </wp:positionV>
            <wp:extent cx="5554980" cy="2682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5498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40"/>
        <w:spacing w:after="0" w:line="334" w:lineRule="auto"/>
        <w:rPr>
          <w:sz w:val="20"/>
          <w:szCs w:val="20"/>
          <w:color w:val="auto"/>
        </w:rPr>
      </w:pPr>
      <w:r>
        <w:rPr>
          <w:rFonts w:ascii="Arial" w:cs="Arial" w:eastAsia="Arial" w:hAnsi="Arial"/>
          <w:sz w:val="14"/>
          <w:szCs w:val="14"/>
          <w:b w:val="1"/>
          <w:bCs w:val="1"/>
          <w:color w:val="6E6E6E"/>
        </w:rPr>
        <w:t xml:space="preserve">Figure 28. REC-4539 preclinical assessment in SCLC xenograft model. </w:t>
      </w:r>
      <w:r>
        <w:rPr>
          <w:rFonts w:ascii="Arial" w:cs="Arial" w:eastAsia="Arial" w:hAnsi="Arial"/>
          <w:sz w:val="14"/>
          <w:szCs w:val="14"/>
          <w:color w:val="6E6E6E"/>
        </w:rPr>
        <w:t>BALB/c mice, REC-4539 dosed BID, 28 day study (Left) REC-4539 induces dose-dependent tumor</w:t>
      </w:r>
      <w:r>
        <w:rPr>
          <w:rFonts w:ascii="Arial" w:cs="Arial" w:eastAsia="Arial" w:hAnsi="Arial"/>
          <w:sz w:val="14"/>
          <w:szCs w:val="14"/>
          <w:b w:val="1"/>
          <w:bCs w:val="1"/>
          <w:color w:val="6E6E6E"/>
        </w:rPr>
        <w:t xml:space="preserve"> </w:t>
      </w:r>
      <w:r>
        <w:rPr>
          <w:rFonts w:ascii="Arial" w:cs="Arial" w:eastAsia="Arial" w:hAnsi="Arial"/>
          <w:sz w:val="14"/>
          <w:szCs w:val="14"/>
          <w:color w:val="6E6E6E"/>
        </w:rPr>
        <w:t>growth inhibition in the NCI-H1417 SCLC cell line derived xenograft mouse model. (Right) REC-4539 induces dose dependent reductions in plasma proGRP.</w:t>
      </w:r>
      <w:r>
        <w:rPr>
          <w:rFonts w:ascii="Arial" w:cs="Arial" w:eastAsia="Arial" w:hAnsi="Arial"/>
          <w:sz w:val="18"/>
          <w:szCs w:val="18"/>
          <w:color w:val="6E6E6E"/>
          <w:vertAlign w:val="superscript"/>
        </w:rPr>
        <w:t>19,20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714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5" w:lineRule="exact"/>
        <w:rPr>
          <w:sz w:val="20"/>
          <w:szCs w:val="20"/>
          <w:color w:val="auto"/>
        </w:rPr>
      </w:pPr>
    </w:p>
    <w:p>
      <w:pPr>
        <w:ind w:right="400" w:firstLine="8"/>
        <w:spacing w:after="0" w:line="237" w:lineRule="auto"/>
        <w:tabs>
          <w:tab w:leader="none" w:pos="144" w:val="left"/>
        </w:tabs>
        <w:numPr>
          <w:ilvl w:val="0"/>
          <w:numId w:val="39"/>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Payne, et al. (2023). Characterizing Antitumor Responses to EXS74539, a Novel, Reversible LSD1 Inhibitor with Potential in Small-cell Lung Cancer [poster]. American Association for Cancer Research (AACR) Annual Meeting: 6290.</w:t>
      </w:r>
    </w:p>
    <w:p>
      <w:pPr>
        <w:spacing w:after="0" w:line="28" w:lineRule="exact"/>
        <w:rPr>
          <w:rFonts w:ascii="Arial" w:cs="Arial" w:eastAsia="Arial" w:hAnsi="Arial"/>
          <w:sz w:val="18"/>
          <w:szCs w:val="18"/>
          <w:i w:val="1"/>
          <w:iCs w:val="1"/>
          <w:color w:val="6E6E6E"/>
          <w:vertAlign w:val="superscript"/>
        </w:rPr>
      </w:pPr>
    </w:p>
    <w:p>
      <w:pPr>
        <w:ind w:left="160" w:hanging="152"/>
        <w:spacing w:after="0"/>
        <w:tabs>
          <w:tab w:leader="none" w:pos="160" w:val="left"/>
        </w:tabs>
        <w:numPr>
          <w:ilvl w:val="0"/>
          <w:numId w:val="39"/>
        </w:numPr>
        <w:rPr>
          <w:rFonts w:ascii="Arial" w:cs="Arial" w:eastAsia="Arial" w:hAnsi="Arial"/>
          <w:sz w:val="9"/>
          <w:szCs w:val="9"/>
          <w:i w:val="1"/>
          <w:iCs w:val="1"/>
          <w:color w:val="6E6E6E"/>
        </w:rPr>
      </w:pPr>
      <w:r>
        <w:rPr>
          <w:rFonts w:ascii="Arial" w:cs="Arial" w:eastAsia="Arial" w:hAnsi="Arial"/>
          <w:sz w:val="14"/>
          <w:szCs w:val="14"/>
          <w:i w:val="1"/>
          <w:iCs w:val="1"/>
          <w:color w:val="6E6E6E"/>
        </w:rPr>
        <w:t>Data on file.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1AA7DF"/>
        </w:rPr>
        <w:t>Clinical</w:t>
      </w:r>
    </w:p>
    <w:p>
      <w:pPr>
        <w:spacing w:after="0" w:line="68"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E1E1E"/>
        </w:rPr>
        <w:t>ENLYGHT is a Phase 1, open-label, multicenter dose escalation study designed to evaluate the safety, tolerability, and preliminary efficacy of REC-4539 monotherapy in patients with select solid tumors. The FDA cleared an IND application in January 2025; the program was then placed on strategic pause in May 2025. While the broader field has faced safety challenges, REC-4539 remains highly differentiated by its optimized profile, and we now expect to initiate a Phase 1 trial in the first half of 2026. The Phase 1 study will evaluate REC-4539 as a monotherapy in patients with SCLC and select other solid tumors, to assess safety and tolerability, PK/PD, to establish the MTD, and to evaluate preliminary efficacy as per the study design diagram below. We expect to share early safety and PK monotherapy data in the second half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128270</wp:posOffset>
            </wp:positionV>
            <wp:extent cx="4732020" cy="27946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3202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29. ENLYGHT study design. </w:t>
      </w:r>
      <w:r>
        <w:rPr>
          <w:rFonts w:ascii="Arial" w:cs="Arial" w:eastAsia="Arial" w:hAnsi="Arial"/>
          <w:sz w:val="14"/>
          <w:szCs w:val="14"/>
          <w:color w:val="6E6E6E"/>
        </w:rPr>
        <w:t>Phase 1 trial design to assess the safety, tolerability, and preliminary efficacy of REC-4539 monotherapy.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1AA7DF"/>
        </w:rPr>
        <w:t>Competitors</w:t>
      </w:r>
    </w:p>
    <w:p>
      <w:pPr>
        <w:spacing w:after="0" w:line="81"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1E1E1E"/>
        </w:rPr>
        <w:t>The LSD1 inhibitor competitor landscape is limited to a small number of programs currently advancing in active clinical development. These programs vary by indication of interest, combination strategy, and development priority.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1E1E1E"/>
        </w:rPr>
        <w:t>Active LSD1i clinical development programs:</w:t>
      </w:r>
    </w:p>
    <w:p>
      <w:pPr>
        <w:spacing w:after="0" w:line="248" w:lineRule="exact"/>
        <w:rPr>
          <w:sz w:val="20"/>
          <w:szCs w:val="20"/>
          <w:color w:val="auto"/>
        </w:rPr>
      </w:pPr>
    </w:p>
    <w:p>
      <w:pPr>
        <w:jc w:val="both"/>
        <w:ind w:left="660" w:right="100" w:hanging="328"/>
        <w:spacing w:after="0" w:line="283" w:lineRule="auto"/>
        <w:tabs>
          <w:tab w:leader="none" w:pos="649" w:val="left"/>
        </w:tabs>
        <w:numPr>
          <w:ilvl w:val="0"/>
          <w:numId w:val="40"/>
        </w:numPr>
        <w:rPr>
          <w:rFonts w:ascii="Arial" w:cs="Arial" w:eastAsia="Arial" w:hAnsi="Arial"/>
          <w:sz w:val="16"/>
          <w:szCs w:val="16"/>
          <w:b w:val="1"/>
          <w:bCs w:val="1"/>
          <w:i w:val="1"/>
          <w:iCs w:val="1"/>
          <w:color w:val="1E1E1E"/>
        </w:rPr>
      </w:pPr>
      <w:r>
        <w:rPr>
          <w:rFonts w:ascii="Arial" w:cs="Arial" w:eastAsia="Arial" w:hAnsi="Arial"/>
          <w:sz w:val="16"/>
          <w:szCs w:val="16"/>
          <w:b w:val="1"/>
          <w:bCs w:val="1"/>
          <w:color w:val="1E1E1E"/>
        </w:rPr>
        <w:t xml:space="preserve">Bomedemstat (Merck) - </w:t>
      </w:r>
      <w:r>
        <w:rPr>
          <w:rFonts w:ascii="Arial" w:cs="Arial" w:eastAsia="Arial" w:hAnsi="Arial"/>
          <w:sz w:val="16"/>
          <w:szCs w:val="16"/>
          <w:color w:val="1E1E1E"/>
        </w:rPr>
        <w:t>Merck is focusing on myeloproliferative neoplasms (MPNs) as a route to market for bomedemstat. Bomedemstat is being</w:t>
      </w:r>
      <w:r>
        <w:rPr>
          <w:rFonts w:ascii="Arial" w:cs="Arial" w:eastAsia="Arial" w:hAnsi="Arial"/>
          <w:sz w:val="16"/>
          <w:szCs w:val="16"/>
          <w:b w:val="1"/>
          <w:bCs w:val="1"/>
          <w:color w:val="1E1E1E"/>
        </w:rPr>
        <w:t xml:space="preserve"> </w:t>
      </w:r>
      <w:r>
        <w:rPr>
          <w:rFonts w:ascii="Arial" w:cs="Arial" w:eastAsia="Arial" w:hAnsi="Arial"/>
          <w:sz w:val="16"/>
          <w:szCs w:val="16"/>
          <w:color w:val="1E1E1E"/>
        </w:rPr>
        <w:t>investigated in a Phase 3 trial in essential thrombocythemia (ET), a Phase 2 study in myelofibrosis (MF) and polycythemia vera (PV), and a Phase 1 IIT study in AML (in combination with venetoclax). Merck terminated a Phase 1/2 SCLC trial in combination with PD-L1 maintenance in 2024 due to low accrual rates.</w:t>
      </w:r>
    </w:p>
    <w:p>
      <w:pPr>
        <w:spacing w:after="0" w:line="23" w:lineRule="exact"/>
        <w:rPr>
          <w:rFonts w:ascii="Arial" w:cs="Arial" w:eastAsia="Arial" w:hAnsi="Arial"/>
          <w:sz w:val="16"/>
          <w:szCs w:val="16"/>
          <w:b w:val="1"/>
          <w:bCs w:val="1"/>
          <w:i w:val="1"/>
          <w:iCs w:val="1"/>
          <w:color w:val="1E1E1E"/>
        </w:rPr>
      </w:pPr>
    </w:p>
    <w:p>
      <w:pPr>
        <w:ind w:left="660" w:right="160" w:hanging="328"/>
        <w:spacing w:after="0" w:line="289" w:lineRule="auto"/>
        <w:tabs>
          <w:tab w:leader="none" w:pos="649" w:val="left"/>
        </w:tabs>
        <w:numPr>
          <w:ilvl w:val="0"/>
          <w:numId w:val="40"/>
        </w:numPr>
        <w:rPr>
          <w:rFonts w:ascii="Arial" w:cs="Arial" w:eastAsia="Arial" w:hAnsi="Arial"/>
          <w:sz w:val="16"/>
          <w:szCs w:val="16"/>
          <w:b w:val="1"/>
          <w:bCs w:val="1"/>
          <w:i w:val="1"/>
          <w:iCs w:val="1"/>
          <w:color w:val="1E1E1E"/>
        </w:rPr>
      </w:pPr>
      <w:r>
        <w:rPr>
          <w:rFonts w:ascii="Arial" w:cs="Arial" w:eastAsia="Arial" w:hAnsi="Arial"/>
          <w:sz w:val="16"/>
          <w:szCs w:val="16"/>
          <w:b w:val="1"/>
          <w:bCs w:val="1"/>
          <w:color w:val="1E1E1E"/>
        </w:rPr>
        <w:t xml:space="preserve">Iadademstat (Oryzon) - </w:t>
      </w:r>
      <w:r>
        <w:rPr>
          <w:rFonts w:ascii="Arial" w:cs="Arial" w:eastAsia="Arial" w:hAnsi="Arial"/>
          <w:sz w:val="16"/>
          <w:szCs w:val="16"/>
          <w:color w:val="1E1E1E"/>
        </w:rPr>
        <w:t>Iadademstat is being investigated in AML and SCLC patient populations. It is in an ongoing Ph1b study for R/R AML with</w:t>
      </w:r>
      <w:r>
        <w:rPr>
          <w:rFonts w:ascii="Arial" w:cs="Arial" w:eastAsia="Arial" w:hAnsi="Arial"/>
          <w:sz w:val="16"/>
          <w:szCs w:val="16"/>
          <w:b w:val="1"/>
          <w:bCs w:val="1"/>
          <w:color w:val="1E1E1E"/>
        </w:rPr>
        <w:t xml:space="preserve"> </w:t>
      </w:r>
      <w:r>
        <w:rPr>
          <w:rFonts w:ascii="Arial" w:cs="Arial" w:eastAsia="Arial" w:hAnsi="Arial"/>
          <w:sz w:val="16"/>
          <w:szCs w:val="16"/>
          <w:color w:val="1E1E1E"/>
        </w:rPr>
        <w:t>FLT3 mutation in combination with gilteritinib and in a Ph1b study for newly-diagnosed unfit AML in combination with venetoclax and azacitidine. It is also in a Phase 2 IIT for relapsed/refractory (R/R) SCLC and extrapulmonary high-grade NETs (in combination with paclitaxel), as well as a Phase 1b/2 IIT in first-line extensive-stage SCLC (ES-SCLC) in combination with a checkpoint inhibitor.</w:t>
      </w:r>
    </w:p>
    <w:p>
      <w:pPr>
        <w:spacing w:after="0" w:line="4" w:lineRule="exact"/>
        <w:rPr>
          <w:rFonts w:ascii="Arial" w:cs="Arial" w:eastAsia="Arial" w:hAnsi="Arial"/>
          <w:sz w:val="16"/>
          <w:szCs w:val="16"/>
          <w:b w:val="1"/>
          <w:bCs w:val="1"/>
          <w:i w:val="1"/>
          <w:iCs w:val="1"/>
          <w:color w:val="1E1E1E"/>
        </w:rPr>
      </w:pPr>
    </w:p>
    <w:p>
      <w:pPr>
        <w:ind w:left="660" w:right="420" w:hanging="328"/>
        <w:spacing w:after="0" w:line="299" w:lineRule="auto"/>
        <w:tabs>
          <w:tab w:leader="none" w:pos="649" w:val="left"/>
        </w:tabs>
        <w:numPr>
          <w:ilvl w:val="0"/>
          <w:numId w:val="40"/>
        </w:numPr>
        <w:rPr>
          <w:rFonts w:ascii="Arial" w:cs="Arial" w:eastAsia="Arial" w:hAnsi="Arial"/>
          <w:sz w:val="16"/>
          <w:szCs w:val="16"/>
          <w:b w:val="1"/>
          <w:bCs w:val="1"/>
          <w:i w:val="1"/>
          <w:iCs w:val="1"/>
          <w:color w:val="1E1E1E"/>
        </w:rPr>
      </w:pPr>
      <w:r>
        <w:rPr>
          <w:rFonts w:ascii="Arial" w:cs="Arial" w:eastAsia="Arial" w:hAnsi="Arial"/>
          <w:sz w:val="16"/>
          <w:szCs w:val="16"/>
          <w:b w:val="1"/>
          <w:bCs w:val="1"/>
          <w:color w:val="1E1E1E"/>
        </w:rPr>
        <w:t xml:space="preserve">JBI-802 (Jubilant Life Sciences) - </w:t>
      </w:r>
      <w:r>
        <w:rPr>
          <w:rFonts w:ascii="Arial" w:cs="Arial" w:eastAsia="Arial" w:hAnsi="Arial"/>
          <w:sz w:val="16"/>
          <w:szCs w:val="16"/>
          <w:color w:val="1E1E1E"/>
        </w:rPr>
        <w:t>JBI-802 is in a Phase 1/2 basket study, with expansion cohorts planned in SCLC, neuroendocrine prostate</w:t>
      </w:r>
      <w:r>
        <w:rPr>
          <w:rFonts w:ascii="Arial" w:cs="Arial" w:eastAsia="Arial" w:hAnsi="Arial"/>
          <w:sz w:val="16"/>
          <w:szCs w:val="16"/>
          <w:b w:val="1"/>
          <w:bCs w:val="1"/>
          <w:color w:val="1E1E1E"/>
        </w:rPr>
        <w:t xml:space="preserve"> </w:t>
      </w:r>
      <w:r>
        <w:rPr>
          <w:rFonts w:ascii="Arial" w:cs="Arial" w:eastAsia="Arial" w:hAnsi="Arial"/>
          <w:sz w:val="16"/>
          <w:szCs w:val="16"/>
          <w:color w:val="1E1E1E"/>
        </w:rPr>
        <w:t>cancer (NEPC), and other NETs, as well as a Phase 2 study for patients with advanced NSCLC tumors harboring an STK11 Mutation in combination with pembrolizumab.</w:t>
      </w:r>
    </w:p>
    <w:p>
      <w:pPr>
        <w:ind w:left="660" w:right="380" w:hanging="328"/>
        <w:spacing w:after="0" w:line="321" w:lineRule="auto"/>
        <w:tabs>
          <w:tab w:leader="none" w:pos="649" w:val="left"/>
        </w:tabs>
        <w:numPr>
          <w:ilvl w:val="0"/>
          <w:numId w:val="40"/>
        </w:numPr>
        <w:rPr>
          <w:rFonts w:ascii="Arial" w:cs="Arial" w:eastAsia="Arial" w:hAnsi="Arial"/>
          <w:sz w:val="16"/>
          <w:szCs w:val="16"/>
          <w:b w:val="1"/>
          <w:bCs w:val="1"/>
          <w:i w:val="1"/>
          <w:iCs w:val="1"/>
          <w:color w:val="1E1E1E"/>
        </w:rPr>
      </w:pPr>
      <w:r>
        <w:rPr>
          <w:rFonts w:ascii="Arial" w:cs="Arial" w:eastAsia="Arial" w:hAnsi="Arial"/>
          <w:sz w:val="16"/>
          <w:szCs w:val="16"/>
          <w:b w:val="1"/>
          <w:bCs w:val="1"/>
          <w:color w:val="1E1E1E"/>
        </w:rPr>
        <w:t xml:space="preserve">TAS1440 (Benz Sciences/ Taiho Pharmaceuticals) - </w:t>
      </w:r>
      <w:r>
        <w:rPr>
          <w:rFonts w:ascii="Arial" w:cs="Arial" w:eastAsia="Arial" w:hAnsi="Arial"/>
          <w:sz w:val="16"/>
          <w:szCs w:val="16"/>
          <w:color w:val="1E1E1E"/>
        </w:rPr>
        <w:t>Benz Sciences are preparing for a Phase 1b/2 study for MPN patients, after in-licensing</w:t>
      </w:r>
      <w:r>
        <w:rPr>
          <w:rFonts w:ascii="Arial" w:cs="Arial" w:eastAsia="Arial" w:hAnsi="Arial"/>
          <w:sz w:val="16"/>
          <w:szCs w:val="16"/>
          <w:b w:val="1"/>
          <w:bCs w:val="1"/>
          <w:color w:val="1E1E1E"/>
        </w:rPr>
        <w:t xml:space="preserve"> </w:t>
      </w:r>
      <w:r>
        <w:rPr>
          <w:rFonts w:ascii="Arial" w:cs="Arial" w:eastAsia="Arial" w:hAnsi="Arial"/>
          <w:sz w:val="16"/>
          <w:szCs w:val="16"/>
          <w:color w:val="1E1E1E"/>
        </w:rPr>
        <w:t>TAS1440 from Taiho Pharmaceuticals in June 2025. Taiho recently completed a Phase 1 trial targeting AML in the US population.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5863590" cy="1928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6359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7"/>
          <w:szCs w:val="27"/>
          <w:b w:val="1"/>
          <w:bCs w:val="1"/>
          <w:color w:val="E2188A"/>
        </w:rPr>
        <w:t>Partnered Discovery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6E6E6E"/>
        </w:rPr>
        <w:t>Driving Innovation Across Multiple Diseases</w:t>
      </w:r>
    </w:p>
    <w:p>
      <w:pPr>
        <w:spacing w:after="0" w:line="28"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1E1E1E"/>
        </w:rPr>
        <w:t>At the core of Recursion’s mission is the pursuit of breakthrough therapeutics for patients. Recursion collaborates with leading pharma partners to identify novel targets and therapeutic candidates across a wide range of disease areas, including neuroscience, oncology, immunology, and inflammation.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1E1E1E"/>
        </w:rPr>
        <w:t>Each partnership is designed to advance therapeutic development, with multiple pathways to success:</w:t>
      </w:r>
    </w:p>
    <w:p>
      <w:pPr>
        <w:spacing w:after="0" w:line="194" w:lineRule="exact"/>
        <w:rPr>
          <w:sz w:val="20"/>
          <w:szCs w:val="20"/>
          <w:color w:val="auto"/>
        </w:rPr>
      </w:pPr>
    </w:p>
    <w:p>
      <w:pPr>
        <w:ind w:left="660" w:right="140" w:hanging="328"/>
        <w:spacing w:after="0" w:line="292" w:lineRule="auto"/>
        <w:tabs>
          <w:tab w:leader="none" w:pos="649" w:val="left"/>
        </w:tabs>
        <w:numPr>
          <w:ilvl w:val="0"/>
          <w:numId w:val="41"/>
        </w:numPr>
        <w:rPr>
          <w:rFonts w:ascii="Arial" w:cs="Arial" w:eastAsia="Arial" w:hAnsi="Arial"/>
          <w:sz w:val="16"/>
          <w:szCs w:val="16"/>
          <w:color w:val="1E1E1E"/>
        </w:rPr>
      </w:pPr>
      <w:r>
        <w:rPr>
          <w:rFonts w:ascii="Arial" w:cs="Arial" w:eastAsia="Arial" w:hAnsi="Arial"/>
          <w:sz w:val="16"/>
          <w:szCs w:val="16"/>
          <w:color w:val="1E1E1E"/>
        </w:rPr>
        <w:t>Novel Targets: Combining our multi-modal (phenomics, RNA sequencing) maps of human biology with real-world clinical-genomic data, we can identify novel druggable targets with potential therapeutic benefit. Validated targets may be optioned by our partners or advance within the collaborations as a therapeutic program.</w:t>
      </w:r>
    </w:p>
    <w:p>
      <w:pPr>
        <w:spacing w:after="0" w:line="16" w:lineRule="exact"/>
        <w:rPr>
          <w:rFonts w:ascii="Arial" w:cs="Arial" w:eastAsia="Arial" w:hAnsi="Arial"/>
          <w:sz w:val="16"/>
          <w:szCs w:val="16"/>
          <w:color w:val="1E1E1E"/>
        </w:rPr>
      </w:pPr>
    </w:p>
    <w:p>
      <w:pPr>
        <w:ind w:left="660" w:right="220" w:hanging="328"/>
        <w:spacing w:after="0" w:line="304" w:lineRule="auto"/>
        <w:tabs>
          <w:tab w:leader="none" w:pos="649" w:val="left"/>
        </w:tabs>
        <w:numPr>
          <w:ilvl w:val="0"/>
          <w:numId w:val="41"/>
        </w:numPr>
        <w:rPr>
          <w:rFonts w:ascii="Arial" w:cs="Arial" w:eastAsia="Arial" w:hAnsi="Arial"/>
          <w:sz w:val="16"/>
          <w:szCs w:val="16"/>
          <w:color w:val="1E1E1E"/>
        </w:rPr>
      </w:pPr>
      <w:r>
        <w:rPr>
          <w:rFonts w:ascii="Arial" w:cs="Arial" w:eastAsia="Arial" w:hAnsi="Arial"/>
          <w:sz w:val="16"/>
          <w:szCs w:val="16"/>
          <w:color w:val="1E1E1E"/>
        </w:rPr>
        <w:t>Novel Therapeutics: Using our precision chemistry platform, we can design differentiated molecules across a wide variety of targets. Resulting molecules may be optioned by our partners and advanced for further clinical development.</w:t>
      </w:r>
    </w:p>
    <w:p>
      <w:pPr>
        <w:spacing w:after="0" w:line="168"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b w:val="1"/>
          <w:bCs w:val="1"/>
          <w:color w:val="1E1E1E"/>
        </w:rPr>
        <w:t xml:space="preserve">To date, Recursion has secured over $500 million in upfront milestone payments, with the potential to unlock over $20 billion in additional milestones before royalties. </w:t>
      </w:r>
      <w:r>
        <w:rPr>
          <w:rFonts w:ascii="Arial" w:cs="Arial" w:eastAsia="Arial" w:hAnsi="Arial"/>
          <w:sz w:val="16"/>
          <w:szCs w:val="16"/>
          <w:color w:val="1E1E1E"/>
        </w:rPr>
        <w:t>These high-impact collaborations not only generate near-term financial value but also leverage Recursion’s combined</w:t>
      </w:r>
      <w:r>
        <w:rPr>
          <w:rFonts w:ascii="Arial" w:cs="Arial" w:eastAsia="Arial" w:hAnsi="Arial"/>
          <w:sz w:val="16"/>
          <w:szCs w:val="16"/>
          <w:b w:val="1"/>
          <w:bCs w:val="1"/>
          <w:color w:val="1E1E1E"/>
        </w:rPr>
        <w:t xml:space="preserve"> </w:t>
      </w:r>
      <w:r>
        <w:rPr>
          <w:rFonts w:ascii="Arial" w:cs="Arial" w:eastAsia="Arial" w:hAnsi="Arial"/>
          <w:sz w:val="16"/>
          <w:szCs w:val="16"/>
          <w:color w:val="1E1E1E"/>
        </w:rPr>
        <w:t>capabilities in biology and precision chemistry to accelerate the development of transformative therapies. By collaborating with top-tier biopharmaceutical companies, Recursion gains access to invaluable knowledge from some of the most experienced teams in the industry. Together, we continuously drive innovation and have the potential to expand patient impact, and revolutionize the treatment of complex diseases. Below are some of the latest milestones reflecting this exciting momentum.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16510</wp:posOffset>
            </wp:positionV>
            <wp:extent cx="5383530" cy="2459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8353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30. </w:t>
      </w:r>
      <w:r>
        <w:rPr>
          <w:rFonts w:ascii="Arial" w:cs="Arial" w:eastAsia="Arial" w:hAnsi="Arial"/>
          <w:sz w:val="14"/>
          <w:szCs w:val="14"/>
          <w:color w:val="6E6E6E"/>
        </w:rPr>
        <w:t>Recursion leveraging its OS across its partnerships. 1. Milestones: Potential Roche and Genentech and Sanofi milestones per small molecule program. Royalties: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6E6E6E"/>
        </w:rPr>
        <w:t>Recursion is eligible for tiered royalties up to high single digits (Roche and Genentech) and up to double digits (Sanofi)</w:t>
      </w:r>
    </w:p>
    <w:p>
      <w:pPr>
        <w:sectPr>
          <w:pgSz w:w="11900" w:h="16838" w:orient="portrait"/>
          <w:cols w:equalWidth="0" w:num="1">
            <w:col w:w="11020"/>
          </w:cols>
          <w:pgMar w:left="320" w:top="12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1AA7DF"/>
        </w:rPr>
        <w:t>Roche and Genentech</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6"/>
          <w:szCs w:val="16"/>
          <w:color w:val="1E1E1E"/>
        </w:rPr>
        <w:t>In December 2021, we entered a multi-year, strategic collaboration with Roche and Genentech in the field of neuroscience and a single oncology indication. Through the partnership, we are leveraging the Recursion OS and extensive single-cell perturbation screening data from Roche and Genentech, to rapidly identify novel biological relationships and advance therapeutic programs. Together, we may initiate up to 40 small molecule programs over a decade or longer. As part of this agreement, we received an upfront cash payment of $150 million, with the potential to receive milestones of more than $300 million per small molecule program plus tiered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116205</wp:posOffset>
            </wp:positionV>
            <wp:extent cx="5863590" cy="17570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63590"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31. </w:t>
      </w:r>
      <w:r>
        <w:rPr>
          <w:rFonts w:ascii="Arial" w:cs="Arial" w:eastAsia="Arial" w:hAnsi="Arial"/>
          <w:sz w:val="14"/>
          <w:szCs w:val="14"/>
          <w:color w:val="6E6E6E"/>
        </w:rPr>
        <w:t>Under our collaboration with Roche and Genentech, we are creating multimodal maps of cellular biology to elucidate novel targets and starting points.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1AA7DF"/>
        </w:rPr>
        <w:t>Sanofi</w:t>
      </w:r>
    </w:p>
    <w:p>
      <w:pPr>
        <w:spacing w:after="0" w:line="6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1E1E1E"/>
        </w:rPr>
        <w:t>In January 2022, we entered a strategic research collaboration with Sanofi to develop an AI-driven pipeline of precision-engineered, small molecule medicines. Through this collaboration, we are using our end-to-end integrated platform to discover and advance up to 15 novel targets in the oncology and immunology therapeutic areas. As part of this agreement, we received an upfront cash payment of $100 million, with the potential to receive up to $5.2 billion in total aggregate milestone payments plus tiered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123190</wp:posOffset>
            </wp:positionV>
            <wp:extent cx="5863590" cy="31546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6359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32. </w:t>
      </w:r>
      <w:r>
        <w:rPr>
          <w:rFonts w:ascii="Arial" w:cs="Arial" w:eastAsia="Arial" w:hAnsi="Arial"/>
          <w:sz w:val="14"/>
          <w:szCs w:val="14"/>
          <w:color w:val="6E6E6E"/>
        </w:rPr>
        <w:t>Leveraging the Recursion OS with Sanofi to design small molecules against challenging targets using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1AA7DF"/>
        </w:rPr>
        <w:t>Bayer</w:t>
      </w:r>
    </w:p>
    <w:p>
      <w:pPr>
        <w:spacing w:after="0" w:line="6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1E1E1E"/>
        </w:rPr>
        <w:t>In November 2023, we announced an amended and restated collaboration with Bayer. We are using the Recursion OS to identify and advance up to 7 therapeutic targets for challenging oncology indications with high unmet need. Under the terms of the agreement, Recursion is eligible to receive potential, success-based, future payments of up to $1.5 billion plus royalties on net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1AA7DF"/>
        </w:rPr>
        <w:t>Merck KGaA (Darmstadt, Germany)</w:t>
      </w:r>
    </w:p>
    <w:p>
      <w:pPr>
        <w:spacing w:after="0" w:line="68"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1E1E1E"/>
        </w:rPr>
        <w:t>In September 2023, we entered into a collaboration with Merck KGaA, Darmstadt, Germany. This multi-year collaboration utilizes our AI-driven precision drug design and discovery capabilities while leveraging Merck KGaA, Darmstadt, Germany’s disease expertise in oncology and immunology, clinical development capabilities, and global footprint.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Case Study 1: Delivering the World’s First Neuromap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57785</wp:posOffset>
            </wp:positionV>
            <wp:extent cx="5863590" cy="35572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63590" cy="355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33. </w:t>
      </w:r>
      <w:r>
        <w:rPr>
          <w:rFonts w:ascii="Arial" w:cs="Arial" w:eastAsia="Arial" w:hAnsi="Arial"/>
          <w:sz w:val="14"/>
          <w:szCs w:val="14"/>
          <w:color w:val="6E6E6E"/>
        </w:rPr>
        <w:t>Recursion launched a transformational collaboration with Roche and Genentech, delivering the world’s first whole-genome neuromap in 2024.</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1AA7DF"/>
        </w:rPr>
        <w:t>Overview</w:t>
      </w:r>
    </w:p>
    <w:p>
      <w:pPr>
        <w:spacing w:after="0" w:line="6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1E1E1E"/>
        </w:rPr>
        <w:t>In 2021, Recursion launched a transformational collaboration with Roche and Genentech to create the world’s first neuromap—a comprehensive and scalable neuronal data model powered by machine learning. This effort aimed to uncover novel insights into neurodegenerative diseases, a category of illnesses that has long been difficult to tackle using traditional drug discovery methods. With a dedicated team of 50 people, Recursion set out to overcome numerous technical and biological challenges, all with the goal of driving innovation in neuroscience.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1AA7DF"/>
        </w:rPr>
        <w:t>The Challenge</w:t>
      </w:r>
    </w:p>
    <w:p>
      <w:pPr>
        <w:spacing w:after="0" w:line="68"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When the project began, the team faced significant uncertainty. The goal was ambitious: produce enough neurons, knock out genes, and generate a reliable signal from machine learning models to guide the development of potential drug programs. This challenge was particularly daunting given the complexity of neuronal cells, which do not divide or proliferate like other cell types. Unlike other cell types, such as human umbilical vein endothelial cells (HUVECs), which Recursion had previously worked with to create large-scale disease maps, neuronal cells posed a unique set of hurdles due to their limited ability to be produced at scale.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1E1E1E"/>
        </w:rPr>
        <w:t>Neurodegenerative diseases had long been a difficult area for drug development. Traditional approaches had yielded limited breakthroughs, and the complexity of the biological system presented a higher bar for success. Recursion needed to develop new technologies and methodologies to produce and analyze neuronal data on a scale not attempted before in drug discovery.</w:t>
      </w:r>
    </w:p>
    <w:p>
      <w:pPr>
        <w:spacing w:after="0" w:line="17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1E1E1E"/>
        </w:rPr>
        <w:t>Recursion had already proven its ability to create large-scale cell maps in other disease areas, notably in gastrointestinal oncology, as part of its partnership with Roche and Genentech. The success of this collaboration demonstrated the power of Recursion’s phenotypic screening platform, which uses high-throughput technologies to produce vast amounts of biological data. However, creating a neuromap would require more than just expanding on previous work - it required adapting the process to handle the unique challenges posed by neuronal biology.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1AA7DF"/>
        </w:rPr>
        <w:t>Execution</w:t>
      </w:r>
    </w:p>
    <w:p>
      <w:pPr>
        <w:spacing w:after="0" w:line="68"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1E1E1E"/>
        </w:rPr>
        <w:t>To tackle this challenge, Recursion collaborated with Roche and Genentech to develop and refine a model using human-induced pluripotent stem cells (hiPSCs), which could be differentiated into neurons. This protocol enabled Recursion to produce large quantities of neurons, ultimately generating over 1 trillion hiPSC-derived neuronal cells. These neurons served as the foundation for the neuromap, a data-rich resource that Recursion, Roche and Genentech could use to gain deeper insights into the genetic underpinnings of neurodegenerative diseases. In addition to the joint development of the neuronal cell context, Recursion’s machine learning team played a pivotal role in developing algorithms capable of processing the massive amounts of data generated by the neuromap. The combination of scalable cell production and cutting-edge computational models allowed Recursion to generate the first whole-genome neuronal phenomap that can be utilized by the partnership to uncover new relationships between genes and the phenotypes associated with neurodegeneration.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1AA7DF"/>
        </w:rPr>
        <w:t>Outcome</w:t>
      </w:r>
    </w:p>
    <w:p>
      <w:pPr>
        <w:spacing w:after="0" w:line="8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E1E1E"/>
        </w:rPr>
        <w:t>Our work led to the exercise of a $30 million option by Roche and Genentech in August 2024 with the neuromap offering an unbiased view of the genetic relationships related to neurodegenerative diseases and providing insights that could pave the way for development of novel therapies in neuroscience. Unlike traditional approaches that are often guided by pre-existing hypotheses, researchers in the collaboration can now explore new biological pathways and identify potential therapeutic targets that may not have been considered before. Together, Recursion, Roche and Genentech have identified a number of biological insights from this first neuroscience-focused phenomap, that could become novel targets of interest.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Case Study 2: Delivering the World’s First Microglia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5863590" cy="25971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6359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34. </w:t>
      </w:r>
      <w:r>
        <w:rPr>
          <w:rFonts w:ascii="Arial" w:cs="Arial" w:eastAsia="Arial" w:hAnsi="Arial"/>
          <w:sz w:val="14"/>
          <w:szCs w:val="14"/>
          <w:color w:val="6E6E6E"/>
        </w:rPr>
        <w:t>Recursion launched a transformational collaboration with Roche and Genentech, delivering the first-of-its-kind microglia map in 2025.</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1AA7DF"/>
        </w:rPr>
        <w:t>Overview</w:t>
      </w:r>
    </w:p>
    <w:p>
      <w:pPr>
        <w:spacing w:after="0" w:line="8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1E1E1E"/>
        </w:rPr>
        <w:t>In 2025, building on the success of the original neuromap, Recursion reached another milestone in its collaboration with Roche and Genentech by launching the world’s first microglia map. Microglia are the resident immune cells of the brain and play a central role in neuroinflammation and the progression of neurodegenerative diseases. By mapping the whole genome within these complex cells, the microglia map represents a completely new approach to explore the cellular mechanisms underlying neurodegenerative diseases, offering a new approach to explore novel targets and pathways.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1AA7DF"/>
        </w:rPr>
        <w:t>The Challenge</w:t>
      </w:r>
    </w:p>
    <w:p>
      <w:pPr>
        <w:spacing w:after="0" w:line="68"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1E1E1E"/>
        </w:rPr>
        <w:t>Despite decades of research, FDA approvals for neuroscience drugs are less than half of those for other therapeutic areas, and drugs targeting the CNS have some of the highest failure rates in medicine. Attrition rates are high, and traditional approaches can be biased to dominating hypotheses e.g. the "Amyloid Hypothesis" in Alzheimer’s disease. This is the idea that a build-up of the amyloid protein is a major contributor to the disease, and while this hypothesis has historically guided research and led to deep insights into the condition, the underlying biology is both extremely complex and still poorly understood.</w:t>
      </w:r>
    </w:p>
    <w:p>
      <w:pPr>
        <w:spacing w:after="0" w:line="16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1E1E1E"/>
        </w:rPr>
        <w:t>To provide an unbiased approach to explore novel targets and pathways, the team studied microglia. However, microglia are very difficult to work with, proving difficult to grow and keep alive and stable outside of the body, in a laboratory setting. Because microglia are the resident immune cells of the brain, they can be highly sensitive to their environment, changing states from relatively stable to becoming more reactive and inflammatory, and they are also highly variable from batch to batch. To create a reliable map, Recursion had to overcome the technical hurdle of producing these sensitive immune cells at a massive, industrial scale while ensuring they remained stable enough to provide a clear biological signal for machine learning models.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1AA7DF"/>
        </w:rPr>
        <w:t>Execution</w:t>
      </w:r>
    </w:p>
    <w:p>
      <w:pPr>
        <w:spacing w:after="0" w:line="81"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1E1E1E"/>
        </w:rPr>
        <w:t>Tackling this effort was a multi-year collaboration that required Recursion and the Roche and Genentech microglia team to develop new protocols for the manufacture of microglial cells. Starting with human-induced pluripotent stem cells (hiPSCs), the team developed a protocol that allowed the most phenotypically active cell Recursion has ever tried to map to be grown at massive scale. Over 100 billion microglial cells were grown in a standardized way and confirmed to be as stable as possible for the start of the mapping process. The collaborative team also worked together to determine the most interesting disease-like perturbations to the microglia from a neuroscience perspective, to generate a rich dataset containing some novel knockdowns and overexpressions not previously tried in other maps. This resulted in 100,000 single guide RNA being used spanning more than 17,000 genes, 46 million microglial cell images, and thousands of chemical compound perturbations. Recursion foundation models, powered by the supercomputer BioHive-2, extracted insights to generate the first-of-its-kind microglia map, allowing scientists to use AI to systematically explore how different genes and compounds may be implicated in a wide range of neurological diseases.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1AA7DF"/>
        </w:rPr>
        <w:t>Outcome</w:t>
      </w:r>
    </w:p>
    <w:p>
      <w:pPr>
        <w:spacing w:after="0" w:line="68"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The successful completion of the microglia map led to a $30 million milestone payment from Roche and Genentech in October 2025. The microglia map provides a holistic, unbiased approach to drug discovery for neurodegenerative diseases compared with the slow traditional approach, which has yielded very few new therapeutic targets. The map allows for the systematic, unbiased evaluation of thousands of gene targets at once, allowing AI to uncover novel biological connections that humans might miss. Overall, this offers a new approach to exploring novel targets and pathways, addressing a major challenge in neuroscience drug discovery. Following on from development of the map, it will be mined for novel biological insights, which will move forward to robust experimental validation from Recursion in partnership with Roche and Genentech. This could lead to program selection and development, and potential new therapeutic approaches in neurological diseases.</w:t>
      </w:r>
    </w:p>
    <w:p>
      <w:pPr>
        <w:spacing w:after="0" w:line="240" w:lineRule="exact"/>
        <w:rPr>
          <w:sz w:val="20"/>
          <w:szCs w:val="20"/>
          <w:color w:val="auto"/>
        </w:rPr>
      </w:pPr>
    </w:p>
    <w:p>
      <w:pPr>
        <w:spacing w:after="0"/>
        <w:rPr>
          <w:sz w:val="20"/>
          <w:szCs w:val="20"/>
          <w:color w:val="auto"/>
        </w:rPr>
      </w:pPr>
      <w:r>
        <w:rPr>
          <w:rFonts w:ascii="Arial" w:cs="Arial" w:eastAsia="Arial" w:hAnsi="Arial"/>
          <w:sz w:val="27"/>
          <w:szCs w:val="27"/>
          <w:b w:val="1"/>
          <w:bCs w:val="1"/>
          <w:color w:val="E2188A"/>
        </w:rPr>
        <w:t>Our Platform</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A Unified, AI-Native Platform for Drug Discovery &amp; Development</w:t>
      </w:r>
    </w:p>
    <w:p>
      <w:pPr>
        <w:spacing w:after="0" w:line="77" w:lineRule="exact"/>
        <w:rPr>
          <w:sz w:val="20"/>
          <w:szCs w:val="20"/>
          <w:color w:val="auto"/>
        </w:rPr>
      </w:pPr>
    </w:p>
    <w:p>
      <w:pPr>
        <w:spacing w:after="0" w:line="321" w:lineRule="auto"/>
        <w:rPr>
          <w:sz w:val="20"/>
          <w:szCs w:val="20"/>
          <w:color w:val="auto"/>
        </w:rPr>
      </w:pPr>
      <w:r>
        <w:rPr>
          <w:rFonts w:ascii="Arial" w:cs="Arial" w:eastAsia="Arial" w:hAnsi="Arial"/>
          <w:sz w:val="16"/>
          <w:szCs w:val="16"/>
          <w:color w:val="1E1E1E"/>
        </w:rPr>
        <w:t>Recursion is leading the evolution of how medicines are discovered and developed with the Recursion OS: a unified, AI-native intelligence platform designed to translate complex science into medicines that matter — faster, better, and at scale for the patients who are waiting.</w:t>
      </w:r>
    </w:p>
    <w:p>
      <w:pPr>
        <w:spacing w:after="0" w:line="156"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1E1E1E"/>
        </w:rPr>
        <w:t xml:space="preserve">Our approach combines proprietary experimental data, purpose-built computational models, and scaled compute infrastructure to support decision-making across the full lifecycle of drug discovery and development. Rather than optimizing isolated tools or workflows, we organize our platform around three tightly connected stages of value creation: </w:t>
      </w:r>
      <w:r>
        <w:rPr>
          <w:rFonts w:ascii="Arial" w:cs="Arial" w:eastAsia="Arial" w:hAnsi="Arial"/>
          <w:sz w:val="16"/>
          <w:szCs w:val="16"/>
          <w:b w:val="1"/>
          <w:bCs w:val="1"/>
          <w:color w:val="1E1E1E"/>
        </w:rPr>
        <w:t>novel biological discoveries, precision design, and next-generation clinical development.</w:t>
      </w:r>
      <w:r>
        <w:rPr>
          <w:rFonts w:ascii="Arial" w:cs="Arial" w:eastAsia="Arial" w:hAnsi="Arial"/>
          <w:sz w:val="16"/>
          <w:szCs w:val="16"/>
          <w:color w:val="1E1E1E"/>
        </w:rPr>
        <w:t xml:space="preserve"> Together, these stages enable us to initiate programs with stronger biological grounding, design differentiated molecules more efficiently, and advance medicines into the clinic with improved patient relevance.</w:t>
      </w:r>
    </w:p>
    <w:p>
      <w:pPr>
        <w:spacing w:after="0" w:line="188"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1E1E1E"/>
        </w:rPr>
        <w:t>Across all three stages, Recursion integrates automated wet-lab experimentation with in-house computational analysis. Our laboratories generate large volumes of standardized, high-quality biological and chemical data, while our dry-lab capabilities apply machine learning, physics-based modeling, and statistical inference to extract actionable insights from those data. This tight integration allows experimental results to directly inform computational models, and model outputs to guide subsequent experiments, enabling faster iteration and more consistent decision-making across programs. Additionally, the integration of agentic and automated systems underpins our approach at Recursion and enables us to accelerate learning and decision-making throughout the R&amp;D process.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The Recursion 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57785</wp:posOffset>
            </wp:positionV>
            <wp:extent cx="5863590" cy="1920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6359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40"/>
        <w:spacing w:after="0" w:line="323" w:lineRule="auto"/>
        <w:rPr>
          <w:sz w:val="20"/>
          <w:szCs w:val="20"/>
          <w:color w:val="auto"/>
        </w:rPr>
      </w:pPr>
      <w:r>
        <w:rPr>
          <w:rFonts w:ascii="Arial" w:cs="Arial" w:eastAsia="Arial" w:hAnsi="Arial"/>
          <w:sz w:val="14"/>
          <w:szCs w:val="14"/>
          <w:b w:val="1"/>
          <w:bCs w:val="1"/>
          <w:color w:val="6E6E6E"/>
        </w:rPr>
        <w:t xml:space="preserve">Figure 35. The Recursion OS. </w:t>
      </w:r>
      <w:r>
        <w:rPr>
          <w:rFonts w:ascii="Arial" w:cs="Arial" w:eastAsia="Arial" w:hAnsi="Arial"/>
          <w:sz w:val="14"/>
          <w:szCs w:val="14"/>
          <w:color w:val="6E6E6E"/>
        </w:rPr>
        <w:t>The Recursion OS is designed to use AI to advance and accelerate decision-making and insight across the entire R&amp;D value chain with the end</w:t>
      </w:r>
      <w:r>
        <w:rPr>
          <w:rFonts w:ascii="Arial" w:cs="Arial" w:eastAsia="Arial" w:hAnsi="Arial"/>
          <w:sz w:val="14"/>
          <w:szCs w:val="14"/>
          <w:b w:val="1"/>
          <w:bCs w:val="1"/>
          <w:color w:val="6E6E6E"/>
        </w:rPr>
        <w:t xml:space="preserve"> </w:t>
      </w:r>
      <w:r>
        <w:rPr>
          <w:rFonts w:ascii="Arial" w:cs="Arial" w:eastAsia="Arial" w:hAnsi="Arial"/>
          <w:sz w:val="14"/>
          <w:szCs w:val="14"/>
          <w:color w:val="6E6E6E"/>
        </w:rPr>
        <w:t>goal to make novel medicines that matter. The Recursion OS generates value by advancing a pipeline of differentiated investigational medicines, in addition to building pipelines for our partners.</w:t>
      </w:r>
    </w:p>
    <w:p>
      <w:pPr>
        <w:spacing w:after="0" w:line="19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1E1E1E"/>
        </w:rPr>
        <w:t>By leveraging the Recursion OS to explore and advance our programs, we have shown leading indicators of improvement when compared to the traditional drug discovery process, particularly with respect to cost and time. We also use AI/ML tools to better understand which molecules to make and test and ultimately design better quality molecules that can solve complex problems – on average, the industry synthesizes about 2,500 molecules to candidate, compared to the approximately 330 we synthesize per program to advanced candidate.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1AA7DF"/>
        </w:rPr>
        <w:t>Biology to Insight</w:t>
      </w:r>
    </w:p>
    <w:p>
      <w:pPr>
        <w:spacing w:after="0" w:line="6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1E1E1E"/>
        </w:rPr>
        <w:t>The first stage of the Recursion OS focuses on translating complex biological signals into actionable insights that support program initiation. Recursion combines large-scale cellular phenomics, high-throughput transcriptomics, in silico binding affinity predictions, and real-world patient data to identify disease-relevant mechanisms, validate targets, and prioritize opportunities with stronger biological grounding and patient relevance. These capabilities allow us to systematically interrogate biology at scale and reduce biological uncertainty earlier in the discovery process.</w:t>
      </w:r>
    </w:p>
    <w:p>
      <w:pPr>
        <w:spacing w:after="0" w:line="180"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1E1E1E"/>
        </w:rPr>
        <w:t>A core differentiator of this approach is the integration of complementary data modalities. Patient-derived data are the most directly relevant to human disease but are often noisy, heterogeneous, and limited in scale. In contrast, cellular phenomics data can be generated reproducibly, at scale, with high completeness and consistency. By integrating these and other modalities through joint forward- and reverse-genetics approaches, Recursion can connect robust experimental signals with patient biology, enabling more confident identification and prioritization of translatable targets.</w:t>
      </w:r>
    </w:p>
    <w:p>
      <w:pPr>
        <w:spacing w:after="0" w:line="185"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6"/>
          <w:szCs w:val="16"/>
          <w:color w:val="1E1E1E"/>
        </w:rPr>
      </w:pPr>
      <w:r>
        <w:rPr>
          <w:rFonts w:ascii="Arial" w:cs="Arial" w:eastAsia="Arial" w:hAnsi="Arial"/>
          <w:sz w:val="16"/>
          <w:szCs w:val="16"/>
          <w:color w:val="1E1E1E"/>
        </w:rPr>
        <w:t>Generated and aggregated &gt;50 petabytes of high-quality, multimodal data</w:t>
      </w:r>
    </w:p>
    <w:p>
      <w:pPr>
        <w:spacing w:after="0" w:line="86" w:lineRule="exact"/>
        <w:rPr>
          <w:rFonts w:ascii="Arial" w:cs="Arial" w:eastAsia="Arial" w:hAnsi="Arial"/>
          <w:sz w:val="16"/>
          <w:szCs w:val="16"/>
          <w:color w:val="1E1E1E"/>
        </w:rPr>
      </w:pPr>
    </w:p>
    <w:p>
      <w:pPr>
        <w:ind w:left="640" w:hanging="308"/>
        <w:spacing w:after="0"/>
        <w:tabs>
          <w:tab w:leader="none" w:pos="640" w:val="left"/>
        </w:tabs>
        <w:numPr>
          <w:ilvl w:val="0"/>
          <w:numId w:val="42"/>
        </w:numPr>
        <w:rPr>
          <w:rFonts w:ascii="Arial" w:cs="Arial" w:eastAsia="Arial" w:hAnsi="Arial"/>
          <w:sz w:val="16"/>
          <w:szCs w:val="16"/>
          <w:color w:val="1E1E1E"/>
        </w:rPr>
      </w:pPr>
      <w:r>
        <w:rPr>
          <w:rFonts w:ascii="Arial" w:cs="Arial" w:eastAsia="Arial" w:hAnsi="Arial"/>
          <w:sz w:val="16"/>
          <w:szCs w:val="16"/>
          <w:color w:val="1E1E1E"/>
        </w:rPr>
        <w:t>Over 100 novel insights triaged into ~10 actionable and translatable targets for experimental validation within a matter of weeks</w:t>
      </w:r>
    </w:p>
    <w:p>
      <w:pPr>
        <w:spacing w:after="0" w:line="72" w:lineRule="exact"/>
        <w:rPr>
          <w:rFonts w:ascii="Arial" w:cs="Arial" w:eastAsia="Arial" w:hAnsi="Arial"/>
          <w:sz w:val="16"/>
          <w:szCs w:val="16"/>
          <w:color w:val="1E1E1E"/>
        </w:rPr>
      </w:pPr>
    </w:p>
    <w:p>
      <w:pPr>
        <w:ind w:left="640" w:hanging="308"/>
        <w:spacing w:after="0"/>
        <w:tabs>
          <w:tab w:leader="none" w:pos="640" w:val="left"/>
        </w:tabs>
        <w:numPr>
          <w:ilvl w:val="0"/>
          <w:numId w:val="42"/>
        </w:numPr>
        <w:rPr>
          <w:rFonts w:ascii="Arial" w:cs="Arial" w:eastAsia="Arial" w:hAnsi="Arial"/>
          <w:sz w:val="16"/>
          <w:szCs w:val="16"/>
          <w:color w:val="1E1E1E"/>
        </w:rPr>
      </w:pPr>
      <w:r>
        <w:rPr>
          <w:rFonts w:ascii="Arial" w:cs="Arial" w:eastAsia="Arial" w:hAnsi="Arial"/>
          <w:sz w:val="16"/>
          <w:szCs w:val="16"/>
          <w:color w:val="1E1E1E"/>
        </w:rPr>
        <w:t>~1.9B-parameter phenomics foundation model delivers ~25–30% gains in biological signal accuracy</w:t>
      </w:r>
    </w:p>
    <w:p>
      <w:pPr>
        <w:spacing w:after="0" w:line="86" w:lineRule="exact"/>
        <w:rPr>
          <w:rFonts w:ascii="Arial" w:cs="Arial" w:eastAsia="Arial" w:hAnsi="Arial"/>
          <w:sz w:val="16"/>
          <w:szCs w:val="16"/>
          <w:color w:val="1E1E1E"/>
        </w:rPr>
      </w:pPr>
    </w:p>
    <w:p>
      <w:pPr>
        <w:ind w:left="640" w:hanging="308"/>
        <w:spacing w:after="0"/>
        <w:tabs>
          <w:tab w:leader="none" w:pos="640" w:val="left"/>
        </w:tabs>
        <w:numPr>
          <w:ilvl w:val="0"/>
          <w:numId w:val="42"/>
        </w:numPr>
        <w:rPr>
          <w:rFonts w:ascii="Arial" w:cs="Arial" w:eastAsia="Arial" w:hAnsi="Arial"/>
          <w:sz w:val="16"/>
          <w:szCs w:val="16"/>
          <w:color w:val="1E1E1E"/>
        </w:rPr>
      </w:pPr>
      <w:r>
        <w:rPr>
          <w:rFonts w:ascii="Arial" w:cs="Arial" w:eastAsia="Arial" w:hAnsi="Arial"/>
          <w:sz w:val="16"/>
          <w:szCs w:val="16"/>
          <w:color w:val="1E1E1E"/>
        </w:rPr>
        <w:t>New transcriptional foundation model delivers a 70% improvement in operational efficiency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6E6E6E"/>
        </w:rPr>
        <w:t>Deep Dive: Phenomics-based Discovery</w:t>
      </w:r>
    </w:p>
    <w:p>
      <w:pPr>
        <w:spacing w:after="0" w:line="3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1E1E1E"/>
        </w:rPr>
        <w:t>Phenomics is Recursion’s large-scale, image-based cellular profiling capability that measures functional cellular responses to genetic and chemical perturbations and serves as a foundational input to biological discovery and program initiation. Using high-content microscopy, automated experiment design and execution, and purpose-built machine learning models, we generate rich, high-dimensional phenotypic data that capture cellular behavior across diverse biological contexts. Our platform is differentiated by its scale, precision, and breadth, operating both Cell Painting and live-cell brightfield microscopy across nearly 50 distinct cell types, including differentiated iPSC-derived neuronal and microglial cells. These experimental capabilities directly enhance our advanced computer vision and foundation models, including our Phenom-2 model series, by enabling our models to learn true biology as opposed to experimental design patterns. The impact of this capability is reflected in both our internal pipeline and strategic partnerships, including the development of two first-of-their-kind whole-genome neuronal and microglia phenotypic maps as part of our collaboration with Roche and Genentech. More broadly, phenomics has enabled Recursion to initiate and advance multiple internal and partnered programs by supporting unbiased discovery, rapid hypothesis triage, and identification of novel biological insights that may translate into new therapeutic opportunities.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6E6E6E"/>
        </w:rPr>
        <w:t>Deep Dive: Transcriptional Foundation Model (TxFM)</w:t>
      </w:r>
    </w:p>
    <w:p>
      <w:pPr>
        <w:spacing w:after="0" w:line="28" w:lineRule="exact"/>
        <w:rPr>
          <w:sz w:val="20"/>
          <w:szCs w:val="20"/>
          <w:color w:val="auto"/>
        </w:rPr>
      </w:pPr>
    </w:p>
    <w:p>
      <w:pPr>
        <w:spacing w:after="0" w:line="291" w:lineRule="auto"/>
        <w:rPr>
          <w:sz w:val="20"/>
          <w:szCs w:val="20"/>
          <w:color w:val="auto"/>
        </w:rPr>
      </w:pPr>
      <w:r>
        <w:rPr>
          <w:rFonts w:ascii="Arial" w:cs="Arial" w:eastAsia="Arial" w:hAnsi="Arial"/>
          <w:sz w:val="16"/>
          <w:szCs w:val="16"/>
          <w:color w:val="1E1E1E"/>
        </w:rPr>
        <w:t>TxFM is Recursion’s self-supervised transcriptomics foundation model designed for representation learning of complex gene expression data. Built on a transformer-based architecture optimized for biological structure rather than natural language analogies, TxFM harmonizes diverse transcriptomic datasets— including bulk and single-cell RNA sequencing across multiple assays, cell types, and translational systems—into a unified embedding space.</w:t>
      </w:r>
    </w:p>
    <w:p>
      <w:pPr>
        <w:spacing w:after="0" w:line="165"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E1E1E"/>
        </w:rPr>
        <w:t xml:space="preserve">Many transcriptomic models rely on large, heterogeneous public atlases that limit cross-experimental comparability and translational consistency. TxFM leverages Recursion’s proprietary data strategy and architecture decisions to improve cross-sample and cross-experiment relatability, enabling consistent integration of in vitro experiments, in vivo models, and patient-derived samples. This not only captures a more universal biological grammar but also allows us to </w:t>
      </w:r>
      <w:r>
        <w:rPr>
          <w:rFonts w:ascii="Arial" w:cs="Arial" w:eastAsia="Arial" w:hAnsi="Arial"/>
          <w:sz w:val="16"/>
          <w:szCs w:val="16"/>
          <w:b w:val="1"/>
          <w:bCs w:val="1"/>
          <w:color w:val="1E1E1E"/>
        </w:rPr>
        <w:t>outperform larger models trained on datasets up to 50x larger in size.</w:t>
      </w:r>
      <w:r>
        <w:rPr>
          <w:rFonts w:ascii="Arial" w:cs="Arial" w:eastAsia="Arial" w:hAnsi="Arial"/>
          <w:sz w:val="16"/>
          <w:szCs w:val="16"/>
          <w:color w:val="1E1E1E"/>
        </w:rPr>
        <w:t xml:space="preserve"> By representing experimental perturbations and patient transcriptomes within the same high-dimensional space, we can begin to perform in silico perturbations on digital patient representations, serving as a practical translational bridge between laboratory biology and human disease.</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1E1E1E"/>
        </w:rPr>
        <w:t xml:space="preserve">TxFM has demonstrated state-of-the-art performance across multiple zero-shot benchmarks, outperforming existing foundation models and classical baselines. Within the Recursion OS, TxFM improves batch correction and multi-dataset integration, enhances signal recovery from low-read-depth transcriptomic data, and enables consistent mapping of gene–gene and gene–compound relationships. By improving data consistency and reducing the need for experimental re-runs, </w:t>
      </w:r>
      <w:r>
        <w:rPr>
          <w:rFonts w:ascii="Arial" w:cs="Arial" w:eastAsia="Arial" w:hAnsi="Arial"/>
          <w:sz w:val="16"/>
          <w:szCs w:val="16"/>
          <w:b w:val="1"/>
          <w:bCs w:val="1"/>
          <w:color w:val="1E1E1E"/>
        </w:rPr>
        <w:t>TxFM has delivered an approximate 70% improvement in operational efficiency for transcriptomics-driven</w:t>
      </w:r>
      <w:r>
        <w:rPr>
          <w:rFonts w:ascii="Arial" w:cs="Arial" w:eastAsia="Arial" w:hAnsi="Arial"/>
          <w:sz w:val="16"/>
          <w:szCs w:val="16"/>
          <w:color w:val="1E1E1E"/>
        </w:rPr>
        <w:t xml:space="preserve"> </w:t>
      </w:r>
      <w:r>
        <w:rPr>
          <w:rFonts w:ascii="Arial" w:cs="Arial" w:eastAsia="Arial" w:hAnsi="Arial"/>
          <w:sz w:val="16"/>
          <w:szCs w:val="16"/>
          <w:b w:val="1"/>
          <w:bCs w:val="1"/>
          <w:color w:val="1E1E1E"/>
        </w:rPr>
        <w:t xml:space="preserve">workflows. </w:t>
      </w:r>
      <w:r>
        <w:rPr>
          <w:rFonts w:ascii="Arial" w:cs="Arial" w:eastAsia="Arial" w:hAnsi="Arial"/>
          <w:sz w:val="16"/>
          <w:szCs w:val="16"/>
          <w:color w:val="1E1E1E"/>
        </w:rPr>
        <w:t>Furthermore, the model’s learned gene-specific parameters recover known protein complexes and pathways without supervision, providing a</w:t>
      </w:r>
      <w:r>
        <w:rPr>
          <w:rFonts w:ascii="Arial" w:cs="Arial" w:eastAsia="Arial" w:hAnsi="Arial"/>
          <w:sz w:val="16"/>
          <w:szCs w:val="16"/>
          <w:b w:val="1"/>
          <w:bCs w:val="1"/>
          <w:color w:val="1E1E1E"/>
        </w:rPr>
        <w:t xml:space="preserve"> </w:t>
      </w:r>
      <w:r>
        <w:rPr>
          <w:rFonts w:ascii="Arial" w:cs="Arial" w:eastAsia="Arial" w:hAnsi="Arial"/>
          <w:sz w:val="16"/>
          <w:szCs w:val="16"/>
          <w:color w:val="1E1E1E"/>
        </w:rPr>
        <w:t>non-perturbational gene-gene map for over 40,000 genes, including non-coding RNAs. These capabilities strengthen target discovery, accelerate hypothesis validation, and improve the biological and patient relevance of programs entering the pipeline.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1AA7DF"/>
        </w:rPr>
        <w:t>Insight to Molecule</w:t>
      </w:r>
    </w:p>
    <w:p>
      <w:pPr>
        <w:spacing w:after="0" w:line="68"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1E1E1E"/>
        </w:rPr>
        <w:t>Once we have nominated a program, either through insights derived from our phenomics and multiomics platforms or through the careful selection and validation of a high-potential target, we transition from biological discovery to precision molecular design. Our precision design platform, anchored by Centaur Chemist, represents a transformative shift from traditional trial-and-error drug discovery to a fully integrated, AI-first industrialized process. By fusing massive, high-dimensional biological and chemical datasets with advanced generative AI and automated synthesis, the platform enables the rapid design, prioritization, and physical testing of novel small molecules. This modular end-to-end engine is designed to navigate trillions of biological and chemical relationships with unprecedented speed and efficiency, aiming to deliver higher-quality drug candidates to the clinic while significantly reducing development timelines and costs. Centaur Chemist serves as a critical component of our unified operating system, driving a continuous "design-make-test-learn" or DMTL cycle that refines its predictive capabilities with every successive iteration.</w:t>
      </w:r>
    </w:p>
    <w:p>
      <w:pPr>
        <w:spacing w:after="0" w:line="192"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6"/>
          <w:szCs w:val="16"/>
          <w:color w:val="1E1E1E"/>
        </w:rPr>
      </w:pPr>
      <w:r>
        <w:rPr>
          <w:rFonts w:ascii="Arial" w:cs="Arial" w:eastAsia="Arial" w:hAnsi="Arial"/>
          <w:sz w:val="16"/>
          <w:szCs w:val="16"/>
          <w:color w:val="1E1E1E"/>
        </w:rPr>
        <w:t>100 million+ molecules generated virtually using synthetically aware design in 2025</w:t>
      </w:r>
    </w:p>
    <w:p>
      <w:pPr>
        <w:spacing w:after="0" w:line="86" w:lineRule="exact"/>
        <w:rPr>
          <w:rFonts w:ascii="Arial" w:cs="Arial" w:eastAsia="Arial" w:hAnsi="Arial"/>
          <w:sz w:val="16"/>
          <w:szCs w:val="16"/>
          <w:color w:val="1E1E1E"/>
        </w:rPr>
      </w:pPr>
    </w:p>
    <w:p>
      <w:pPr>
        <w:ind w:left="640" w:hanging="308"/>
        <w:spacing w:after="0"/>
        <w:tabs>
          <w:tab w:leader="none" w:pos="640" w:val="left"/>
        </w:tabs>
        <w:numPr>
          <w:ilvl w:val="0"/>
          <w:numId w:val="43"/>
        </w:numPr>
        <w:rPr>
          <w:rFonts w:ascii="Arial" w:cs="Arial" w:eastAsia="Arial" w:hAnsi="Arial"/>
          <w:sz w:val="16"/>
          <w:szCs w:val="16"/>
          <w:color w:val="1E1E1E"/>
        </w:rPr>
      </w:pPr>
      <w:r>
        <w:rPr>
          <w:rFonts w:ascii="Arial" w:cs="Arial" w:eastAsia="Arial" w:hAnsi="Arial"/>
          <w:sz w:val="16"/>
          <w:szCs w:val="16"/>
          <w:color w:val="1E1E1E"/>
        </w:rPr>
        <w:t>~90% of synthesized molecules are AI-generated, scored, and prioritized – all patentable</w:t>
      </w:r>
    </w:p>
    <w:p>
      <w:pPr>
        <w:spacing w:after="0" w:line="72" w:lineRule="exact"/>
        <w:rPr>
          <w:rFonts w:ascii="Arial" w:cs="Arial" w:eastAsia="Arial" w:hAnsi="Arial"/>
          <w:sz w:val="16"/>
          <w:szCs w:val="16"/>
          <w:color w:val="1E1E1E"/>
        </w:rPr>
      </w:pPr>
    </w:p>
    <w:p>
      <w:pPr>
        <w:ind w:left="660" w:right="160" w:hanging="328"/>
        <w:spacing w:after="0" w:line="308" w:lineRule="auto"/>
        <w:tabs>
          <w:tab w:leader="none" w:pos="650" w:val="left"/>
        </w:tabs>
        <w:numPr>
          <w:ilvl w:val="0"/>
          <w:numId w:val="43"/>
        </w:numPr>
        <w:rPr>
          <w:rFonts w:ascii="Arial" w:cs="Arial" w:eastAsia="Arial" w:hAnsi="Arial"/>
          <w:sz w:val="16"/>
          <w:szCs w:val="16"/>
          <w:color w:val="1E1E1E"/>
        </w:rPr>
      </w:pPr>
      <w:r>
        <w:rPr>
          <w:rFonts w:ascii="Arial" w:cs="Arial" w:eastAsia="Arial" w:hAnsi="Arial"/>
          <w:sz w:val="16"/>
          <w:szCs w:val="16"/>
          <w:color w:val="1E1E1E"/>
        </w:rPr>
        <w:t>On average, only ~330 compounds are synthesized per program to achieve an advanced candidate in ~17 months, compared to industry average of over 2,500 compounds and 42 months, respectively,</w:t>
      </w:r>
    </w:p>
    <w:p>
      <w:pPr>
        <w:ind w:left="660" w:right="720" w:hanging="328"/>
        <w:spacing w:after="0" w:line="321" w:lineRule="auto"/>
        <w:tabs>
          <w:tab w:leader="none" w:pos="650" w:val="left"/>
        </w:tabs>
        <w:numPr>
          <w:ilvl w:val="0"/>
          <w:numId w:val="43"/>
        </w:numPr>
        <w:rPr>
          <w:rFonts w:ascii="Arial" w:cs="Arial" w:eastAsia="Arial" w:hAnsi="Arial"/>
          <w:sz w:val="16"/>
          <w:szCs w:val="16"/>
          <w:color w:val="1E1E1E"/>
        </w:rPr>
      </w:pPr>
      <w:r>
        <w:rPr>
          <w:rFonts w:ascii="Arial" w:cs="Arial" w:eastAsia="Arial" w:hAnsi="Arial"/>
          <w:sz w:val="16"/>
          <w:szCs w:val="16"/>
          <w:color w:val="1E1E1E"/>
        </w:rPr>
        <w:t>To date, the platform has designed &gt;10 development candidates that address a wide variety of previously unsolved biological or chemistry problems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6E6E6E"/>
        </w:rPr>
        <w:t>Deep Dive: Centaur Chemist Methods and Models</w:t>
      </w:r>
    </w:p>
    <w:p>
      <w:pPr>
        <w:spacing w:after="0" w:line="3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1E1E1E"/>
        </w:rPr>
        <w:t>At its core, Centaur Chemist is an AI-first learning system that automates the design, prioritization, and optimization of novel small molecules. It is not a single piece of software but an integrated platform within the Recursion OS that enables the development and deployment of a vast number of design tools that have been developed in-house, including the following proprietary models:</w:t>
      </w:r>
    </w:p>
    <w:p>
      <w:pPr>
        <w:spacing w:after="0" w:line="181"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Generative AI and Evolutionary Models: </w:t>
      </w:r>
      <w:r>
        <w:rPr>
          <w:rFonts w:ascii="Arial" w:cs="Arial" w:eastAsia="Arial" w:hAnsi="Arial"/>
          <w:sz w:val="16"/>
          <w:szCs w:val="16"/>
          <w:color w:val="1E1E1E"/>
        </w:rPr>
        <w:t>These create novel chemical structures based on target profiles</w:t>
      </w:r>
    </w:p>
    <w:p>
      <w:pPr>
        <w:spacing w:after="0" w:line="72" w:lineRule="exact"/>
        <w:rPr>
          <w:rFonts w:ascii="Arial" w:cs="Arial" w:eastAsia="Arial" w:hAnsi="Arial"/>
          <w:sz w:val="16"/>
          <w:szCs w:val="16"/>
          <w:b w:val="1"/>
          <w:bCs w:val="1"/>
          <w:color w:val="1E1E1E"/>
        </w:rPr>
      </w:pPr>
    </w:p>
    <w:p>
      <w:pPr>
        <w:ind w:left="660" w:right="480" w:hanging="328"/>
        <w:spacing w:after="0" w:line="292" w:lineRule="auto"/>
        <w:tabs>
          <w:tab w:leader="none" w:pos="649" w:val="left"/>
        </w:tabs>
        <w:numPr>
          <w:ilvl w:val="0"/>
          <w:numId w:val="44"/>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Synthesis-Aware Methods: </w:t>
      </w:r>
      <w:r>
        <w:rPr>
          <w:rFonts w:ascii="Arial" w:cs="Arial" w:eastAsia="Arial" w:hAnsi="Arial"/>
          <w:sz w:val="16"/>
          <w:szCs w:val="16"/>
          <w:color w:val="1E1E1E"/>
        </w:rPr>
        <w:t>The platform employs an expansive synthesis-driven design toolkit that couples advanced billion-scale search</w:t>
      </w:r>
      <w:r>
        <w:rPr>
          <w:rFonts w:ascii="Arial" w:cs="Arial" w:eastAsia="Arial" w:hAnsi="Arial"/>
          <w:sz w:val="16"/>
          <w:szCs w:val="16"/>
          <w:b w:val="1"/>
          <w:bCs w:val="1"/>
          <w:color w:val="1E1E1E"/>
        </w:rPr>
        <w:t xml:space="preserve"> </w:t>
      </w:r>
      <w:r>
        <w:rPr>
          <w:rFonts w:ascii="Arial" w:cs="Arial" w:eastAsia="Arial" w:hAnsi="Arial"/>
          <w:sz w:val="16"/>
          <w:szCs w:val="16"/>
          <w:color w:val="1E1E1E"/>
        </w:rPr>
        <w:t>algorithms (e.g. SALSA) and accurate chemo- and regioselectivity models with up-to-date vendor logistics to rigorously generate synthetically feasible compounds and expedite their reduction to practice</w:t>
      </w:r>
    </w:p>
    <w:p>
      <w:pPr>
        <w:spacing w:after="0" w:line="16" w:lineRule="exact"/>
        <w:rPr>
          <w:rFonts w:ascii="Arial" w:cs="Arial" w:eastAsia="Arial" w:hAnsi="Arial"/>
          <w:sz w:val="16"/>
          <w:szCs w:val="16"/>
          <w:b w:val="1"/>
          <w:bCs w:val="1"/>
          <w:color w:val="1E1E1E"/>
        </w:rPr>
      </w:pPr>
    </w:p>
    <w:p>
      <w:pPr>
        <w:ind w:left="660" w:right="700" w:hanging="328"/>
        <w:spacing w:after="0" w:line="321" w:lineRule="auto"/>
        <w:tabs>
          <w:tab w:leader="none" w:pos="649" w:val="left"/>
        </w:tabs>
        <w:numPr>
          <w:ilvl w:val="0"/>
          <w:numId w:val="44"/>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Protein and Target Tractability predictions. </w:t>
      </w:r>
      <w:r>
        <w:rPr>
          <w:rFonts w:ascii="Arial" w:cs="Arial" w:eastAsia="Arial" w:hAnsi="Arial"/>
          <w:sz w:val="16"/>
          <w:szCs w:val="16"/>
          <w:color w:val="1E1E1E"/>
        </w:rPr>
        <w:t>These methods predict protein structures with and without the presence of ligands, enabling</w:t>
      </w:r>
      <w:r>
        <w:rPr>
          <w:rFonts w:ascii="Arial" w:cs="Arial" w:eastAsia="Arial" w:hAnsi="Arial"/>
          <w:sz w:val="16"/>
          <w:szCs w:val="16"/>
          <w:b w:val="1"/>
          <w:bCs w:val="1"/>
          <w:color w:val="1E1E1E"/>
        </w:rPr>
        <w:t xml:space="preserve"> </w:t>
      </w:r>
      <w:r>
        <w:rPr>
          <w:rFonts w:ascii="Arial" w:cs="Arial" w:eastAsia="Arial" w:hAnsi="Arial"/>
          <w:sz w:val="16"/>
          <w:szCs w:val="16"/>
          <w:color w:val="1E1E1E"/>
        </w:rPr>
        <w:t>ligandability and druggability of targets.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60" w:right="40" w:hanging="328"/>
        <w:spacing w:after="0" w:line="292" w:lineRule="auto"/>
        <w:tabs>
          <w:tab w:leader="none" w:pos="649" w:val="left"/>
        </w:tabs>
        <w:numPr>
          <w:ilvl w:val="0"/>
          <w:numId w:val="45"/>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Property Prediction and Scoring: </w:t>
      </w:r>
      <w:r>
        <w:rPr>
          <w:rFonts w:ascii="Arial" w:cs="Arial" w:eastAsia="Arial" w:hAnsi="Arial"/>
          <w:sz w:val="16"/>
          <w:szCs w:val="16"/>
          <w:color w:val="1E1E1E"/>
        </w:rPr>
        <w:t>Our industry leading advanced models, including our proprietary version of Boltz-2 that allows us to fine-tune</w:t>
      </w:r>
      <w:r>
        <w:rPr>
          <w:rFonts w:ascii="Arial" w:cs="Arial" w:eastAsia="Arial" w:hAnsi="Arial"/>
          <w:sz w:val="16"/>
          <w:szCs w:val="16"/>
          <w:b w:val="1"/>
          <w:bCs w:val="1"/>
          <w:color w:val="1E1E1E"/>
        </w:rPr>
        <w:t xml:space="preserve"> </w:t>
      </w:r>
      <w:r>
        <w:rPr>
          <w:rFonts w:ascii="Arial" w:cs="Arial" w:eastAsia="Arial" w:hAnsi="Arial"/>
          <w:sz w:val="16"/>
          <w:szCs w:val="16"/>
          <w:color w:val="1E1E1E"/>
        </w:rPr>
        <w:t>the model on internal program data, predict potency (see figure below), selectivity, and ADMET (absorption, distribution, metabolism, excretion, and toxicity).</w:t>
      </w:r>
    </w:p>
    <w:p>
      <w:pPr>
        <w:spacing w:after="0" w:line="16" w:lineRule="exact"/>
        <w:rPr>
          <w:rFonts w:ascii="Arial" w:cs="Arial" w:eastAsia="Arial" w:hAnsi="Arial"/>
          <w:sz w:val="16"/>
          <w:szCs w:val="16"/>
          <w:b w:val="1"/>
          <w:bCs w:val="1"/>
          <w:color w:val="1E1E1E"/>
        </w:rPr>
      </w:pPr>
    </w:p>
    <w:p>
      <w:pPr>
        <w:ind w:left="660" w:right="700" w:hanging="328"/>
        <w:spacing w:after="0" w:line="304" w:lineRule="auto"/>
        <w:tabs>
          <w:tab w:leader="none" w:pos="649" w:val="left"/>
        </w:tabs>
        <w:numPr>
          <w:ilvl w:val="0"/>
          <w:numId w:val="45"/>
        </w:numPr>
        <w:rPr>
          <w:rFonts w:ascii="Arial" w:cs="Arial" w:eastAsia="Arial" w:hAnsi="Arial"/>
          <w:sz w:val="16"/>
          <w:szCs w:val="16"/>
          <w:b w:val="1"/>
          <w:bCs w:val="1"/>
          <w:color w:val="1E1E1E"/>
        </w:rPr>
      </w:pPr>
      <w:r>
        <w:rPr>
          <w:rFonts w:ascii="Arial" w:cs="Arial" w:eastAsia="Arial" w:hAnsi="Arial"/>
          <w:sz w:val="16"/>
          <w:szCs w:val="16"/>
          <w:b w:val="1"/>
          <w:bCs w:val="1"/>
          <w:color w:val="1E1E1E"/>
        </w:rPr>
        <w:t xml:space="preserve">Physics Methods: </w:t>
      </w:r>
      <w:r>
        <w:rPr>
          <w:rFonts w:ascii="Arial" w:cs="Arial" w:eastAsia="Arial" w:hAnsi="Arial"/>
          <w:sz w:val="16"/>
          <w:szCs w:val="16"/>
          <w:color w:val="1E1E1E"/>
        </w:rPr>
        <w:t>A toolkit of physics-based methods that apply molecular dynamics and quantum mechanics, which enables us to more</w:t>
      </w:r>
      <w:r>
        <w:rPr>
          <w:rFonts w:ascii="Arial" w:cs="Arial" w:eastAsia="Arial" w:hAnsi="Arial"/>
          <w:sz w:val="16"/>
          <w:szCs w:val="16"/>
          <w:b w:val="1"/>
          <w:bCs w:val="1"/>
          <w:color w:val="1E1E1E"/>
        </w:rPr>
        <w:t xml:space="preserve"> </w:t>
      </w:r>
      <w:r>
        <w:rPr>
          <w:rFonts w:ascii="Arial" w:cs="Arial" w:eastAsia="Arial" w:hAnsi="Arial"/>
          <w:sz w:val="16"/>
          <w:szCs w:val="16"/>
          <w:color w:val="1E1E1E"/>
        </w:rPr>
        <w:t>accurately predict target-ligand interactions and properties, fully integrated with our generative design capabilities.</w:t>
      </w:r>
    </w:p>
    <w:p>
      <w:pPr>
        <w:spacing w:after="0" w:line="168"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1E1E1E"/>
        </w:rPr>
        <w:t>The platform not only incorporates our in-house proprietary methods and algorithms but makes it simple to deploy open-source and licensed software, ensuring that we are using state-of-the-art methods developed by the community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99060</wp:posOffset>
            </wp:positionV>
            <wp:extent cx="3703320" cy="25628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70332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0"/>
        <w:spacing w:after="0" w:line="334" w:lineRule="auto"/>
        <w:rPr>
          <w:sz w:val="20"/>
          <w:szCs w:val="20"/>
          <w:color w:val="auto"/>
        </w:rPr>
      </w:pPr>
      <w:r>
        <w:rPr>
          <w:rFonts w:ascii="Arial" w:cs="Arial" w:eastAsia="Arial" w:hAnsi="Arial"/>
          <w:sz w:val="14"/>
          <w:szCs w:val="14"/>
          <w:b w:val="1"/>
          <w:bCs w:val="1"/>
          <w:color w:val="6E6E6E"/>
        </w:rPr>
        <w:t xml:space="preserve">Figure 36. </w:t>
      </w:r>
      <w:r>
        <w:rPr>
          <w:rFonts w:ascii="Arial" w:cs="Arial" w:eastAsia="Arial" w:hAnsi="Arial"/>
          <w:sz w:val="14"/>
          <w:szCs w:val="14"/>
          <w:color w:val="6E6E6E"/>
        </w:rPr>
        <w:t>Recursion potency models MolE and MolGPS outperform (lower is better on the Y-axis in figure) all other entrants in the 2025 blind challenge for potency</w:t>
      </w:r>
      <w:r>
        <w:rPr>
          <w:rFonts w:ascii="Arial" w:cs="Arial" w:eastAsia="Arial" w:hAnsi="Arial"/>
          <w:sz w:val="14"/>
          <w:szCs w:val="14"/>
          <w:b w:val="1"/>
          <w:bCs w:val="1"/>
          <w:color w:val="6E6E6E"/>
        </w:rPr>
        <w:t xml:space="preserve"> </w:t>
      </w:r>
      <w:r>
        <w:rPr>
          <w:rFonts w:ascii="Arial" w:cs="Arial" w:eastAsia="Arial" w:hAnsi="Arial"/>
          <w:sz w:val="14"/>
          <w:szCs w:val="14"/>
          <w:color w:val="6E6E6E"/>
        </w:rPr>
        <w:t>predictions</w:t>
      </w:r>
      <w:r>
        <w:rPr>
          <w:rFonts w:ascii="Arial" w:cs="Arial" w:eastAsia="Arial" w:hAnsi="Arial"/>
          <w:sz w:val="18"/>
          <w:szCs w:val="18"/>
          <w:color w:val="6E6E6E"/>
          <w:vertAlign w:val="superscript"/>
        </w:rPr>
        <w:t>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6E6E6E"/>
        </w:rPr>
        <w:t>Deep Dive: DMTL (Design-Make-Test-Learn) and Automation</w:t>
      </w:r>
    </w:p>
    <w:p>
      <w:pPr>
        <w:spacing w:after="0" w:line="28"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1E1E1E"/>
        </w:rPr>
        <w:t>With these tools in place, our DMTL procedure begins by defining program objectives via a Target Product Profile (TPP), which is encoded using a multi-parameter optimization (MPO) function. This ensures that potency and affinity are balanced with other critical ADMET properties, such as clearance, solubility, stability, and permeability. Every generated molecule is scored by an integrated function called Merit, allowing us to monitor the quality of chemical matter across the program lifecycle in an unbiased, holistic manner. This allows us to focus our efforts from the start on high-quality molecules that meet the needs of our drug discovery programs, optimizing for both cost and operational efficiency.</w:t>
      </w:r>
    </w:p>
    <w:p>
      <w:pPr>
        <w:spacing w:after="0" w:line="191"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1E1E1E"/>
        </w:rPr>
        <w:t>Once the Design phase is complete, synthesis (Make) is triggered through the platform, which can be routed through to our in-house chemistry automation studio or dedicated CROs. Because our generative tools prioritize synthesizability from the outset, the platform utilizes property prediction models to guide design toward compounds that are both biologically optimized and amenable to efficient synthesis. To achieve this "synthesis awareness," we account for building-block availability and logistics across different CROs, ensuring the system suggests the most cost- and time-effective synthetic routes. A critical enabler of this physical execution is our in-house chemistry automation studio located in Milton Park, shown in the figure below, designed to support high-throughput DMTL cycles with minimal manual intervention (see Figure 40). The modular, automated lab is designed to accelerate DMTL cycles by utilizing automation flexibly across the full Make workflow, with over 1000 compounds having now been made and tested at Milton Park. The core mission of this DMTL procedure is to automate processes that reduce costs, optimize efficiency, and deliver high quality results to drive program success, not just making compounds that can easily be synthesized with automation. Through 2025 there was a 4-fold increase in reaction classes executed with automation, including 14 reactions that are not typically automated.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14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5" w:lineRule="exact"/>
        <w:rPr>
          <w:sz w:val="20"/>
          <w:szCs w:val="20"/>
          <w:color w:val="auto"/>
        </w:rPr>
      </w:pPr>
    </w:p>
    <w:p>
      <w:pPr>
        <w:ind w:left="160" w:hanging="152"/>
        <w:spacing w:after="0"/>
        <w:tabs>
          <w:tab w:leader="none" w:pos="160" w:val="left"/>
        </w:tabs>
        <w:numPr>
          <w:ilvl w:val="0"/>
          <w:numId w:val="46"/>
        </w:numPr>
        <w:rPr>
          <w:rFonts w:ascii="Arial" w:cs="Arial" w:eastAsia="Arial" w:hAnsi="Arial"/>
          <w:sz w:val="19"/>
          <w:szCs w:val="19"/>
          <w:i w:val="1"/>
          <w:iCs w:val="1"/>
          <w:color w:val="6E6E6E"/>
          <w:vertAlign w:val="superscript"/>
        </w:rPr>
      </w:pPr>
      <w:r>
        <w:rPr>
          <w:rFonts w:ascii="Arial" w:cs="Arial" w:eastAsia="Arial" w:hAnsi="Arial"/>
          <w:sz w:val="14"/>
          <w:szCs w:val="14"/>
          <w:i w:val="1"/>
          <w:iCs w:val="1"/>
          <w:color w:val="6E6E6E"/>
        </w:rPr>
        <w:t>Polaris hub competition results. Source: https://polarishub.io/competitions/asap-discovery/antiviral-drug-discovery-2025#competiton-results 12 February 2026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394335</wp:posOffset>
            </wp:positionV>
            <wp:extent cx="5863590" cy="17227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6359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37. </w:t>
      </w:r>
      <w:r>
        <w:rPr>
          <w:rFonts w:ascii="Arial" w:cs="Arial" w:eastAsia="Arial" w:hAnsi="Arial"/>
          <w:sz w:val="14"/>
          <w:szCs w:val="14"/>
          <w:color w:val="6E6E6E"/>
        </w:rPr>
        <w:t>Recursion's automated chemistry wet lab, a modular system for chemical synthesis preparation, execution, analysis, work-up, and purification.</w:t>
      </w:r>
    </w:p>
    <w:p>
      <w:pPr>
        <w:spacing w:after="0" w:line="293"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E1E1E"/>
        </w:rPr>
        <w:t>Following the Make phase, an assay cascade is initiated (Test). Depending on program needs, this includes ADMET, affinity, and phenomic responses via our proprietary -omics platform in either Salt Lake City or Milton Park facilities. Once an assay is completed, results are ingested back into the platform for analysis alongside all other relevant program data. This data automatically updates our ML models, ensuring the most accurate information informs the next cycle and closes the Learning loop. An example of this improvement is shown in Figure 38, which demonstrates that iterative learning has led to an approximately 50% improvement in a property prediction model. Our models improve over time, not by chance, but by learning.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128270</wp:posOffset>
            </wp:positionV>
            <wp:extent cx="3068955" cy="33686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6895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38. </w:t>
      </w:r>
      <w:r>
        <w:rPr>
          <w:rFonts w:ascii="Arial" w:cs="Arial" w:eastAsia="Arial" w:hAnsi="Arial"/>
          <w:sz w:val="14"/>
          <w:szCs w:val="14"/>
          <w:color w:val="6E6E6E"/>
        </w:rPr>
        <w:t>LogD model improvement over time as DMTL cycles progress, showing an approximately 50% increase in accuracy over time.</w:t>
      </w:r>
    </w:p>
    <w:p>
      <w:pPr>
        <w:spacing w:after="0" w:line="29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1E1E1E"/>
        </w:rPr>
        <w:t>By tracking all data centrally we can monitor Design, Make, and Test durations, as well as lag times between phases. Streamlining these workflows, both in-house and with CROs, allows us to identify and resolve bottlenecks in real time. This continuous monitoring has driven significant productivity gains: in 2025, our Design-to-Test times improved by 20% over 2024 benchmarks.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1E1E1E"/>
        </w:rPr>
        <w:t>To further support our learning system, we also employ our RADME-01 platform. This platform performs high-throughput ADME evaluations through intelligent software prioritization and automation. The system generated over 35,000 total data points across &gt;15,000 novel compounds, including &gt;13,500 human and &gt;5,000 mouse microsomal stability results, alongside thousands of points for PAMPA, protein binding, and rat stability. RADME data is integrated into our proprietary datasets and automatically fed into our suite of ML models for comprehensive ADMET property prediction, which drives drug discovery during Nominations and Design. We employed Active Learning with RADME to generate thousands of datapoints, expanding model training sets and boosting accuracy across design programs. Additionally, new multi-task models optimally combine RADME and CRO assay data for related properties, delivering enhanced predictions to our design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1AA7DF"/>
        </w:rPr>
        <w:t>Molecule to Patient</w:t>
      </w:r>
    </w:p>
    <w:p>
      <w:pPr>
        <w:spacing w:after="0" w:line="68"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1E1E1E"/>
        </w:rPr>
        <w:t>The final stage of the Recursion OS focuses on translating molecules into clinical impact. Recursion utilizes large scale multi-modal datasets to rigorously design and execute clinical trials. As an example, by applying causal AI on human genomics, we select the indications and patient sub-populations most likely to benefit from our investigational therapies. Our AI-driven study planning algorithms applied to our operational data recommend site selection to enhance enrollment in minutes. Our clinical trials incorporate advanced statistical methods across several design elements from selecting optimal doses to forming external control arms to expanding the eligible patient population for our studies.</w:t>
      </w:r>
    </w:p>
    <w:p>
      <w:pPr>
        <w:spacing w:after="0" w:line="16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1E1E1E"/>
        </w:rPr>
        <w:t>These capabilities form Recursion’s Clinical Development Technology (ClinTech) platform, an AI-enabled clinical development system that unifies molecule-to-patient decisions within an integrated workflow. It combines global site intelligence data, real-world patient data—including ~300 million real world lives and 1 million molecularly profiled lives—with causal inference, simulation, and agentic automation to continuously inform trial strategy and execution. By embedding patient relevance and operational feasibility earlier in development, ClinTech supports more disciplined trial design and execution at portfolio scale.</w:t>
      </w:r>
    </w:p>
    <w:p>
      <w:pPr>
        <w:spacing w:after="0" w:line="169" w:lineRule="exact"/>
        <w:rPr>
          <w:sz w:val="20"/>
          <w:szCs w:val="20"/>
          <w:color w:val="auto"/>
        </w:rPr>
      </w:pPr>
    </w:p>
    <w:p>
      <w:pPr>
        <w:ind w:left="660" w:right="200" w:hanging="328"/>
        <w:spacing w:after="0" w:line="316" w:lineRule="auto"/>
        <w:tabs>
          <w:tab w:leader="none" w:pos="650" w:val="left"/>
        </w:tabs>
        <w:numPr>
          <w:ilvl w:val="0"/>
          <w:numId w:val="47"/>
        </w:numPr>
        <w:rPr>
          <w:rFonts w:ascii="Arial" w:cs="Arial" w:eastAsia="Arial" w:hAnsi="Arial"/>
          <w:sz w:val="16"/>
          <w:szCs w:val="16"/>
          <w:color w:val="1E1E1E"/>
        </w:rPr>
      </w:pPr>
      <w:r>
        <w:rPr>
          <w:rFonts w:ascii="Arial" w:cs="Arial" w:eastAsia="Arial" w:hAnsi="Arial"/>
          <w:sz w:val="16"/>
          <w:szCs w:val="16"/>
          <w:color w:val="1E1E1E"/>
        </w:rPr>
        <w:t>~1 million molecularly profiled lives between Tempus, Helix, and UK Biobank. Used across our clinical and preclinical portfolio for target validation and patient selection. Impact includes but not limited to:</w:t>
      </w:r>
    </w:p>
    <w:p>
      <w:pPr>
        <w:spacing w:after="0" w:line="1" w:lineRule="exact"/>
        <w:rPr>
          <w:rFonts w:ascii="Arial" w:cs="Arial" w:eastAsia="Arial" w:hAnsi="Arial"/>
          <w:sz w:val="16"/>
          <w:szCs w:val="16"/>
          <w:color w:val="1E1E1E"/>
        </w:rPr>
      </w:pPr>
    </w:p>
    <w:p>
      <w:pPr>
        <w:ind w:left="1300" w:hanging="320"/>
        <w:spacing w:after="0"/>
        <w:tabs>
          <w:tab w:leader="none" w:pos="1300" w:val="left"/>
        </w:tabs>
        <w:numPr>
          <w:ilvl w:val="1"/>
          <w:numId w:val="47"/>
        </w:numPr>
        <w:rPr>
          <w:rFonts w:ascii="Arial" w:cs="Arial" w:eastAsia="Arial" w:hAnsi="Arial"/>
          <w:sz w:val="16"/>
          <w:szCs w:val="16"/>
          <w:color w:val="1E1E1E"/>
        </w:rPr>
      </w:pPr>
      <w:r>
        <w:rPr>
          <w:rFonts w:ascii="Arial" w:cs="Arial" w:eastAsia="Arial" w:hAnsi="Arial"/>
          <w:sz w:val="16"/>
          <w:szCs w:val="16"/>
          <w:color w:val="1E1E1E"/>
        </w:rPr>
        <w:t>Expansion into ovarian cancer for the CDK7 program</w:t>
      </w:r>
    </w:p>
    <w:p>
      <w:pPr>
        <w:spacing w:after="0" w:line="72" w:lineRule="exact"/>
        <w:rPr>
          <w:rFonts w:ascii="Arial" w:cs="Arial" w:eastAsia="Arial" w:hAnsi="Arial"/>
          <w:sz w:val="16"/>
          <w:szCs w:val="16"/>
          <w:color w:val="1E1E1E"/>
        </w:rPr>
      </w:pPr>
    </w:p>
    <w:p>
      <w:pPr>
        <w:ind w:left="640" w:hanging="308"/>
        <w:spacing w:after="0"/>
        <w:tabs>
          <w:tab w:leader="none" w:pos="640" w:val="left"/>
        </w:tabs>
        <w:numPr>
          <w:ilvl w:val="0"/>
          <w:numId w:val="47"/>
        </w:numPr>
        <w:rPr>
          <w:rFonts w:ascii="Arial" w:cs="Arial" w:eastAsia="Arial" w:hAnsi="Arial"/>
          <w:sz w:val="16"/>
          <w:szCs w:val="16"/>
          <w:color w:val="1E1E1E"/>
        </w:rPr>
      </w:pPr>
      <w:r>
        <w:rPr>
          <w:rFonts w:ascii="Arial" w:cs="Arial" w:eastAsia="Arial" w:hAnsi="Arial"/>
          <w:sz w:val="16"/>
          <w:szCs w:val="16"/>
          <w:color w:val="1E1E1E"/>
        </w:rPr>
        <w:t>De-identified records covering ~300 million real-world lives, including electronic health records, diagnostics, and medical &amp; pharmacy, leading to.</w:t>
      </w:r>
    </w:p>
    <w:p>
      <w:pPr>
        <w:spacing w:after="0" w:line="86" w:lineRule="exact"/>
        <w:rPr>
          <w:rFonts w:ascii="Arial" w:cs="Arial" w:eastAsia="Arial" w:hAnsi="Arial"/>
          <w:sz w:val="16"/>
          <w:szCs w:val="16"/>
          <w:color w:val="1E1E1E"/>
        </w:rPr>
      </w:pPr>
    </w:p>
    <w:p>
      <w:pPr>
        <w:ind w:left="1300" w:hanging="320"/>
        <w:spacing w:after="0"/>
        <w:tabs>
          <w:tab w:leader="none" w:pos="1300" w:val="left"/>
        </w:tabs>
        <w:numPr>
          <w:ilvl w:val="1"/>
          <w:numId w:val="47"/>
        </w:numPr>
        <w:rPr>
          <w:rFonts w:ascii="Arial" w:cs="Arial" w:eastAsia="Arial" w:hAnsi="Arial"/>
          <w:sz w:val="16"/>
          <w:szCs w:val="16"/>
          <w:color w:val="1E1E1E"/>
        </w:rPr>
      </w:pPr>
      <w:r>
        <w:rPr>
          <w:rFonts w:ascii="Arial" w:cs="Arial" w:eastAsia="Arial" w:hAnsi="Arial"/>
          <w:sz w:val="16"/>
          <w:szCs w:val="16"/>
          <w:color w:val="1E1E1E"/>
        </w:rPr>
        <w:t>10-40% increase in eligible population</w:t>
      </w:r>
    </w:p>
    <w:p>
      <w:pPr>
        <w:spacing w:after="0" w:line="72" w:lineRule="exact"/>
        <w:rPr>
          <w:rFonts w:ascii="Arial" w:cs="Arial" w:eastAsia="Arial" w:hAnsi="Arial"/>
          <w:sz w:val="16"/>
          <w:szCs w:val="16"/>
          <w:color w:val="1E1E1E"/>
        </w:rPr>
      </w:pPr>
    </w:p>
    <w:p>
      <w:pPr>
        <w:ind w:left="1300" w:hanging="320"/>
        <w:spacing w:after="0"/>
        <w:tabs>
          <w:tab w:leader="none" w:pos="1300" w:val="left"/>
        </w:tabs>
        <w:numPr>
          <w:ilvl w:val="1"/>
          <w:numId w:val="47"/>
        </w:numPr>
        <w:rPr>
          <w:rFonts w:ascii="Arial" w:cs="Arial" w:eastAsia="Arial" w:hAnsi="Arial"/>
          <w:sz w:val="16"/>
          <w:szCs w:val="16"/>
          <w:color w:val="1E1E1E"/>
        </w:rPr>
      </w:pPr>
      <w:r>
        <w:rPr>
          <w:rFonts w:ascii="Arial" w:cs="Arial" w:eastAsia="Arial" w:hAnsi="Arial"/>
          <w:sz w:val="16"/>
          <w:szCs w:val="16"/>
          <w:color w:val="1E1E1E"/>
        </w:rPr>
        <w:t>~1.5X improvement in enrollment rates</w:t>
      </w:r>
    </w:p>
    <w:p>
      <w:pPr>
        <w:spacing w:after="0" w:line="86" w:lineRule="exact"/>
        <w:rPr>
          <w:rFonts w:ascii="Arial" w:cs="Arial" w:eastAsia="Arial" w:hAnsi="Arial"/>
          <w:sz w:val="16"/>
          <w:szCs w:val="16"/>
          <w:color w:val="1E1E1E"/>
        </w:rPr>
      </w:pPr>
    </w:p>
    <w:p>
      <w:pPr>
        <w:ind w:left="640" w:hanging="308"/>
        <w:spacing w:after="0"/>
        <w:tabs>
          <w:tab w:leader="none" w:pos="640" w:val="left"/>
        </w:tabs>
        <w:numPr>
          <w:ilvl w:val="0"/>
          <w:numId w:val="47"/>
        </w:numPr>
        <w:rPr>
          <w:rFonts w:ascii="Arial" w:cs="Arial" w:eastAsia="Arial" w:hAnsi="Arial"/>
          <w:sz w:val="16"/>
          <w:szCs w:val="16"/>
          <w:color w:val="1E1E1E"/>
        </w:rPr>
      </w:pPr>
      <w:r>
        <w:rPr>
          <w:rFonts w:ascii="Arial" w:cs="Arial" w:eastAsia="Arial" w:hAnsi="Arial"/>
          <w:sz w:val="16"/>
          <w:szCs w:val="16"/>
          <w:color w:val="1E1E1E"/>
        </w:rPr>
        <w:t>Global clinical trial site intelligence database covering a wide swath of historical clinical trials</w:t>
      </w:r>
    </w:p>
    <w:p>
      <w:pPr>
        <w:spacing w:after="0" w:line="86" w:lineRule="exact"/>
        <w:rPr>
          <w:rFonts w:ascii="Arial" w:cs="Arial" w:eastAsia="Arial" w:hAnsi="Arial"/>
          <w:sz w:val="16"/>
          <w:szCs w:val="16"/>
          <w:color w:val="1E1E1E"/>
        </w:rPr>
      </w:pPr>
    </w:p>
    <w:p>
      <w:pPr>
        <w:ind w:left="1300" w:hanging="320"/>
        <w:spacing w:after="0"/>
        <w:tabs>
          <w:tab w:leader="none" w:pos="1300" w:val="left"/>
        </w:tabs>
        <w:numPr>
          <w:ilvl w:val="1"/>
          <w:numId w:val="47"/>
        </w:numPr>
        <w:rPr>
          <w:rFonts w:ascii="Arial" w:cs="Arial" w:eastAsia="Arial" w:hAnsi="Arial"/>
          <w:sz w:val="16"/>
          <w:szCs w:val="16"/>
          <w:color w:val="1E1E1E"/>
        </w:rPr>
      </w:pPr>
      <w:r>
        <w:rPr>
          <w:rFonts w:ascii="Arial" w:cs="Arial" w:eastAsia="Arial" w:hAnsi="Arial"/>
          <w:sz w:val="16"/>
          <w:szCs w:val="16"/>
          <w:color w:val="1E1E1E"/>
        </w:rPr>
        <w:t>Data driven country &amp; site selection in hours vs. months</w:t>
      </w:r>
    </w:p>
    <w:p>
      <w:pPr>
        <w:spacing w:after="0" w:line="23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1E1E1E"/>
        </w:rPr>
        <w:t xml:space="preserve">In practice, ClinTech shortens the cycle from protocol to site activation and enrollment by turning fragmented clinical operations data into actionable, real-time recommendations. For example, the platform can </w:t>
      </w:r>
      <w:r>
        <w:rPr>
          <w:rFonts w:ascii="Arial" w:cs="Arial" w:eastAsia="Arial" w:hAnsi="Arial"/>
          <w:sz w:val="16"/>
          <w:szCs w:val="16"/>
          <w:b w:val="1"/>
          <w:bCs w:val="1"/>
          <w:color w:val="1E1E1E"/>
        </w:rPr>
        <w:t>shorten the time to prioritize countries and sites from months (industry standard) to hours</w:t>
      </w:r>
      <w:r>
        <w:rPr>
          <w:rFonts w:ascii="Arial" w:cs="Arial" w:eastAsia="Arial" w:hAnsi="Arial"/>
          <w:sz w:val="16"/>
          <w:szCs w:val="16"/>
          <w:color w:val="1E1E1E"/>
        </w:rPr>
        <w:t xml:space="preserve"> using multimodal site intelligence data. It can forecast enrollment trajectories as criteria evolve—enabling benefit-risk tradeoffs that can meaningfully expand the eligible population and improve enrollment performance. It can reinforce upstream portfolio decisions through genetically informed target validation and patient selection. Across the trial lifecycle, these capabilities translate into increased probability of success and timely execution of our clinical studies.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394335</wp:posOffset>
            </wp:positionV>
            <wp:extent cx="5863590" cy="31546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6359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39. </w:t>
      </w:r>
      <w:r>
        <w:rPr>
          <w:rFonts w:ascii="Arial" w:cs="Arial" w:eastAsia="Arial" w:hAnsi="Arial"/>
          <w:sz w:val="14"/>
          <w:szCs w:val="14"/>
          <w:color w:val="6E6E6E"/>
        </w:rPr>
        <w:t>AI-driven clinical development platform for trial design and execution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6E6E6E"/>
        </w:rPr>
        <w:t>Deep Dive: Natural History Data in Familial Adenomatous Polyposis (FAP)</w:t>
      </w:r>
    </w:p>
    <w:p>
      <w:pPr>
        <w:spacing w:after="0" w:line="28"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color w:val="1E1E1E"/>
        </w:rPr>
        <w:t>Recursion applied its ClinTech platform to generate high-quality natural history evidence to contextualize the single-arm efficacy of REC-4881 in the TUPELO study. Natural history data are increasingly important to regulators in rare diseases, yet for FAP there has historically been limited quantified evidence describing disease progression outside of clinical trials. To address this gap, Recursion leveraged real-world evidence analytics and AI-enabled data extraction to build a comprehensive view of the lived FAP patient experience across routine clinical practice and long-term registry data.</w:t>
      </w:r>
    </w:p>
    <w:p>
      <w:pPr>
        <w:spacing w:after="0" w:line="172"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1E1E1E"/>
        </w:rPr>
        <w:t>Using ClinTech’s real-world data capabilities, Recursion analyzed records from more than 1,000 US patients with FAP, including over 250,000 unstructured physician notes processed using a custom large language model–based workflow. This analysis enabled systematic characterization of disease burden, intervention frequency, and the progressive nature of polyp growth in everyday clinical care. Recursion extended this work through an academic collaboration with Amsterdam UMC, analyzing nearly 20 years of longitudinal follow-up data from approximately 200 patients enrolled in one of the largest and longest running FAP registries globally. Together, these datasets enabled a level of real-world disease characterization that is rarely available in rare disease development.</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Across both real-world and registry datasets, the findings were consistent and clinically meaningful: untreated FAP is characterized by predictable, year-over-year progression of polyp burden in 87% of the trial-relevant patient populations, with a mean annualized increase of 60%. These insights provided a robust, data-driven benchmark for contextualizing therapeutic impact and directly informed the clinical development strategy for REC-4881, including support for a single-arm study design aligned with regulatory expectations. More broadly, this work illustrates how ClinTech augments clinical development with unbiased real-world insight, strengthens the translational path from molecule to patient, and enables more confident engagement with regulators in rare disease programs.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Processing and Data Storage Infrastructure</w:t>
      </w:r>
    </w:p>
    <w:p>
      <w:pPr>
        <w:spacing w:after="0" w:line="7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1E1E1E"/>
        </w:rPr>
        <w:t>The need to understand pathways, targets, compounds, and mechanisms of action requires obtaining, synthesizing, or predicting large volumes of data. To store this data in an efficient and low-risk way, Recursion makes use of a combination of cloud storage, and on-premises storage. To process this data efficiently, we bring it close to where the compute will run – either in our HPC datacenter (BioHive) or to our cloud (partnering with Google Cloud). To make this more seamless for our scientists, we have invested in a hybrid storage and compute platform, which enables replication of data and locality of compute to allow us to use these resources as efficiently as possible.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7"/>
          <w:szCs w:val="27"/>
          <w:b w:val="1"/>
          <w:bCs w:val="1"/>
          <w:color w:val="E2188A"/>
        </w:rPr>
        <w:t>People and Culture</w:t>
      </w:r>
    </w:p>
    <w:p>
      <w:pPr>
        <w:spacing w:after="0" w:line="13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1E1E1E"/>
        </w:rPr>
        <w:t>Essential to leading and defining TechBio is our team of close to 600 employees, comprising of life scientists, such as chemists and biologists (approximately 35% of employees) and computational and technical experts such as data scientists and software engineers (approximately 43% of employees). Together our team creates an environment where empirical data, statistical rigor and creative thinking is brought to bear on the problems we address. While we are united in a common mission, Decoding Biology to Radically Improve Lives, our strength lies in our differences: expertise, gender, race, disciplines, experience and perspectives. Deliberately building and cultivating this culture is critical to achieving our audacious goals.</w:t>
      </w:r>
    </w:p>
    <w:p>
      <w:pPr>
        <w:spacing w:after="0" w:line="1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1E1E1E"/>
        </w:rPr>
        <w:t>In 2025, we made significant progress to deploy agentic and automated AI solutions across the workforce to enhance enterprise productivity and efficiency. In our technology organization, approximately 91% of employees are actively using AI coding tools to accelerate their work. As a result, 35% of our code is authored by AI, allowing our teams to focus on solving the problems and trusting AI to accelerate creating the solution. This saves an average of 4.3 hours of work per week, per employee.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Employee Recruitment, Development and Training</w:t>
      </w:r>
    </w:p>
    <w:p>
      <w:pPr>
        <w:spacing w:after="0" w:line="7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1E1E1E"/>
        </w:rPr>
        <w:t>At Recursion, we believe a diversity of experiences, backgrounds, ideas and expertise will create high performing teams. We are intentional about the employee experience at Recursion, with a fit-for-purpose system that finds, grows and retains top talent to deliver our mission. We employ a targeted approach to identify, attract and hire diverse employees across highly technical scientific disciplines including biology, chemistry, data science, machine learning, engineering, robotics, clinical development and more. People stay at Recursion because of the opportunity to impact the world and grow in a place where they feel challenged, supported, and connected.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Employee Health and Safety</w:t>
      </w:r>
    </w:p>
    <w:p>
      <w:pPr>
        <w:spacing w:after="0" w:line="7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1E1E1E"/>
        </w:rPr>
        <w:t>We have dedicated Standard Operating Procedures to manage occupational health and safety, safety training and injury, and illness and incident reporting. Every employee is responsible to ensure these procedures and policies are followed. We offer extensive training to ensure understanding and compliance. Compliance is mandatory for all laboratory employees per requirements of the Occupational Safety and Health Administration standard on Hazardous Chemicals in Laboratories. Our Chemical Hygiene Officer and Lab Manager oversees the day-to-day management of institutional chemical hygiene.</w:t>
      </w:r>
    </w:p>
    <w:p>
      <w:pPr>
        <w:spacing w:after="0" w:line="180"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1E1E1E"/>
        </w:rPr>
        <w:t>Read more about how we invest in and motivate our people to achieve our mission in Recursion’s latest Environmental, Social and Governance Report, available at our corporate website.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Facilities</w:t>
      </w:r>
    </w:p>
    <w:p>
      <w:pPr>
        <w:spacing w:after="0" w:line="77"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1E1E1E"/>
        </w:rPr>
        <w:t>Recursion’s global footprint is architected around two primary pillars: industrialized wet lab infrastructure that powers platform operations and offices that allow us to attract and retain top talent.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1AA7DF"/>
        </w:rPr>
        <w:t>Industrialized Wet Lab &amp; Platform Operations Hubs</w:t>
      </w:r>
    </w:p>
    <w:p>
      <w:pPr>
        <w:spacing w:after="0" w:line="8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1E1E1E"/>
        </w:rPr>
        <w:t>Our two heavy-infrastructure sites in Salt Lake City, Utah and Milton Park, Oxfordshire are designed for the massive-scale data generation that drives our platform. These facilities house our robotics, automation, biology, and chemistry capabilities. Our Salt Lake City site has capacity to generate phenomics and transcriptomics data, and at Milton Park, the automated lab assembles the vision of autonomous DTML loops.</w:t>
      </w:r>
    </w:p>
    <w:p>
      <w:pPr>
        <w:spacing w:after="0" w:line="165" w:lineRule="exact"/>
        <w:rPr>
          <w:sz w:val="20"/>
          <w:szCs w:val="20"/>
          <w:color w:val="auto"/>
        </w:rPr>
      </w:pPr>
    </w:p>
    <w:p>
      <w:pPr>
        <w:ind w:left="660" w:right="280" w:hanging="328"/>
        <w:spacing w:after="0" w:line="316" w:lineRule="auto"/>
        <w:tabs>
          <w:tab w:leader="none" w:pos="649" w:val="left"/>
        </w:tabs>
        <w:numPr>
          <w:ilvl w:val="0"/>
          <w:numId w:val="48"/>
        </w:numPr>
        <w:rPr>
          <w:rFonts w:ascii="Arial" w:cs="Arial" w:eastAsia="Arial" w:hAnsi="Arial"/>
          <w:sz w:val="16"/>
          <w:szCs w:val="16"/>
          <w:color w:val="1E1E1E"/>
        </w:rPr>
      </w:pPr>
      <w:r>
        <w:rPr>
          <w:rFonts w:ascii="Arial" w:cs="Arial" w:eastAsia="Arial" w:hAnsi="Arial"/>
          <w:sz w:val="16"/>
          <w:szCs w:val="16"/>
          <w:color w:val="1E1E1E"/>
        </w:rPr>
        <w:t>Salt Lake City, Utah: We utilize 140,000 square feet of laboratory and office space in downtown Salt Lake City. This campus houses our high throughput screening labs, generating large volumes of standardized high quality biological data across phenomic and transcriptomic endpoints.</w:t>
      </w:r>
    </w:p>
    <w:p>
      <w:pPr>
        <w:spacing w:after="0" w:line="1" w:lineRule="exact"/>
        <w:rPr>
          <w:rFonts w:ascii="Arial" w:cs="Arial" w:eastAsia="Arial" w:hAnsi="Arial"/>
          <w:sz w:val="16"/>
          <w:szCs w:val="16"/>
          <w:color w:val="1E1E1E"/>
        </w:rPr>
      </w:pPr>
    </w:p>
    <w:p>
      <w:pPr>
        <w:ind w:left="660" w:right="760" w:hanging="328"/>
        <w:spacing w:after="0" w:line="304" w:lineRule="auto"/>
        <w:tabs>
          <w:tab w:leader="none" w:pos="649" w:val="left"/>
        </w:tabs>
        <w:numPr>
          <w:ilvl w:val="0"/>
          <w:numId w:val="48"/>
        </w:numPr>
        <w:rPr>
          <w:rFonts w:ascii="Arial" w:cs="Arial" w:eastAsia="Arial" w:hAnsi="Arial"/>
          <w:sz w:val="16"/>
          <w:szCs w:val="16"/>
          <w:color w:val="1E1E1E"/>
        </w:rPr>
      </w:pPr>
      <w:r>
        <w:rPr>
          <w:rFonts w:ascii="Arial" w:cs="Arial" w:eastAsia="Arial" w:hAnsi="Arial"/>
          <w:sz w:val="16"/>
          <w:szCs w:val="16"/>
          <w:color w:val="1E1E1E"/>
        </w:rPr>
        <w:t>Milton Park, Oxfordshire: This 20,151 square foot laboratory and office space serves as our primary European wet lab, focused on DMTL, quantitative pharmacology, complex bioassays, target validation, and automation engineering.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1AA7DF"/>
        </w:rPr>
        <w:t>Strategic Talent and Office Hub</w:t>
      </w:r>
    </w:p>
    <w:p>
      <w:pPr>
        <w:spacing w:after="0" w:line="68"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1E1E1E"/>
        </w:rPr>
        <w:t>Our office locations in New York City, Montreal, and London are positioned in global centers for AI, scientific innovation, clinical development, and executive leadership.</w:t>
      </w:r>
    </w:p>
    <w:p>
      <w:pPr>
        <w:spacing w:after="0" w:line="142" w:lineRule="exact"/>
        <w:rPr>
          <w:sz w:val="20"/>
          <w:szCs w:val="20"/>
          <w:color w:val="auto"/>
        </w:rPr>
      </w:pPr>
    </w:p>
    <w:p>
      <w:pPr>
        <w:ind w:left="660" w:right="20" w:hanging="328"/>
        <w:spacing w:after="0" w:line="321" w:lineRule="auto"/>
        <w:tabs>
          <w:tab w:leader="none" w:pos="649" w:val="left"/>
        </w:tabs>
        <w:numPr>
          <w:ilvl w:val="0"/>
          <w:numId w:val="49"/>
        </w:numPr>
        <w:rPr>
          <w:rFonts w:ascii="Arial" w:cs="Arial" w:eastAsia="Arial" w:hAnsi="Arial"/>
          <w:sz w:val="16"/>
          <w:szCs w:val="16"/>
          <w:color w:val="1E1E1E"/>
        </w:rPr>
      </w:pPr>
      <w:r>
        <w:rPr>
          <w:rFonts w:ascii="Arial" w:cs="Arial" w:eastAsia="Arial" w:hAnsi="Arial"/>
          <w:sz w:val="16"/>
          <w:szCs w:val="16"/>
          <w:color w:val="1E1E1E"/>
        </w:rPr>
        <w:t>New York City: In January 2025, we opened a new 11,655 square foot office in New York City’s Hudson Yards neighborhood. This office serves as a key location for our executive leadership, strategy and clinical development teams,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6"/>
          <w:szCs w:val="16"/>
          <w:color w:val="1E1E1E"/>
        </w:rPr>
      </w:pPr>
      <w:r>
        <w:rPr>
          <w:rFonts w:ascii="Arial" w:cs="Arial" w:eastAsia="Arial" w:hAnsi="Arial"/>
          <w:sz w:val="16"/>
          <w:szCs w:val="16"/>
          <w:color w:val="1E1E1E"/>
        </w:rPr>
        <w:t>Montreal: We have a 8,367 square foot site in Montréal that houses our semi-autonomous artificial intelligence research engine, Valence Labs</w:t>
      </w:r>
    </w:p>
    <w:p>
      <w:pPr>
        <w:spacing w:after="0" w:line="86" w:lineRule="exact"/>
        <w:rPr>
          <w:rFonts w:ascii="Arial" w:cs="Arial" w:eastAsia="Arial" w:hAnsi="Arial"/>
          <w:sz w:val="16"/>
          <w:szCs w:val="16"/>
          <w:color w:val="1E1E1E"/>
        </w:rPr>
      </w:pPr>
    </w:p>
    <w:p>
      <w:pPr>
        <w:ind w:left="660" w:right="160" w:hanging="328"/>
        <w:spacing w:after="0" w:line="304" w:lineRule="auto"/>
        <w:tabs>
          <w:tab w:leader="none" w:pos="649" w:val="left"/>
        </w:tabs>
        <w:numPr>
          <w:ilvl w:val="0"/>
          <w:numId w:val="50"/>
        </w:numPr>
        <w:rPr>
          <w:rFonts w:ascii="Arial" w:cs="Arial" w:eastAsia="Arial" w:hAnsi="Arial"/>
          <w:sz w:val="16"/>
          <w:szCs w:val="16"/>
          <w:color w:val="1E1E1E"/>
        </w:rPr>
      </w:pPr>
      <w:r>
        <w:rPr>
          <w:rFonts w:ascii="Arial" w:cs="Arial" w:eastAsia="Arial" w:hAnsi="Arial"/>
          <w:sz w:val="16"/>
          <w:szCs w:val="16"/>
          <w:color w:val="1E1E1E"/>
        </w:rPr>
        <w:t>London: Located in the knowledge quarter and heart of King’s Cross neighborhood, our 6,792 square foot office serves as a magnet for Europe’s top AI and computational talent.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Commercialization</w:t>
      </w:r>
    </w:p>
    <w:p>
      <w:pPr>
        <w:spacing w:after="0" w:line="77"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We retain significant development and commercial rights to some of our drug candidates. If marketing approval is obtained, we may commercialize our drug candidates on our own, or potentially with a partner, in the US and other geographies. We currently have no sales, marketing, or commercial product distribution capabilities. Decisions to create this infrastructure and capability will be made following further advancement of our drug candidates and based on our assessment of our ability to build the necessary capabilities and infrastructure with competitive advantage. Clinical data, the size of the addressable patient population, the size of the commercial infrastructure, manufacturing needs and major trends as to how value is accrued in the industry may all influence or alter our commercialization plans.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Manufacturing</w:t>
      </w:r>
    </w:p>
    <w:p>
      <w:pPr>
        <w:spacing w:after="0" w:line="77"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1E1E1E"/>
        </w:rPr>
        <w:t>We currently utilize contract development and manufacturing organizations to produce drug substance and investigational drug product in support of the assets within our pipeline. To date, we have obtained drug substance and drug product for our drug candidates from third party contract manufacturers.</w:t>
      </w:r>
    </w:p>
    <w:p>
      <w:pPr>
        <w:spacing w:after="0" w:line="168" w:lineRule="exact"/>
        <w:rPr>
          <w:sz w:val="20"/>
          <w:szCs w:val="20"/>
          <w:color w:val="auto"/>
        </w:rPr>
      </w:pPr>
    </w:p>
    <w:p>
      <w:pPr>
        <w:spacing w:after="0"/>
        <w:rPr>
          <w:sz w:val="20"/>
          <w:szCs w:val="20"/>
          <w:color w:val="auto"/>
        </w:rPr>
      </w:pPr>
      <w:r>
        <w:rPr>
          <w:rFonts w:ascii="Arial" w:cs="Arial" w:eastAsia="Arial" w:hAnsi="Arial"/>
          <w:sz w:val="27"/>
          <w:szCs w:val="27"/>
          <w:b w:val="1"/>
          <w:bCs w:val="1"/>
          <w:color w:val="E2188A"/>
        </w:rPr>
        <w:t>Strategic Partnership and Collaboration Agreements</w:t>
      </w:r>
    </w:p>
    <w:p>
      <w:pPr>
        <w:spacing w:after="0" w:line="137"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1E1E1E"/>
        </w:rPr>
        <w:t>To achieve our mission, we may partner with leading biotechnology companies, pharmaceutical companies and academic research institutions to access datasets, molecules, or other intellectual property.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Roche and Genentech Collaboration and License Agreement</w:t>
      </w:r>
    </w:p>
    <w:p>
      <w:pPr>
        <w:spacing w:after="0" w:line="77"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1E1E1E"/>
        </w:rPr>
        <w:t>On December 5, 2021, we entered into a Collaboration and License Agreement with Genentech, Inc. and F. Hoffmann-La Roche Ltd, pursuant to which we will construct, using our imaging technology and proprietary machine learning algorithms, unique maps of the inferred relationships amongst perturbation phenotypes in a given cellular context (each a “phenomap”) and together with Roche and Genentech will create multimodal models and maps to further expand and refine such inferred relationships, in both cases, with the goal to discover and develop therapeutic small molecule and target programs in a gastrointestinal cancer indication and neuroscience (each an “Exclusive Field”).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1E1E1E"/>
        </w:rPr>
        <w:t>Upfront Payment. In January 2022, Roche and Genentech paid us an upfront cash payment of $150.0 million.</w:t>
      </w:r>
    </w:p>
    <w:p>
      <w:pPr>
        <w:spacing w:after="0" w:line="23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b w:val="1"/>
          <w:bCs w:val="1"/>
          <w:i w:val="1"/>
          <w:iCs w:val="1"/>
          <w:color w:val="1E1E1E"/>
        </w:rPr>
        <w:t xml:space="preserve">Phenomap Creation, Acceptance and Access. </w:t>
      </w:r>
      <w:r>
        <w:rPr>
          <w:rFonts w:ascii="Arial" w:cs="Arial" w:eastAsia="Arial" w:hAnsi="Arial"/>
          <w:sz w:val="16"/>
          <w:szCs w:val="16"/>
          <w:color w:val="1E1E1E"/>
        </w:rPr>
        <w:t>Under the Collaboration Agreement, we are responsible for creating a certain number of phenomaps in</w:t>
      </w:r>
      <w:r>
        <w:rPr>
          <w:rFonts w:ascii="Arial" w:cs="Arial" w:eastAsia="Arial" w:hAnsi="Arial"/>
          <w:sz w:val="16"/>
          <w:szCs w:val="16"/>
          <w:b w:val="1"/>
          <w:bCs w:val="1"/>
          <w:i w:val="1"/>
          <w:iCs w:val="1"/>
          <w:color w:val="1E1E1E"/>
        </w:rPr>
        <w:t xml:space="preserve"> </w:t>
      </w:r>
      <w:r>
        <w:rPr>
          <w:rFonts w:ascii="Arial" w:cs="Arial" w:eastAsia="Arial" w:hAnsi="Arial"/>
          <w:sz w:val="16"/>
          <w:szCs w:val="16"/>
          <w:color w:val="1E1E1E"/>
        </w:rPr>
        <w:t>each of the Exclusive Fields. We will also provide Roche and Genentech results to requested queries, at Recursion’s discretion, of our pre-existing human umbilical vein endothelial cells (HUVEC) phenomap. Roche and Genentech will have specified rights to request queries or have direct access to the phenomaps to generate novel inferences that may lead to the discovery or development of therapeutic products.</w:t>
      </w:r>
    </w:p>
    <w:p>
      <w:pPr>
        <w:spacing w:after="0" w:line="18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b w:val="1"/>
          <w:bCs w:val="1"/>
          <w:i w:val="1"/>
          <w:iCs w:val="1"/>
          <w:color w:val="1E1E1E"/>
        </w:rPr>
        <w:t xml:space="preserve">Phenomap-Related Options in neuroscience. </w:t>
      </w:r>
      <w:r>
        <w:rPr>
          <w:rFonts w:ascii="Arial" w:cs="Arial" w:eastAsia="Arial" w:hAnsi="Arial"/>
          <w:sz w:val="16"/>
          <w:szCs w:val="16"/>
          <w:color w:val="1E1E1E"/>
        </w:rPr>
        <w:t>Each of the neuroscience phenomaps requested by Roche and Genentech and created by Recursion may</w:t>
      </w:r>
      <w:r>
        <w:rPr>
          <w:rFonts w:ascii="Arial" w:cs="Arial" w:eastAsia="Arial" w:hAnsi="Arial"/>
          <w:sz w:val="16"/>
          <w:szCs w:val="16"/>
          <w:b w:val="1"/>
          <w:bCs w:val="1"/>
          <w:i w:val="1"/>
          <w:iCs w:val="1"/>
          <w:color w:val="1E1E1E"/>
        </w:rPr>
        <w:t xml:space="preserve"> </w:t>
      </w:r>
      <w:r>
        <w:rPr>
          <w:rFonts w:ascii="Arial" w:cs="Arial" w:eastAsia="Arial" w:hAnsi="Arial"/>
          <w:sz w:val="16"/>
          <w:szCs w:val="16"/>
          <w:color w:val="1E1E1E"/>
        </w:rPr>
        <w:t>be subject to either an initiation fee, acceptance fee or both. Such fees could exceed $250.0 million for sixteen (16) accepted phenomaps. In addition, for a period of time after Roche and Genentech’s acceptance of certain phenomaps, Roche and Genentech will have the option to obtain, subject to payment of an exercise fee, rights to use outside the collaboration the raw images generated in the course of creating those phenomaps. If Roche and Genentech exercises its External Use Option for all twelve (12) eligible phenomaps, Roche and Genentech’s associated exercise fee payments to Recursion could exceed $250.0 million.</w:t>
      </w:r>
    </w:p>
    <w:p>
      <w:pPr>
        <w:spacing w:after="0" w:line="174" w:lineRule="exact"/>
        <w:rPr>
          <w:sz w:val="20"/>
          <w:szCs w:val="20"/>
          <w:color w:val="auto"/>
        </w:rPr>
      </w:pPr>
    </w:p>
    <w:p>
      <w:pPr>
        <w:spacing w:after="0" w:line="282" w:lineRule="auto"/>
        <w:rPr>
          <w:sz w:val="20"/>
          <w:szCs w:val="20"/>
          <w:color w:val="auto"/>
        </w:rPr>
      </w:pPr>
      <w:r>
        <w:rPr>
          <w:rFonts w:ascii="Arial" w:cs="Arial" w:eastAsia="Arial" w:hAnsi="Arial"/>
          <w:sz w:val="16"/>
          <w:szCs w:val="16"/>
          <w:b w:val="1"/>
          <w:bCs w:val="1"/>
          <w:i w:val="1"/>
          <w:iCs w:val="1"/>
          <w:color w:val="1E1E1E"/>
        </w:rPr>
        <w:t xml:space="preserve">Collaboration Programs and Roche and Genentech Options. </w:t>
      </w:r>
      <w:r>
        <w:rPr>
          <w:rFonts w:ascii="Arial" w:cs="Arial" w:eastAsia="Arial" w:hAnsi="Arial"/>
          <w:sz w:val="16"/>
          <w:szCs w:val="16"/>
          <w:color w:val="1E1E1E"/>
        </w:rPr>
        <w:t>Roche and Genentech and Recursion will collaborate to select certain novel inferences</w:t>
      </w:r>
      <w:r>
        <w:rPr>
          <w:rFonts w:ascii="Arial" w:cs="Arial" w:eastAsia="Arial" w:hAnsi="Arial"/>
          <w:sz w:val="16"/>
          <w:szCs w:val="16"/>
          <w:b w:val="1"/>
          <w:bCs w:val="1"/>
          <w:i w:val="1"/>
          <w:iCs w:val="1"/>
          <w:color w:val="1E1E1E"/>
        </w:rPr>
        <w:t xml:space="preserve"> </w:t>
      </w:r>
      <w:r>
        <w:rPr>
          <w:rFonts w:ascii="Arial" w:cs="Arial" w:eastAsia="Arial" w:hAnsi="Arial"/>
          <w:sz w:val="16"/>
          <w:szCs w:val="16"/>
          <w:color w:val="1E1E1E"/>
        </w:rPr>
        <w:t>with respect to small molecules or targets generated from the phenomaps for further validation and optimization as collaboration programs. There can be up to 40 programs initiated as part of this collaboration. Roche and Genentech and Recursion may also combine sequencing datasets from Roche and Genentech with Recursion’s phenomic imaging data and collaborate to generate new algorithms to produce multimodal maps from which additional collaboration programs may be initiated. For every collaboration program that successfully identifies potential therapeutic small molecules or validates a target, Roche and Genentech will have an option to obtain an exclusive license to develop and commercialize such potential therapeutic small molecules or to exploit such target.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b w:val="1"/>
          <w:bCs w:val="1"/>
          <w:i w:val="1"/>
          <w:iCs w:val="1"/>
          <w:color w:val="1E1E1E"/>
        </w:rPr>
        <w:t xml:space="preserve">Payments if Roche and Genentech Exercises Option for a Collaboration Program. </w:t>
      </w:r>
      <w:r>
        <w:rPr>
          <w:rFonts w:ascii="Arial" w:cs="Arial" w:eastAsia="Arial" w:hAnsi="Arial"/>
          <w:sz w:val="16"/>
          <w:szCs w:val="16"/>
          <w:color w:val="1E1E1E"/>
        </w:rPr>
        <w:t>Under the collaboration, Roche and Genentech may initiate up to</w:t>
      </w:r>
      <w:r>
        <w:rPr>
          <w:rFonts w:ascii="Arial" w:cs="Arial" w:eastAsia="Arial" w:hAnsi="Arial"/>
          <w:sz w:val="16"/>
          <w:szCs w:val="16"/>
          <w:b w:val="1"/>
          <w:bCs w:val="1"/>
          <w:i w:val="1"/>
          <w:iCs w:val="1"/>
          <w:color w:val="1E1E1E"/>
        </w:rPr>
        <w:t xml:space="preserve"> </w:t>
      </w:r>
      <w:r>
        <w:rPr>
          <w:rFonts w:ascii="Arial" w:cs="Arial" w:eastAsia="Arial" w:hAnsi="Arial"/>
          <w:sz w:val="16"/>
          <w:szCs w:val="16"/>
          <w:color w:val="1E1E1E"/>
        </w:rPr>
        <w:t>forty (40) small molecule programs. Each small molecule collaboration program, if optioned and successfully developed and commercialized by Roche and Genentech, could yield more than $300.0 million in research, development, commercialization and net sales milestones for Recursion, as well as mid- to high-single digit tiered royalties on net sales. Recursion is also eligible for research, development, commercialization and net sales milestones for target collaboration programs optioned by Roche and Genentech.</w:t>
      </w:r>
    </w:p>
    <w:p>
      <w:pPr>
        <w:spacing w:after="0" w:line="188" w:lineRule="exact"/>
        <w:rPr>
          <w:sz w:val="20"/>
          <w:szCs w:val="20"/>
          <w:color w:val="auto"/>
        </w:rPr>
      </w:pPr>
    </w:p>
    <w:p>
      <w:pPr>
        <w:jc w:val="both"/>
        <w:ind w:right="220"/>
        <w:spacing w:after="0" w:line="282" w:lineRule="auto"/>
        <w:rPr>
          <w:sz w:val="20"/>
          <w:szCs w:val="20"/>
          <w:color w:val="auto"/>
        </w:rPr>
      </w:pPr>
      <w:r>
        <w:rPr>
          <w:rFonts w:ascii="Arial" w:cs="Arial" w:eastAsia="Arial" w:hAnsi="Arial"/>
          <w:sz w:val="16"/>
          <w:szCs w:val="16"/>
          <w:b w:val="1"/>
          <w:bCs w:val="1"/>
          <w:i w:val="1"/>
          <w:iCs w:val="1"/>
          <w:color w:val="1E1E1E"/>
        </w:rPr>
        <w:t xml:space="preserve">Recursion Programs. </w:t>
      </w:r>
      <w:r>
        <w:rPr>
          <w:rFonts w:ascii="Arial" w:cs="Arial" w:eastAsia="Arial" w:hAnsi="Arial"/>
          <w:sz w:val="16"/>
          <w:szCs w:val="16"/>
          <w:color w:val="1E1E1E"/>
        </w:rPr>
        <w:t>If Roche and Genentech does not exercise its options in the Collaboration Agreement for certain collaboration programs, we may,</w:t>
      </w:r>
      <w:r>
        <w:rPr>
          <w:rFonts w:ascii="Arial" w:cs="Arial" w:eastAsia="Arial" w:hAnsi="Arial"/>
          <w:sz w:val="16"/>
          <w:szCs w:val="16"/>
          <w:b w:val="1"/>
          <w:bCs w:val="1"/>
          <w:i w:val="1"/>
          <w:iCs w:val="1"/>
          <w:color w:val="1E1E1E"/>
        </w:rPr>
        <w:t xml:space="preserve"> </w:t>
      </w:r>
      <w:r>
        <w:rPr>
          <w:rFonts w:ascii="Arial" w:cs="Arial" w:eastAsia="Arial" w:hAnsi="Arial"/>
          <w:sz w:val="16"/>
          <w:szCs w:val="16"/>
          <w:color w:val="1E1E1E"/>
        </w:rPr>
        <w:t>with Roche and Genentech’s prior consent, choose to independently validate, develop and commercialize products in a limited number of such programs, subject to agreed milestones and royalties to Roche and Genentech. Roche and Genentech will have rights to obtain an exclusive license to exploit such products by providing notice and paying us an opt-in fee and economics exceeding those that would otherwise be applicable if Roche and Genentech had exercised its option for such program.</w:t>
      </w:r>
    </w:p>
    <w:p>
      <w:pPr>
        <w:spacing w:after="0" w:line="188" w:lineRule="exact"/>
        <w:rPr>
          <w:sz w:val="20"/>
          <w:szCs w:val="20"/>
          <w:color w:val="auto"/>
        </w:rPr>
      </w:pPr>
    </w:p>
    <w:p>
      <w:pPr>
        <w:jc w:val="both"/>
        <w:ind w:right="80"/>
        <w:spacing w:after="0" w:line="289" w:lineRule="auto"/>
        <w:rPr>
          <w:sz w:val="20"/>
          <w:szCs w:val="20"/>
          <w:color w:val="auto"/>
        </w:rPr>
      </w:pPr>
      <w:r>
        <w:rPr>
          <w:rFonts w:ascii="Arial" w:cs="Arial" w:eastAsia="Arial" w:hAnsi="Arial"/>
          <w:sz w:val="16"/>
          <w:szCs w:val="16"/>
          <w:b w:val="1"/>
          <w:bCs w:val="1"/>
          <w:i w:val="1"/>
          <w:iCs w:val="1"/>
          <w:color w:val="1E1E1E"/>
        </w:rPr>
        <w:t xml:space="preserve">Exclusivity. </w:t>
      </w:r>
      <w:r>
        <w:rPr>
          <w:rFonts w:ascii="Arial" w:cs="Arial" w:eastAsia="Arial" w:hAnsi="Arial"/>
          <w:sz w:val="16"/>
          <w:szCs w:val="16"/>
          <w:color w:val="1E1E1E"/>
        </w:rPr>
        <w:t>During an agreed period of time after the Collaboration Agreement’s effective date, we are subject to certain exclusivities that limit our ability to</w:t>
      </w:r>
      <w:r>
        <w:rPr>
          <w:rFonts w:ascii="Arial" w:cs="Arial" w:eastAsia="Arial" w:hAnsi="Arial"/>
          <w:sz w:val="16"/>
          <w:szCs w:val="16"/>
          <w:b w:val="1"/>
          <w:bCs w:val="1"/>
          <w:i w:val="1"/>
          <w:iCs w:val="1"/>
          <w:color w:val="1E1E1E"/>
        </w:rPr>
        <w:t xml:space="preserve"> </w:t>
      </w:r>
      <w:r>
        <w:rPr>
          <w:rFonts w:ascii="Arial" w:cs="Arial" w:eastAsia="Arial" w:hAnsi="Arial"/>
          <w:sz w:val="16"/>
          <w:szCs w:val="16"/>
          <w:color w:val="1E1E1E"/>
        </w:rPr>
        <w:t>conduct certain research and development activities with respect to compounds and targets in the Exclusive Fields, other than pursuant to the collaboration with Roche and Genentech. However, we may continue pursuing products that we are researching and developing in the Exclusive Fields as of the effective date of the Collaboration Agreement.</w:t>
      </w:r>
    </w:p>
    <w:p>
      <w:pPr>
        <w:spacing w:after="0" w:line="16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b w:val="1"/>
          <w:bCs w:val="1"/>
          <w:i w:val="1"/>
          <w:iCs w:val="1"/>
          <w:color w:val="1E1E1E"/>
        </w:rPr>
        <w:t xml:space="preserve">Termination. </w:t>
      </w:r>
      <w:r>
        <w:rPr>
          <w:rFonts w:ascii="Arial" w:cs="Arial" w:eastAsia="Arial" w:hAnsi="Arial"/>
          <w:sz w:val="16"/>
          <w:szCs w:val="16"/>
          <w:color w:val="1E1E1E"/>
        </w:rPr>
        <w:t>The Collaboration Agreement includes standard termination provisions, including for material breach or insolvency and for Roche and</w:t>
      </w:r>
      <w:r>
        <w:rPr>
          <w:rFonts w:ascii="Arial" w:cs="Arial" w:eastAsia="Arial" w:hAnsi="Arial"/>
          <w:sz w:val="16"/>
          <w:szCs w:val="16"/>
          <w:b w:val="1"/>
          <w:bCs w:val="1"/>
          <w:i w:val="1"/>
          <w:iCs w:val="1"/>
          <w:color w:val="1E1E1E"/>
        </w:rPr>
        <w:t xml:space="preserve"> </w:t>
      </w:r>
      <w:r>
        <w:rPr>
          <w:rFonts w:ascii="Arial" w:cs="Arial" w:eastAsia="Arial" w:hAnsi="Arial"/>
          <w:sz w:val="16"/>
          <w:szCs w:val="16"/>
          <w:color w:val="1E1E1E"/>
        </w:rPr>
        <w:t>Genentech’s convenience. Certain of these termination rights can be exercised with respect to a particular Exclusive Field or exclusive license, as well as with respect to the entire Collaboration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Sanofi License Collaboration and License Agreement</w:t>
      </w:r>
    </w:p>
    <w:p>
      <w:pPr>
        <w:spacing w:after="0" w:line="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1E1E1E"/>
        </w:rPr>
        <w:t>In January 2022, we entered into a Collaboration and License Agreement, with Sanofi, or the CLA, and in July 2023 and December 2023, we amended the Collaboration and License Agreement, with such as amended CLA referred to as the Amended CLA. Pursuant to the Amended CLA, we will use our artificial intelligence-driven, end-to-end integrated platform to discover and validate novel targets in the oncology and immunology therapeutic areas. We will collaborate with Sanofi to advance certain of these targets into small molecule inhibitor drug research projects and accelerate the identification of certain small molecule development candidates.</w:t>
      </w:r>
    </w:p>
    <w:p>
      <w:pPr>
        <w:spacing w:after="0" w:line="169"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1E1E1E"/>
        </w:rPr>
        <w:t>Sanofi made an upfront cash payment of $100 million to us on signing the CLA and made an additional payment of $4 million in connection with the expansion of the collaboration pursuant to the December 2023 amendment. Under the Amended CLA, Recursion and Sanofi may initiate up to 15 novel small molecule programs. Each program, if successfully researched, developed and/or commercialized, will yield research, clinical development, regulatory, and commercial milestone payments of up to approximately $343 million including up to $193 million in the aggregate for certain specified research, development and regulatory milestones, and up to $150 million in the aggregate for certain specified commercial milestones. The Amended CLA could potentially provide us with up to approximately $5.2 billion in aggregate milestone payments across all 15 potential programs.</w:t>
      </w:r>
    </w:p>
    <w:p>
      <w:pPr>
        <w:spacing w:after="0" w:line="188" w:lineRule="exact"/>
        <w:rPr>
          <w:sz w:val="20"/>
          <w:szCs w:val="20"/>
          <w:color w:val="auto"/>
        </w:rPr>
      </w:pPr>
    </w:p>
    <w:p>
      <w:pPr>
        <w:jc w:val="both"/>
        <w:ind w:right="260"/>
        <w:spacing w:after="0" w:line="292" w:lineRule="auto"/>
        <w:rPr>
          <w:sz w:val="20"/>
          <w:szCs w:val="20"/>
          <w:color w:val="auto"/>
        </w:rPr>
      </w:pPr>
      <w:r>
        <w:rPr>
          <w:rFonts w:ascii="Arial" w:cs="Arial" w:eastAsia="Arial" w:hAnsi="Arial"/>
          <w:sz w:val="16"/>
          <w:szCs w:val="16"/>
          <w:color w:val="1E1E1E"/>
        </w:rPr>
        <w:t>In the case that a therapeutic product resulting from the research collaboration is commercialized, we will also be eligible to receive tiered royalties on net sales ranging from high-single-digits to mid-teens. We also have an option for clinical co-investment which, if exercised, would increase the tiered royalty rates to up to 21% on net sales of co-funded products.</w:t>
      </w:r>
    </w:p>
    <w:p>
      <w:pPr>
        <w:spacing w:after="0" w:line="16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1E1E1E"/>
        </w:rPr>
        <w:t>The collaboration may utilize Recursion’s AI-based capabilities and precision medicine platform from target identification through patient selection. Once a target is identified, Recursion will be responsible for leading the design, translational and early preclinical studies to determine development candidates. Upon Sanofi’s selection of a compound as a development candidate, Sanofi will be solely responsible for the IND-enabling studies and clinical development, manufacturing and commercialization of such development candidate at its own cost and expense. Under the Amended CLA, Sanofi has agreed to use commercially reasonable efforts to obtain regulatory approval for at least one qualifying small molecule product in at least one agreed upon major market.</w:t>
      </w:r>
    </w:p>
    <w:p>
      <w:pPr>
        <w:spacing w:after="0" w:line="16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1E1E1E"/>
        </w:rPr>
        <w:t>The research component of the collaboration will be overseen by a joint steering committee comprised of an equal number of representatives from each of Recursion and Sanofi. Recursion and Sanofi may agree to utilize our precision medicine platform for patient enrichment in Sanofi’s non-small molecule programs.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1E1E1E"/>
        </w:rPr>
        <w:t>Pursuant to the Amended CLA, Recursion granted to Sanofi an exclusive license (with the right to grant sublicences through multiple tiers) to the intellectual property that is the subject of each small molecule research program for all purposes, throughout the world. Sanofi has the right to control the prosecution and maintenance of any patent rights related to intellectual property that is the subject of each small molecule research program.</w:t>
      </w:r>
    </w:p>
    <w:p>
      <w:pPr>
        <w:spacing w:after="0" w:line="179"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1E1E1E"/>
        </w:rPr>
        <w:t>After the CLA’s effective date, we are subject to varying exclusivity arrangements for specified periods of time which limit our ability to conduct research and development, manufacturing or commercialization activities (whether ourselves or in conjunction with a third party) with respect to compounds and targets which are within the scope of the Amended CLA and with respect to certain agreed pathways of interest.</w:t>
      </w:r>
    </w:p>
    <w:p>
      <w:pPr>
        <w:spacing w:after="0" w:line="17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1E1E1E"/>
        </w:rPr>
        <w:t>The Amended CLA contains standard termination provisions, including for material breach or insolvency and for Sanofi’s convenience. Certain of these termination rights can be exercised in respect of a given target, or in respect of the CLA as a whole. In certain circumstances, upon termination, we have the right to terminate the licenses granted to Sanofi and to pursue the development, manufacture and commercialization of the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Bayer AG Amended and Restated Research Collaboration and Option Agreement</w:t>
      </w:r>
    </w:p>
    <w:p>
      <w:pPr>
        <w:spacing w:after="0" w:line="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1E1E1E"/>
        </w:rPr>
        <w:t>On August 28, 2020, Recursion and Bayer entered into a Research Collaboration and Option Agreement, which was subsequently expanded on December 1, 2021, for research and collaboration on a certain number of projects related to fibrosis. On November 8, 2023, the parties amended and restated the original Bayer Agreement to re-align the collaboration with Bayer’s strategic shift in focus to oncology. As a result, the parties wound down their joint work in fibrosis and the exclusivities with respect to the field of fibrosis were terminated.</w:t>
      </w:r>
    </w:p>
    <w:p>
      <w:pPr>
        <w:spacing w:after="0" w:line="180" w:lineRule="exact"/>
        <w:rPr>
          <w:sz w:val="20"/>
          <w:szCs w:val="20"/>
          <w:color w:val="auto"/>
        </w:rPr>
      </w:pPr>
    </w:p>
    <w:p>
      <w:pPr>
        <w:jc w:val="both"/>
        <w:ind w:right="100"/>
        <w:spacing w:after="0" w:line="282" w:lineRule="auto"/>
        <w:rPr>
          <w:sz w:val="20"/>
          <w:szCs w:val="20"/>
          <w:color w:val="auto"/>
        </w:rPr>
      </w:pPr>
      <w:r>
        <w:rPr>
          <w:rFonts w:ascii="Arial" w:cs="Arial" w:eastAsia="Arial" w:hAnsi="Arial"/>
          <w:sz w:val="16"/>
          <w:szCs w:val="16"/>
          <w:color w:val="1E1E1E"/>
        </w:rPr>
        <w:t>Under the Restated Agreement, Recursion will collaborate with Bayer for the remainder of the five-year period under the original Agreement (extendable by up to 2 years to enable completion of certain research activities), to initiate up to seven programs in oncology. During certain agreed time periods within the collaboration term, Recursion is prohibited from conducting certain research and development activities with respect to certain identified genes of relevance in oncology outside of the collaboration, either by itself or together with third parties. However, Recursion may continue research and development activities for any such identified genes that it has initiated prior to the date of identification of such gene.</w:t>
      </w:r>
    </w:p>
    <w:p>
      <w:pPr>
        <w:spacing w:after="0" w:line="188"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1E1E1E"/>
        </w:rPr>
        <w:t>Under each oncology project, Recursion will work with Bayer to identify potential lead candidates for development. Under the Restated Agreement, Bayer has the first option to license potential candidates; each such license could potentially result in option exercise fees and development and commercial milestones paid to Recursion with an aggregate value of up to approximately $210.0 million for one license and up to approximately $1.5 billion if each program is licensed, as well as tiered royalties for each such license, ranging from low- to mid-single digit percentages of sales, depending on commercial success. Royalty periods for each license are on a country-by-country basis, and the duration of each such period is tied to the duration of patent or regulatory exclusivity in each country (with a minimum term of 10 years each).</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1E1E1E"/>
        </w:rPr>
        <w:t>If Bayer does not exercise its option with respect to a lead candidate or otherwise discontinues a project prior to completion, within a specified period of time, Recursion may exercise an option to negotiate with Bayer in good faith to obtain an exclusive license under Bayer’s interest in any lead series developed pursuant to the project and backup compounds related thereto, as well as a non-exclusive license under Bayer’s background intellectual property necessary for Recursion’s use of the project results related to such compounds.</w:t>
      </w:r>
    </w:p>
    <w:p>
      <w:pPr>
        <w:spacing w:after="0" w:line="18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E1E1E"/>
        </w:rPr>
        <w:t>Bayer may terminate the collaboration at any time without cause. Either party may terminate the agreement for a material breach by the other party. The term of each license agreement continues on a product-by-product and country-by-country basis until the later of (a) the expiration of the last to expire valid claim of the licensed patents covering such product in such country, (b) the expiration of any applicable regulatory exclusivity period for such product in such country and (c) ten years after the first commercial sale of such product in such country. Bayer may terminate each such license agreement at any time without cause. Either party may terminate each such license agreement for the other party’s uncured material breach.</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Merck KGaA, Darmstadt, Germany Research Collaboration Agreement</w:t>
      </w:r>
    </w:p>
    <w:p>
      <w:pPr>
        <w:spacing w:after="0" w:line="77" w:lineRule="exact"/>
        <w:rPr>
          <w:sz w:val="20"/>
          <w:szCs w:val="20"/>
          <w:color w:val="auto"/>
        </w:rPr>
      </w:pPr>
    </w:p>
    <w:p>
      <w:pPr>
        <w:spacing w:after="0" w:line="279" w:lineRule="auto"/>
        <w:rPr>
          <w:sz w:val="20"/>
          <w:szCs w:val="20"/>
          <w:color w:val="auto"/>
        </w:rPr>
      </w:pPr>
      <w:r>
        <w:rPr>
          <w:rFonts w:ascii="Arial" w:cs="Arial" w:eastAsia="Arial" w:hAnsi="Arial"/>
          <w:sz w:val="16"/>
          <w:szCs w:val="16"/>
          <w:color w:val="1E1E1E"/>
        </w:rPr>
        <w:t>In September 2023, we entered into a Research Collaboration Agreement, or the RCA, with the Healthcare Business of Merck KGaA, Darmstadt, Germany, referred to as Merck KGaA, Darmstadt, Germany, pursuant to which we will be responsible for the design process, as well as translational and early non-clinical studies to discover development candidates based on the initial agreed targets. Upon Merck KGaA, Darmstadt, Germany’s selection of a compound as a development candidate, Merck KGaA, Darmstadt, Germany will be solely responsible for the non-clinical studies and clinical development, manufacturing and commercialization of such development candidate at its own cost and expense. Under the RCA, Merck KGaA, Darmstadt, Germany has agreed to use commercially reasonable efforts to obtain regulatory approval for at least one product candidate in certain major markets and to commercialize such product if it receives any such regulatory approval.</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1E1E1E"/>
        </w:rPr>
        <w:t>The research component of the collaboration will be overseen by a joint steering committee comprised of an equal number of representatives from us and from Merck KGaA, Darmstadt, Germany. The collaboration will also have an IP sub-committee comprised of an equal number of patent attorneys from each party that will be the liaison for intellectual property matters that arise in connection with the collaboration.</w:t>
      </w:r>
    </w:p>
    <w:p>
      <w:pPr>
        <w:spacing w:after="0" w:line="179"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1E1E1E"/>
        </w:rPr>
        <w:t>The RCA allows Merck KGaA, Darmstadt, Germany and us to identify additional targets in oncology and immunology or other mutually agreed disease areas. Should we identify additional targets for the collaboration, we would be responsible for target validation in addition to drug design.</w:t>
      </w:r>
    </w:p>
    <w:p>
      <w:pPr>
        <w:spacing w:after="0" w:line="168"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1E1E1E"/>
        </w:rPr>
        <w:t>Merck KGaA, Darmstadt, Germany made an upfront cash payment of $20 million to us on signing the RCA, and we remain eligible to receive up to $674 million in discovery, development, regulatory and sales-based milestones, if all milestones for all three initial programs are achieved. Of this amount, up to $113 million is potentially payable on milestones achieved in the discovery phase of development. In addition, we will receive royalty payments ranging from mid-single-digits to low-double-digits on net sales of any products resulting from the initial three targets that are commercialized. If any additional target is identified for the collaboration, we would be eligible to receive additional milestone payments on such target. Pursuant to the RCA, we granted to Merck KGaA, Darmstadt, Germany a worldwide, exclusive, transferable license (with the right to grant sublicenses through multiple tiers) to the intellectual property that is necessary or reasonably useful for development or commercialization of the target compounds and resulting products, if any, in order to develop, manufacture, commercialize and sell the target compounds and resulting products, if any. Merck KGaA, Darmstadt, Germany has the right to control the prosecution and maintenance of any patent rights related to intellectual property that is the subject of each program.</w:t>
      </w:r>
    </w:p>
    <w:p>
      <w:pPr>
        <w:spacing w:after="0" w:line="174"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The RCA will remain in effect from September 20, 2023 until such date that no milestone payments or royalties are, or may become, payable under the RCA, unless the RCA is terminated earlier in accordance with its terms. The RCA contains standard termination provisions, including termination by either party for material uncured breach or insolvency of the other party, by us if Merck KGaA, Darmstadt, Germany breaches certain obligations with respect to regulatory and commercialization activities, and by Merck KGaA, Darmstadt, Germany for convenience. Certain of these termination rights can be exercised in respect of a given target, or in respect of the RCA as a whole. In certain circumstances, upon termination, we have the right to terminate the licenses granted to Merck KGaA, Darmstadt, Germany and to pursue the development and commercialization of the target compounds and resulting products, if any.</w:t>
      </w:r>
    </w:p>
    <w:p>
      <w:pPr>
        <w:spacing w:after="0" w:line="18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1E1E1E"/>
        </w:rPr>
        <w:t>During the term of the RCA, we are subject to exclusivity obligations that limit our ability to conduct research and development or commercialization activities (whether ourselves or in conjunction with a third party) with respect to the compounds and targets which are within the scope of the RCA.</w:t>
      </w:r>
    </w:p>
    <w:p>
      <w:pPr>
        <w:spacing w:after="0" w:line="168"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1E1E1E"/>
        </w:rPr>
        <w:t>The RCA contains standard confidentiality provisions and representations and warranties made by each party to the agreement. The parties also provide mutual indemnification under the agreement and the RCA excludes liability of either party for consequential or similar damages, except to the extent prohibited by law.</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Tempus Master Agreement</w:t>
      </w:r>
    </w:p>
    <w:p>
      <w:pPr>
        <w:spacing w:after="0" w:line="77"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1E1E1E"/>
        </w:rPr>
        <w:t>On November 3, 2023, Recursion Pharmaceuticals, Inc., or the Company, and Tempus Labs, Inc., or Tempus entered into a Master Agreement, or the Tempus Agreement pursuant to which Tempus may provide certain services and deliverables to the Company and/or license certain data to the Company. The term of the Tempus Agreement is five years from the effective date of the Tempus Agreement, or the Term.</w:t>
      </w:r>
    </w:p>
    <w:p>
      <w:pPr>
        <w:spacing w:after="0" w:line="179"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1E1E1E"/>
        </w:rPr>
        <w:t>Under the terms of the Tempus Agreement, the Company is granted a limited right to access Tempus’s proprietary database of de-identified clinical and molecular data for certain therapeutic product development purposes, including to develop, train, improve, modify, and create derivative works of the Company’s machine learning/artificial intelligence models for the purposes of therapeutic product development. The Company is permitted to download a maximum number of de-identified records at any one time, subject to an aggregate cap in the total unique records that can be downloaded over the course of the Term, and to retain each downloaded record for a period of 180 days from the date of download. After such 180-day period, The Company may elect to license such downloaded records for a longer period subject to additional terms and the payment of additional fees.</w:t>
      </w:r>
    </w:p>
    <w:p>
      <w:pPr>
        <w:spacing w:after="0" w:line="174"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1E1E1E"/>
        </w:rPr>
        <w:t>In exchange for these rights, the Company paid Tempus an initial license fee in an amount equal to $22.0 million, or the Initial License Fee and agreed to pay annual license fees during the Term ranging between $22.0 million and $42.0 million, which, together with the Initial License Fee, totals up to $160.0 million over the Term, subject to the Company’s early termination, which may be triggered only following the third anniversary of the Master Agreement’s effective date, and payment by the Company of an early termination fee (as further discussed below). The Initial License Fee and each annual license fee shall be payable at the Company’s option either in the form of (x) cash, (y) shares of Class A common stock of the Company or (z) a combination of cash and shares of Class A common stock in such proportion as is determined by the Company in its sole discretion; provided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1E1E1E"/>
        </w:rPr>
        <w:t>that (a) the aggregate number of shares of Class A common stock that the Company may issue in connection with all payments under this Agreement shall not exceed 19.9% of the aggregate total of shares of Class A common stock and the Company’s Class B common stock outstanding on November 2, 2023 or the date immediately preceding the date of any shares of Class A common stock issued pursuant to the Tempus Agreement, whichever is less (the “Share Maximum”).</w:t>
      </w:r>
    </w:p>
    <w:p>
      <w:pPr>
        <w:spacing w:after="0" w:line="16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1E1E1E"/>
        </w:rPr>
        <w:t>In the event that all or any portion of the Initial License Fee or any annual license fee is payable in the form of shares of Class A common stock, the Company shall, subject to the Share Maximum, issue to Tempus a number of shares of Class A common stock equal to (1) the amount of such fee divided by (2) the volume weighted average price of Class A common stock for the seven trading day period ending on the trading day immediately preceding (and including) the date that is five business days before the date on which such fee is paid (any shares so issued, the “Tempus Shares”).</w:t>
      </w:r>
    </w:p>
    <w:p>
      <w:pPr>
        <w:spacing w:after="0" w:line="18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1E1E1E"/>
        </w:rPr>
        <w:t>The Company has agreed to use commercially reasonable efforts to prepare and file a registration statement (or a prospectus supplement to an effective registration statement on Form S-3ASR that will become automatically effective upon filing with the SEC pursuant to Rule 462(e)) with the Securities and Exchange Commission as soon as practicable but in no event later than 30 days after each issuance of Tempus Shares under the Tempus Agreement, and to use its commercially reasonable efforts to have the registration statement declared effective as promptly as possible but in any event within 30 days following initially filing (or up to 90 days in the event of full SEC review). After such registration, the Company has agreed to use commercially reasonable efforts to keep such registration statement effective until such date that all Tempus Shares covered by such registration statement have been sold thereunder or may be sold without restriction or volume limitation under Rule 144 as promulgated by the SEC under the Securities Act of 1933, as amended.</w:t>
      </w:r>
    </w:p>
    <w:p>
      <w:pPr>
        <w:spacing w:after="0" w:line="19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1E1E1E"/>
        </w:rPr>
        <w:t>The Tempus Agreement also grants the Company the right to access and use Tempus’ LENS software that permits the viewing and analysis of clinical, molecular, and other health data maintained by Tempus. Company will pay Tempus a six-figure annual license fee for the duration of the Term for the use of such software.</w:t>
      </w:r>
    </w:p>
    <w:p>
      <w:pPr>
        <w:spacing w:after="0" w:line="179"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1E1E1E"/>
        </w:rPr>
        <w:t>In addition to mutual rights to terminate for an uncured breach of the Tempus Agreement, the Company may terminate the Tempus Agreement for convenience after three years upon 90 days prior notice, subject to payment by the Company of an early termination fee equal to (a) an amount per unique record that Company has downloaded prior to termination less (b) the sum of any annual license fees paid prior to termination, which could result in early payment of the aggregate annual license fees contemplated by the Tempus Agreement to the extent all records made available under the Tempus Agreement have been downloaded.</w:t>
      </w:r>
    </w:p>
    <w:p>
      <w:pPr>
        <w:spacing w:after="0" w:line="188"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1E1E1E"/>
        </w:rPr>
        <w:t>Either party may assign its rights under the Tempus Agreement subject to limited restrictions, but the Company may not assign the Tempus Agreement without Tempus’s consent if the proposed assignee is a large pharmaceutical company.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REC-4881: Takeda License Agreement</w:t>
      </w:r>
    </w:p>
    <w:p>
      <w:pPr>
        <w:spacing w:after="0" w:line="77"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In May 2020, we entered into a License Agreement, or the Takeda In-License, with Takeda Pharmaceutical Company Limited, or Takeda, pursuant to which we obtained an exclusive (even as to Takeda and its affiliates), worldwide, sublicensable under certain conditions, transferable, royalty-bearing license to certain Takeda patents, know-how and materials related to develop, manufacture and commercialize Takeda’s clinical-stage compound known as TAK-733, a non-ATP-competitive allosteric inhibitor of MEK1 and MEK2, subject to a non-exclusive, royalty-free, irrevocable, fully paid up, license back to Takeda to use the licensed compounds for non-clinical research purposes. We are currently developing the compound REC-4881 for the treatment of FAP, and patients with spontaneous APC-mutant tumors. We are also evaluating the utility of the compound in additional disease states using our platform.</w:t>
      </w:r>
    </w:p>
    <w:p>
      <w:pPr>
        <w:spacing w:after="0" w:line="174"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1E1E1E"/>
        </w:rPr>
        <w:t>We are required to use commercially reasonable efforts to develop and commercialize at least one licensed product in each of (a) the US, (b) at least three of the following European countries: the United Kingdom, France, Germany, Italy and Spain and (c) Japan.</w:t>
      </w:r>
    </w:p>
    <w:p>
      <w:pPr>
        <w:spacing w:after="0" w:line="15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E1E1E"/>
        </w:rPr>
        <w:t>Upon execution of the agreement, we paid an upfront fee of $1.5 million to Takeda. Under the Takeda In-License, we are obligated to pay Takeda milestones amounts totaling up to $39.5 million upon achievement of specified development and regulatory milestone events. In addition, we are obligated to pay Takeda low-to-mid single-digit royalties based on net sales of products containing the licensed compounds by us, our affiliates or sublicensees, subject to specified reductions. Our obligation to pay royalties continues on a country-by-country basis until the latest of expiration of the last to expire patent licensed by Takeda that covers the product, expiration of any regulatory exclusivity period for the product and ten years after the first commercial sale of the product, in such country.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1E1E1E"/>
        </w:rPr>
        <w:t>Each party has the right to terminate the license agreement for the other party’s material uncured breach, insolvency or bankruptcy. In addition, we may terminate the agreement without cause any time after May 2023, and Takeda may terminate the agreement if we have not conducted any material activities in support of the development or commercialization of the licensed compounds or any product containing a licensed compound and have not demonstrated that we used commercially reasonable efforts towards the development of such compounds or products for a period of 12 consecutive months and such failure is not due to events beyond our reasonable control. Further, Takeda may terminate the license agreement if we challenge the validity or enforceability of a licensed patent. Upon termination for any reason other than for Takeda’s breach of the license agreement, upon Takeda’s request we are obligated to negotiate in good faith, for a period of 120 days, terms and conditions of a license to Takeda under certain technology developed by us during the term of the agreement for the purpose of developing, commercializing and otherwise exploiting the licensed compounds and products containing the licensed compounds.</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REC-102: Rallybio Purchase Agreement</w:t>
      </w:r>
    </w:p>
    <w:p>
      <w:pPr>
        <w:spacing w:after="0" w:line="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1E1E1E"/>
        </w:rPr>
        <w:t>In July 2025, we entered into a Membership Interest Purchase Agreement (the “Purchase Agreement”) with RallyBio Corporation and certain of its affiliates (“RallyBio”). Pursuant to the Purchase Agreement, we acquired 50% of the issued and outstanding membership interests (the “Membership Interests”) of RE Ventures I, LLC (“ENPP1 JV”) from RallyBio in exchange for cash and shares of Class A common stock of the Company (the “RallyBio Shares”) with a value of $7.5 million. Prior to the closing of the acquisition, we indirectly held 50% of the membership interests of ENPP1 JV. As a result of the acquisition, ENPP1 JV is an indirect wholly-owned subsidiary of Recursion.</w:t>
      </w:r>
    </w:p>
    <w:p>
      <w:pPr>
        <w:spacing w:after="0" w:line="169"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1E1E1E"/>
        </w:rPr>
        <w:t>In August 2025, following the satisfaction of certain milestones with respect to the compound developed by the ENPP1 JV, we paid to RallyBio a milestone payment with a value of $12.5 million. The Purchase Agreement also provides that Recursion will make additional cash payments to the Seller contingent upon the occurrence of certain future events, including based on the amount of the proceeds received by the Seller from the sale of the RallyBio Shares under certain circumstances and the occurrence of certain milestones or other events with respect to the compound developed by the ENPP1 JV.</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REC-617: Apeiron Asset Purchase Agreement</w:t>
      </w:r>
    </w:p>
    <w:p>
      <w:pPr>
        <w:spacing w:after="0" w:line="77"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1E1E1E"/>
        </w:rPr>
        <w:t>In July 2024, Exscientia and GT Apeiron Therapeutics Inc. (“Apeiron”) announced that they had entered into an Asset Purchase Agreement, IP Assignment Agreement, Subscription Agreement and Share Surrender Agreement, pursuant to which Exscientia owned the full rights to the intellectual property in REC-617 as well as took full control of the CDK7 inhibitor program (the “IP Rights”) for the purpose of continuing independent research, development and commercialization efforts. Concurrent to the transaction, Exscientia AI and Apeiron terminated the Collaboration Agreement, dated July 1, 2021, by and between Exscientia and Apeiron.</w:t>
      </w:r>
    </w:p>
    <w:p>
      <w:pPr>
        <w:spacing w:after="0" w:line="18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1E1E1E"/>
        </w:rPr>
        <w:t>As consideration for the IP Rights, Exscientia made an upfront payment to Apeiron in the amount of $10 million and forgave Apeiron of all outstanding debt. The Company also issued Apeiron $10 million of the Company’s equity in the form of restricted American Depositary Shares. In addition, Exscientia AI surrendered 9,173,021 ordinary shares and 1,549,942 Series Pre-A preferred shares that Exscientia then held in Apeiron with no consideration being due from Apeiron to Exscientia or the Company.</w:t>
      </w:r>
    </w:p>
    <w:p>
      <w:pPr>
        <w:spacing w:after="0" w:line="16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1E1E1E"/>
        </w:rPr>
        <w:t>Pursuant to the Asset Purchase Agreement, we shall pay Apeiron a single digit royalty, net of any applicable withholding taxes, if we or a third party commercializes REC-617. We will take on all development costs and shall also pay Apeiron a single digit percentage of any outlicensing income received by us or our affiliates if we enter into an outlicensing agreement with a third party.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Technology Partnerships</w:t>
      </w:r>
    </w:p>
    <w:p>
      <w:pPr>
        <w:spacing w:after="0" w:line="77"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1E1E1E"/>
        </w:rPr>
        <w:t>As Recursion continues to generate and leverage highly relatable and reliable datasets to support our internal pipeline and therapeutic partnerships, we continue to invest in advanced compute capabilities and data-centric solutions to strengthen our drug discovery and development efforts. Expanding on our previous release of select datasets and models, we are exploring additional opportunities to make more datasets and foundational models available to the broader scientific community. Our technology and data collaborations underline our commitment to implementing data- and technology-enabled solutions to support our efforts to bring better medicines to patients faster.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NVIDIA</w:t>
      </w:r>
    </w:p>
    <w:p>
      <w:pPr>
        <w:spacing w:after="0" w:line="77"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1E1E1E"/>
        </w:rPr>
        <w:t>In July 2023, we entered a strategic collaboration with NVIDIA to accelerate the development of our groundbreaking AI foundation models for biology and chemistry using our supercomputer, BioHive-1, and priority access on NVIDIA DGX™ Cloud. In May 2024, we completed BioHive-2, Recursion’s new NVIDIA DGX SuperPOD AI supercomputer, powered by 63 DGX H100 systems with a total of 504 NVIDIA H100 Tensor Core GPUs increasing the computational capacity by over 4X. The BioHive-2 supercomputer was ranked as number 76 in the top supercomputers globally by the Top500 list in 2025.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Google Cloud</w:t>
      </w:r>
    </w:p>
    <w:p>
      <w:pPr>
        <w:spacing w:after="0" w:line="77"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1E1E1E"/>
        </w:rPr>
        <w:t>In October 2024, we announced an expanded collaboration with Google Cloud leveraging their technologies to accelerate drug discovery research and further enhance our ability to bring new medicines to patients faster. Through this strategic partnership, we will explore generative AI capabilities, including Gemini models, to support the Recursion OS. We will improve data search and access from our proprietary dataset with BigQuery and facilitate the scaling of compute resources to run large inference workflows effectively. Additionally, in November 2024, we announced the release of OpenPhenom-S/16 in Google Cloud’s Vertex AI Model Garden. OpenPhenom, a non-commercial, publicly available foundation model built on microscopy data, sets a new “gold standard” for the industry, outperforming CellProfiler. This model offers the potential for researchers to replace their existing workflows with an off-the-shelf model that outperforms traditional microscopy analysis pipelines without requiring any additional tuning or training.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Helix</w:t>
      </w:r>
    </w:p>
    <w:p>
      <w:pPr>
        <w:spacing w:after="0" w:line="77"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1E1E1E"/>
        </w:rPr>
        <w:t>In May 2024, we entered into a multi-year agreement with Helix to access hundreds of thousands of de-identified records including Helix’s Exome+® genomic data and data from longitudinal health records. Recursion continues to use this data to train causal AI models and design biomarker and patient stratification strategies across broad disease areas. The Helix dataset expands Recursion's integration of real-world patient data and complements Recursion's access to Tempus' oncology data.</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HealthVerity</w:t>
      </w:r>
    </w:p>
    <w:p>
      <w:pPr>
        <w:spacing w:after="0" w:line="77" w:lineRule="exact"/>
        <w:rPr>
          <w:sz w:val="20"/>
          <w:szCs w:val="20"/>
          <w:color w:val="auto"/>
        </w:rPr>
      </w:pPr>
    </w:p>
    <w:p>
      <w:pPr>
        <w:jc w:val="both"/>
        <w:ind w:right="400"/>
        <w:spacing w:after="0" w:line="292" w:lineRule="auto"/>
        <w:rPr>
          <w:sz w:val="20"/>
          <w:szCs w:val="20"/>
          <w:color w:val="auto"/>
        </w:rPr>
      </w:pPr>
      <w:r>
        <w:rPr>
          <w:rFonts w:ascii="Arial" w:cs="Arial" w:eastAsia="Arial" w:hAnsi="Arial"/>
          <w:sz w:val="16"/>
          <w:szCs w:val="16"/>
          <w:color w:val="1E1E1E"/>
        </w:rPr>
        <w:t>In April 2025, we entered into a license agreement with HealthVerity to access de-identified records for over 340M covered lives in the US. Recursion is leveraging this real-world data to enhance clinical development by enabling smarter clinical trial design, accelerating patient recruitment and generating evidence to support clinical and regulatory decisions.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Competition</w:t>
      </w:r>
    </w:p>
    <w:p>
      <w:pPr>
        <w:spacing w:after="0" w:line="63"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Our efforts to date have resulted in several clinical-stage programs, an expansive pipeline of differentiated programs in early discovery and preclinical development, several partnerships with large pharma and technology companies, as well as an intellectual property portfolio comprising patents, trademarks, software and trade secrets. We believe that our differentiated approach provides us with a significant competitive advantage. We are a hybrid company, competing within multiple categories of the pharmaceutical, biotechnology, and technology industries where companies are similarly working to integrate rapidly advancing technologies into their drug discovery and development activities and/or are creating scalable scientific platforms. Notable competitors include:</w:t>
      </w:r>
    </w:p>
    <w:p>
      <w:pPr>
        <w:spacing w:after="0" w:line="188" w:lineRule="exact"/>
        <w:rPr>
          <w:sz w:val="20"/>
          <w:szCs w:val="20"/>
          <w:color w:val="auto"/>
        </w:rPr>
      </w:pPr>
    </w:p>
    <w:p>
      <w:pPr>
        <w:ind w:left="660" w:right="280" w:hanging="328"/>
        <w:spacing w:after="0" w:line="304" w:lineRule="auto"/>
        <w:tabs>
          <w:tab w:leader="none" w:pos="649" w:val="left"/>
        </w:tabs>
        <w:numPr>
          <w:ilvl w:val="0"/>
          <w:numId w:val="51"/>
        </w:numPr>
        <w:rPr>
          <w:rFonts w:ascii="Arial" w:cs="Arial" w:eastAsia="Arial" w:hAnsi="Arial"/>
          <w:sz w:val="16"/>
          <w:szCs w:val="16"/>
          <w:b w:val="1"/>
          <w:bCs w:val="1"/>
          <w:i w:val="1"/>
          <w:iCs w:val="1"/>
          <w:color w:val="1E1E1E"/>
        </w:rPr>
      </w:pPr>
      <w:r>
        <w:rPr>
          <w:rFonts w:ascii="Arial" w:cs="Arial" w:eastAsia="Arial" w:hAnsi="Arial"/>
          <w:sz w:val="16"/>
          <w:szCs w:val="16"/>
          <w:b w:val="1"/>
          <w:bCs w:val="1"/>
          <w:i w:val="1"/>
          <w:iCs w:val="1"/>
          <w:color w:val="1E1E1E"/>
        </w:rPr>
        <w:t xml:space="preserve">TechBio Companies. </w:t>
      </w:r>
      <w:r>
        <w:rPr>
          <w:rFonts w:ascii="Arial" w:cs="Arial" w:eastAsia="Arial" w:hAnsi="Arial"/>
          <w:sz w:val="16"/>
          <w:szCs w:val="16"/>
          <w:color w:val="1E1E1E"/>
        </w:rPr>
        <w:t>Such companies apply computational tools to unlock novel insights or accelerate drug discovery and development across</w:t>
      </w:r>
      <w:r>
        <w:rPr>
          <w:rFonts w:ascii="Arial" w:cs="Arial" w:eastAsia="Arial" w:hAnsi="Arial"/>
          <w:sz w:val="16"/>
          <w:szCs w:val="16"/>
          <w:b w:val="1"/>
          <w:bCs w:val="1"/>
          <w:i w:val="1"/>
          <w:iCs w:val="1"/>
          <w:color w:val="1E1E1E"/>
        </w:rPr>
        <w:t xml:space="preserve"> </w:t>
      </w:r>
      <w:r>
        <w:rPr>
          <w:rFonts w:ascii="Arial" w:cs="Arial" w:eastAsia="Arial" w:hAnsi="Arial"/>
          <w:sz w:val="16"/>
          <w:szCs w:val="16"/>
          <w:color w:val="1E1E1E"/>
        </w:rPr>
        <w:t>different points in the value chain. Representative examples include Relay Therapeutics, Isomorphic Labs, Schrodinger, and AbCellera.</w:t>
      </w:r>
    </w:p>
    <w:p>
      <w:pPr>
        <w:spacing w:after="0" w:line="6" w:lineRule="exact"/>
        <w:rPr>
          <w:rFonts w:ascii="Arial" w:cs="Arial" w:eastAsia="Arial" w:hAnsi="Arial"/>
          <w:sz w:val="16"/>
          <w:szCs w:val="16"/>
          <w:b w:val="1"/>
          <w:bCs w:val="1"/>
          <w:i w:val="1"/>
          <w:iCs w:val="1"/>
          <w:color w:val="1E1E1E"/>
        </w:rPr>
      </w:pPr>
    </w:p>
    <w:p>
      <w:pPr>
        <w:ind w:left="660" w:right="380" w:hanging="328"/>
        <w:spacing w:after="0" w:line="292" w:lineRule="auto"/>
        <w:tabs>
          <w:tab w:leader="none" w:pos="649" w:val="left"/>
        </w:tabs>
        <w:numPr>
          <w:ilvl w:val="0"/>
          <w:numId w:val="51"/>
        </w:numPr>
        <w:rPr>
          <w:rFonts w:ascii="Arial" w:cs="Arial" w:eastAsia="Arial" w:hAnsi="Arial"/>
          <w:sz w:val="16"/>
          <w:szCs w:val="16"/>
          <w:b w:val="1"/>
          <w:bCs w:val="1"/>
          <w:i w:val="1"/>
          <w:iCs w:val="1"/>
          <w:color w:val="1E1E1E"/>
        </w:rPr>
      </w:pPr>
      <w:r>
        <w:rPr>
          <w:rFonts w:ascii="Arial" w:cs="Arial" w:eastAsia="Arial" w:hAnsi="Arial"/>
          <w:sz w:val="16"/>
          <w:szCs w:val="16"/>
          <w:b w:val="1"/>
          <w:bCs w:val="1"/>
          <w:i w:val="1"/>
          <w:iCs w:val="1"/>
          <w:color w:val="1E1E1E"/>
        </w:rPr>
        <w:t xml:space="preserve">Scalable Platform Companies. </w:t>
      </w:r>
      <w:r>
        <w:rPr>
          <w:rFonts w:ascii="Arial" w:cs="Arial" w:eastAsia="Arial" w:hAnsi="Arial"/>
          <w:sz w:val="16"/>
          <w:szCs w:val="16"/>
          <w:color w:val="1E1E1E"/>
        </w:rPr>
        <w:t>Such companies are applying novel scientific approaches or engineering novel therapeutic modalities with the</w:t>
      </w:r>
      <w:r>
        <w:rPr>
          <w:rFonts w:ascii="Arial" w:cs="Arial" w:eastAsia="Arial" w:hAnsi="Arial"/>
          <w:sz w:val="16"/>
          <w:szCs w:val="16"/>
          <w:b w:val="1"/>
          <w:bCs w:val="1"/>
          <w:i w:val="1"/>
          <w:iCs w:val="1"/>
          <w:color w:val="1E1E1E"/>
        </w:rPr>
        <w:t xml:space="preserve"> </w:t>
      </w:r>
      <w:r>
        <w:rPr>
          <w:rFonts w:ascii="Arial" w:cs="Arial" w:eastAsia="Arial" w:hAnsi="Arial"/>
          <w:sz w:val="16"/>
          <w:szCs w:val="16"/>
          <w:color w:val="1E1E1E"/>
        </w:rPr>
        <w:t>potential to seed large numbers of therapeutic candidates. These companies may compete directly with our pipeline of predominantly small molecule therapeutics. Representative companies include Moderna, BioNTech, and Roivant Sciences.</w:t>
      </w:r>
    </w:p>
    <w:p>
      <w:pPr>
        <w:spacing w:after="0" w:line="16" w:lineRule="exact"/>
        <w:rPr>
          <w:rFonts w:ascii="Arial" w:cs="Arial" w:eastAsia="Arial" w:hAnsi="Arial"/>
          <w:sz w:val="16"/>
          <w:szCs w:val="16"/>
          <w:b w:val="1"/>
          <w:bCs w:val="1"/>
          <w:i w:val="1"/>
          <w:iCs w:val="1"/>
          <w:color w:val="1E1E1E"/>
        </w:rPr>
      </w:pPr>
    </w:p>
    <w:p>
      <w:pPr>
        <w:ind w:left="660" w:right="160" w:hanging="328"/>
        <w:spacing w:after="0" w:line="283" w:lineRule="auto"/>
        <w:tabs>
          <w:tab w:leader="none" w:pos="649" w:val="left"/>
        </w:tabs>
        <w:numPr>
          <w:ilvl w:val="0"/>
          <w:numId w:val="51"/>
        </w:numPr>
        <w:rPr>
          <w:rFonts w:ascii="Arial" w:cs="Arial" w:eastAsia="Arial" w:hAnsi="Arial"/>
          <w:sz w:val="16"/>
          <w:szCs w:val="16"/>
          <w:b w:val="1"/>
          <w:bCs w:val="1"/>
          <w:i w:val="1"/>
          <w:iCs w:val="1"/>
          <w:color w:val="1E1E1E"/>
        </w:rPr>
      </w:pPr>
      <w:r>
        <w:rPr>
          <w:rFonts w:ascii="Arial" w:cs="Arial" w:eastAsia="Arial" w:hAnsi="Arial"/>
          <w:sz w:val="16"/>
          <w:szCs w:val="16"/>
          <w:b w:val="1"/>
          <w:bCs w:val="1"/>
          <w:i w:val="1"/>
          <w:iCs w:val="1"/>
          <w:color w:val="1E1E1E"/>
        </w:rPr>
        <w:t xml:space="preserve">Traditional Biopharma Companies. </w:t>
      </w:r>
      <w:r>
        <w:rPr>
          <w:rFonts w:ascii="Arial" w:cs="Arial" w:eastAsia="Arial" w:hAnsi="Arial"/>
          <w:sz w:val="16"/>
          <w:szCs w:val="16"/>
          <w:color w:val="1E1E1E"/>
        </w:rPr>
        <w:t>Such companies, while primarily engaged in late-stage clinical development and product commercialization,</w:t>
      </w:r>
      <w:r>
        <w:rPr>
          <w:rFonts w:ascii="Arial" w:cs="Arial" w:eastAsia="Arial" w:hAnsi="Arial"/>
          <w:sz w:val="16"/>
          <w:szCs w:val="16"/>
          <w:b w:val="1"/>
          <w:bCs w:val="1"/>
          <w:i w:val="1"/>
          <w:iCs w:val="1"/>
          <w:color w:val="1E1E1E"/>
        </w:rPr>
        <w:t xml:space="preserve"> </w:t>
      </w:r>
      <w:r>
        <w:rPr>
          <w:rFonts w:ascii="Arial" w:cs="Arial" w:eastAsia="Arial" w:hAnsi="Arial"/>
          <w:sz w:val="16"/>
          <w:szCs w:val="16"/>
          <w:color w:val="1E1E1E"/>
        </w:rPr>
        <w:t>are increasingly making their own investments in the application of ML and advanced computational tools across the drug discovery and development value chain. Such investments may include partnerships with other biotechnology companies (including Recursion) from which we may benefit. Representative companies include Janssen (a subsidiary of Johnson &amp; Johnson), Merck, and Pfizer.</w:t>
      </w:r>
    </w:p>
    <w:p>
      <w:pPr>
        <w:spacing w:after="0" w:line="23" w:lineRule="exact"/>
        <w:rPr>
          <w:rFonts w:ascii="Arial" w:cs="Arial" w:eastAsia="Arial" w:hAnsi="Arial"/>
          <w:sz w:val="16"/>
          <w:szCs w:val="16"/>
          <w:b w:val="1"/>
          <w:bCs w:val="1"/>
          <w:i w:val="1"/>
          <w:iCs w:val="1"/>
          <w:color w:val="1E1E1E"/>
        </w:rPr>
      </w:pPr>
    </w:p>
    <w:p>
      <w:pPr>
        <w:ind w:left="660" w:right="20" w:hanging="328"/>
        <w:spacing w:after="0" w:line="289" w:lineRule="auto"/>
        <w:tabs>
          <w:tab w:leader="none" w:pos="649" w:val="left"/>
        </w:tabs>
        <w:numPr>
          <w:ilvl w:val="0"/>
          <w:numId w:val="51"/>
        </w:numPr>
        <w:rPr>
          <w:rFonts w:ascii="Arial" w:cs="Arial" w:eastAsia="Arial" w:hAnsi="Arial"/>
          <w:sz w:val="16"/>
          <w:szCs w:val="16"/>
          <w:b w:val="1"/>
          <w:bCs w:val="1"/>
          <w:i w:val="1"/>
          <w:iCs w:val="1"/>
          <w:color w:val="1E1E1E"/>
        </w:rPr>
      </w:pPr>
      <w:r>
        <w:rPr>
          <w:rFonts w:ascii="Arial" w:cs="Arial" w:eastAsia="Arial" w:hAnsi="Arial"/>
          <w:sz w:val="16"/>
          <w:szCs w:val="16"/>
          <w:b w:val="1"/>
          <w:bCs w:val="1"/>
          <w:i w:val="1"/>
          <w:iCs w:val="1"/>
          <w:color w:val="1E1E1E"/>
        </w:rPr>
        <w:t xml:space="preserve">Large Technology Companies. </w:t>
      </w:r>
      <w:r>
        <w:rPr>
          <w:rFonts w:ascii="Arial" w:cs="Arial" w:eastAsia="Arial" w:hAnsi="Arial"/>
          <w:sz w:val="16"/>
          <w:szCs w:val="16"/>
          <w:color w:val="1E1E1E"/>
        </w:rPr>
        <w:t>Large technology companies constantly seek growth opportunities. Technology-enabled drug discovery may</w:t>
      </w:r>
      <w:r>
        <w:rPr>
          <w:rFonts w:ascii="Arial" w:cs="Arial" w:eastAsia="Arial" w:hAnsi="Arial"/>
          <w:sz w:val="16"/>
          <w:szCs w:val="16"/>
          <w:b w:val="1"/>
          <w:bCs w:val="1"/>
          <w:i w:val="1"/>
          <w:iCs w:val="1"/>
          <w:color w:val="1E1E1E"/>
        </w:rPr>
        <w:t xml:space="preserve"> </w:t>
      </w:r>
      <w:r>
        <w:rPr>
          <w:rFonts w:ascii="Arial" w:cs="Arial" w:eastAsia="Arial" w:hAnsi="Arial"/>
          <w:sz w:val="16"/>
          <w:szCs w:val="16"/>
          <w:color w:val="1E1E1E"/>
        </w:rPr>
        <w:t>represent a compelling opportunity for these companies, some of which have research groups or subsidiaries focused on drug discovery and others of which have signed large technology partnerships with biopharma companies. Representative companies include Alphabet, Microsoft, and Amazon.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Intellectual Property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Patents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1E1E1E"/>
        </w:rPr>
        <w:t>As of February 2026, the Recursion patent portfolio is balanced between Platform IP and Program IP.</w:t>
      </w:r>
    </w:p>
    <w:p>
      <w:pPr>
        <w:spacing w:after="0" w:line="248" w:lineRule="exact"/>
        <w:rPr>
          <w:sz w:val="20"/>
          <w:szCs w:val="20"/>
          <w:color w:val="auto"/>
        </w:rPr>
      </w:pPr>
    </w:p>
    <w:p>
      <w:pPr>
        <w:ind w:left="660" w:right="300" w:hanging="328"/>
        <w:spacing w:after="0" w:line="283" w:lineRule="auto"/>
        <w:tabs>
          <w:tab w:leader="none" w:pos="649" w:val="left"/>
        </w:tabs>
        <w:numPr>
          <w:ilvl w:val="0"/>
          <w:numId w:val="52"/>
        </w:numPr>
        <w:rPr>
          <w:rFonts w:ascii="Arial" w:cs="Arial" w:eastAsia="Arial" w:hAnsi="Arial"/>
          <w:sz w:val="16"/>
          <w:szCs w:val="16"/>
          <w:b w:val="1"/>
          <w:bCs w:val="1"/>
          <w:i w:val="1"/>
          <w:iCs w:val="1"/>
          <w:color w:val="1E1E1E"/>
        </w:rPr>
      </w:pPr>
      <w:r>
        <w:rPr>
          <w:rFonts w:ascii="Arial" w:cs="Arial" w:eastAsia="Arial" w:hAnsi="Arial"/>
          <w:sz w:val="16"/>
          <w:szCs w:val="16"/>
          <w:b w:val="1"/>
          <w:bCs w:val="1"/>
          <w:i w:val="1"/>
          <w:iCs w:val="1"/>
          <w:color w:val="1E1E1E"/>
        </w:rPr>
        <w:t xml:space="preserve">Platform IP: </w:t>
      </w:r>
      <w:r>
        <w:rPr>
          <w:rFonts w:ascii="Arial" w:cs="Arial" w:eastAsia="Arial" w:hAnsi="Arial"/>
          <w:sz w:val="16"/>
          <w:szCs w:val="16"/>
          <w:color w:val="1E1E1E"/>
        </w:rPr>
        <w:t>Approximately one-half of the patents and patent applications that we own or license worldwide relate to the Recursion platform,</w:t>
      </w:r>
      <w:r>
        <w:rPr>
          <w:rFonts w:ascii="Arial" w:cs="Arial" w:eastAsia="Arial" w:hAnsi="Arial"/>
          <w:sz w:val="16"/>
          <w:szCs w:val="16"/>
          <w:b w:val="1"/>
          <w:bCs w:val="1"/>
          <w:i w:val="1"/>
          <w:iCs w:val="1"/>
          <w:color w:val="1E1E1E"/>
        </w:rPr>
        <w:t xml:space="preserve"> </w:t>
      </w:r>
      <w:r>
        <w:rPr>
          <w:rFonts w:ascii="Arial" w:cs="Arial" w:eastAsia="Arial" w:hAnsi="Arial"/>
          <w:sz w:val="16"/>
          <w:szCs w:val="16"/>
          <w:color w:val="1E1E1E"/>
        </w:rPr>
        <w:t>including patents and applications related to the Recursion OS IP, as well as many other inventions related to Recursion’s machine learning and artificial intelligence capabilities, cell perturbations, gene editing, drug discovery, drug development and hardware solutions. We also pursue a strategy of seeking patent protection 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60" w:right="200"/>
        <w:spacing w:after="0" w:line="308" w:lineRule="auto"/>
        <w:rPr>
          <w:sz w:val="20"/>
          <w:szCs w:val="20"/>
          <w:color w:val="auto"/>
        </w:rPr>
      </w:pPr>
      <w:r>
        <w:rPr>
          <w:rFonts w:ascii="Arial" w:cs="Arial" w:eastAsia="Arial" w:hAnsi="Arial"/>
          <w:sz w:val="16"/>
          <w:szCs w:val="16"/>
          <w:color w:val="1E1E1E"/>
        </w:rPr>
        <w:t>smaller discrete inventions throughout the breadth of our pipeline, ranging from experiment design, operations within our labs, data collection and analysis (including deep learning insights).</w:t>
      </w:r>
    </w:p>
    <w:p>
      <w:pPr>
        <w:ind w:left="640" w:hanging="308"/>
        <w:spacing w:after="0"/>
        <w:tabs>
          <w:tab w:leader="none" w:pos="640" w:val="left"/>
        </w:tabs>
        <w:numPr>
          <w:ilvl w:val="0"/>
          <w:numId w:val="53"/>
        </w:numPr>
        <w:rPr>
          <w:rFonts w:ascii="Arial" w:cs="Arial" w:eastAsia="Arial" w:hAnsi="Arial"/>
          <w:sz w:val="16"/>
          <w:szCs w:val="16"/>
          <w:b w:val="1"/>
          <w:bCs w:val="1"/>
          <w:i w:val="1"/>
          <w:iCs w:val="1"/>
          <w:color w:val="1E1E1E"/>
        </w:rPr>
      </w:pPr>
      <w:r>
        <w:rPr>
          <w:rFonts w:ascii="Arial" w:cs="Arial" w:eastAsia="Arial" w:hAnsi="Arial"/>
          <w:sz w:val="16"/>
          <w:szCs w:val="16"/>
          <w:b w:val="1"/>
          <w:bCs w:val="1"/>
          <w:i w:val="1"/>
          <w:iCs w:val="1"/>
          <w:color w:val="1E1E1E"/>
        </w:rPr>
        <w:t xml:space="preserve">Recursion Program IP: </w:t>
      </w:r>
      <w:r>
        <w:rPr>
          <w:rFonts w:ascii="Arial" w:cs="Arial" w:eastAsia="Arial" w:hAnsi="Arial"/>
          <w:sz w:val="16"/>
          <w:szCs w:val="16"/>
          <w:color w:val="1E1E1E"/>
        </w:rPr>
        <w:t>A breakdown of our Program IP portfolio is below:</w:t>
      </w:r>
    </w:p>
    <w:p>
      <w:pPr>
        <w:spacing w:after="0" w:line="86" w:lineRule="exact"/>
        <w:rPr>
          <w:rFonts w:ascii="Arial" w:cs="Arial" w:eastAsia="Arial" w:hAnsi="Arial"/>
          <w:sz w:val="16"/>
          <w:szCs w:val="16"/>
          <w:b w:val="1"/>
          <w:bCs w:val="1"/>
          <w:i w:val="1"/>
          <w:iCs w:val="1"/>
          <w:color w:val="1E1E1E"/>
        </w:rPr>
      </w:pPr>
    </w:p>
    <w:p>
      <w:pPr>
        <w:ind w:left="1300" w:right="60" w:hanging="320"/>
        <w:spacing w:after="0" w:line="282" w:lineRule="auto"/>
        <w:tabs>
          <w:tab w:leader="none" w:pos="1290" w:val="left"/>
        </w:tabs>
        <w:numPr>
          <w:ilvl w:val="1"/>
          <w:numId w:val="53"/>
        </w:numPr>
        <w:rPr>
          <w:rFonts w:ascii="Arial" w:cs="Arial" w:eastAsia="Arial" w:hAnsi="Arial"/>
          <w:sz w:val="16"/>
          <w:szCs w:val="16"/>
          <w:color w:val="1E1E1E"/>
        </w:rPr>
      </w:pPr>
      <w:r>
        <w:rPr>
          <w:rFonts w:ascii="Arial" w:cs="Arial" w:eastAsia="Arial" w:hAnsi="Arial"/>
          <w:sz w:val="16"/>
          <w:szCs w:val="16"/>
          <w:color w:val="1E1E1E"/>
        </w:rPr>
        <w:t>REC-4881: We own patent applications, or exclusively license Takeda’s interest in patents and patent applications from Takeda, related to composition of matter and methods of reducing polyp burden in people living with FAP using REC-4881. Currently, we expect our licensed issued patents related to REC-4881 to generally expire in 2029, excluding any patent term extension, or other mechanisms for effecting patent term, and assuming payment of all appropriate maintenance, renewal, annuity or other governmental fee. With respect to FAP, orphan drug exclusivity in the U.S. would run seven years from marketing authorization.</w:t>
      </w:r>
    </w:p>
    <w:p>
      <w:pPr>
        <w:spacing w:after="0" w:line="26" w:lineRule="exact"/>
        <w:rPr>
          <w:rFonts w:ascii="Arial" w:cs="Arial" w:eastAsia="Arial" w:hAnsi="Arial"/>
          <w:sz w:val="16"/>
          <w:szCs w:val="16"/>
          <w:color w:val="1E1E1E"/>
        </w:rPr>
      </w:pPr>
    </w:p>
    <w:p>
      <w:pPr>
        <w:ind w:left="1300" w:hanging="320"/>
        <w:spacing w:after="0" w:line="289" w:lineRule="auto"/>
        <w:tabs>
          <w:tab w:leader="none" w:pos="1290" w:val="left"/>
        </w:tabs>
        <w:numPr>
          <w:ilvl w:val="1"/>
          <w:numId w:val="53"/>
        </w:numPr>
        <w:rPr>
          <w:rFonts w:ascii="Arial" w:cs="Arial" w:eastAsia="Arial" w:hAnsi="Arial"/>
          <w:sz w:val="16"/>
          <w:szCs w:val="16"/>
          <w:color w:val="1E1E1E"/>
        </w:rPr>
      </w:pPr>
      <w:r>
        <w:rPr>
          <w:rFonts w:ascii="Arial" w:cs="Arial" w:eastAsia="Arial" w:hAnsi="Arial"/>
          <w:sz w:val="16"/>
          <w:szCs w:val="16"/>
          <w:color w:val="1E1E1E"/>
        </w:rPr>
        <w:t>REC-3964: We own a patent and patent applications related to the composition of matter and methods of inhibiting the toxin produced by Clostridioides difficile in the gastrointestinal tract using REC-3964. Currently, we expect our issued patent related to REC-3964 to expire no earlier than 2042, excluding any patent term adjustment or patent term extension, or other mechanisms for effecting patent term, and assuming payment of all appropriate maintenance, renewal, annuity or other governmental fee.</w:t>
      </w:r>
    </w:p>
    <w:p>
      <w:pPr>
        <w:spacing w:after="0" w:line="4" w:lineRule="exact"/>
        <w:rPr>
          <w:rFonts w:ascii="Arial" w:cs="Arial" w:eastAsia="Arial" w:hAnsi="Arial"/>
          <w:sz w:val="16"/>
          <w:szCs w:val="16"/>
          <w:color w:val="1E1E1E"/>
        </w:rPr>
      </w:pPr>
    </w:p>
    <w:p>
      <w:pPr>
        <w:ind w:left="1300" w:right="320" w:hanging="320"/>
        <w:spacing w:after="0" w:line="289" w:lineRule="auto"/>
        <w:tabs>
          <w:tab w:leader="none" w:pos="1290" w:val="left"/>
        </w:tabs>
        <w:numPr>
          <w:ilvl w:val="1"/>
          <w:numId w:val="53"/>
        </w:numPr>
        <w:rPr>
          <w:rFonts w:ascii="Arial" w:cs="Arial" w:eastAsia="Arial" w:hAnsi="Arial"/>
          <w:sz w:val="16"/>
          <w:szCs w:val="16"/>
          <w:color w:val="1E1E1E"/>
        </w:rPr>
      </w:pPr>
      <w:r>
        <w:rPr>
          <w:rFonts w:ascii="Arial" w:cs="Arial" w:eastAsia="Arial" w:hAnsi="Arial"/>
          <w:sz w:val="16"/>
          <w:szCs w:val="16"/>
          <w:color w:val="1E1E1E"/>
        </w:rPr>
        <w:t>REC-617: We own patent applications related to REC-617; these patent applications relate to composition of matter and methods of treatment of multiple advanced solid tumor indications for REC-617. Upon issuance, we expect our patents resulting from these patent applications will expire no earlier than 2041, excluding any patent term extension, or other mechanisms for effecting patent term, and assuming payment of all appropriate maintenance, renewal, annuity or other governmental fee.</w:t>
      </w:r>
    </w:p>
    <w:p>
      <w:pPr>
        <w:spacing w:after="0" w:line="18" w:lineRule="exact"/>
        <w:rPr>
          <w:rFonts w:ascii="Arial" w:cs="Arial" w:eastAsia="Arial" w:hAnsi="Arial"/>
          <w:sz w:val="16"/>
          <w:szCs w:val="16"/>
          <w:color w:val="1E1E1E"/>
        </w:rPr>
      </w:pPr>
    </w:p>
    <w:p>
      <w:pPr>
        <w:ind w:left="1300" w:right="120" w:hanging="320"/>
        <w:spacing w:after="0" w:line="283" w:lineRule="auto"/>
        <w:tabs>
          <w:tab w:leader="none" w:pos="1290" w:val="left"/>
        </w:tabs>
        <w:numPr>
          <w:ilvl w:val="1"/>
          <w:numId w:val="53"/>
        </w:numPr>
        <w:rPr>
          <w:rFonts w:ascii="Arial" w:cs="Arial" w:eastAsia="Arial" w:hAnsi="Arial"/>
          <w:sz w:val="16"/>
          <w:szCs w:val="16"/>
          <w:color w:val="1E1E1E"/>
        </w:rPr>
      </w:pPr>
      <w:r>
        <w:rPr>
          <w:rFonts w:ascii="Arial" w:cs="Arial" w:eastAsia="Arial" w:hAnsi="Arial"/>
          <w:sz w:val="16"/>
          <w:szCs w:val="16"/>
          <w:color w:val="1E1E1E"/>
        </w:rPr>
        <w:t>REC-1245: We own patent applications related to the composition of matter and methods of treating biomarker-enriched solid tumors and lymphoma using REC-1245. Upon issuance, we expect our patents resulting from these patent applications will expire no earlier than 2043, excluding any patent term adjustment or patent term extension, or other mechanisms for effecting patent term, and assuming payment of all appropriate maintenance, renewal, annuity or other governmental fee.</w:t>
      </w:r>
    </w:p>
    <w:p>
      <w:pPr>
        <w:spacing w:after="0" w:line="23" w:lineRule="exact"/>
        <w:rPr>
          <w:rFonts w:ascii="Arial" w:cs="Arial" w:eastAsia="Arial" w:hAnsi="Arial"/>
          <w:sz w:val="16"/>
          <w:szCs w:val="16"/>
          <w:color w:val="1E1E1E"/>
        </w:rPr>
      </w:pPr>
    </w:p>
    <w:p>
      <w:pPr>
        <w:ind w:left="1300" w:right="60" w:hanging="320"/>
        <w:spacing w:after="0" w:line="289" w:lineRule="auto"/>
        <w:tabs>
          <w:tab w:leader="none" w:pos="1290" w:val="left"/>
        </w:tabs>
        <w:numPr>
          <w:ilvl w:val="1"/>
          <w:numId w:val="53"/>
        </w:numPr>
        <w:rPr>
          <w:rFonts w:ascii="Arial" w:cs="Arial" w:eastAsia="Arial" w:hAnsi="Arial"/>
          <w:sz w:val="16"/>
          <w:szCs w:val="16"/>
          <w:color w:val="1E1E1E"/>
        </w:rPr>
      </w:pPr>
      <w:r>
        <w:rPr>
          <w:rFonts w:ascii="Arial" w:cs="Arial" w:eastAsia="Arial" w:hAnsi="Arial"/>
          <w:sz w:val="16"/>
          <w:szCs w:val="16"/>
          <w:color w:val="1E1E1E"/>
        </w:rPr>
        <w:t>REC-3565: We own patent applications related to the composition of matter and methods of treating multiple hematology indications using REC-3565. Upon issuance, we expect our patents resulting from these patent applications will expire no earlier than 2041, excluding any patent term adjustment or patent term extension, or other mechanisms for effecting patent term, and assuming payment of all appropriate maintenance, renewal, annuity or other governmental fee.</w:t>
      </w:r>
    </w:p>
    <w:p>
      <w:pPr>
        <w:spacing w:after="0" w:line="4" w:lineRule="exact"/>
        <w:rPr>
          <w:rFonts w:ascii="Arial" w:cs="Arial" w:eastAsia="Arial" w:hAnsi="Arial"/>
          <w:sz w:val="16"/>
          <w:szCs w:val="16"/>
          <w:color w:val="1E1E1E"/>
        </w:rPr>
      </w:pPr>
    </w:p>
    <w:p>
      <w:pPr>
        <w:jc w:val="both"/>
        <w:ind w:left="1300" w:right="140" w:hanging="320"/>
        <w:spacing w:after="0" w:line="289" w:lineRule="auto"/>
        <w:tabs>
          <w:tab w:leader="none" w:pos="1290" w:val="left"/>
        </w:tabs>
        <w:numPr>
          <w:ilvl w:val="1"/>
          <w:numId w:val="53"/>
        </w:numPr>
        <w:rPr>
          <w:rFonts w:ascii="Arial" w:cs="Arial" w:eastAsia="Arial" w:hAnsi="Arial"/>
          <w:sz w:val="16"/>
          <w:szCs w:val="16"/>
          <w:color w:val="1E1E1E"/>
        </w:rPr>
      </w:pPr>
      <w:r>
        <w:rPr>
          <w:rFonts w:ascii="Arial" w:cs="Arial" w:eastAsia="Arial" w:hAnsi="Arial"/>
          <w:sz w:val="16"/>
          <w:szCs w:val="16"/>
          <w:color w:val="1E1E1E"/>
        </w:rPr>
        <w:t>REC-4539: We own a Patent Cooperation Treaty (PCT) application related to the composition of matter and methods of treating multiple hematology and solid tumor indications using REC-4539. Upon issuance of a national phase patent from our PCT application, we expect the resulting patents to expire no earlier than 2043, excluding any patent term adjustment or patent term extension, or other mechanisms for effecting patent term, and assuming payment of all appropriate maintenance, renewal, annuity or other governmental fee.</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1E1E1E"/>
        </w:rPr>
        <w:t>The patent positions of companies like ours are generally uncertain and involve complex legal and factual questions. No consistent policy regarding the scope of claims allowable in patents in the field of biotechnology has emerged in the United States and in Europe, among other countries. Changes in the patent laws and rules, either by legislation, judicial decisions, or regulatory interpretation in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platform and drug candidates and the methods used to manufacture them. Moreover, our issued patents and those that may issue in the future may not guarantee us the right to practice our technology in relation to the commercialization of our drug product candidates. The area of patent and other intellectual property rights in biotechnology is an evolving one with many risks and uncertainties, which may prevent us from commercializing our drug candidates and future drug candidates and practicing our proprietary technology.</w:t>
      </w:r>
    </w:p>
    <w:p>
      <w:pPr>
        <w:spacing w:after="0" w:line="19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E1E1E"/>
        </w:rPr>
        <w:t>Our issued patents and those that may issue in the future may be challenged, narrowed, circumvented, or invalidated, which could limit our ability to stop competitors from marketing related platforms or drug candidates or limit the length of the term of patent protection that we may have for our drug candidates, future drug candidates and platforms. In addition, the rights granted under any issued patents may not provide us with complete protection or competitive advantages against competitors with similar technology. Furthermore, our competitors may independently develop similar technologies that achieve similar outcomes but with different approaches. For these reasons, we may have competition for our drug candidates. Moreover, the time required for the development, testing and regulatory review of our candidate products may shorten the length of effective patent protection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1E1E1E"/>
        </w:rPr>
        <w:t>following commercialization. For this and other risks related to our proprietary technology, inventions, improvements, platforms and drug candidates, please see the section titled “Risk Factors—Risks Related to Our Intellectual Property.”</w:t>
      </w:r>
    </w:p>
    <w:p>
      <w:pPr>
        <w:spacing w:after="0" w:line="14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1E1E1E"/>
        </w:rPr>
        <w:t>Our commercial success will also depend in part on not infringing upon the intellectual property and proprietary rights of third parties. It is uncertain whether the issuance of any third-party patent would require us to alter our development or commercial strategies for our products or processes or to obtain licenses or cease certain activities. Our breach of any license agreements or failure to obtain a license to proprietary rights that we may require to develop or commercialize our future products may have an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please see “Risk Factors—Risks Related to Our Intellectual Property.”</w:t>
      </w:r>
    </w:p>
    <w:p>
      <w:pPr>
        <w:spacing w:after="0" w:line="188"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1E1E1E"/>
        </w:rPr>
        <w:t>Some of our pending patent applications in the United States are provisional patent applications. Provisional patent applications are not eligible to become issued patents until, among other things, we file a non-provisional patent application within 12 months of filing of one or more of our related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74" w:lineRule="exact"/>
        <w:rPr>
          <w:sz w:val="20"/>
          <w:szCs w:val="20"/>
          <w:color w:val="auto"/>
        </w:rPr>
      </w:pPr>
    </w:p>
    <w:p>
      <w:pPr>
        <w:spacing w:after="0" w:line="278" w:lineRule="auto"/>
        <w:rPr>
          <w:sz w:val="20"/>
          <w:szCs w:val="20"/>
          <w:color w:val="auto"/>
        </w:rPr>
      </w:pPr>
      <w:r>
        <w:rPr>
          <w:rFonts w:ascii="Arial" w:cs="Arial" w:eastAsia="Arial" w:hAnsi="Arial"/>
          <w:sz w:val="16"/>
          <w:szCs w:val="16"/>
          <w:color w:val="1E1E1E"/>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However, the actual protection afforded by a patent varies on a product-by-product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 A U.S. patent also may be accorded patent term adjustment, or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(PTE), which permits patent term restoration as compensation for the patent term lost during the FDA regulatory review process. However, with respect to patent term extensions granted as a result of the FDA regulatory review period, the restoration period cannot be longer than five years, the total patent term including the restoration period must not exceed 14 years following FDA approval, only one patent applicable to each regulatory review period may be extended and only those issued claims covering the approved drug or a method for using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w:t>
      </w:r>
    </w:p>
    <w:p>
      <w:pPr>
        <w:spacing w:after="0" w:line="189"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1E1E1E"/>
        </w:rPr>
        <w:t>Rapidly evolving patent laws in the United States and elsewhere make it difficult to predict the breadth of claims that may be allowed or enforced in our patents. Moreover, patent offices in general can require that patent applications concerning pharmaceutical and/or biotechnology-related inventions be limited or narrowed substantially to cover only the specific innovations exemplified in the patent application, thereby limiting the scope of protection against competitive challenges. Thus, even if we are able to obtain patents, the patents may be substantially narrower than anticipated.</w:t>
      </w:r>
    </w:p>
    <w:p>
      <w:pPr>
        <w:spacing w:after="0" w:line="18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1E1E1E"/>
        </w:rPr>
        <w:t>Our ability to maintain and defend our intellectual property and proprietary position for our drug product candidates, methods of their use, and other proprietary technologies will depend on our success in obtaining effective claims and enforcing those claims once granted. We do not know whether any of the patent applications that we may file or license from third parties will result in the issuance of any patents. The issued patents that we own, may receive in the future, or license from third parties may be challenged, invalidated, held unenforceable, narrowed or circumvented, and the rights granted under any issued patents may not provide us with proprietary protection or competitive advantages against third parties, including our competitors, with similar technology. Furthermore, third parties, including our competitors, may be able to independently develop and commercialize similar drugs or products, or duplicate our technology, business model or strategy without infringing our patents.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Trademarks</w:t>
      </w:r>
    </w:p>
    <w:p>
      <w:pPr>
        <w:spacing w:after="0" w:line="77"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1E1E1E"/>
        </w:rPr>
        <w:t>As of February 2025, our trademark portfolio comprises more than 70 registered trademarks or active trademark applications worldwide, among which we have issued trademarks in the U.S. for “Recursion” and “Recursion Pharmaceuticals.”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Trade Secrets</w:t>
      </w:r>
    </w:p>
    <w:p>
      <w:pPr>
        <w:spacing w:after="0" w:line="77"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1E1E1E"/>
        </w:rPr>
        <w:t>In addition to our reliance on patent protection for our inventions, drug candidates and programs, we also rely on trade secrets, know-how, confidentiality agreements and continuing technological innovation to develop and maintain our competitive position.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1E1E1E"/>
        </w:rPr>
        <w:t>For example, some elements of manufacturing processes, proprietary assays, analytics techniques and processes, knowledge gained through clinical experience such as approaches to dosing and administration and management of patients,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of by the individual during the course of employment, and which relate to or are reasonably capable or being used in our current or planned business or research and development are our exclusive property. In addition, we take other appropriate precautions, such as physical and technological security measures, to guard against the misappropriation of our proprietary technology by third parties. However, such agreements and policies may be breached, and we may not have adequate remedies for such breaches. For more information regarding the risks related to our intellectual property, see “Risk Factors—Risks Related to Our Intellectual Property.”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Government Regulation</w:t>
      </w:r>
    </w:p>
    <w:p>
      <w:pPr>
        <w:spacing w:after="0" w:line="7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1E1E1E"/>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can be marketed, considerable data demonstrating its quality, safety and efficacy must be obtained, organized into a format specific for each regulatory authority, submitted for review and approved by the relevant regulatory authority.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U.S. Drug Development</w:t>
      </w:r>
    </w:p>
    <w:p>
      <w:pPr>
        <w:spacing w:after="0" w:line="77"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1E1E1E"/>
        </w:rPr>
        <w:t>In the United States, the FDA regulates drugs under the Federal Food, Drug, and Cosmetic Act, or FDCA.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92" w:lineRule="exact"/>
        <w:rPr>
          <w:sz w:val="20"/>
          <w:szCs w:val="20"/>
          <w:color w:val="auto"/>
        </w:rPr>
      </w:pPr>
    </w:p>
    <w:p>
      <w:pPr>
        <w:ind w:left="660" w:right="140" w:hanging="328"/>
        <w:spacing w:after="0" w:line="292" w:lineRule="auto"/>
        <w:tabs>
          <w:tab w:leader="none" w:pos="649" w:val="left"/>
        </w:tabs>
        <w:numPr>
          <w:ilvl w:val="0"/>
          <w:numId w:val="54"/>
        </w:numPr>
        <w:rPr>
          <w:rFonts w:ascii="Arial" w:cs="Arial" w:eastAsia="Arial" w:hAnsi="Arial"/>
          <w:sz w:val="16"/>
          <w:szCs w:val="16"/>
          <w:color w:val="1E1E1E"/>
        </w:rPr>
      </w:pPr>
      <w:r>
        <w:rPr>
          <w:rFonts w:ascii="Arial" w:cs="Arial" w:eastAsia="Arial" w:hAnsi="Arial"/>
          <w:sz w:val="16"/>
          <w:szCs w:val="16"/>
          <w:color w:val="1E1E1E"/>
        </w:rPr>
        <w:t>Our drug candidates are considered small molecule drugs and must be approved by the FDA through the new drug application, or NDA, process before they may be legally marketed in the United States. The process generally involves the following: completion of extensive preclinical studies in accordance with applicable regulations, including studies conducted in accordance with good laboratory practice, or GLP;</w:t>
      </w:r>
    </w:p>
    <w:p>
      <w:pPr>
        <w:spacing w:after="0" w:line="16" w:lineRule="exact"/>
        <w:rPr>
          <w:rFonts w:ascii="Arial" w:cs="Arial" w:eastAsia="Arial" w:hAnsi="Arial"/>
          <w:sz w:val="16"/>
          <w:szCs w:val="16"/>
          <w:color w:val="1E1E1E"/>
        </w:rPr>
      </w:pPr>
    </w:p>
    <w:p>
      <w:pPr>
        <w:ind w:left="660" w:right="80" w:hanging="328"/>
        <w:spacing w:after="0" w:line="304" w:lineRule="auto"/>
        <w:tabs>
          <w:tab w:leader="none" w:pos="649" w:val="left"/>
        </w:tabs>
        <w:numPr>
          <w:ilvl w:val="0"/>
          <w:numId w:val="54"/>
        </w:numPr>
        <w:rPr>
          <w:rFonts w:ascii="Arial" w:cs="Arial" w:eastAsia="Arial" w:hAnsi="Arial"/>
          <w:sz w:val="16"/>
          <w:szCs w:val="16"/>
          <w:color w:val="1E1E1E"/>
        </w:rPr>
      </w:pPr>
      <w:r>
        <w:rPr>
          <w:rFonts w:ascii="Arial" w:cs="Arial" w:eastAsia="Arial" w:hAnsi="Arial"/>
          <w:sz w:val="16"/>
          <w:szCs w:val="16"/>
          <w:color w:val="1E1E1E"/>
        </w:rPr>
        <w:t>submission to the FDA of an investigational new drug, or IND, application, which must become effective before human clinical trials in the U.S. may begin;</w:t>
      </w:r>
    </w:p>
    <w:p>
      <w:pPr>
        <w:spacing w:after="0" w:line="6" w:lineRule="exact"/>
        <w:rPr>
          <w:rFonts w:ascii="Arial" w:cs="Arial" w:eastAsia="Arial" w:hAnsi="Arial"/>
          <w:sz w:val="16"/>
          <w:szCs w:val="16"/>
          <w:color w:val="1E1E1E"/>
        </w:rPr>
      </w:pPr>
    </w:p>
    <w:p>
      <w:pPr>
        <w:ind w:left="640" w:hanging="308"/>
        <w:spacing w:after="0"/>
        <w:tabs>
          <w:tab w:leader="none" w:pos="640" w:val="left"/>
        </w:tabs>
        <w:numPr>
          <w:ilvl w:val="0"/>
          <w:numId w:val="54"/>
        </w:numPr>
        <w:rPr>
          <w:rFonts w:ascii="Arial" w:cs="Arial" w:eastAsia="Arial" w:hAnsi="Arial"/>
          <w:sz w:val="16"/>
          <w:szCs w:val="16"/>
          <w:color w:val="1E1E1E"/>
        </w:rPr>
      </w:pPr>
      <w:r>
        <w:rPr>
          <w:rFonts w:ascii="Arial" w:cs="Arial" w:eastAsia="Arial" w:hAnsi="Arial"/>
          <w:sz w:val="16"/>
          <w:szCs w:val="16"/>
          <w:color w:val="1E1E1E"/>
        </w:rPr>
        <w:t>approval by an independent institutional review board, or IRB, or ethics committee at each clinical trial site before each trial may be initiated;</w:t>
      </w:r>
    </w:p>
    <w:p>
      <w:pPr>
        <w:spacing w:after="0" w:line="72" w:lineRule="exact"/>
        <w:rPr>
          <w:rFonts w:ascii="Arial" w:cs="Arial" w:eastAsia="Arial" w:hAnsi="Arial"/>
          <w:sz w:val="16"/>
          <w:szCs w:val="16"/>
          <w:color w:val="1E1E1E"/>
        </w:rPr>
      </w:pPr>
    </w:p>
    <w:p>
      <w:pPr>
        <w:ind w:left="660" w:right="140" w:hanging="328"/>
        <w:spacing w:after="0" w:line="299" w:lineRule="auto"/>
        <w:tabs>
          <w:tab w:leader="none" w:pos="649" w:val="left"/>
        </w:tabs>
        <w:numPr>
          <w:ilvl w:val="0"/>
          <w:numId w:val="54"/>
        </w:numPr>
        <w:rPr>
          <w:rFonts w:ascii="Arial" w:cs="Arial" w:eastAsia="Arial" w:hAnsi="Arial"/>
          <w:sz w:val="16"/>
          <w:szCs w:val="16"/>
          <w:color w:val="1E1E1E"/>
        </w:rPr>
      </w:pPr>
      <w:r>
        <w:rPr>
          <w:rFonts w:ascii="Arial" w:cs="Arial" w:eastAsia="Arial" w:hAnsi="Arial"/>
          <w:sz w:val="16"/>
          <w:szCs w:val="16"/>
          <w:color w:val="1E1E1E"/>
        </w:rPr>
        <w:t>performance of adequate and well-controlled human clinical trials in accordance with applicable IND regulations, good clinical practice, or GCP, requirements and other clinical trial-related regulations to establish substantial evidence of the safety and efficacy of the investigational product for each proposed indication;</w:t>
      </w:r>
    </w:p>
    <w:p>
      <w:pPr>
        <w:ind w:left="640" w:hanging="308"/>
        <w:spacing w:after="0"/>
        <w:tabs>
          <w:tab w:leader="none" w:pos="640" w:val="left"/>
        </w:tabs>
        <w:numPr>
          <w:ilvl w:val="0"/>
          <w:numId w:val="54"/>
        </w:numPr>
        <w:rPr>
          <w:rFonts w:ascii="Arial" w:cs="Arial" w:eastAsia="Arial" w:hAnsi="Arial"/>
          <w:sz w:val="16"/>
          <w:szCs w:val="16"/>
          <w:color w:val="1E1E1E"/>
        </w:rPr>
      </w:pPr>
      <w:r>
        <w:rPr>
          <w:rFonts w:ascii="Arial" w:cs="Arial" w:eastAsia="Arial" w:hAnsi="Arial"/>
          <w:sz w:val="16"/>
          <w:szCs w:val="16"/>
          <w:color w:val="1E1E1E"/>
        </w:rPr>
        <w:t>submission to the FDA of an NDA;</w:t>
      </w:r>
    </w:p>
    <w:p>
      <w:pPr>
        <w:spacing w:after="0" w:line="86" w:lineRule="exact"/>
        <w:rPr>
          <w:rFonts w:ascii="Arial" w:cs="Arial" w:eastAsia="Arial" w:hAnsi="Arial"/>
          <w:sz w:val="16"/>
          <w:szCs w:val="16"/>
          <w:color w:val="1E1E1E"/>
        </w:rPr>
      </w:pPr>
    </w:p>
    <w:p>
      <w:pPr>
        <w:ind w:left="640" w:hanging="308"/>
        <w:spacing w:after="0"/>
        <w:tabs>
          <w:tab w:leader="none" w:pos="640" w:val="left"/>
        </w:tabs>
        <w:numPr>
          <w:ilvl w:val="0"/>
          <w:numId w:val="54"/>
        </w:numPr>
        <w:rPr>
          <w:rFonts w:ascii="Arial" w:cs="Arial" w:eastAsia="Arial" w:hAnsi="Arial"/>
          <w:sz w:val="16"/>
          <w:szCs w:val="16"/>
          <w:color w:val="1E1E1E"/>
        </w:rPr>
      </w:pPr>
      <w:r>
        <w:rPr>
          <w:rFonts w:ascii="Arial" w:cs="Arial" w:eastAsia="Arial" w:hAnsi="Arial"/>
          <w:sz w:val="16"/>
          <w:szCs w:val="16"/>
          <w:color w:val="1E1E1E"/>
        </w:rPr>
        <w:t>a determination by the FDA within 60 days of its receipt of an NDA to accept the filing for review;</w:t>
      </w:r>
    </w:p>
    <w:p>
      <w:pPr>
        <w:spacing w:after="0" w:line="72" w:lineRule="exact"/>
        <w:rPr>
          <w:rFonts w:ascii="Arial" w:cs="Arial" w:eastAsia="Arial" w:hAnsi="Arial"/>
          <w:sz w:val="16"/>
          <w:szCs w:val="16"/>
          <w:color w:val="1E1E1E"/>
        </w:rPr>
      </w:pPr>
    </w:p>
    <w:p>
      <w:pPr>
        <w:ind w:left="660" w:hanging="328"/>
        <w:spacing w:after="0" w:line="292" w:lineRule="auto"/>
        <w:tabs>
          <w:tab w:leader="none" w:pos="649" w:val="left"/>
        </w:tabs>
        <w:numPr>
          <w:ilvl w:val="0"/>
          <w:numId w:val="54"/>
        </w:numPr>
        <w:rPr>
          <w:rFonts w:ascii="Arial" w:cs="Arial" w:eastAsia="Arial" w:hAnsi="Arial"/>
          <w:sz w:val="16"/>
          <w:szCs w:val="16"/>
          <w:color w:val="1E1E1E"/>
        </w:rPr>
      </w:pPr>
      <w:r>
        <w:rPr>
          <w:rFonts w:ascii="Arial" w:cs="Arial" w:eastAsia="Arial" w:hAnsi="Arial"/>
          <w:sz w:val="16"/>
          <w:szCs w:val="16"/>
          <w:color w:val="1E1E1E"/>
        </w:rPr>
        <w:t>satisfactory completion of an FDA pre-approval inspection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16" w:lineRule="exact"/>
        <w:rPr>
          <w:rFonts w:ascii="Arial" w:cs="Arial" w:eastAsia="Arial" w:hAnsi="Arial"/>
          <w:sz w:val="16"/>
          <w:szCs w:val="16"/>
          <w:color w:val="1E1E1E"/>
        </w:rPr>
      </w:pPr>
    </w:p>
    <w:p>
      <w:pPr>
        <w:ind w:left="640" w:hanging="308"/>
        <w:spacing w:after="0"/>
        <w:tabs>
          <w:tab w:leader="none" w:pos="640" w:val="left"/>
        </w:tabs>
        <w:numPr>
          <w:ilvl w:val="0"/>
          <w:numId w:val="54"/>
        </w:numPr>
        <w:rPr>
          <w:rFonts w:ascii="Arial" w:cs="Arial" w:eastAsia="Arial" w:hAnsi="Arial"/>
          <w:sz w:val="16"/>
          <w:szCs w:val="16"/>
          <w:color w:val="1E1E1E"/>
        </w:rPr>
      </w:pPr>
      <w:r>
        <w:rPr>
          <w:rFonts w:ascii="Arial" w:cs="Arial" w:eastAsia="Arial" w:hAnsi="Arial"/>
          <w:sz w:val="16"/>
          <w:szCs w:val="16"/>
          <w:color w:val="1E1E1E"/>
        </w:rPr>
        <w:t>potential FDA audit of the preclinical study and/or clinical trial sites that generated the data in support of the NDA filing;</w:t>
      </w:r>
    </w:p>
    <w:p>
      <w:pPr>
        <w:spacing w:after="0" w:line="86" w:lineRule="exact"/>
        <w:rPr>
          <w:rFonts w:ascii="Arial" w:cs="Arial" w:eastAsia="Arial" w:hAnsi="Arial"/>
          <w:sz w:val="16"/>
          <w:szCs w:val="16"/>
          <w:color w:val="1E1E1E"/>
        </w:rPr>
      </w:pPr>
    </w:p>
    <w:p>
      <w:pPr>
        <w:ind w:left="640" w:hanging="308"/>
        <w:spacing w:after="0"/>
        <w:tabs>
          <w:tab w:leader="none" w:pos="640" w:val="left"/>
        </w:tabs>
        <w:numPr>
          <w:ilvl w:val="0"/>
          <w:numId w:val="54"/>
        </w:numPr>
        <w:rPr>
          <w:rFonts w:ascii="Arial" w:cs="Arial" w:eastAsia="Arial" w:hAnsi="Arial"/>
          <w:sz w:val="16"/>
          <w:szCs w:val="16"/>
          <w:color w:val="1E1E1E"/>
        </w:rPr>
      </w:pPr>
      <w:r>
        <w:rPr>
          <w:rFonts w:ascii="Arial" w:cs="Arial" w:eastAsia="Arial" w:hAnsi="Arial"/>
          <w:sz w:val="16"/>
          <w:szCs w:val="16"/>
          <w:color w:val="1E1E1E"/>
        </w:rPr>
        <w:t>payment of user fees for FDA review of the NDA;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right="280" w:hanging="328"/>
        <w:spacing w:after="0" w:line="308" w:lineRule="auto"/>
        <w:tabs>
          <w:tab w:leader="none" w:pos="649" w:val="left"/>
        </w:tabs>
        <w:numPr>
          <w:ilvl w:val="0"/>
          <w:numId w:val="55"/>
        </w:numPr>
        <w:rPr>
          <w:rFonts w:ascii="Arial" w:cs="Arial" w:eastAsia="Arial" w:hAnsi="Arial"/>
          <w:sz w:val="16"/>
          <w:szCs w:val="16"/>
          <w:color w:val="1E1E1E"/>
        </w:rPr>
      </w:pPr>
      <w:r>
        <w:rPr>
          <w:rFonts w:ascii="Arial" w:cs="Arial" w:eastAsia="Arial" w:hAnsi="Arial"/>
          <w:sz w:val="16"/>
          <w:szCs w:val="16"/>
          <w:color w:val="1E1E1E"/>
        </w:rPr>
        <w:t>FDA review and approval of the NDA, including consideration of the views of any FDA advisory committee, prior to any commercial marketing or sale of the drug in the United States; and</w:t>
      </w:r>
    </w:p>
    <w:p>
      <w:pPr>
        <w:ind w:left="660" w:right="360" w:hanging="328"/>
        <w:spacing w:after="0" w:line="321" w:lineRule="auto"/>
        <w:tabs>
          <w:tab w:leader="none" w:pos="649" w:val="left"/>
        </w:tabs>
        <w:numPr>
          <w:ilvl w:val="0"/>
          <w:numId w:val="55"/>
        </w:numPr>
        <w:rPr>
          <w:rFonts w:ascii="Arial" w:cs="Arial" w:eastAsia="Arial" w:hAnsi="Arial"/>
          <w:sz w:val="16"/>
          <w:szCs w:val="16"/>
          <w:color w:val="1E1E1E"/>
        </w:rPr>
      </w:pPr>
      <w:r>
        <w:rPr>
          <w:rFonts w:ascii="Arial" w:cs="Arial" w:eastAsia="Arial" w:hAnsi="Arial"/>
          <w:sz w:val="16"/>
          <w:szCs w:val="16"/>
          <w:color w:val="1E1E1E"/>
        </w:rPr>
        <w:t>compliance with any post-approval requirements, including the potential requirement to implement a Risk Evaluation and Mitigation Strategy, or REMS, and the potential requirement to conduct post-approval studies.</w:t>
      </w:r>
    </w:p>
    <w:p>
      <w:pPr>
        <w:spacing w:after="0" w:line="142" w:lineRule="exact"/>
        <w:rPr>
          <w:sz w:val="20"/>
          <w:szCs w:val="20"/>
          <w:color w:val="auto"/>
        </w:rPr>
      </w:pPr>
    </w:p>
    <w:p>
      <w:pPr>
        <w:jc w:val="both"/>
        <w:ind w:right="520"/>
        <w:spacing w:after="0" w:line="301" w:lineRule="auto"/>
        <w:rPr>
          <w:sz w:val="20"/>
          <w:szCs w:val="20"/>
          <w:color w:val="auto"/>
        </w:rPr>
      </w:pPr>
      <w:r>
        <w:rPr>
          <w:rFonts w:ascii="Arial" w:cs="Arial" w:eastAsia="Arial" w:hAnsi="Arial"/>
          <w:sz w:val="16"/>
          <w:szCs w:val="16"/>
          <w:color w:val="1E1E1E"/>
        </w:rPr>
        <w:t>The data required to support an NDA is generated in two distinct developmental stages: preclinical and clinical. The preclinical and clinical testing and approval process requires substantial time, effort and financial resources, and we cannot be certain that any approvals for any current and future drug candidates will be granted on a timely basis, or at all.</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Preclinical Studies and IND</w:t>
      </w:r>
    </w:p>
    <w:p>
      <w:pPr>
        <w:spacing w:after="0" w:line="77"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1E1E1E"/>
        </w:rPr>
        <w:t>Before testing any drug product candidate in humans, the product candidate must undergo rigorous preclinical testing. The conduct of preclinical studies is subject to federal regulations and requirements, including GLP and ICH regulations for safety/toxicology studies. 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188" w:lineRule="exact"/>
        <w:rPr>
          <w:sz w:val="20"/>
          <w:szCs w:val="20"/>
          <w:color w:val="auto"/>
        </w:rPr>
      </w:pPr>
    </w:p>
    <w:p>
      <w:pPr>
        <w:spacing w:after="0" w:line="278" w:lineRule="auto"/>
        <w:rPr>
          <w:sz w:val="20"/>
          <w:szCs w:val="20"/>
          <w:color w:val="auto"/>
        </w:rPr>
      </w:pPr>
      <w:r>
        <w:rPr>
          <w:rFonts w:ascii="Arial" w:cs="Arial" w:eastAsia="Arial" w:hAnsi="Arial"/>
          <w:sz w:val="16"/>
          <w:szCs w:val="16"/>
          <w:color w:val="1E1E1E"/>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which are generally required for FDA approval of an NDA, to commence. A separate submission to an existing IND must also be made for each successive clinical trial conducted during product development along with any subsequent changes to the investigational plan. Some long-term nonclinical testing, such as animal tests of reproductive adverse events and carcinogenicity, may continue after the IND is submitted.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Clinical Trials</w:t>
      </w:r>
    </w:p>
    <w:p>
      <w:pPr>
        <w:spacing w:after="0" w:line="77" w:lineRule="exact"/>
        <w:rPr>
          <w:sz w:val="20"/>
          <w:szCs w:val="20"/>
          <w:color w:val="auto"/>
        </w:rPr>
      </w:pPr>
    </w:p>
    <w:p>
      <w:pPr>
        <w:spacing w:after="0" w:line="280" w:lineRule="auto"/>
        <w:rPr>
          <w:sz w:val="20"/>
          <w:szCs w:val="20"/>
          <w:color w:val="auto"/>
        </w:rPr>
      </w:pPr>
      <w:r>
        <w:rPr>
          <w:rFonts w:ascii="Arial" w:cs="Arial" w:eastAsia="Arial" w:hAnsi="Arial"/>
          <w:sz w:val="16"/>
          <w:szCs w:val="16"/>
          <w:color w:val="1E1E1E"/>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must also approve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generally accept a well-designed and well-conducted foreign clinical trial not conducted under an IND if the trial was conducted in accordance with GCP and GMP requirements, and the FDA is able to validate the data through an onsite inspection, if deemed necessary, and the practice of medicine in the foreign country is consistent with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1E1E1E"/>
        </w:rPr>
        <w:t>Clinical trials in the United States generally are conducted in three sequential phases, known as Phase 1, Phase 2 and Phase 3, and may overlap.</w:t>
      </w:r>
    </w:p>
    <w:p>
      <w:pPr>
        <w:spacing w:after="0" w:line="235" w:lineRule="exact"/>
        <w:rPr>
          <w:sz w:val="20"/>
          <w:szCs w:val="20"/>
          <w:color w:val="auto"/>
        </w:rPr>
      </w:pPr>
    </w:p>
    <w:p>
      <w:pPr>
        <w:ind w:left="660" w:right="120" w:hanging="328"/>
        <w:spacing w:after="0" w:line="321" w:lineRule="auto"/>
        <w:tabs>
          <w:tab w:leader="none" w:pos="649" w:val="left"/>
        </w:tabs>
        <w:numPr>
          <w:ilvl w:val="0"/>
          <w:numId w:val="56"/>
        </w:numPr>
        <w:rPr>
          <w:rFonts w:ascii="Arial" w:cs="Arial" w:eastAsia="Arial" w:hAnsi="Arial"/>
          <w:sz w:val="16"/>
          <w:szCs w:val="16"/>
          <w:color w:val="1E1E1E"/>
        </w:rPr>
      </w:pPr>
      <w:r>
        <w:rPr>
          <w:rFonts w:ascii="Arial" w:cs="Arial" w:eastAsia="Arial" w:hAnsi="Arial"/>
          <w:sz w:val="16"/>
          <w:szCs w:val="16"/>
          <w:color w:val="1E1E1E"/>
        </w:rPr>
        <w:t>Phase 1 clinical trials generally involve a small number of healthy volunteers or disease-affected patients who are initially exposed to a single dose and then multiple doses of the drug candidate. The primary purpose of these clinical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60" w:right="80"/>
        <w:spacing w:after="0" w:line="308" w:lineRule="auto"/>
        <w:rPr>
          <w:sz w:val="20"/>
          <w:szCs w:val="20"/>
          <w:color w:val="auto"/>
        </w:rPr>
      </w:pPr>
      <w:r>
        <w:rPr>
          <w:rFonts w:ascii="Arial" w:cs="Arial" w:eastAsia="Arial" w:hAnsi="Arial"/>
          <w:sz w:val="16"/>
          <w:szCs w:val="16"/>
          <w:color w:val="1E1E1E"/>
        </w:rPr>
        <w:t>trials is to assess the metabolism, pharmacologic action, tolerability and safety of the drug, the side effects associated with increasing doses, and if possible to gain early evidence on effectiveness.</w:t>
      </w:r>
    </w:p>
    <w:p>
      <w:pPr>
        <w:ind w:left="660" w:right="20" w:hanging="328"/>
        <w:spacing w:after="0" w:line="292" w:lineRule="auto"/>
        <w:tabs>
          <w:tab w:leader="none" w:pos="649" w:val="left"/>
        </w:tabs>
        <w:numPr>
          <w:ilvl w:val="0"/>
          <w:numId w:val="57"/>
        </w:numPr>
        <w:rPr>
          <w:rFonts w:ascii="Arial" w:cs="Arial" w:eastAsia="Arial" w:hAnsi="Arial"/>
          <w:sz w:val="16"/>
          <w:szCs w:val="16"/>
          <w:color w:val="1E1E1E"/>
        </w:rPr>
      </w:pPr>
      <w:r>
        <w:rPr>
          <w:rFonts w:ascii="Arial" w:cs="Arial" w:eastAsia="Arial" w:hAnsi="Arial"/>
          <w:sz w:val="16"/>
          <w:szCs w:val="16"/>
          <w:color w:val="1E1E1E"/>
        </w:rPr>
        <w:t>Phase 2 clinical trials involve studies in disease-affected patients to determine the dose and dosing schedule required to produce the desired benefits. At the same time, safety and further pharmacokinetic and pharmacodynamic information are collected, possible adverse effects and safety risks are identified, and a preliminary evaluation of efficacy is conducted.</w:t>
      </w:r>
    </w:p>
    <w:p>
      <w:pPr>
        <w:spacing w:after="0" w:line="16" w:lineRule="exact"/>
        <w:rPr>
          <w:rFonts w:ascii="Arial" w:cs="Arial" w:eastAsia="Arial" w:hAnsi="Arial"/>
          <w:sz w:val="16"/>
          <w:szCs w:val="16"/>
          <w:color w:val="1E1E1E"/>
        </w:rPr>
      </w:pPr>
    </w:p>
    <w:p>
      <w:pPr>
        <w:ind w:left="660" w:right="120" w:hanging="328"/>
        <w:spacing w:after="0" w:line="289" w:lineRule="auto"/>
        <w:tabs>
          <w:tab w:leader="none" w:pos="649" w:val="left"/>
        </w:tabs>
        <w:numPr>
          <w:ilvl w:val="0"/>
          <w:numId w:val="57"/>
        </w:numPr>
        <w:rPr>
          <w:rFonts w:ascii="Arial" w:cs="Arial" w:eastAsia="Arial" w:hAnsi="Arial"/>
          <w:sz w:val="16"/>
          <w:szCs w:val="16"/>
          <w:color w:val="1E1E1E"/>
        </w:rPr>
      </w:pPr>
      <w:r>
        <w:rPr>
          <w:rFonts w:ascii="Arial" w:cs="Arial" w:eastAsia="Arial" w:hAnsi="Arial"/>
          <w:sz w:val="16"/>
          <w:szCs w:val="16"/>
          <w:color w:val="1E1E1E"/>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6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1E1E1E"/>
        </w:rPr>
        <w:t>Post-approval trials, sometimes referred to as Phase 4 clinical trials, are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58" w:lineRule="exact"/>
        <w:rPr>
          <w:sz w:val="20"/>
          <w:szCs w:val="20"/>
          <w:color w:val="auto"/>
        </w:rPr>
      </w:pPr>
    </w:p>
    <w:p>
      <w:pPr>
        <w:jc w:val="both"/>
        <w:ind w:right="300"/>
        <w:spacing w:after="0" w:line="289" w:lineRule="auto"/>
        <w:rPr>
          <w:sz w:val="20"/>
          <w:szCs w:val="20"/>
          <w:color w:val="auto"/>
        </w:rPr>
      </w:pPr>
      <w:r>
        <w:rPr>
          <w:rFonts w:ascii="Arial" w:cs="Arial" w:eastAsia="Arial" w:hAnsi="Arial"/>
          <w:sz w:val="16"/>
          <w:szCs w:val="16"/>
          <w:color w:val="1E1E1E"/>
        </w:rPr>
        <w:t>Progress reports detailing the results of the clinical trials, among other information, must be submitted at least annually to the FDA. The sponsor is also responsible for submitting written IND safety reports, including reports of serious and unexpected suspected adverse events, findings from other studies suggesting a significant risk to humans exposed to the drug, findings from animal or in vitro testing that suggest a significant risk for human subjects, and any clinically significant increase in the rate of a serious suspected adverse reaction over that listed in the protocol or investigator brochure.</w:t>
      </w:r>
    </w:p>
    <w:p>
      <w:pPr>
        <w:spacing w:after="0" w:line="180" w:lineRule="exact"/>
        <w:rPr>
          <w:sz w:val="20"/>
          <w:szCs w:val="20"/>
          <w:color w:val="auto"/>
        </w:rPr>
      </w:pPr>
    </w:p>
    <w:p>
      <w:pPr>
        <w:spacing w:after="0" w:line="279" w:lineRule="auto"/>
        <w:rPr>
          <w:sz w:val="20"/>
          <w:szCs w:val="20"/>
          <w:color w:val="auto"/>
        </w:rPr>
      </w:pPr>
      <w:r>
        <w:rPr>
          <w:rFonts w:ascii="Arial" w:cs="Arial" w:eastAsia="Arial" w:hAnsi="Arial"/>
          <w:sz w:val="16"/>
          <w:szCs w:val="16"/>
          <w:color w:val="1E1E1E"/>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88"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E1E1E"/>
        </w:rPr>
        <w:t>Concurrent with clinical trials, companies usually complete additional animal safety studies and also must develop additional information about the chemistry and physical characteristics of the drug as well as finalize a process for manufacturing the product in commercial quantities in accordance with cGMP requirements. The manufacturing process, as performed by the manufacturing facility, must be capable of consistently producing quality batches of our drug candidates. Additionally, appropriate packaging must be selected and tested, and stability studies must be conducted to demonstrate that our drug candidates do not undergo unacceptable deterioration over their labeled shelf life.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NDA Review Process</w:t>
      </w:r>
    </w:p>
    <w:p>
      <w:pPr>
        <w:spacing w:after="0" w:line="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1E1E1E"/>
        </w:rPr>
        <w:t>Following completion of the clinical trials, data is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to ensure product quality and other relevant data. In short, the NDA is a request for approval to market the drug in the United States for one or more specified indications and must contain proof of safety and efficacy for a drug.</w:t>
      </w:r>
    </w:p>
    <w:p>
      <w:pPr>
        <w:spacing w:after="0" w:line="16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1E1E1E"/>
        </w:rPr>
        <w:t>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legally marketed in the United States.</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1E1E1E"/>
        </w:rPr>
        <w:t>Under the Prescription Drug User Fee Act, or PDUFA, as amended, each NDA must be accompanied by a user fee. FDA adjusts the PDUFA user fees on an annual basis. PDUFA also imposes an annual program fee for each marketed human drug.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80"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1E1E1E"/>
        </w:rPr>
        <w:t>The FDA reviews all submitted NDAs before it accepts them for filing and may request additional information rather than accepting the NDA for filing. The FDA must make a decision on accepting an NDA for filing within 60 days of receipt. Once the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89" w:lineRule="auto"/>
        <w:rPr>
          <w:sz w:val="20"/>
          <w:szCs w:val="20"/>
          <w:color w:val="auto"/>
        </w:rPr>
      </w:pPr>
      <w:r>
        <w:rPr>
          <w:rFonts w:ascii="Arial" w:cs="Arial" w:eastAsia="Arial" w:hAnsi="Arial"/>
          <w:sz w:val="16"/>
          <w:szCs w:val="16"/>
          <w:color w:val="1E1E1E"/>
        </w:rPr>
        <w:t>submission is accepted for filing, the FDA begins an in-depth review of the NDA. Under the goals and policies agreed to by the FDA under PDUFA, the FDA has ten months, from the filing date, in which to complete its initial review of a new molecular-entity NDA and respond to the applicant, and six months from the filing date of a new molecular-entity NDA designated for priority review. The FDA does not always meet its PDUFA goal dates for standard and priority NDAs, and the review process is often extended by FDA requests for additional information or clarification.</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6"/>
          <w:szCs w:val="16"/>
          <w:color w:val="1E1E1E"/>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additional pivotal Phase 3 clinical trial(s) and/or other significant and time-consuming requirements related to clinical trials, preclinical studies and/or manufacturing.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 Further, FDA’s “real-time” release of newly issued Complete Response Letters associated with withdrawn or abandoned applications, if applicable to any of our product candidates, can materially impact our business and competitive advantage.</w:t>
      </w:r>
    </w:p>
    <w:p>
      <w:pPr>
        <w:spacing w:after="0" w:line="184"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1E1E1E"/>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6"/>
          <w:szCs w:val="16"/>
          <w:color w:val="1E1E1E"/>
        </w:rPr>
        <w:t>The Best Pharmaceuticals for Children Act, or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Orphan Drugs</w:t>
      </w:r>
    </w:p>
    <w:p>
      <w:pPr>
        <w:spacing w:after="0" w:line="7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1E1E1E"/>
        </w:rPr>
        <w:t>Under the Orphan Drug Act, the FDA may grant an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0"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1E1E1E"/>
        </w:rPr>
        <w:t>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65"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1E1E1E"/>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1E1E1E"/>
        </w:rPr>
        <w:t>seeking approval, or if a drug candidate is determined to be contained within the scope of the competitor’s product for the same indication. If one of our products designated as an orphan drug receives marketing approval for an indication broader than that which is designated, it may not be entitled to orphan drug exclusivity. Orphan drug status in the European Union has similar, but not identical, requirements and benefits.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Expedited Development and Review Programs</w:t>
      </w:r>
    </w:p>
    <w:p>
      <w:pPr>
        <w:spacing w:after="0" w:line="7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E1E1E"/>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approval, but ideally no later than the pre-NDA meeting with the FDA.</w:t>
      </w:r>
    </w:p>
    <w:p>
      <w:pPr>
        <w:spacing w:after="0" w:line="188"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1E1E1E"/>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1E1E1E"/>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which is reasonably likely to predict an effect on IMM or other clinical benefit. As a condition of approval, the FDA may require that a sponsor of a drug receiving accelerated approval perform adequate and well-controlled post-marketing clinical trials. FDA may withdraw drug approval or require changes to the labeled indication of the drug if confirmatory post-market trials fail to verify clinical benefit or do not demonstrate sufficient clinical benefit to justify the risks associated with the drug. If the FDA concludes that a drug shown to be effective can be safely used only if distribution or use is restricted, it may require such post-marketing restrictions as it deems necessary to assure safe use of the product.</w:t>
      </w:r>
    </w:p>
    <w:p>
      <w:pPr>
        <w:spacing w:after="0" w:line="179"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Additionally, a drug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designations do not change the standards for approval, but may expedite the development or approval process.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Post-approval Requirements</w:t>
      </w:r>
    </w:p>
    <w:p>
      <w:pPr>
        <w:spacing w:after="0" w:line="77"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1E1E1E"/>
        </w:rPr>
        <w:t>Following approval of a new product, the manufacturer and the approved product are subject to continuing regulation by the FDA, including, among other things, monitoring and record-keeping requirements, requirements to report adverse events and comply with promotion and advertising requirements, which include restrictions on promoting drugs for unapproved uses or patient populations, known as “off-label promotion,”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74"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1E1E1E"/>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1E1E1E"/>
        </w:rPr>
        <w:t>FDA regulations require that products be manufactured in specific approved facilities and in accordance with cGMP regulations.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1E1E1E"/>
        </w:rPr>
        <w:t>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its manufacturer or the NDA holder, including recalls.</w:t>
      </w:r>
    </w:p>
    <w:p>
      <w:pPr>
        <w:spacing w:after="0" w:line="179"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1E1E1E"/>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88"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16"/>
          <w:szCs w:val="16"/>
          <w:color w:val="1E1E1E"/>
        </w:rPr>
      </w:pPr>
      <w:r>
        <w:rPr>
          <w:rFonts w:ascii="Arial" w:cs="Arial" w:eastAsia="Arial" w:hAnsi="Arial"/>
          <w:sz w:val="16"/>
          <w:szCs w:val="16"/>
          <w:color w:val="1E1E1E"/>
        </w:rPr>
        <w:t>restrictions on the marketing or manufacturing of the product, complete withdrawal of the product from the market, or product recalls;</w:t>
      </w:r>
    </w:p>
    <w:p>
      <w:pPr>
        <w:spacing w:after="0" w:line="72" w:lineRule="exact"/>
        <w:rPr>
          <w:rFonts w:ascii="Arial" w:cs="Arial" w:eastAsia="Arial" w:hAnsi="Arial"/>
          <w:sz w:val="16"/>
          <w:szCs w:val="16"/>
          <w:color w:val="1E1E1E"/>
        </w:rPr>
      </w:pPr>
    </w:p>
    <w:p>
      <w:pPr>
        <w:ind w:left="640" w:hanging="308"/>
        <w:spacing w:after="0"/>
        <w:tabs>
          <w:tab w:leader="none" w:pos="640" w:val="left"/>
        </w:tabs>
        <w:numPr>
          <w:ilvl w:val="0"/>
          <w:numId w:val="58"/>
        </w:numPr>
        <w:rPr>
          <w:rFonts w:ascii="Arial" w:cs="Arial" w:eastAsia="Arial" w:hAnsi="Arial"/>
          <w:sz w:val="16"/>
          <w:szCs w:val="16"/>
          <w:color w:val="1E1E1E"/>
        </w:rPr>
      </w:pPr>
      <w:r>
        <w:rPr>
          <w:rFonts w:ascii="Arial" w:cs="Arial" w:eastAsia="Arial" w:hAnsi="Arial"/>
          <w:sz w:val="16"/>
          <w:szCs w:val="16"/>
          <w:color w:val="1E1E1E"/>
        </w:rPr>
        <w:t>fines, warning letters, or holds on post-approval clinical studies;</w:t>
      </w:r>
    </w:p>
    <w:p>
      <w:pPr>
        <w:spacing w:after="0" w:line="86" w:lineRule="exact"/>
        <w:rPr>
          <w:rFonts w:ascii="Arial" w:cs="Arial" w:eastAsia="Arial" w:hAnsi="Arial"/>
          <w:sz w:val="16"/>
          <w:szCs w:val="16"/>
          <w:color w:val="1E1E1E"/>
        </w:rPr>
      </w:pPr>
    </w:p>
    <w:p>
      <w:pPr>
        <w:ind w:left="640" w:hanging="308"/>
        <w:spacing w:after="0"/>
        <w:tabs>
          <w:tab w:leader="none" w:pos="640" w:val="left"/>
        </w:tabs>
        <w:numPr>
          <w:ilvl w:val="0"/>
          <w:numId w:val="58"/>
        </w:numPr>
        <w:rPr>
          <w:rFonts w:ascii="Arial" w:cs="Arial" w:eastAsia="Arial" w:hAnsi="Arial"/>
          <w:sz w:val="16"/>
          <w:szCs w:val="16"/>
          <w:color w:val="1E1E1E"/>
        </w:rPr>
      </w:pPr>
      <w:r>
        <w:rPr>
          <w:rFonts w:ascii="Arial" w:cs="Arial" w:eastAsia="Arial" w:hAnsi="Arial"/>
          <w:sz w:val="16"/>
          <w:szCs w:val="16"/>
          <w:color w:val="1E1E1E"/>
        </w:rPr>
        <w:t>refusal of the FDA to approve pending applications or supplements to approved applications;</w:t>
      </w:r>
    </w:p>
    <w:p>
      <w:pPr>
        <w:spacing w:after="0" w:line="86" w:lineRule="exact"/>
        <w:rPr>
          <w:rFonts w:ascii="Arial" w:cs="Arial" w:eastAsia="Arial" w:hAnsi="Arial"/>
          <w:sz w:val="16"/>
          <w:szCs w:val="16"/>
          <w:color w:val="1E1E1E"/>
        </w:rPr>
      </w:pPr>
    </w:p>
    <w:p>
      <w:pPr>
        <w:ind w:left="640" w:hanging="308"/>
        <w:spacing w:after="0"/>
        <w:tabs>
          <w:tab w:leader="none" w:pos="640" w:val="left"/>
        </w:tabs>
        <w:numPr>
          <w:ilvl w:val="0"/>
          <w:numId w:val="58"/>
        </w:numPr>
        <w:rPr>
          <w:rFonts w:ascii="Arial" w:cs="Arial" w:eastAsia="Arial" w:hAnsi="Arial"/>
          <w:sz w:val="16"/>
          <w:szCs w:val="16"/>
          <w:color w:val="1E1E1E"/>
        </w:rPr>
      </w:pPr>
      <w:r>
        <w:rPr>
          <w:rFonts w:ascii="Arial" w:cs="Arial" w:eastAsia="Arial" w:hAnsi="Arial"/>
          <w:sz w:val="16"/>
          <w:szCs w:val="16"/>
          <w:color w:val="1E1E1E"/>
        </w:rPr>
        <w:t>suspension or revocation of product approvals;</w:t>
      </w:r>
    </w:p>
    <w:p>
      <w:pPr>
        <w:spacing w:after="0" w:line="72" w:lineRule="exact"/>
        <w:rPr>
          <w:rFonts w:ascii="Arial" w:cs="Arial" w:eastAsia="Arial" w:hAnsi="Arial"/>
          <w:sz w:val="16"/>
          <w:szCs w:val="16"/>
          <w:color w:val="1E1E1E"/>
        </w:rPr>
      </w:pPr>
    </w:p>
    <w:p>
      <w:pPr>
        <w:ind w:left="640" w:hanging="308"/>
        <w:spacing w:after="0"/>
        <w:tabs>
          <w:tab w:leader="none" w:pos="640" w:val="left"/>
        </w:tabs>
        <w:numPr>
          <w:ilvl w:val="0"/>
          <w:numId w:val="58"/>
        </w:numPr>
        <w:rPr>
          <w:rFonts w:ascii="Arial" w:cs="Arial" w:eastAsia="Arial" w:hAnsi="Arial"/>
          <w:sz w:val="16"/>
          <w:szCs w:val="16"/>
          <w:color w:val="1E1E1E"/>
        </w:rPr>
      </w:pPr>
      <w:r>
        <w:rPr>
          <w:rFonts w:ascii="Arial" w:cs="Arial" w:eastAsia="Arial" w:hAnsi="Arial"/>
          <w:sz w:val="16"/>
          <w:szCs w:val="16"/>
          <w:color w:val="1E1E1E"/>
        </w:rPr>
        <w:t>product seizure or detention;</w:t>
      </w:r>
    </w:p>
    <w:p>
      <w:pPr>
        <w:spacing w:after="0" w:line="86" w:lineRule="exact"/>
        <w:rPr>
          <w:rFonts w:ascii="Arial" w:cs="Arial" w:eastAsia="Arial" w:hAnsi="Arial"/>
          <w:sz w:val="16"/>
          <w:szCs w:val="16"/>
          <w:color w:val="1E1E1E"/>
        </w:rPr>
      </w:pPr>
    </w:p>
    <w:p>
      <w:pPr>
        <w:ind w:left="640" w:hanging="308"/>
        <w:spacing w:after="0"/>
        <w:tabs>
          <w:tab w:leader="none" w:pos="640" w:val="left"/>
        </w:tabs>
        <w:numPr>
          <w:ilvl w:val="0"/>
          <w:numId w:val="58"/>
        </w:numPr>
        <w:rPr>
          <w:rFonts w:ascii="Arial" w:cs="Arial" w:eastAsia="Arial" w:hAnsi="Arial"/>
          <w:sz w:val="16"/>
          <w:szCs w:val="16"/>
          <w:color w:val="1E1E1E"/>
        </w:rPr>
      </w:pPr>
      <w:r>
        <w:rPr>
          <w:rFonts w:ascii="Arial" w:cs="Arial" w:eastAsia="Arial" w:hAnsi="Arial"/>
          <w:sz w:val="16"/>
          <w:szCs w:val="16"/>
          <w:color w:val="1E1E1E"/>
        </w:rPr>
        <w:t>refusal to permit the import or export of products; or</w:t>
      </w:r>
    </w:p>
    <w:p>
      <w:pPr>
        <w:spacing w:after="0" w:line="72" w:lineRule="exact"/>
        <w:rPr>
          <w:rFonts w:ascii="Arial" w:cs="Arial" w:eastAsia="Arial" w:hAnsi="Arial"/>
          <w:sz w:val="16"/>
          <w:szCs w:val="16"/>
          <w:color w:val="1E1E1E"/>
        </w:rPr>
      </w:pPr>
    </w:p>
    <w:p>
      <w:pPr>
        <w:ind w:left="640" w:hanging="308"/>
        <w:spacing w:after="0"/>
        <w:tabs>
          <w:tab w:leader="none" w:pos="640" w:val="left"/>
        </w:tabs>
        <w:numPr>
          <w:ilvl w:val="0"/>
          <w:numId w:val="58"/>
        </w:numPr>
        <w:rPr>
          <w:rFonts w:ascii="Arial" w:cs="Arial" w:eastAsia="Arial" w:hAnsi="Arial"/>
          <w:sz w:val="16"/>
          <w:szCs w:val="16"/>
          <w:color w:val="1E1E1E"/>
        </w:rPr>
      </w:pPr>
      <w:r>
        <w:rPr>
          <w:rFonts w:ascii="Arial" w:cs="Arial" w:eastAsia="Arial" w:hAnsi="Arial"/>
          <w:sz w:val="16"/>
          <w:szCs w:val="16"/>
          <w:color w:val="1E1E1E"/>
        </w:rPr>
        <w:t>injunctions or the imposition of civil or criminal penalties.</w:t>
      </w:r>
    </w:p>
    <w:p>
      <w:pPr>
        <w:spacing w:after="0" w:line="248" w:lineRule="exact"/>
        <w:rPr>
          <w:sz w:val="20"/>
          <w:szCs w:val="20"/>
          <w:color w:val="auto"/>
        </w:rPr>
      </w:pPr>
    </w:p>
    <w:p>
      <w:pPr>
        <w:jc w:val="both"/>
        <w:ind w:right="320"/>
        <w:spacing w:after="0" w:line="292" w:lineRule="auto"/>
        <w:rPr>
          <w:sz w:val="20"/>
          <w:szCs w:val="20"/>
          <w:color w:val="auto"/>
        </w:rPr>
      </w:pPr>
      <w:r>
        <w:rPr>
          <w:rFonts w:ascii="Arial" w:cs="Arial" w:eastAsia="Arial" w:hAnsi="Arial"/>
          <w:sz w:val="16"/>
          <w:szCs w:val="16"/>
          <w:color w:val="1E1E1E"/>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FDA Regulation of Companion Diagnostics</w:t>
      </w:r>
    </w:p>
    <w:p>
      <w:pPr>
        <w:spacing w:after="0" w:line="77"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1E1E1E"/>
        </w:rPr>
        <w:t>Safe and effective use of a therapeutic product may rely upon an in vitro companion diagnostic for use in selecting the patients that will be more likely to respond to that therapy. If an in vitro diagnostic is essential to the safe and effective use of the therapeutic product and if the manufacturer wishes to market or distribute such diagnostic for use as a companion diagnostic, then the FDA will require separate approval or clearance of the diagnostic as a companion diagnostic to the therapeutic product. According to FDA guidance, an unapproved or uncleared companion diagnostic device used to make treatment decisions in clinical trials of a drug generally will be considered an investigational medical device unless it is employed for an intended use for which the device is already approved or cleared. If used to make critical treatment decisions, such as patient selection, the diagnostic device generally will likely be considered a significant-risk device, which requires the sponsor to obtain an Investigational Device Exemption, or IDE, from FDA before commencing any testing in humans. The sponsor of a significant-risk diagnostic device will be required to comply with the IDE regulations for clinical studies involving the investigational diagnostic device. According to the guidance, if a diagnostic device and a drug are to be studied together to support their respective approvals, both products can be studied in the same clinical trial, if the trial meets both the requirements of the IDE regulations and the IND regulations. The guidance provides that depending on the details of the clinical trial protocol, the investigational product(s), and subjects involved, a sponsor may seek to submit an IDE alone (e.g. if the drug has already been approved by FDA and is used consistent with its approved labeling), or both an IND and an IDE.</w:t>
      </w:r>
    </w:p>
    <w:p>
      <w:pPr>
        <w:spacing w:after="0" w:line="19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1E1E1E"/>
        </w:rPr>
        <w:t>Pursuing FDA approval/clearance of an in vitro companion diagnostic would require either a pre-market notification, also called 510(k) clearance, or a pre-market approval, or PMA, or a de novo classification for that diagnostic. The review of companion diagnostics involves coordination of review with the FDA’s Center for Devices and Radiological Health.</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510(k) Clearance Process</w:t>
      </w:r>
    </w:p>
    <w:p>
      <w:pPr>
        <w:spacing w:after="0" w:line="77"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12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1E1E1E"/>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De Novo Classification Process</w:t>
      </w:r>
    </w:p>
    <w:p>
      <w:pPr>
        <w:spacing w:after="0" w:line="7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1E1E1E"/>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a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200" w:lineRule="exact"/>
        <w:rPr>
          <w:sz w:val="20"/>
          <w:szCs w:val="20"/>
          <w:color w:val="auto"/>
        </w:rPr>
      </w:pPr>
    </w:p>
    <w:p>
      <w:pPr>
        <w:spacing w:after="0" w:line="204" w:lineRule="exact"/>
        <w:rPr>
          <w:sz w:val="20"/>
          <w:szCs w:val="20"/>
          <w:color w:val="auto"/>
        </w:rPr>
      </w:pPr>
    </w:p>
    <w:p>
      <w:pPr>
        <w:spacing w:after="0" w:line="304" w:lineRule="auto"/>
        <w:rPr>
          <w:sz w:val="20"/>
          <w:szCs w:val="20"/>
          <w:color w:val="auto"/>
        </w:rPr>
      </w:pPr>
      <w:r>
        <w:rPr>
          <w:rFonts w:ascii="Arial" w:cs="Arial" w:eastAsia="Arial" w:hAnsi="Arial"/>
          <w:sz w:val="16"/>
          <w:szCs w:val="16"/>
          <w:color w:val="1E1E1E"/>
        </w:rPr>
        <w:t>Obtaining FDA marketing authorization, de novo down-classification, or approval for medical devices is expensive and uncertain, may take several years and generally requires significant scientific and clinical data.</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PMA Process</w:t>
      </w:r>
    </w:p>
    <w:p>
      <w:pPr>
        <w:spacing w:after="0" w:line="77" w:lineRule="exact"/>
        <w:rPr>
          <w:sz w:val="20"/>
          <w:szCs w:val="20"/>
          <w:color w:val="auto"/>
        </w:rPr>
      </w:pPr>
    </w:p>
    <w:p>
      <w:pPr>
        <w:spacing w:after="0" w:line="279" w:lineRule="auto"/>
        <w:rPr>
          <w:sz w:val="20"/>
          <w:szCs w:val="20"/>
          <w:color w:val="auto"/>
        </w:rPr>
      </w:pPr>
      <w:r>
        <w:rPr>
          <w:rFonts w:ascii="Arial" w:cs="Arial" w:eastAsia="Arial" w:hAnsi="Arial"/>
          <w:sz w:val="16"/>
          <w:szCs w:val="16"/>
          <w:color w:val="1E1E1E"/>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As part of the PMA review, the FDA will typically inspect the manufacturer’s facilities for compliance with the Quality Management System Regulation, or QSMR, which went into effect in February 2026, replacing the former Quality System Regulation. The QSMR imposes extensive testing, control, documentation and other quality assurance and GMP requirements.</w:t>
      </w:r>
    </w:p>
    <w:p>
      <w:pPr>
        <w:spacing w:after="0" w:line="192"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1E1E1E"/>
        </w:rPr>
        <w:t>After a device is placed on the market, it remains subject to significant regulatory requirements. Among other requirements, medical devices may be marketed only for the uses and indications for which they are cleared or approved, device manufacturers must establish registration and device listings with the FDA and a medical device manufacturer’s manufacturing processes and those of its suppliers are required to comply with the applicable portions of the QSMR, which cover the methods and documentation of the design, testing, production, processes, controls, quality assurance, labeling, packaging and shipping of medical devices. Domestic facility records and manufacturing processes are subject to periodic unscheduled inspections by the FDA and the FDA also may inspect foreign facilities that export products to the U.S.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1E1E1E"/>
        </w:rPr>
        <w:t>Other U.S. Regulatory Matters</w:t>
      </w:r>
    </w:p>
    <w:p>
      <w:pPr>
        <w:spacing w:after="0" w:line="248" w:lineRule="exact"/>
        <w:rPr>
          <w:sz w:val="20"/>
          <w:szCs w:val="20"/>
          <w:color w:val="auto"/>
        </w:rPr>
      </w:pPr>
    </w:p>
    <w:p>
      <w:pPr>
        <w:ind w:left="660" w:right="20" w:hanging="328"/>
        <w:spacing w:after="0" w:line="280" w:lineRule="auto"/>
        <w:tabs>
          <w:tab w:leader="none" w:pos="649" w:val="left"/>
        </w:tabs>
        <w:numPr>
          <w:ilvl w:val="0"/>
          <w:numId w:val="59"/>
        </w:numPr>
        <w:rPr>
          <w:rFonts w:ascii="Arial" w:cs="Arial" w:eastAsia="Arial" w:hAnsi="Arial"/>
          <w:sz w:val="16"/>
          <w:szCs w:val="16"/>
          <w:color w:val="1E1E1E"/>
        </w:rPr>
      </w:pPr>
      <w:r>
        <w:rPr>
          <w:rFonts w:ascii="Arial" w:cs="Arial" w:eastAsia="Arial" w:hAnsi="Arial"/>
          <w:sz w:val="16"/>
          <w:szCs w:val="16"/>
          <w:color w:val="1E1E1E"/>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state and foreign healthcare laws and regulations that may affect our ability to operate include, but are not limited to: 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ACA (as defined below) provides that the government may assert that a claim including items or services resulting from a violation of the federal Anti-Kickback Statute constitutes a false or fraudulent claim for purposes of the civil False Claims Act;</w:t>
      </w:r>
    </w:p>
    <w:p>
      <w:pPr>
        <w:spacing w:after="0" w:line="12" w:lineRule="exact"/>
        <w:rPr>
          <w:rFonts w:ascii="Arial" w:cs="Arial" w:eastAsia="Arial" w:hAnsi="Arial"/>
          <w:sz w:val="16"/>
          <w:szCs w:val="16"/>
          <w:color w:val="1E1E1E"/>
        </w:rPr>
      </w:pPr>
    </w:p>
    <w:p>
      <w:pPr>
        <w:ind w:left="660" w:right="340" w:hanging="328"/>
        <w:spacing w:after="0" w:line="292" w:lineRule="auto"/>
        <w:tabs>
          <w:tab w:leader="none" w:pos="649" w:val="left"/>
        </w:tabs>
        <w:numPr>
          <w:ilvl w:val="0"/>
          <w:numId w:val="59"/>
        </w:numPr>
        <w:rPr>
          <w:rFonts w:ascii="Arial" w:cs="Arial" w:eastAsia="Arial" w:hAnsi="Arial"/>
          <w:sz w:val="16"/>
          <w:szCs w:val="16"/>
          <w:color w:val="1E1E1E"/>
        </w:rPr>
      </w:pPr>
      <w:r>
        <w:rPr>
          <w:rFonts w:ascii="Arial" w:cs="Arial" w:eastAsia="Arial" w:hAnsi="Arial"/>
          <w:sz w:val="16"/>
          <w:szCs w:val="16"/>
          <w:color w:val="1E1E1E"/>
        </w:rPr>
        <w:t>The federal criminal False Claims Act and Civil Monetary Penalties Laws, and the civil False Claims Act that can be enforced by private citizens through civil whistleblower or qui tam actions, prohibit individuals or entities from, among other things, knowingly presenting, or causing to be presented, to the federal government, claims for payment that are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right="120"/>
        <w:spacing w:after="0" w:line="308" w:lineRule="auto"/>
        <w:rPr>
          <w:sz w:val="20"/>
          <w:szCs w:val="20"/>
          <w:color w:val="auto"/>
        </w:rPr>
      </w:pPr>
      <w:r>
        <w:rPr>
          <w:rFonts w:ascii="Arial" w:cs="Arial" w:eastAsia="Arial" w:hAnsi="Arial"/>
          <w:sz w:val="16"/>
          <w:szCs w:val="16"/>
          <w:color w:val="1E1E1E"/>
        </w:rPr>
        <w:t>false or fraudulent or making a false statement to avoid, decrease or conceal an obligation to pay money to the federal government and/or impose exclusions from federal health care programs and/or penalties for parties who engage in such prohibited conduct;</w:t>
      </w:r>
    </w:p>
    <w:p>
      <w:pPr>
        <w:ind w:left="660" w:right="560" w:hanging="328"/>
        <w:spacing w:after="0" w:line="308" w:lineRule="auto"/>
        <w:tabs>
          <w:tab w:leader="none" w:pos="649" w:val="left"/>
        </w:tabs>
        <w:numPr>
          <w:ilvl w:val="0"/>
          <w:numId w:val="60"/>
        </w:numPr>
        <w:rPr>
          <w:rFonts w:ascii="Arial" w:cs="Arial" w:eastAsia="Arial" w:hAnsi="Arial"/>
          <w:sz w:val="16"/>
          <w:szCs w:val="16"/>
          <w:color w:val="1E1E1E"/>
        </w:rPr>
      </w:pPr>
      <w:r>
        <w:rPr>
          <w:rFonts w:ascii="Arial" w:cs="Arial" w:eastAsia="Arial" w:hAnsi="Arial"/>
          <w:sz w:val="16"/>
          <w:szCs w:val="16"/>
          <w:color w:val="1E1E1E"/>
        </w:rPr>
        <w:t>The Federal Health Insurance Portability and Accountability Act of 1996, or HIPAA, prohibits, among other things, executing or attempting to execute a scheme to defraud any healthcare benefit program or making false statements relating to healthcare matters;</w:t>
      </w:r>
    </w:p>
    <w:p>
      <w:pPr>
        <w:ind w:left="660" w:right="260" w:hanging="328"/>
        <w:spacing w:after="0" w:line="289" w:lineRule="auto"/>
        <w:tabs>
          <w:tab w:leader="none" w:pos="649" w:val="left"/>
        </w:tabs>
        <w:numPr>
          <w:ilvl w:val="0"/>
          <w:numId w:val="60"/>
        </w:numPr>
        <w:rPr>
          <w:rFonts w:ascii="Arial" w:cs="Arial" w:eastAsia="Arial" w:hAnsi="Arial"/>
          <w:sz w:val="16"/>
          <w:szCs w:val="16"/>
          <w:color w:val="1E1E1E"/>
        </w:rPr>
      </w:pPr>
      <w:r>
        <w:rPr>
          <w:rFonts w:ascii="Arial" w:cs="Arial" w:eastAsia="Arial" w:hAnsi="Arial"/>
          <w:sz w:val="16"/>
          <w:szCs w:val="16"/>
          <w:color w:val="1E1E1E"/>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including mandatory contractual terms, with respect to safeguarding the privacy, security and transmission of individually identifiable health information;</w:t>
      </w:r>
    </w:p>
    <w:p>
      <w:pPr>
        <w:spacing w:after="0" w:line="18" w:lineRule="exact"/>
        <w:rPr>
          <w:rFonts w:ascii="Arial" w:cs="Arial" w:eastAsia="Arial" w:hAnsi="Arial"/>
          <w:sz w:val="16"/>
          <w:szCs w:val="16"/>
          <w:color w:val="1E1E1E"/>
        </w:rPr>
      </w:pPr>
    </w:p>
    <w:p>
      <w:pPr>
        <w:ind w:left="660" w:right="760" w:hanging="328"/>
        <w:spacing w:after="0" w:line="304" w:lineRule="auto"/>
        <w:tabs>
          <w:tab w:leader="none" w:pos="649" w:val="left"/>
        </w:tabs>
        <w:numPr>
          <w:ilvl w:val="0"/>
          <w:numId w:val="60"/>
        </w:numPr>
        <w:rPr>
          <w:rFonts w:ascii="Arial" w:cs="Arial" w:eastAsia="Arial" w:hAnsi="Arial"/>
          <w:sz w:val="16"/>
          <w:szCs w:val="16"/>
          <w:color w:val="1E1E1E"/>
        </w:rPr>
      </w:pPr>
      <w:r>
        <w:rPr>
          <w:rFonts w:ascii="Arial" w:cs="Arial" w:eastAsia="Arial" w:hAnsi="Arial"/>
          <w:sz w:val="16"/>
          <w:szCs w:val="16"/>
          <w:color w:val="1E1E1E"/>
        </w:rPr>
        <w:t>federal consumer protection and unfair competition laws, which broadly regulate marketplace activities and activities that potentially harm consumers;</w:t>
      </w:r>
    </w:p>
    <w:p>
      <w:pPr>
        <w:spacing w:after="0" w:line="6" w:lineRule="exact"/>
        <w:rPr>
          <w:rFonts w:ascii="Arial" w:cs="Arial" w:eastAsia="Arial" w:hAnsi="Arial"/>
          <w:sz w:val="16"/>
          <w:szCs w:val="16"/>
          <w:color w:val="1E1E1E"/>
        </w:rPr>
      </w:pPr>
    </w:p>
    <w:p>
      <w:pPr>
        <w:ind w:left="640" w:hanging="308"/>
        <w:spacing w:after="0"/>
        <w:tabs>
          <w:tab w:leader="none" w:pos="640" w:val="left"/>
        </w:tabs>
        <w:numPr>
          <w:ilvl w:val="0"/>
          <w:numId w:val="60"/>
        </w:numPr>
        <w:rPr>
          <w:rFonts w:ascii="Arial" w:cs="Arial" w:eastAsia="Arial" w:hAnsi="Arial"/>
          <w:sz w:val="16"/>
          <w:szCs w:val="16"/>
          <w:color w:val="1E1E1E"/>
        </w:rPr>
      </w:pPr>
      <w:r>
        <w:rPr>
          <w:rFonts w:ascii="Arial" w:cs="Arial" w:eastAsia="Arial" w:hAnsi="Arial"/>
          <w:sz w:val="16"/>
          <w:szCs w:val="16"/>
          <w:color w:val="1E1E1E"/>
        </w:rPr>
        <w:t>the FD&amp;C Act, which prohibits, among other things, the adulteration or misbranding of drugs, biologics and medical devices;</w:t>
      </w:r>
    </w:p>
    <w:p>
      <w:pPr>
        <w:spacing w:after="0" w:line="86" w:lineRule="exact"/>
        <w:rPr>
          <w:rFonts w:ascii="Arial" w:cs="Arial" w:eastAsia="Arial" w:hAnsi="Arial"/>
          <w:sz w:val="16"/>
          <w:szCs w:val="16"/>
          <w:color w:val="1E1E1E"/>
        </w:rPr>
      </w:pPr>
    </w:p>
    <w:p>
      <w:pPr>
        <w:ind w:left="660" w:right="60" w:hanging="328"/>
        <w:spacing w:after="0" w:line="282" w:lineRule="auto"/>
        <w:tabs>
          <w:tab w:leader="none" w:pos="649" w:val="left"/>
        </w:tabs>
        <w:numPr>
          <w:ilvl w:val="0"/>
          <w:numId w:val="60"/>
        </w:numPr>
        <w:rPr>
          <w:rFonts w:ascii="Arial" w:cs="Arial" w:eastAsia="Arial" w:hAnsi="Arial"/>
          <w:sz w:val="16"/>
          <w:szCs w:val="16"/>
          <w:color w:val="1E1E1E"/>
        </w:rPr>
      </w:pPr>
      <w:r>
        <w:rPr>
          <w:rFonts w:ascii="Arial" w:cs="Arial" w:eastAsia="Arial" w:hAnsi="Arial"/>
          <w:sz w:val="16"/>
          <w:szCs w:val="16"/>
          <w:color w:val="1E1E1E"/>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Centers for Medicare &amp; Medicaid Services, or CMS, information regarding certain payments and other transfers of value to physicians, certain non-physician healthcare professionals, and teaching hospitals as well as information regarding ownership and investment interests held by physicians and their immediate family members; and</w:t>
      </w:r>
    </w:p>
    <w:p>
      <w:pPr>
        <w:spacing w:after="0" w:line="26" w:lineRule="exact"/>
        <w:rPr>
          <w:rFonts w:ascii="Arial" w:cs="Arial" w:eastAsia="Arial" w:hAnsi="Arial"/>
          <w:sz w:val="16"/>
          <w:szCs w:val="16"/>
          <w:color w:val="1E1E1E"/>
        </w:rPr>
      </w:pPr>
    </w:p>
    <w:p>
      <w:pPr>
        <w:ind w:left="660" w:right="140" w:hanging="328"/>
        <w:spacing w:after="0" w:line="279" w:lineRule="auto"/>
        <w:tabs>
          <w:tab w:leader="none" w:pos="649" w:val="left"/>
        </w:tabs>
        <w:numPr>
          <w:ilvl w:val="0"/>
          <w:numId w:val="60"/>
        </w:numPr>
        <w:rPr>
          <w:rFonts w:ascii="Arial" w:cs="Arial" w:eastAsia="Arial" w:hAnsi="Arial"/>
          <w:sz w:val="16"/>
          <w:szCs w:val="16"/>
          <w:color w:val="1E1E1E"/>
        </w:rPr>
      </w:pPr>
      <w:r>
        <w:rPr>
          <w:rFonts w:ascii="Arial" w:cs="Arial" w:eastAsia="Arial" w:hAnsi="Arial"/>
          <w:sz w:val="16"/>
          <w:szCs w:val="16"/>
          <w:color w:val="1E1E1E"/>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and require the registration of their sales representatives, state laws that require biotechnology companies to report information on the pricing of certain drug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79" w:lineRule="exact"/>
        <w:rPr>
          <w:sz w:val="20"/>
          <w:szCs w:val="20"/>
          <w:color w:val="auto"/>
        </w:rPr>
      </w:pPr>
    </w:p>
    <w:p>
      <w:pPr>
        <w:spacing w:after="0" w:line="279" w:lineRule="auto"/>
        <w:rPr>
          <w:sz w:val="20"/>
          <w:szCs w:val="20"/>
          <w:color w:val="auto"/>
        </w:rPr>
      </w:pPr>
      <w:r>
        <w:rPr>
          <w:rFonts w:ascii="Arial" w:cs="Arial" w:eastAsia="Arial" w:hAnsi="Arial"/>
          <w:sz w:val="16"/>
          <w:szCs w:val="16"/>
          <w:color w:val="1E1E1E"/>
        </w:rPr>
        <w:t>Pricing and rebate programs must also comply with the Medicaid rebate requirements of the U.S. Omnibus Budget Reconciliation Act of 1990 and more recent requirements in the Affordable Care Act of 2010, as amended by the Health Care and Education Reconciliation Act of 2010 (collectively,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In addition, the distribution of pharmaceutical and/or medical device products is subject to additional requirements and regulations, including extensive record-keeping, licensing, storage and security requirements intended to prevent the unauthorized sale of pharmaceutical and/or medical device products. Products must meet applicable child-resistant packaging requirements under the U.S. Poison Prevention Packaging Act as well as other applicable consumer safety requirements.</w:t>
      </w:r>
    </w:p>
    <w:p>
      <w:pPr>
        <w:spacing w:after="0" w:line="192"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1E1E1E"/>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U.S. Patent-Term Restoration and Marketing Exclusivity</w:t>
      </w:r>
    </w:p>
    <w:p>
      <w:pPr>
        <w:spacing w:after="0" w:line="7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1E1E1E"/>
        </w:rPr>
        <w:t>Depending upon the timing, duration and specifics of FDA approval of any future drug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a method for using it, or a method of manufacturing it, is eligible for the extension and the application for the extension must be submitted prior to the expiration of the patent. The USPTO, in consultation with the FDA, reviews and approves the application for any patent term extension or restoration. In the future, if and when our products receive FDA approval, we may apply for restoration of patent term for our currently owned or licensed patents covering products eligible for patent term extension to add patent life beyond its current expiration date, depending on the expected length of the clinical trials and other factors involved in the filing of the relevant NDA. Similar provisions are available in Europe and certain other jurisdictions to extend the term of a patent that covers an approved drug. We may seek patent term extension for any of our issued or licensed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200" w:lineRule="exact"/>
        <w:rPr>
          <w:sz w:val="20"/>
          <w:szCs w:val="20"/>
          <w:color w:val="auto"/>
        </w:rPr>
      </w:pPr>
    </w:p>
    <w:p>
      <w:pPr>
        <w:spacing w:after="0" w:line="20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1E1E1E"/>
        </w:rPr>
        <w:t>Market exclusivity provisions under the FDCA also can delay the submission or the approval of certain applications. The FDCA provides a five-year period of non-patent marketing exclusivity within the United States to the first applicant to gain approval of an NDA for an NCE. A drug is an NCE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European Union Drug Development</w:t>
      </w:r>
    </w:p>
    <w:p>
      <w:pPr>
        <w:spacing w:after="0" w:line="77"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1E1E1E"/>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74"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1E1E1E"/>
        </w:rPr>
        <w:t>The Clinical Trials Regulation EU No 536/2014 repealed the Clinical Trials Directive No. 2001/20/EC and harmonizes the processes for assessment and supervision of clinical trials throughout the European Union. From January 31, 2023, all initial clinical trial applications in the European Union must be submitted via the Clinical Trials Information System (CTIS), which provides a single-entry point for sponsors and regulators of clinical trials for the submission and assessment of clinical trial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European Union Drug Review and Approval</w:t>
      </w:r>
    </w:p>
    <w:p>
      <w:pPr>
        <w:spacing w:after="0" w:line="7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1E1E1E"/>
        </w:rPr>
        <w:t>In the European Economic Area, or EEA, which is composed of the 28 Member States of the European Union and three European Free Trade Association States (Norway, Iceland and Liechtenstein), medicinal products can only be commercialized after obtaining a Marketing Authorization, or MA. There are two types of marketing authorizations.</w:t>
      </w:r>
    </w:p>
    <w:p>
      <w:pPr>
        <w:spacing w:after="0" w:line="179" w:lineRule="exact"/>
        <w:rPr>
          <w:sz w:val="20"/>
          <w:szCs w:val="20"/>
          <w:color w:val="auto"/>
        </w:rPr>
      </w:pPr>
    </w:p>
    <w:p>
      <w:pPr>
        <w:ind w:left="660" w:right="140" w:hanging="328"/>
        <w:spacing w:after="0" w:line="279" w:lineRule="auto"/>
        <w:tabs>
          <w:tab w:leader="none" w:pos="649" w:val="left"/>
        </w:tabs>
        <w:numPr>
          <w:ilvl w:val="0"/>
          <w:numId w:val="61"/>
        </w:numPr>
        <w:rPr>
          <w:rFonts w:ascii="Arial" w:cs="Arial" w:eastAsia="Arial" w:hAnsi="Arial"/>
          <w:sz w:val="16"/>
          <w:szCs w:val="16"/>
          <w:color w:val="1E1E1E"/>
        </w:rPr>
      </w:pPr>
      <w:r>
        <w:rPr>
          <w:rFonts w:ascii="Arial" w:cs="Arial" w:eastAsia="Arial" w:hAnsi="Arial"/>
          <w:sz w:val="16"/>
          <w:szCs w:val="16"/>
          <w:color w:val="1E1E1E"/>
        </w:rPr>
        <w:t>The Community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28" w:lineRule="exact"/>
        <w:rPr>
          <w:rFonts w:ascii="Arial" w:cs="Arial" w:eastAsia="Arial" w:hAnsi="Arial"/>
          <w:sz w:val="16"/>
          <w:szCs w:val="16"/>
          <w:color w:val="1E1E1E"/>
        </w:rPr>
      </w:pPr>
    </w:p>
    <w:p>
      <w:pPr>
        <w:ind w:left="660" w:hanging="328"/>
        <w:spacing w:after="0" w:line="279" w:lineRule="auto"/>
        <w:tabs>
          <w:tab w:leader="none" w:pos="649" w:val="left"/>
        </w:tabs>
        <w:numPr>
          <w:ilvl w:val="0"/>
          <w:numId w:val="61"/>
        </w:numPr>
        <w:rPr>
          <w:rFonts w:ascii="Arial" w:cs="Arial" w:eastAsia="Arial" w:hAnsi="Arial"/>
          <w:sz w:val="16"/>
          <w:szCs w:val="16"/>
          <w:color w:val="1E1E1E"/>
        </w:rPr>
      </w:pPr>
      <w:r>
        <w:rPr>
          <w:rFonts w:ascii="Arial" w:cs="Arial" w:eastAsia="Arial" w:hAnsi="Arial"/>
          <w:sz w:val="16"/>
          <w:szCs w:val="16"/>
          <w:color w:val="1E1E1E"/>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SOPC, and a draft of the labeling and package leaflet, which are sent to the other Member States (referred to as the Member States Concerned) for their approval. If the Member States Concerned raise no objections, based on a potential serious risk to public health, to the assessment, SOPC, labeling or packaging proposed by the RMS, the product is subsequently granted a national MA in all the Member States (i.e. in the RMS and the Member States Concerned).</w:t>
      </w:r>
    </w:p>
    <w:p>
      <w:pPr>
        <w:spacing w:after="0" w:line="39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1E1E1E"/>
        </w:rPr>
        <w:t>Under the above described procedures, before granting the MA, EMA or the competent authorities of the Member States of the EEA make an assessment of the risk-benefit balance of the product on the basis of scientific criteria concerning its quality, safety and efficacy. Similar to the U.S. patent term-restoration, Supplementary Protection Certificates, or SPCs, serve as an extension to a patent right in Europe for up to five years. SPCs apply to specific pharmaceutical products to offset the loss of patent protection due to the lengthy testing and clinical trials these products require prior to obtaining regulatory marketing approval.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Coverage and Reimbursement</w:t>
      </w:r>
    </w:p>
    <w:p>
      <w:pPr>
        <w:spacing w:after="0" w:line="77" w:lineRule="exact"/>
        <w:rPr>
          <w:sz w:val="20"/>
          <w:szCs w:val="20"/>
          <w:color w:val="auto"/>
        </w:rPr>
      </w:pPr>
    </w:p>
    <w:p>
      <w:pPr>
        <w:spacing w:after="0" w:line="279" w:lineRule="auto"/>
        <w:rPr>
          <w:sz w:val="20"/>
          <w:szCs w:val="20"/>
          <w:color w:val="auto"/>
        </w:rPr>
      </w:pPr>
      <w:r>
        <w:rPr>
          <w:rFonts w:ascii="Arial" w:cs="Arial" w:eastAsia="Arial" w:hAnsi="Arial"/>
          <w:sz w:val="16"/>
          <w:szCs w:val="16"/>
          <w:color w:val="1E1E1E"/>
        </w:rPr>
        <w:t>Sales of our products will depend, in part, on the extent to which our products will be covered by third-party payors, such as government health programs, commercial insurance and managed healthcare organizations. There is significant uncertainty related to third-party payor coverage and reimbursement of newly approved products. In the United States, for example, principal decisions about reimbursement for new products are typically made by CMS. CMS decides whether and to what extent a new product will be covered and reimbursed under Medicare, and private third-party payors often follow CMS’s decisions regarding coverage and reimbursement to a substantial degree. However, no uniform policy of coverage and reimbursement for drug products exists. Accordingly, decisions regarding the extent of coverage and amount of reimbursement to be provided for any of our products will be made on a payor-by-payor basis.</w:t>
      </w:r>
    </w:p>
    <w:p>
      <w:pPr>
        <w:spacing w:after="0" w:line="190"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1E1E1E"/>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candidates. There may be especially significant delays in obtaining coverage and reimbursement for newly approved drugs. Third-party payors may limit coverage to specific drug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79"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1E1E1E"/>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line="282" w:lineRule="auto"/>
        <w:rPr>
          <w:sz w:val="20"/>
          <w:szCs w:val="20"/>
          <w:color w:val="auto"/>
        </w:rPr>
      </w:pPr>
      <w:r>
        <w:rPr>
          <w:rFonts w:ascii="Arial" w:cs="Arial" w:eastAsia="Arial" w:hAnsi="Arial"/>
          <w:sz w:val="16"/>
          <w:szCs w:val="16"/>
          <w:color w:val="1E1E1E"/>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the price structures of the United States and generally prices tend to be significantly lower.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Healthcare Reform</w:t>
      </w:r>
    </w:p>
    <w:p>
      <w:pPr>
        <w:spacing w:after="0" w:line="77"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1E1E1E"/>
        </w:rPr>
        <w:t>The Medicare Prescription Drug, Improvement, and Modernization Act of 2003, or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payors often follow Medicare coverage policy and payment limitations in setting their own payment rates.</w:t>
      </w:r>
    </w:p>
    <w:p>
      <w:pPr>
        <w:spacing w:after="0" w:line="19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1E1E1E"/>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Patient Protection and Affordable Care Act of 2010, as amended by the Health Care and Education Reconciliation Act of 2010, or collectively, the ACA, was passed which substantially changed the way healthcare is financed by both the government and private insurers, and significantly impacts the U.S. pharmaceutical industry.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or HHS, Secretary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or AMP, to 23.1% of AMP and adding a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Additionally, 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399"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1E1E1E"/>
        </w:rPr>
        <w:t>Congress has considered legislation that would repeal or repeal and replace all or part of the ACA. While Congress has not passed comprehensive repeal legislation, two bills affecting the implementation of certain taxes under the ACA have passed.</w:t>
      </w:r>
    </w:p>
    <w:p>
      <w:pPr>
        <w:spacing w:after="0" w:line="15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E1E1E"/>
        </w:rPr>
        <w:t>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2032 unless additional congressional action is taken.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76" w:lineRule="auto"/>
        <w:rPr>
          <w:sz w:val="20"/>
          <w:szCs w:val="20"/>
          <w:color w:val="auto"/>
        </w:rPr>
      </w:pPr>
      <w:r>
        <w:rPr>
          <w:rFonts w:ascii="Arial" w:cs="Arial" w:eastAsia="Arial" w:hAnsi="Arial"/>
          <w:sz w:val="16"/>
          <w:szCs w:val="16"/>
          <w:color w:val="1E1E1E"/>
        </w:rPr>
        <w:t>Additionally,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U.S.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can have a material adverse effect on our industry, ability to set adequate pricing for new drugs to recover R&amp;D costs, ability to attract potential investors and potential buyers in the future, or the pricing of our approved product in the U.S. and in foreign countries. The impact of these legislative, executive, and administrative actions and any future healthcare measures and agency rules implemented by the current administration on us and the pharmaceutical industry as a whole is unclear. Similarly,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Available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1E1E1E"/>
        </w:rPr>
        <w:t>Our principal executive office is located at 41 S Rio Grande Street, Salt Lake City, UT 84101. Our telephone number is (385) 269-0203.</w:t>
      </w:r>
    </w:p>
    <w:p>
      <w:pPr>
        <w:spacing w:after="0" w:line="235"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1E1E1E"/>
        </w:rPr>
        <w:t>Our annual reports on Form 10-K, quarterly reports on Form 10-Q, current reports on Form 8-K and all amendments to those reports filed or furnished pursuant to Section 13(a) or 15(d) of the Securities Exchange Act of 1934, or the Exchange Act, are available free of charge on our website as soon as reasonably practicable after they are electronically filed with, or furnished to, the SEC. Our website is www.recursion.com. Investors and others should note that we announce material financial and other information to our investors using our investor relations website (https://ir.recursion.com/), SEC filings, press releases, public conference calls and webcasts. We use these 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spacing w:after="0" w:line="188" w:lineRule="exact"/>
        <w:rPr>
          <w:sz w:val="20"/>
          <w:szCs w:val="20"/>
          <w:color w:val="auto"/>
        </w:rPr>
      </w:pPr>
    </w:p>
    <w:p>
      <w:pPr>
        <w:jc w:val="both"/>
        <w:ind w:right="180"/>
        <w:spacing w:after="0" w:line="292" w:lineRule="auto"/>
        <w:rPr>
          <w:sz w:val="20"/>
          <w:szCs w:val="20"/>
          <w:color w:val="auto"/>
        </w:rPr>
      </w:pPr>
      <w:r>
        <w:rPr>
          <w:rFonts w:ascii="Arial" w:cs="Arial" w:eastAsia="Arial" w:hAnsi="Arial"/>
          <w:sz w:val="16"/>
          <w:szCs w:val="16"/>
          <w:color w:val="1E1E1E"/>
        </w:rPr>
        <w:t>This report includes citations to information published by third parties, including academic and industry research, publications, surveys, and studies. While we believe that such information is reliable, we have not separately verified such information, and such information is not a part of, and is not incorporated into, this report.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024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9202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You should carefully consider the risks and uncertainties described below, together with all of the other information contained in this Annual Report on Form 10-K and our other public filings with the SEC, before making investment decisions regarding our common stock. The risks described below are not the only risks we face. The occurrence of any of the following risks, or of additional risks and uncertainties not presently known to us or that we currently believe to be immaterial, could cause our business, prospects, operating results, and financial condition to be materially and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254" w:lineRule="exact"/>
        <w:rPr>
          <w:sz w:val="20"/>
          <w:szCs w:val="20"/>
          <w:color w:val="auto"/>
        </w:rPr>
      </w:pPr>
    </w:p>
    <w:p>
      <w:pPr>
        <w:ind w:right="680"/>
        <w:spacing w:after="0" w:line="294" w:lineRule="auto"/>
        <w:rPr>
          <w:sz w:val="20"/>
          <w:szCs w:val="20"/>
          <w:color w:val="auto"/>
        </w:rPr>
      </w:pPr>
      <w:r>
        <w:rPr>
          <w:rFonts w:ascii="Arial" w:cs="Arial" w:eastAsia="Arial" w:hAnsi="Arial"/>
          <w:sz w:val="18"/>
          <w:szCs w:val="18"/>
          <w:b w:val="1"/>
          <w:bCs w:val="1"/>
          <w:i w:val="1"/>
          <w:iCs w:val="1"/>
          <w:color w:val="auto"/>
        </w:rPr>
        <w:t>We are a clinical-stage biotechnology company with a limited operating history and no products approved by regulators for commercial sale, which may make it difficult to evaluate our current and future business prospects.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Since our inception in November 2013, we have focused substantially all of our efforts and financial resources on building our drug discovery platform and developing our initial drug candidates. All of our drug candidates are still in the discovery, preclinical development, or clinical stages. Before we can commercialize our drug candidates, they require, among other steps, clinical success; development of internal or external manufacturing capacity and marketing expertise; and regulatory approval by the U.S. Food and Drug Administration (FDA) and other applicable jurisdictions. We have no products approved for commercial sale and we can provide no assurance that we will obtain regulatory approvals to market and sell any drug products in the future. We therefore have never generated any revenue from drug product sales, and we do not expect to generate any revenue from drug product sales in the foreseeable future. Until we successfully develop and commercialize drug candidates, which may never occur, we expect to finance our operations through a combination of equity offerings, debt financings, and strategic collaborations or similar arrangements. Biopharmaceutical product development is a highly speculative undertaking and involves a substantial degree of risk. For these and other reasons discussed elsewhere in this Risk Factors section, it may be difficult to evaluate our current business and our future prospects.</w:t>
      </w:r>
    </w:p>
    <w:p>
      <w:pPr>
        <w:spacing w:after="0" w:line="211" w:lineRule="exact"/>
        <w:rPr>
          <w:sz w:val="20"/>
          <w:szCs w:val="20"/>
          <w:color w:val="auto"/>
        </w:rPr>
      </w:pPr>
    </w:p>
    <w:p>
      <w:pPr>
        <w:ind w:right="720"/>
        <w:spacing w:after="0" w:line="294"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anticipate that we will incur continued losses for the foreseeable future.</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incurred net losses in each year since our inception. We had an accumulated deficit of $2.1 billion as of December 31, 2025. Substantially all of our operating losses have resulted from costs incurred in connection with research and development efforts, including clinical studies, and from general and administrative costs associated with our operations. We expect our operating expenses to increase as we continue to invest in research and development efforts and the commencement and continuation of clinical trials of our existing and future drug candidates. We also continue to incur additional costs associated with operating as a public company. As a result, we expect to continue to incur substantial operating losses for the foreseeable future. Our prior losses, combined with expected future losses, have had, and will continue to have, an adverse effect on our stockholders’ deficit and working capital. Because of the numerous risks and uncertainties associated with developing pharmaceutical products and new technologies, we are unable to predict the extent of any future losses or when we will become profitable, if at all. Even if we do become profitable, we may not be able to sustain or increase our profitability on a quarterly or annual basis.</w:t>
      </w:r>
    </w:p>
    <w:p>
      <w:pPr>
        <w:spacing w:after="0" w:line="214"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we would be forced to delay, reduce, or eliminate at least some of our product development programs, business development plans, strategic investments, and potential commercialization efforts, and to possibly cease operations.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mission, decoding biology to radically improve lives, is broad, expensive to achieve, and will require substantial additional capital in the future. We have programs throughout the stages of development including clinical, preclinical, late discovery and early discovery. We expect to incur additional losses in connection with our ongoing activities as we continue the research and development of, initiate clinical trials of, and potentially seek marketing approval for, our current drug candidates, and as we add to our pipeline what we believe will be an accelerating number of additional programs. Preclinical and clinical testing is expensive and can take many years, so we will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need supplemental funding to complete these undertakings. If our drug candidates are eventually approved by regulators, we will require significant additional funding in order to launch and commercialize our products.</w:t>
      </w:r>
    </w:p>
    <w:p>
      <w:pPr>
        <w:spacing w:after="0" w:line="18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 but not limited to the following:</w:t>
      </w:r>
    </w:p>
    <w:p>
      <w:pPr>
        <w:spacing w:after="0" w:line="180" w:lineRule="exact"/>
        <w:rPr>
          <w:sz w:val="20"/>
          <w:szCs w:val="20"/>
          <w:color w:val="auto"/>
        </w:rPr>
      </w:pPr>
    </w:p>
    <w:p>
      <w:pPr>
        <w:ind w:left="380" w:hanging="157"/>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of drug candidates that we pursue and their development requirements;</w:t>
      </w:r>
    </w:p>
    <w:p>
      <w:pPr>
        <w:spacing w:after="0" w:line="27" w:lineRule="exact"/>
        <w:rPr>
          <w:rFonts w:ascii="Arial" w:cs="Arial" w:eastAsia="Arial" w:hAnsi="Arial"/>
          <w:sz w:val="18"/>
          <w:szCs w:val="18"/>
          <w:color w:val="auto"/>
        </w:rPr>
      </w:pPr>
    </w:p>
    <w:p>
      <w:pPr>
        <w:ind w:left="380" w:hanging="157"/>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scope, progress, results, and costs of our current and future preclinical and clinical trials;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9" w:lineRule="exact"/>
        <w:rPr>
          <w:rFonts w:ascii="Arial" w:cs="Arial" w:eastAsia="Arial" w:hAnsi="Arial"/>
          <w:sz w:val="18"/>
          <w:szCs w:val="18"/>
          <w:color w:val="auto"/>
        </w:rPr>
      </w:pPr>
    </w:p>
    <w:p>
      <w:pPr>
        <w:ind w:left="380" w:right="140" w:hanging="157"/>
        <w:spacing w:after="0" w:line="250" w:lineRule="auto"/>
        <w:tabs>
          <w:tab w:leader="none" w:pos="3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we obtain marketing approval for any current or future drug candidates, expenses related to product sales, marketing, manufacturing, and distribution;</w:t>
      </w:r>
    </w:p>
    <w:p>
      <w:pPr>
        <w:ind w:left="380" w:right="200" w:hanging="157"/>
        <w:spacing w:after="0" w:line="250" w:lineRule="auto"/>
        <w:tabs>
          <w:tab w:leader="none" w:pos="3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and other strategic arrangements on favorable terms, and the success of and timing and receipts of payments from such collaborations, licensing, and strategic arrangements;</w:t>
      </w:r>
    </w:p>
    <w:p>
      <w:pPr>
        <w:ind w:left="380" w:right="240" w:hanging="157"/>
        <w:spacing w:after="0" w:line="250" w:lineRule="auto"/>
        <w:tabs>
          <w:tab w:leader="none" w:pos="3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the operations of our manufacturers, suppliers, or other vendors, including the timing and enrollment of participants in our planned clinical trials, resulting from global supply chain issues or other force majeure events;</w:t>
      </w:r>
    </w:p>
    <w:p>
      <w:pPr>
        <w:spacing w:after="0" w:line="1" w:lineRule="exact"/>
        <w:rPr>
          <w:rFonts w:ascii="Arial" w:cs="Arial" w:eastAsia="Arial" w:hAnsi="Arial"/>
          <w:sz w:val="18"/>
          <w:szCs w:val="18"/>
          <w:color w:val="auto"/>
        </w:rPr>
      </w:pPr>
    </w:p>
    <w:p>
      <w:pPr>
        <w:ind w:left="380" w:hanging="157"/>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9" w:lineRule="exact"/>
        <w:rPr>
          <w:rFonts w:ascii="Arial" w:cs="Arial" w:eastAsia="Arial" w:hAnsi="Arial"/>
          <w:sz w:val="18"/>
          <w:szCs w:val="18"/>
          <w:color w:val="auto"/>
        </w:rPr>
      </w:pPr>
    </w:p>
    <w:p>
      <w:pPr>
        <w:ind w:left="380" w:right="300" w:hanging="157"/>
        <w:spacing w:after="0" w:line="250" w:lineRule="auto"/>
        <w:tabs>
          <w:tab w:leader="none" w:pos="3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and other applications covering our intellectual property; maintaining, protecting, and enforcing our intellectual property rights; and defending intellectual property-related claims of third parties;</w:t>
      </w:r>
    </w:p>
    <w:p>
      <w:pPr>
        <w:ind w:left="380" w:right="640" w:hanging="157"/>
        <w:spacing w:after="0" w:line="250" w:lineRule="auto"/>
        <w:tabs>
          <w:tab w:leader="none" w:pos="3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business operations and our research and development activities, including into new geographies and through acquisitions;</w:t>
      </w:r>
    </w:p>
    <w:p>
      <w:pPr>
        <w:ind w:left="380" w:hanging="157"/>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increase in salaries and wages and the extension of benefits required to retain, attract and motivate qualified personnel;</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increases in costs of components necessary for our business;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any commitments to become carbon neutral by 2030 and other environmental, social and governance goals; and</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3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historically have financed our operations primarily through private placements of our capital stock, through the net proceeds from our initial public offering, and from other public offerings, including from “at-the market” offerings. We expect that our existing cash position and short-term investments as of the date of this Annual Report on Form 10-K will be sufficient to fund our operating expenses and capital expenditures for at least the next 12 months. However, identifying potential drug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drug candidates, even if approved, may not achieve commercial success. We do not anticipate that our commercial revenues, if any, will be derived from sales of products for at least several years. Accordingly, we will need to continue to rely on additional financing to achieve our business objectives, and we may need to raise substantial additional funds sooner than expected.</w:t>
      </w:r>
    </w:p>
    <w:p>
      <w:pPr>
        <w:spacing w:after="0" w:line="20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Until such time, if ever, as we can generate substantial revenues, we expect to finance our cash needs potentially through a combination of private and public equity offerings and debt financings, as well as strategic collaborations, partnerships, and licensing arrangements. We do not have any committed external source of funds other than amounts payable by Takeda Pharmaceutical Company Limited (Takeda), by Bayer AG (Bayer) by Genentech, Inc. and F. Hoffmann-La Roche Ltd (together, Roche and Genentech), Merck KGaA, Darmstadt, Germany (Merck), Sanofi S.A. (Sanofi), and a limited number of other collaborators with respect to which Recursion has a contractual relationship as a result of the business combination with Exscientia, pursuant to the collaboration agreements. Disruptions in the financial markets in general, including due to potential pandemics, U.S. debt ceiling and budget deficit concerns, and geo-political issues may make equity and debt financing more difficult to obtain. In addition, entry into certain transactions with foreign entities may be subject to government regulations, including review related to foreign direct investment by U.S. or foreign government entities, as well as certain outbound investments. If a transaction with a foreign entity were subject to regulatory review, such regulatory review might limit our ability to enter into the desired strategic alliance and thus our ability to carry out our long-term business strategy. We cannot be certain that future financing will be available in sufficient amounts or on terms acceptable to us, if at all. If we are unable to raise additional funds through equity or debt financings, or strategic collaborations or similar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arrangements, on a timely basis and satisfactory terms, we may be required to significantly curtail, delay, or discontinue one or more of our research and development programs or the future commercialization of any drug candidate, or we may be unable to expand our operations or otherwise capitalize on our business opportunities as desired. Any of these circumstances could materially and adversely affect our business and results of operations and may cause us to cease operations.</w:t>
      </w:r>
    </w:p>
    <w:p>
      <w:pPr>
        <w:spacing w:after="0" w:line="205"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Raising additional capital and issuing additional securities may cause dilution to our stockholders, restrict our operations, require us to relinquish rights to our technologies or drug candidates, and divert management’s attention from our core business.</w:t>
      </w:r>
    </w:p>
    <w:p>
      <w:pPr>
        <w:spacing w:after="0" w:line="16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terms of any financing we obtain may adversely affect the holdings or rights of our stockholders, and the issuance of additional securities, whether equity or debt, or the possibility of such issuance, may cause the market price of our shares to decline. To the extent that we raise additional capital or otherwise issue additional securities through the sale of Class A common stock or securities convertible or exchangeable into Class A common stock, our stockholders’ ownership interests will be diluted.</w:t>
      </w:r>
    </w:p>
    <w:p>
      <w:pPr>
        <w:spacing w:after="0" w:line="20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example, we have from time to time raised capital through the issuance of shares of Class A common stock in public offerings, private placements, and “at-the-market” offerings and may do so in the future. In February 2026, we entered into a sales agreement for an at-the-market offering for the sale of up to $300 million in Class A common stock (see “Part II - Item 9B - Other Information” for further details). In addition to capital raising issuances, in connection with the acquisitions of Cyclica Inc. (Cyclica) and Valence Discovery Inc. (Valence) in May 2023, we issued 12.4 million shares of our Class A common stock or securities convertible or exchangeable into Class A common stock; in November 2024, we issued approximately 102.1 million shares of our Class A common stock in connection with our business combination with Exscientia plc (Exscientia); and in July and August 2025 we issued an aggregate of 3.9 million shares of our Class A common stock in connection with our purchase of RallyBio Corporation’s 50% membership interest in the ENPP1 joint venture, RE Ventures I, LLC. We have also issued shares of our Class A common stock to Tempus AI, Inc. (formerly known as Tempus Labs, Inc.) (Tempus) in payment for license fees under the terms of that certain Master Agreement entered into by and between us and Tempus (the Tempus Agreement)—including 7.1 million shares in November 2025, 3.5 million shares in December 2024, and 3.2 million shares in December 2023—and may issue additional shares in the future under the Tempus Agreement. Issuances of a substantial number of shares of our outstanding Class A common stock in the public market could occur at any time. These issuances, or the perception in the market that the holders of a large number of shares of our Class A common stock intend to sell shares, could reduce the market price of our Class A common stock.</w:t>
      </w:r>
    </w:p>
    <w:p>
      <w:pPr>
        <w:spacing w:after="0" w:line="20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Moreover, as a condition to providing additional funds to us, future investors may demand, and may be granted, favorable terms that may include liquidation, preferences, dividend payments, voting rights or other preferences that materially and adversely affect the rights of common stockholders. Debt financing, if available, would result in increased fixed payment obligations. In addition, we may be required to agree to certain restrictive covenants, which could adversely impact our ability to make capital expenditures, declare dividends, or otherwise conduct our business. We also may need to raise funds through additional strategic collaborations, partnerships, or licensing arrangements with third parties at an earlier stage than would be desirable. Such arrangements could require us to relinquish rights to some of our technologies or drug candidates, future revenue streams, or research programs, or otherwise agree to terms unfavorable to us. Fundraising efforts have the potential to divert our management’s attention from our core business or create competing priorities, which may adversely affect our ability to develop and commercialize our drug candidates and technologies.</w:t>
      </w:r>
    </w:p>
    <w:p>
      <w:pPr>
        <w:spacing w:after="0" w:line="210"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b w:val="1"/>
          <w:bCs w:val="1"/>
          <w:i w:val="1"/>
          <w:iCs w:val="1"/>
          <w:color w:val="auto"/>
        </w:rPr>
        <w:t>We may be required to repurchase for cash all, or to facilitate the purchase by a third party of all, of the shares of Class A common stock that were issued to the Bill &amp; Melinda Gates Foundation, or the Gates Foundation, in exchange for the Exscientia American Depositary Shares (ADSs) that the Gates Foundation purchased from Exscientia in an October 2021 private placement if we default under the global access commitments agreement with Exscientia, which could have an adverse impact on us.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purchase by the Gates Foundation of 1,590,909 of ADSs from Exscientia in a private placement that closed in October 2021, Exscientia entered into a Global Access Commitments Agreement, or the Global Access Agreement. In connection with our business combination with Exscientia, we issued approximately 1.2 million shares of Class A common stock in exchange for such ADSs and became subject to the Global Access Agreement. Pursuant to the Global Access Agreement, we are required to take certain actions to support the Gates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Foundation’s mission. In the event that we are in breach of certain related provisions of the Global Access Agreement, following a cure period, we may be required to repurchase for cash all, or to facilitate the purchase by a third party of all, of such shares of Class A common stock issued to the Gates Foundation in the connection with the closing of our business combination with Exscientia, at terms that may not be favorable to us. If this occurs, cash used for this purpose may adversely affect our liquidity, cause us to reduce expenditures in other areas of our business, or curtail our growth plans. If we do not have sufficient cash on hand to purchase the securities, we may have to seek financing alternatives in order to meet our obligations, and there is no certainty that financing would be available on reasonable terms or at all. During any period that we are unable to repurchase such shares of Class A common stock held by the Gates Foundation or arrange for a third party to purchase such shares, we would not likely be allowed to pay dividends, repurchase the securities of any other shareholder or otherwise make any other distribution to any of our shareholders in connection with their securities. Therefore, meeting this purchase obligation, if necessary, could have a material adverse effect on our business and financial results.</w:t>
      </w:r>
    </w:p>
    <w:p>
      <w:pPr>
        <w:spacing w:after="0" w:line="214"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b w:val="1"/>
          <w:bCs w:val="1"/>
          <w:i w:val="1"/>
          <w:iCs w:val="1"/>
          <w:color w:val="auto"/>
        </w:rPr>
        <w:t>We are engaged in strategic collaborations and we intend to seek to establish additional collaborations, including for the clinical development or commercialization of our drug candidates. If we are unable to establish collaborations on commercially reasonable terms or at all, or if current and future collaborations are not successful, we may have to alter our development and commercialization plans.</w:t>
      </w:r>
    </w:p>
    <w:p>
      <w:pPr>
        <w:spacing w:after="0" w:line="19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product development programs and the potential commercialization of our drug candidates will require substantial additional cash to fund expenses. To date our operating revenue has primarily been generated through funded research and development agreements with Roche and Genentech, Takeda, and Bayer. For example, in December 2021, we entered into a Collaboration and License Agreement with Roche and Genentech (the Roche and Genentech Agreement) for discovery of small molecule drug candidates with the potential to treat key areas of neuroscience and an oncology indication, under which we received a non-refundable upfront payment of $150.0 million in January 2022, an option fee for a single molecule validation program in oncology of $3M in October 2023, an acceptance fee for our first neuroscience phenomap of $30 million in September 2024, and an acceptance of $30 million for a Microglia Map in October 2025. These collaborations cover a large number of programs under contract and, therefore, represent a large portion of potential downstream value. We intend to seek additional strategic collaborations, partnerships, and licensing arrangements with pharmaceutical and biotechnology companies. In the near term, the value of our company will depend in part on the number and quality of the collaborations and similar arrangements that we negotiate. Whether we reach a definitive agreement for a collaboration will depend, among other things, on our assessment of the collaborator’s resources and expertise, the terms and conditions of the proposed collaboration, and the potential collaborator’s evaluation of a number of factors. Those factors may include, among others, (i) our technologies and capabilities; (ii) our intellectual property position with respect to the subject drug candidate; (iii) the design or results of clinical trials; (iv) the likelihood of approval by the FDA and similar regulatory authorities outside the U.S.; (v) the potential market for the subject drug candidate; (vi) potential competing products; and (vii) industry and market conditions generally. In addition, the significant number of business combinations among large pharmaceutical companies has reduced the number of potential future collaborators with whom we can partner.</w:t>
      </w:r>
    </w:p>
    <w:p>
      <w:pPr>
        <w:spacing w:after="0" w:line="22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Collaborations and similar arrangements are complex and time-consuming to negotiate and document. We may have to relinquish valuable rights to our product candidates, intellectual property, or future revenue streams, or grant licenses on terms that are not favorable to us or in instances where it would have been more advantageous for us to retain sole development and commercialization rights. We may be restricted under collaboration agreements from entering into future agreements on certain terms with other potential collaborators. In addition, management of our relationships with collaborators requires (i) significant time and effort from our management team; (ii) coordination of our marketing and research and development programs with the marketing and research and development priorities of our collaborators; and (iii) effective allocation of our resources across multiple projects.</w:t>
      </w:r>
    </w:p>
    <w:p>
      <w:pPr>
        <w:spacing w:after="0" w:line="2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Collaborations and similar arrangements may never result in the successful development or commercialization of drug candidates or the generation of sales revenue. The success of these arrangements will depend heavily on the efforts and activities of our collaborators. Collaborators generally have significant discretion in determining the efforts and resources that they will apply to these collaborations, and they may not pursue or prioritize the development and commercialization of partnered drug candidates in a manner that is in our best interests. Product revenues arising from collaborations are likely to be lower than if we directly marketed and sold products. Disagreements with collaborators regarding clinical development or commercialization matters can lead to delays in the development process or commercialization of the applicable drug candidate and, in some cases, the termination of the collaboration arrangement. These disagreements can be difficult to resolve if neither of the parties has final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decision-making authority. Collaboration agreements are typically terminable by the collaborator, and any such termination or expiration would adversely affect us financially and could harm our business reputation. If we were to become involved in arbitration or litigation with any of our collaborators, it would consume time and divert management resources away from operations, damage our reputation, impact our ability to enter into future collaboration agreements, and may further result in substantial payments from us to our collaborators to settle those disputes.</w:t>
      </w:r>
    </w:p>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may not be able to establish additional strategic collaborations and similar arrangements on a timely basis, on acceptable terms, or at all, and to maintain and successfully conclude them. Collaborative relationships with third parties could cause us to expend significant resources and incur substantial business risk with no assurance of financial return. If we are unable to establish or maintain strategic collaborations and similar arrangements on terms favorable to us and realize the intended benefits of those partnering arrangements, our research and development efforts and potential to generate revenue may be limited and our business and operating results could be materially and adversely impacted.</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 We or our current and future collaborators may never successfully develop and commercialize our drug candidates, which would negatively affect our results of operation and our ability to continue our business operations.</w:t>
      </w:r>
    </w:p>
    <w:p>
      <w:pPr>
        <w:spacing w:after="0" w:line="18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ability to become profitable depends upon our ability to generate substantial revenue in an amount necessary to offset our expenses. As of December 31, 2025, we have not generated any revenue from our drug candidates or technologies, other than limited grant revenues, as well as payments under collaboration agreements. We expect to continue to derive most of our revenue in the near future from collaborations. We do not expect to generate significant revenue unless and until we progress our drug candidates through clinical trials and obtain marketing approval of, and begin to sell, one or more of our drug candidates, or we otherwise receive substantial licensing or other payments under our collaborations. Even if we obtain market approval for our drug candidates, one or more of them may not achieve commercial success.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Commercialization of our drug candidates depends on a number of factors, including but not limited to our ability to:</w:t>
      </w:r>
    </w:p>
    <w:p>
      <w:pPr>
        <w:spacing w:after="0" w:line="252" w:lineRule="exact"/>
        <w:rPr>
          <w:sz w:val="20"/>
          <w:szCs w:val="20"/>
          <w:color w:val="auto"/>
        </w:rPr>
      </w:pPr>
    </w:p>
    <w:p>
      <w:pPr>
        <w:ind w:left="380" w:hanging="157"/>
        <w:spacing w:after="0"/>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successfully complete preclinical studies;</w:t>
      </w:r>
    </w:p>
    <w:p>
      <w:pPr>
        <w:spacing w:after="0" w:line="27" w:lineRule="exact"/>
        <w:rPr>
          <w:rFonts w:ascii="Arial" w:cs="Arial" w:eastAsia="Arial" w:hAnsi="Arial"/>
          <w:sz w:val="18"/>
          <w:szCs w:val="18"/>
          <w:color w:val="auto"/>
        </w:rPr>
      </w:pPr>
    </w:p>
    <w:p>
      <w:pPr>
        <w:ind w:left="380" w:right="20" w:hanging="157"/>
        <w:spacing w:after="0" w:line="250" w:lineRule="auto"/>
        <w:tabs>
          <w:tab w:leader="none" w:pos="3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 approval of Investigational New Drug (IND) applications by the FDA and similar regulatory approvals outside the U.S., allowing us to commence clinical trials;</w:t>
      </w:r>
    </w:p>
    <w:p>
      <w:pPr>
        <w:ind w:left="380" w:hanging="157"/>
        <w:spacing w:after="0"/>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successfully enroll subjects in, and complete, clinical trials;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receive regulatory approvals from other applicable regulatory authorities;</w:t>
      </w:r>
    </w:p>
    <w:p>
      <w:pPr>
        <w:spacing w:after="0" w:line="9" w:lineRule="exact"/>
        <w:rPr>
          <w:rFonts w:ascii="Arial" w:cs="Arial" w:eastAsia="Arial" w:hAnsi="Arial"/>
          <w:sz w:val="18"/>
          <w:szCs w:val="18"/>
          <w:color w:val="auto"/>
        </w:rPr>
      </w:pPr>
    </w:p>
    <w:p>
      <w:pPr>
        <w:ind w:left="380" w:right="20" w:hanging="157"/>
        <w:spacing w:after="0" w:line="250" w:lineRule="auto"/>
        <w:tabs>
          <w:tab w:leader="none" w:pos="3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ind w:left="380" w:right="320" w:hanging="157"/>
        <w:spacing w:after="0" w:line="250" w:lineRule="auto"/>
        <w:tabs>
          <w:tab w:leader="none" w:pos="3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 patent and trade secret protection or regulatory exclusivity for our drug candidates, and maintain, protect, defend, and enforce such intellectual property rights;</w:t>
      </w:r>
    </w:p>
    <w:p>
      <w:pPr>
        <w:ind w:left="380" w:hanging="157"/>
        <w:spacing w:after="0"/>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launch commercial sales of our drug products, whether alone or in collaboration with other parties;</w:t>
      </w:r>
    </w:p>
    <w:p>
      <w:pPr>
        <w:spacing w:after="0" w:line="9" w:lineRule="exact"/>
        <w:rPr>
          <w:rFonts w:ascii="Arial" w:cs="Arial" w:eastAsia="Arial" w:hAnsi="Arial"/>
          <w:sz w:val="18"/>
          <w:szCs w:val="18"/>
          <w:color w:val="auto"/>
        </w:rPr>
      </w:pPr>
    </w:p>
    <w:p>
      <w:pPr>
        <w:ind w:left="380" w:right="720" w:hanging="157"/>
        <w:spacing w:after="0" w:line="250" w:lineRule="auto"/>
        <w:tabs>
          <w:tab w:leader="none" w:pos="3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 and maintain acceptance of our drug products by patients, the medical community, and third-party payors, and effectively compete with other therapies;</w:t>
      </w:r>
    </w:p>
    <w:p>
      <w:pPr>
        <w:ind w:left="380" w:right="560" w:hanging="157"/>
        <w:spacing w:after="0" w:line="250" w:lineRule="auto"/>
        <w:tabs>
          <w:tab w:leader="none" w:pos="3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 and maintain coverage of and adequate reimbursement for our drug products, if and when approved, by medical insurance providers; and</w:t>
      </w:r>
    </w:p>
    <w:p>
      <w:pPr>
        <w:ind w:left="380" w:right="760" w:hanging="157"/>
        <w:spacing w:after="0" w:line="266" w:lineRule="auto"/>
        <w:tabs>
          <w:tab w:leader="none" w:pos="3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demonstrate an acceptable efficacy and safety profile for drug products, obtain an NDA (New Drug Approval), and demonstrate continued acceptable profile post marketing approval.</w:t>
      </w:r>
    </w:p>
    <w:p>
      <w:pPr>
        <w:spacing w:after="0" w:line="198"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drug candidates, which would materially harm our business.</w:t>
      </w:r>
    </w:p>
    <w:p>
      <w:pPr>
        <w:spacing w:after="0" w:line="1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current or future collaborators would similarly need to be effective in the above activities as they pertain to the collaborators in order to successfully develop drug candidates. We and they may never succeed in developing and commercializing drug candidates. And even if we do, we may never generate revenues that are significant enough to achieve profitability; or even if our collaborators do, we may not receive option fees, milestone payments, or royalties from them that are significant enough for us to achieve profitability. Even if we achieve profitability, we may not be able to sustain or increase profitability on a quarterly or annual basis. Our failure to become and remain profitable would eventually depress our value and could impair our ability to raise capital, expand our business,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maintain our research and development efforts, develop a pipeline of drug candidates, enter into collaborations, or even continue our operations.</w:t>
      </w:r>
    </w:p>
    <w:p>
      <w:pPr>
        <w:spacing w:after="0" w:line="182" w:lineRule="exact"/>
        <w:rPr>
          <w:sz w:val="20"/>
          <w:szCs w:val="20"/>
          <w:color w:val="auto"/>
        </w:rPr>
      </w:pPr>
    </w:p>
    <w:p>
      <w:pPr>
        <w:ind w:right="580"/>
        <w:spacing w:after="0" w:line="294" w:lineRule="auto"/>
        <w:rPr>
          <w:sz w:val="20"/>
          <w:szCs w:val="20"/>
          <w:color w:val="auto"/>
        </w:rPr>
      </w:pPr>
      <w:r>
        <w:rPr>
          <w:rFonts w:ascii="Arial" w:cs="Arial" w:eastAsia="Arial" w:hAnsi="Arial"/>
          <w:sz w:val="18"/>
          <w:szCs w:val="18"/>
          <w:b w:val="1"/>
          <w:bCs w:val="1"/>
          <w:i w:val="1"/>
          <w:iCs w:val="1"/>
          <w:color w:val="auto"/>
        </w:rPr>
        <w:t>Our quarterly and annual operating results may fluctuate significantly due to a variety of factors and could fall below our expectations or the expectations of investors or securities analysts, which may cause our stock price to fluctuate or decline.</w:t>
      </w:r>
    </w:p>
    <w:p>
      <w:pPr>
        <w:spacing w:after="0" w:line="16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amount of our future losses, and when we might achieve profitability, is uncertain, and our quarterly and annual operating results may fluctuate significantly for various reasons, including, but not limited to, the following:</w:t>
      </w:r>
    </w:p>
    <w:p>
      <w:pPr>
        <w:spacing w:after="0" w:line="180" w:lineRule="exact"/>
        <w:rPr>
          <w:sz w:val="20"/>
          <w:szCs w:val="20"/>
          <w:color w:val="auto"/>
        </w:rPr>
      </w:pPr>
    </w:p>
    <w:p>
      <w:pPr>
        <w:ind w:left="380" w:hanging="157"/>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of, and our levels of investment in, research and development activities relating to our drug candidates;</w:t>
      </w:r>
    </w:p>
    <w:p>
      <w:pPr>
        <w:spacing w:after="0" w:line="27" w:lineRule="exact"/>
        <w:rPr>
          <w:rFonts w:ascii="Arial" w:cs="Arial" w:eastAsia="Arial" w:hAnsi="Arial"/>
          <w:sz w:val="18"/>
          <w:szCs w:val="18"/>
          <w:color w:val="auto"/>
        </w:rPr>
      </w:pPr>
    </w:p>
    <w:p>
      <w:pPr>
        <w:ind w:left="380" w:hanging="157"/>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of, and status of staffing and enrollment for, clinical trials;</w:t>
      </w:r>
    </w:p>
    <w:p>
      <w:pPr>
        <w:spacing w:after="0" w:line="9" w:lineRule="exact"/>
        <w:rPr>
          <w:rFonts w:ascii="Arial" w:cs="Arial" w:eastAsia="Arial" w:hAnsi="Arial"/>
          <w:sz w:val="18"/>
          <w:szCs w:val="18"/>
          <w:color w:val="auto"/>
        </w:rPr>
      </w:pPr>
    </w:p>
    <w:p>
      <w:pPr>
        <w:ind w:left="380" w:right="160" w:hanging="157"/>
        <w:spacing w:after="0" w:line="250" w:lineRule="auto"/>
        <w:tabs>
          <w:tab w:leader="none" w:pos="3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results of clinical trials for our drug candidates, including whether there are any unexpected health or safety concerns with our drug candidates and whether we receive marketing approval for them;</w:t>
      </w:r>
    </w:p>
    <w:p>
      <w:pPr>
        <w:ind w:left="380" w:right="1060" w:hanging="157"/>
        <w:spacing w:after="0" w:line="250" w:lineRule="auto"/>
        <w:tabs>
          <w:tab w:leader="none" w:pos="3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commercialization of competing drug candidates or any other change in the competitive landscape of our industry, including consolidation among our competitors or partners;</w:t>
      </w:r>
    </w:p>
    <w:p>
      <w:pPr>
        <w:ind w:left="380" w:hanging="157"/>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and cost of manufacturing our drug candidates;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level of demand for our drug candidates should they receive approval, which may vary significantly;</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the regulatory environment or market or general economic conditions;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increase in salaries and wages and the extension of benefits required to retain, attract and motivate qualified personnel;</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increases in costs of components necessary for our business; and</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inflation.</w:t>
      </w:r>
    </w:p>
    <w:p>
      <w:pPr>
        <w:spacing w:after="0" w:line="23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The occurrence of one or more of these or other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any forecasts we provide to the market, or the expectations of industry or financial analysts or investors, for any period. If one or more of these events occur, the price of our Class A common stock could decline substantially.</w:t>
      </w:r>
    </w:p>
    <w:p>
      <w:pPr>
        <w:spacing w:after="0" w:line="190"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equity, cause us to incur debt or assume contingent liabilities, and subject us to other risks.</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have engaged and may in the future engage in acquisitions and strategic partnerships, including by licensing or acquiring complementary products, intellectual property rights, technologies, or businesses. Any acquisition or strategic partnership may entail numerous risks, including but not limited to the following:</w:t>
      </w:r>
    </w:p>
    <w:p>
      <w:pPr>
        <w:spacing w:after="0" w:line="198" w:lineRule="exact"/>
        <w:rPr>
          <w:sz w:val="20"/>
          <w:szCs w:val="20"/>
          <w:color w:val="auto"/>
        </w:rPr>
      </w:pPr>
    </w:p>
    <w:p>
      <w:pPr>
        <w:ind w:left="380" w:hanging="157"/>
        <w:spacing w:after="0"/>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7" w:lineRule="exact"/>
        <w:rPr>
          <w:rFonts w:ascii="Arial" w:cs="Arial" w:eastAsia="Arial" w:hAnsi="Arial"/>
          <w:sz w:val="18"/>
          <w:szCs w:val="18"/>
          <w:color w:val="auto"/>
        </w:rPr>
      </w:pPr>
    </w:p>
    <w:p>
      <w:pPr>
        <w:ind w:left="380" w:hanging="157"/>
        <w:spacing w:after="0"/>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 equity;</w:t>
      </w:r>
    </w:p>
    <w:p>
      <w:pPr>
        <w:spacing w:after="0" w:line="9" w:lineRule="exact"/>
        <w:rPr>
          <w:rFonts w:ascii="Arial" w:cs="Arial" w:eastAsia="Arial" w:hAnsi="Arial"/>
          <w:sz w:val="18"/>
          <w:szCs w:val="18"/>
          <w:color w:val="auto"/>
        </w:rPr>
      </w:pPr>
    </w:p>
    <w:p>
      <w:pPr>
        <w:ind w:left="380" w:right="220" w:hanging="157"/>
        <w:spacing w:after="0" w:line="250" w:lineRule="auto"/>
        <w:tabs>
          <w:tab w:leader="none" w:pos="3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difficulties in assimilating operations, intellectual property, products, and drug candidates of an acquired company, and with integrating new personnel;</w:t>
      </w:r>
    </w:p>
    <w:p>
      <w:pPr>
        <w:ind w:left="380" w:right="160" w:hanging="157"/>
        <w:spacing w:after="0" w:line="250" w:lineRule="auto"/>
        <w:tabs>
          <w:tab w:leader="none" w:pos="3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even if we are unable to complete such proposed transaction;</w:t>
      </w:r>
    </w:p>
    <w:p>
      <w:pPr>
        <w:ind w:left="380" w:hanging="157"/>
        <w:spacing w:after="0"/>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retain key employees and maintain key business relationships;</w:t>
      </w:r>
    </w:p>
    <w:p>
      <w:pPr>
        <w:spacing w:after="0" w:line="9" w:lineRule="exact"/>
        <w:rPr>
          <w:rFonts w:ascii="Arial" w:cs="Arial" w:eastAsia="Arial" w:hAnsi="Arial"/>
          <w:sz w:val="18"/>
          <w:szCs w:val="18"/>
          <w:color w:val="auto"/>
        </w:rPr>
      </w:pPr>
    </w:p>
    <w:p>
      <w:pPr>
        <w:ind w:left="380" w:right="340" w:hanging="157"/>
        <w:spacing w:after="0" w:line="250" w:lineRule="auto"/>
        <w:tabs>
          <w:tab w:leader="none" w:pos="3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uncertainties associated with the other party to such a transaction, including the prospects of that party and their existing products or drug candidates and ability to obtain regulatory approvals; and</w:t>
      </w:r>
    </w:p>
    <w:p>
      <w:pPr>
        <w:ind w:left="380" w:right="20" w:hanging="157"/>
        <w:spacing w:after="0" w:line="266" w:lineRule="auto"/>
        <w:tabs>
          <w:tab w:leader="none" w:pos="3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9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In addition, if we undertake such a transaction, we may assume or incur debt obligations, incur a large one-time expense, or acquire intangible assets, which could result in significant future amortization expenses and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materials necessary for our business increasing more rapidly could increase our net losses.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costs of materials necessary for our business have risen in recent years and will likely continue to increase given stringency of demands. Competition and fixed price contracts may limit our ability to maintain existing operating margins. Costs increasing more rapidly than market prices may increase our net losses and may have a material adverse impact on our business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DRUG CANDIDATES</w:t>
      </w:r>
    </w:p>
    <w:p>
      <w:pPr>
        <w:spacing w:after="0" w:line="254"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Our approach to drug discovery is unique and may not lead to successful drug products for various reasons, including, but not limited to, challenges identifying mechanisms of action for our candidates.</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image cells and use cell morphology to understand how a diseased cell responds to drugs and if or when it appears normal. If studying the shape, structure, form, and size of cells does not prove to be an accurate way to better understand diseases or does not lead to the biological insights or viable drug candidates we anticipate, our drug discovery platform may not be useful or may not lead to successful drug products, or we may have to move to a new business model, any of which could have an adverse effect on our reputation and results of operations. If the mechanism of action of a drug candidate is unknown, it may be more difficult to choose the best lead to optimize from an efficacy standpoint and to avoid potential off-target side effects that could affect safety.</w:t>
      </w:r>
    </w:p>
    <w:p>
      <w:pPr>
        <w:spacing w:after="0" w:line="2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use our drug discovery platform to conduct AI-enabled chemistry experiments and our technology platform underpins all our efforts. As a result, the quality and sophistication of our platform and technology is critical to our ability to conduct our research discovery activities, to design and deliver promising molecule candidates, and to accelerate and lower the cost of drug discovery as compared to traditional methods for our partnerships. Because AI-designed drug candidates are novel, there is greater uncertainty about our ability to develop, advance and commercialize drug candidates using our AI-design process.</w:t>
      </w:r>
    </w:p>
    <w:p>
      <w:pPr>
        <w:spacing w:after="0" w:line="20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Such uncertainty could make it more difficult to form partnerships with larger pharmaceutical companies, as the expenses involved in late-phase clinical trials increase the level of risk related to potential efficacy and/or safety concerns and may pose challenges to IND and/or New Drug Application (NDA) approval by the FDA or other regulatory agencies.</w:t>
      </w:r>
    </w:p>
    <w:p>
      <w:pPr>
        <w:spacing w:after="0" w:line="200"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Our drug candidates are in preclinical or clinical development, which are lengthy and expensive processes with uncertain outcomes and the potential for substantial delays.</w:t>
      </w:r>
    </w:p>
    <w:p>
      <w:pPr>
        <w:spacing w:after="0" w:line="16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current drug candidates are in preclinical or clinical development. Before we can bring any drug candidate to market, we must, among other things, successfully complete preclinical studies, have the candidate manufactured to appropriate specifications, conduct extensive clinical trials to demonstrate safety and efficacy in humans, and obtain marketing approval from the FDA and other appropriate regulatory authorities, which we have not yet demonstrated our ability to do. Clinical testing is expensive, difficult to design and implement, can take many years to complete, and is uncertain as to outcome. A failure of a clinical trial can occur at any stage of testing. The outcome of preclinical development testing and early clinical trials may not be predictive of the success of later clinical trials, and interim results of a clinical trial do not necessarily predict final results. We may accelerate development from cell models in our drug discovery platform directly to patients without validating results through animal studies or validate results in animal studies at the same time as we conduct Phase 1 clinical trials. This approach could pose additional risks to our success if the effect of certain of our drug candidates on diseases has not been tested in animals prior to testing in humans.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several clinical-stage drug candidates and we anticipate filing IND applications with the FDA or other regulators for Phase 1, Phase 2, or Phase 3 studies, as applicable, for these drug candidates. We may not be able to file such INDs, or INDs for any other drug candidates, and begin such studies, on the timelines we expect, if at all, and any such delays could impact any additional product development timelines. Moreover, we cannot be sure that submission of an IND will result in the FDA or other regulators allowing further clinical trials to begin or that, once begun, issues will not arise that require us to suspend or terminate these trials. For example, prior to the business combination with Recursion, Exscientia stopped the Phase 1/2 clinical trial of EXS21546 after receiving information demonstrating that the drug candidate was not sufficiently promising to justify further clinical development. Commencing each of these clinical trials is subject to finalizing the trial design based on discussions with the FDA and other regulatory authorities. The requirements imposed by these regulatory authorities, or their governing statutes, could change at any time, which may result in stricter approval conditions than we currently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expect and/or necessitate completion of additional or longer clinical trials. Successful completion of our clinical trials is a prerequisite to submitting NDAs to the FDA, as well as Marketing Authorization Applications (MAAs) to the European Medicines Agency (EMA) and the Medicines and Healthcare Products Regulatory Agency (MHRA) for each drug candidate and, consequently, to the ultimate approval and commercial marketing of each drug candidate. We do not know whether any of our future clinical trials will begin on time or be completed on schedule, if at all.</w:t>
      </w:r>
    </w:p>
    <w:p>
      <w:pPr>
        <w:spacing w:after="0" w:line="206"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We have experience, and may in the future experience delays in completing our preclinical studies and initiating or completing clinical trials, or numerous unforeseen events during, or as a result of, any clinical trials, that could require us to incur additional costs or delay or prevent our ability to receive marketing approval or to commercialize our drug candidates, including but not limited to those related to one or more of the following:</w:t>
      </w:r>
    </w:p>
    <w:p>
      <w:pPr>
        <w:spacing w:after="0" w:line="203" w:lineRule="exact"/>
        <w:rPr>
          <w:sz w:val="20"/>
          <w:szCs w:val="20"/>
          <w:color w:val="auto"/>
        </w:rPr>
      </w:pPr>
    </w:p>
    <w:p>
      <w:pPr>
        <w:ind w:left="400" w:right="300" w:hanging="177"/>
        <w:spacing w:after="0" w:line="260" w:lineRule="auto"/>
        <w:tabs>
          <w:tab w:leader="none" w:pos="3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regulators, Institutional Review Boards (IRBs), or ethics committees may not authorize us or our investigators to commence a clinical trial or to conduct a clinical trial at prospective trial sites;</w:t>
      </w:r>
    </w:p>
    <w:p>
      <w:pPr>
        <w:spacing w:after="0" w:line="1" w:lineRule="exact"/>
        <w:rPr>
          <w:rFonts w:ascii="Arial" w:cs="Arial" w:eastAsia="Arial" w:hAnsi="Arial"/>
          <w:sz w:val="18"/>
          <w:szCs w:val="18"/>
          <w:color w:val="auto"/>
        </w:rPr>
      </w:pPr>
    </w:p>
    <w:p>
      <w:pPr>
        <w:ind w:left="400" w:right="120" w:hanging="177"/>
        <w:spacing w:after="0" w:line="250" w:lineRule="auto"/>
        <w:tabs>
          <w:tab w:leader="none" w:pos="3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have difficulty reaching, or fail to reach, agreement on acceptable terms with prospective trial sites and prospective Contract Research Organizations (CROs), the terms of which can be subject to extensive negotiation and may vary significantly among different CROs and trial sites;</w:t>
      </w:r>
    </w:p>
    <w:p>
      <w:pPr>
        <w:spacing w:after="0" w:line="1" w:lineRule="exact"/>
        <w:rPr>
          <w:rFonts w:ascii="Arial" w:cs="Arial" w:eastAsia="Arial" w:hAnsi="Arial"/>
          <w:sz w:val="18"/>
          <w:szCs w:val="18"/>
          <w:color w:val="auto"/>
        </w:rPr>
      </w:pPr>
    </w:p>
    <w:p>
      <w:pPr>
        <w:ind w:left="400" w:right="80" w:hanging="177"/>
        <w:spacing w:after="0" w:line="250" w:lineRule="auto"/>
        <w:tabs>
          <w:tab w:leader="none" w:pos="3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participants required for clinical trials of our drug candidates may be larger than we anticipate, enrollment in these clinical trials may be slower than we anticipate, or participants may drop out of clinical trials or fail to return for post-treatment follow-up at a higher rate than we anticipate;</w:t>
      </w:r>
    </w:p>
    <w:p>
      <w:pPr>
        <w:spacing w:after="0" w:line="1" w:lineRule="exact"/>
        <w:rPr>
          <w:rFonts w:ascii="Arial" w:cs="Arial" w:eastAsia="Arial" w:hAnsi="Arial"/>
          <w:sz w:val="18"/>
          <w:szCs w:val="18"/>
          <w:color w:val="auto"/>
        </w:rPr>
      </w:pPr>
    </w:p>
    <w:p>
      <w:pPr>
        <w:ind w:left="400" w:right="120" w:hanging="177"/>
        <w:spacing w:after="0" w:line="250" w:lineRule="auto"/>
        <w:tabs>
          <w:tab w:leader="none" w:pos="3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or our third-party contractors may fail to comply with regulatory requirements, fail to meet their contractual obligations to us in a timely manner or at all, deviate from the clinical trial protocol, or drop out of a trial, which may require that we add new clinical trial sites or investigators;</w:t>
      </w:r>
    </w:p>
    <w:p>
      <w:pPr>
        <w:spacing w:after="0" w:line="1" w:lineRule="exact"/>
        <w:rPr>
          <w:rFonts w:ascii="Arial" w:cs="Arial" w:eastAsia="Arial" w:hAnsi="Arial"/>
          <w:sz w:val="18"/>
          <w:szCs w:val="18"/>
          <w:color w:val="auto"/>
        </w:rPr>
      </w:pPr>
    </w:p>
    <w:p>
      <w:pPr>
        <w:ind w:left="400" w:right="400" w:hanging="177"/>
        <w:spacing w:after="0" w:line="250" w:lineRule="auto"/>
        <w:tabs>
          <w:tab w:leader="none" w:pos="3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supply or quality of our drug candidates or the other materials necessary to conduct clinical trials of our drug candidates may be insufficient, delayed, or inadequate;</w:t>
      </w:r>
    </w:p>
    <w:p>
      <w:pPr>
        <w:ind w:left="400" w:hanging="177"/>
        <w:spacing w:after="0"/>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occurrence of delays in the manufacturing of our drug candidates;</w:t>
      </w:r>
    </w:p>
    <w:p>
      <w:pPr>
        <w:spacing w:after="0" w:line="9" w:lineRule="exact"/>
        <w:rPr>
          <w:rFonts w:ascii="Arial" w:cs="Arial" w:eastAsia="Arial" w:hAnsi="Arial"/>
          <w:sz w:val="18"/>
          <w:szCs w:val="18"/>
          <w:color w:val="auto"/>
        </w:rPr>
      </w:pPr>
    </w:p>
    <w:p>
      <w:pPr>
        <w:ind w:left="400" w:right="640" w:hanging="177"/>
        <w:spacing w:after="0" w:line="250" w:lineRule="auto"/>
        <w:tabs>
          <w:tab w:leader="none" w:pos="3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reports may arise from preclinical or clinical testing of other therapies that raise safety, efficacy, or other concerns about our drug candidates; and</w:t>
      </w:r>
    </w:p>
    <w:p>
      <w:pPr>
        <w:ind w:left="400" w:right="160" w:hanging="177"/>
        <w:spacing w:after="0" w:line="258" w:lineRule="auto"/>
        <w:tabs>
          <w:tab w:leader="none" w:pos="3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clinical trials may produce inconclusive, mixed, or negative results about our drug candidates, including determinations that candidates have undesirable side effects or other unexpected characteristics, in which event, we may decide – or our investigators or regulators, IRBs, or ethics committees may require us — to suspend or terminate the trials.</w:t>
      </w:r>
    </w:p>
    <w:p>
      <w:pPr>
        <w:spacing w:after="0" w:line="20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From time to time as we move through the stages of development, we have published and expect in the future to publish interim top-line or preliminary data from our clinical trials. Interim data from clinical trials are subject to the risk that one or more of the clinical outcomes may materially change as enrollment of participants continues and more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2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product development costs will increase if we experience delays in testing or regulatory approvals. We do not know whether any of our future clinical trials will begin as planned, or whether any of our current or future clinical trials will need to be restructured or will be completed on schedule, if at all. If we decide or are required to suspend or terminate a clinical trial, we may elect to abandon product development for that program. Significant preclinical study or clinical trial delays could also shorten any periods during which we may have the exclusive right to commercialize our drug candidates or could allow our competitors to bring products to market before we do and impair our ability to successfully commercialize our drug candidates. Any delays in or unfavorable outcomes from our preclinical or clinical development programs may significantly harm our business, operating results, and prospects.</w:t>
      </w:r>
    </w:p>
    <w:p>
      <w:pPr>
        <w:spacing w:after="0" w:line="212"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not be able to initiate, continue, and complete clinical trials for current or future drug candidates if we are unable to locate and timely enroll a sufficient number of eligible participants in these trials as required by the FDA or similar regulatory authorities outside the United States. The process of finding potential participants may prove more costly than currently expected and our ability to enroll eligible participants may be limited or may result in slower enrollment than we anticipate due to a number of factors, including but not limited to the following:</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0" w:hanging="157"/>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7" w:lineRule="exact"/>
        <w:rPr>
          <w:rFonts w:ascii="Arial" w:cs="Arial" w:eastAsia="Arial" w:hAnsi="Arial"/>
          <w:sz w:val="18"/>
          <w:szCs w:val="18"/>
          <w:color w:val="auto"/>
        </w:rPr>
      </w:pPr>
    </w:p>
    <w:p>
      <w:pPr>
        <w:ind w:left="380" w:hanging="157"/>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eligibility criteria for the clinical trial in question, such as requirements that participants have specific characteristics or diseases;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difficulties in identifying, recruiting, and enrolling a sufficient number of participants to complete our clinical studies;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referral practices of physicians;</w:t>
      </w:r>
    </w:p>
    <w:p>
      <w:pPr>
        <w:spacing w:after="0" w:line="9" w:lineRule="exact"/>
        <w:rPr>
          <w:rFonts w:ascii="Arial" w:cs="Arial" w:eastAsia="Arial" w:hAnsi="Arial"/>
          <w:sz w:val="18"/>
          <w:szCs w:val="18"/>
          <w:color w:val="auto"/>
        </w:rPr>
      </w:pPr>
    </w:p>
    <w:p>
      <w:pPr>
        <w:ind w:left="380" w:right="360" w:hanging="157"/>
        <w:spacing w:after="0" w:line="250" w:lineRule="auto"/>
        <w:tabs>
          <w:tab w:leader="none" w:pos="3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competitors are conducting clinical trials for drug candidates that treat the same indications as ours, and the availability and efficacy of competing therapies;</w:t>
      </w:r>
    </w:p>
    <w:p>
      <w:pPr>
        <w:ind w:left="380" w:hanging="157"/>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monitor participants adequately during and after the trial and to maintain participant informed consent and privacy;</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participants;</w:t>
      </w:r>
    </w:p>
    <w:p>
      <w:pPr>
        <w:spacing w:after="0" w:line="9" w:lineRule="exact"/>
        <w:rPr>
          <w:rFonts w:ascii="Arial" w:cs="Arial" w:eastAsia="Arial" w:hAnsi="Arial"/>
          <w:sz w:val="18"/>
          <w:szCs w:val="18"/>
          <w:color w:val="auto"/>
        </w:rPr>
      </w:pPr>
    </w:p>
    <w:p>
      <w:pPr>
        <w:ind w:left="380" w:right="200" w:hanging="157"/>
        <w:spacing w:after="0" w:line="250" w:lineRule="auto"/>
        <w:tabs>
          <w:tab w:leader="none" w:pos="3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pandemics or other public health crises such as the COVID-19 pandemic, natural disasters, global political instability, warfare, or other external events that may limit the availability of participants, principal investigators, study staff, or clinical sites; and</w:t>
      </w:r>
    </w:p>
    <w:p>
      <w:pPr>
        <w:ind w:left="380" w:hanging="157"/>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risk that enrolled participants will not complete a clinical trial.</w:t>
      </w:r>
    </w:p>
    <w:p>
      <w:pPr>
        <w:spacing w:after="0" w:line="234" w:lineRule="exact"/>
        <w:rPr>
          <w:sz w:val="20"/>
          <w:szCs w:val="20"/>
          <w:color w:val="auto"/>
        </w:rPr>
      </w:pPr>
    </w:p>
    <w:p>
      <w:pPr>
        <w:jc w:val="both"/>
        <w:ind w:right="520"/>
        <w:spacing w:after="0" w:line="268" w:lineRule="auto"/>
        <w:rPr>
          <w:sz w:val="20"/>
          <w:szCs w:val="20"/>
          <w:color w:val="auto"/>
        </w:rPr>
      </w:pPr>
      <w:r>
        <w:rPr>
          <w:rFonts w:ascii="Arial" w:cs="Arial" w:eastAsia="Arial" w:hAnsi="Arial"/>
          <w:sz w:val="18"/>
          <w:szCs w:val="18"/>
          <w:color w:val="auto"/>
        </w:rPr>
        <w:t>If individuals are unwilling to participate in or complete our studies for any reason, or we experience other difficulties with enrollment or participation, the timeline for recruiting participants, conducting studies, and obtaining regulatory approval of potential products may be delayed.</w:t>
      </w:r>
    </w:p>
    <w:p>
      <w:pPr>
        <w:spacing w:after="0" w:line="200"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b w:val="1"/>
          <w:bCs w:val="1"/>
          <w:i w:val="1"/>
          <w:iCs w:val="1"/>
          <w:color w:val="auto"/>
        </w:rPr>
        <w:t>Our planned clinical trials, or those of our current and potential future collaborators, may not be successful or may reveal significant adverse events not seen in our preclinical or nonclinical studies, which may result in a safety profile that could inhibit regulatory approval or market acceptance of any of our drug candidates.</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Before obtaining regulatory approvals for the commercial sale of any products, we must demonstrate through preclinical studies and clinical trials that our drug candidates are both safe and effective for use in each target indication. Failure can occur at any time during the clinical trial process. The results of preclinical studies and early clinical trials of our drug candidates may not be predictive of the results of later-stage clinical trials, and initial success in clinical trials may not be indicative of results that will be obtained when such trials are completed. An extremely high rate of drug candidates fail as they proceed through clinical trials. Drug candidates in later stages of clinical trials also may fail to show the desired safety and efficacy profile despite having progressed through nonclinical studies and initial clinical trials. A number of companies in the biopharmaceutical industry have suffered significant setbacks in advanced clinical trials due to lack of efficacy or unacceptable safety issues, notwithstanding promising results in earlier trials. Most drug candidates that commence clinical trials are never approved for marketing, and there can be no assurance that any of our current or future clinical trials will ultimately be successful or support further clinical development of any of our drug candidates.</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is the case with many treatments for rare diseases and other conditions, there have been, and it is likely that in the future there may be, side effects associated with the use of our drug candidates. If significant adverse events or other side effects are observed in any of our current or future drug candidates, we may have difficulty recruiting participants in our clinical trials, they may drop out of our trials, or we may be required to abandon the trials or our development efforts of one or more drug candidates altogether. Moreover, if we develop drug candidates in combination with one or more disease therapies, it may be more difficult to accurately predict side effects. We, the FDA, other applicable regulatory authorities, or an IRB may suspend or terminate clinical trials of a drug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were later found to cause side effects that prevented their further development. Even if the side effects do not preclude the product from obtaining or maintaining marketing approval, undesirable side effects may inhibit market acceptance of the approved product due to its tolerability versus other therapies. Any of these developments could materially harm our business, operating results, and prospects.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develop drug candidates for use in combination with other therapies, which exposes us to additional risks.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evaluate current or future drug candidates for use in combination with one or more currently approved therapies. If a drug candidate we develop were to receive marketing approval for use in combination with existing therapies, we would continue to bear the risks that the FDA or similar foreign regulatory authorities could revoke approval of the therapies used in combination with our drug candidate or that safety, efficacy, manufacturing, or supply issues could arise with such existing therapies. This could result in our own products being removed from the market or being less successful commercially.</w:t>
      </w:r>
    </w:p>
    <w:p>
      <w:pPr>
        <w:spacing w:after="0" w:line="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may also potentially evaluate current or future drug candidates in combination with one or more other therapies that have not yet been approved for marketing by the FDA or similar foreign regulatory authorities. We will not be able to market and sell any drug candidate we develop in combination with any such therapies that do not ultimately obtain marketing approval whether alone or in combination with our product. In addition, unapproved therapies face the same risks described with respect to our drug candidates currently in development and clinical trials, including the potential for serious adverse effects, delay in their clinical trials, and lack of FDA or comparable non-U.S. regulatory authorities' approval. If safety, efficacy, manufacturing, or supply issues arise with the products we choose to evaluate in combination with our drug candidates, we may be unable to obtain approval of or market such combination.</w:t>
      </w:r>
    </w:p>
    <w:p>
      <w:pPr>
        <w:spacing w:after="0" w:line="77"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We conduct clinical trials for our drug candidates outside the United States, and the FDA and similar foreign regulatory authorities may not accept data from such trials.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conducted and are currently conducting clinical trials outside the United States, including in Canada, the United Kingdom, Belgium, and Spain, and may in the future choose to conduct additional clinical trials outside the United States in locations that may include Australia, Europe, Asia, or other jurisdictions. FDA acceptance of trial data from clinical trials conducted outside the United States requires that all of FDA’s clinical trial requirements be met. In addition,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and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drug candidates not receiving approval or clearance for commercialization in the applicable jurisdiction.</w:t>
      </w:r>
    </w:p>
    <w:p>
      <w:pPr>
        <w:spacing w:after="0" w:line="2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Following the United Kingdom’s departure from the EU (referred to as Brexit) on January 31, 2020, and the end of the “transition period” on December 31, 2020, the EU and the United Kingdom entered into a trade and cooperation agreement that governs certain aspects of their future relationship, including the assurance of tariff-free trade for certain goods and services. As the regulatory framework for pharmaceutical products in the United Kingdom is derived from EU directives and regulations, Brexit will materially impact the future regulatory regime that applies to products and the approval of drug candidates in the United Kingdom. Longer term, the United Kingdom is likely to develop its own legislation that diverges from that in the EU, which may delay or preclude marketing approval for our drug candidates in one or both jurisdictions. As a result of our expanded operations in the United Kingdom following the business combination with Exscientia, any changes made as a result of Brexit may require us to incur additional expenses to develop, manufacture, and commercialize our drug candidates in the EU and the United Kingdom and adversely impact our ability to obtain regulatory approvals in the EU and the United Kingdom. We do not yet know the full extent to which our business could be adversely affected.</w:t>
      </w:r>
    </w:p>
    <w:p>
      <w:pPr>
        <w:spacing w:after="0" w:line="214"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It is difficult to establish with precision the incidence and prevalence for target patient populations of our drug candidates. If the market opportunities for our drug candidates are smaller than we estimate, or if any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approval that we obtain is based on a narrower definition of the patient population, our revenue and ability to achieve profitability will be adversely affected, possibly materially.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Even if approved for commercial sale, the total addressable market for our drug candidates will ultimately depend upon, among other things,</w:t>
      </w:r>
    </w:p>
    <w:p>
      <w:pPr>
        <w:spacing w:after="0" w:line="27" w:lineRule="exact"/>
        <w:rPr>
          <w:sz w:val="20"/>
          <w:szCs w:val="20"/>
          <w:color w:val="auto"/>
        </w:rPr>
      </w:pPr>
    </w:p>
    <w:p>
      <w:pPr>
        <w:ind w:right="20" w:firstLine="8"/>
        <w:spacing w:after="0" w:line="253" w:lineRule="auto"/>
        <w:tabs>
          <w:tab w:leader="none" w:pos="2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indications and diagnostic criteria included in the final label; (ii) acceptance by the medical community; and (iii) patient access, product pricing, and reimbursement by third-party payors. The number of patients targeted by our drug candidates may turn out to be lower than expected, patients may not be amenable to treatment with our products, or new patients may become increasingly difficult to identify or access, all of which would adversely affect our results of operations and our business. Due to our limited resources and access to capital or for other reasons, we must prioritize development of certain drug candidates, which may prove to be the wrong choices and may adversely affect our business.</w:t>
      </w:r>
    </w:p>
    <w:p>
      <w:pPr>
        <w:spacing w:after="0" w:line="214"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drug candidates that we are currently developing, we may fail to identify viable new drug candidates for clinical development for a number of reasons.</w:t>
      </w:r>
    </w:p>
    <w:p>
      <w:pPr>
        <w:spacing w:after="0" w:line="16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Research programs to pursue the development of our existing and planned drug candidates for additional indications, and to identify new drug candidates and disease targets, require substantial technical, financial, and human resources whether or not they are ultimately successful. For example, under the Roche and Genentech Agreement, we are collaborating with Roche and Genentech to develop various projects related to the discovery of small molecule drug candidates with the potential to treat “key areas” of neuroscience and an oncology indication. There can be no assurance that we will find potential targets using this approach, that the conditions targeted will be tractable, or that clinical trials will be successful. Our research programs may initially show promise in identifying potential indications and/or drug candidates, yet fail to yield results for clinical development for a number of reasons, including but not limited to the following:</w:t>
      </w:r>
    </w:p>
    <w:p>
      <w:pPr>
        <w:spacing w:after="0" w:line="210" w:lineRule="exact"/>
        <w:rPr>
          <w:sz w:val="20"/>
          <w:szCs w:val="20"/>
          <w:color w:val="auto"/>
        </w:rPr>
      </w:pPr>
    </w:p>
    <w:p>
      <w:pPr>
        <w:ind w:left="400" w:hanging="177"/>
        <w:spacing w:after="0" w:line="257" w:lineRule="auto"/>
        <w:tabs>
          <w:tab w:leader="none" w:pos="3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drug candidates, including as a result of the limited patient sample represented in our databases and the validity of extrapolating based on insights from a particular cellular context that may not apply to other, more relevant cellular contexts;</w:t>
      </w:r>
    </w:p>
    <w:p>
      <w:pPr>
        <w:spacing w:after="0" w:line="1" w:lineRule="exact"/>
        <w:rPr>
          <w:rFonts w:ascii="Arial" w:cs="Arial" w:eastAsia="Arial" w:hAnsi="Arial"/>
          <w:sz w:val="18"/>
          <w:szCs w:val="18"/>
          <w:color w:val="auto"/>
        </w:rPr>
      </w:pPr>
    </w:p>
    <w:p>
      <w:pPr>
        <w:ind w:left="400" w:right="220" w:hanging="177"/>
        <w:spacing w:after="0" w:line="250" w:lineRule="auto"/>
        <w:tabs>
          <w:tab w:leader="none" w:pos="3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potential drug candidates may, after further study, be shown to have harmful side effects or other characteristics that indicate they are unlikely to be effective products; or</w:t>
      </w:r>
    </w:p>
    <w:p>
      <w:pPr>
        <w:ind w:left="400" w:right="180" w:hanging="177"/>
        <w:spacing w:after="0" w:line="258" w:lineRule="auto"/>
        <w:tabs>
          <w:tab w:leader="none" w:pos="3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can allocate to identify additional therapeutic opportunities for our drug candidates or to develop suitable potential drug candidates through internal research programs, thereby limiting our ability to develop, diversify, and expand our product portfolio.</w:t>
      </w:r>
    </w:p>
    <w:p>
      <w:pPr>
        <w:spacing w:after="0" w:line="20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Because we have limited financial and human resources, we will have to prioritize and focus on certain research programs, drug candidates, and target indications while forgoing others. As a result, we may forgo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20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Accordingly, there can be no assurance that we will ever be able to identify additional therapeutic opportunities for our drug candidates or to develop suitable potential drug candidates through internal research programs, which could materially adversely affect our future growth and prospects.</w:t>
      </w:r>
    </w:p>
    <w:p>
      <w:pPr>
        <w:spacing w:after="0" w:line="200"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auto"/>
        </w:rPr>
        <w:t>If we are unable to obtain, or if there are delays in obtaining, required regulatory approvals for our drug candidates in the U.S. or other jurisdictions, or if approval is subject to limitations, we will be unable to commercialize, or will be delayed or limited in commercializing, the drug candidates in such jurisdiction and our ability to generate revenue may be materially impaired.</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drug candidates and the activities associated with their development and commercialization — including their design, testing, manufacture, safety, efficacy, recordkeeping, labeling, storage, approval, advertising, promotion, sale, distribution, import, and export — are subject to comprehensive regulation by the FDA and other regulatory agencies in the United States and by comparable authorities in other countries. Before we can commercialize any of our drug candidates, we must obtain marketing approval. As of December 31, 2025, all of our drug candidates are in development, and we have not received approval to market any of our drug candidates from regulatory</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authorities in any jurisdiction. It is possible that our current and future drug candidates will never obtain regulatory and marketing approval.</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only limited experience in filing and supporting applications to regulatory authorities and expect to rely on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It also requires the submission of information about the product manufacturing process to, and inspection of manufacturing facilities by, the relevant regulatory authority. Given our novel approach to drug discovery that uses our platform to generate data, regulatory authorities may not approve any of our drug candidates derived from our platform. They may also elect to inspect our platform and facilities and manufacturing and research practices, which may uncover regulatory deficiencies that must be addressed and remedied before research or market authorizations may occur.</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process of obtaining regulatory approvals, both in the United States and abroad, is expensive and often takes many years. If the FDA or a comparable foreign regulatory authority requires that we perform additional preclinical or clinical trials, then approval may be delayed, if obtained at all. The FDA and comparable regulatory authorities in other countries have substantial discretion in the approval process and may refuse to accept any application, or they may decide that our data are insufficient for approval and require additional preclinical, clinical, or other studies. Our drug candidates could be delayed in receiving, or fail to receive, regulatory approval for many reasons, including but not limited to the following:</w:t>
      </w:r>
    </w:p>
    <w:p>
      <w:pPr>
        <w:spacing w:after="0" w:line="209" w:lineRule="exact"/>
        <w:rPr>
          <w:sz w:val="20"/>
          <w:szCs w:val="20"/>
          <w:color w:val="auto"/>
        </w:rPr>
      </w:pPr>
    </w:p>
    <w:p>
      <w:pPr>
        <w:ind w:left="380" w:hanging="157"/>
        <w:spacing w:after="0"/>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7" w:lineRule="exact"/>
        <w:rPr>
          <w:rFonts w:ascii="Arial" w:cs="Arial" w:eastAsia="Arial" w:hAnsi="Arial"/>
          <w:sz w:val="18"/>
          <w:szCs w:val="18"/>
          <w:color w:val="auto"/>
        </w:rPr>
      </w:pPr>
    </w:p>
    <w:p>
      <w:pPr>
        <w:ind w:left="380" w:hanging="157"/>
        <w:spacing w:after="0"/>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patients in our clinical studies;</w:t>
      </w:r>
    </w:p>
    <w:p>
      <w:pPr>
        <w:spacing w:after="0" w:line="9" w:lineRule="exact"/>
        <w:rPr>
          <w:rFonts w:ascii="Arial" w:cs="Arial" w:eastAsia="Arial" w:hAnsi="Arial"/>
          <w:sz w:val="18"/>
          <w:szCs w:val="18"/>
          <w:color w:val="auto"/>
        </w:rPr>
      </w:pPr>
    </w:p>
    <w:p>
      <w:pPr>
        <w:ind w:left="380" w:hanging="157"/>
        <w:spacing w:after="0" w:line="250"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that a related companion diagnostic is suitable to identify appropriate patient populations;</w:t>
      </w:r>
    </w:p>
    <w:p>
      <w:pPr>
        <w:ind w:left="380" w:right="1200" w:hanging="157"/>
        <w:spacing w:after="0" w:line="250"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drug candidate may be only moderately effective or may have undesirable or unintended side effects, toxicities, or other characteristics;</w:t>
      </w:r>
    </w:p>
    <w:p>
      <w:pPr>
        <w:ind w:left="380" w:right="660" w:hanging="157"/>
        <w:spacing w:after="0" w:line="250"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380" w:hanging="157"/>
        <w:spacing w:after="0"/>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9" w:lineRule="exact"/>
        <w:rPr>
          <w:rFonts w:ascii="Arial" w:cs="Arial" w:eastAsia="Arial" w:hAnsi="Arial"/>
          <w:sz w:val="18"/>
          <w:szCs w:val="18"/>
          <w:color w:val="auto"/>
        </w:rPr>
      </w:pPr>
    </w:p>
    <w:p>
      <w:pPr>
        <w:ind w:left="380" w:right="480" w:hanging="157"/>
        <w:spacing w:after="0" w:line="250"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380" w:right="200" w:hanging="157"/>
        <w:spacing w:after="0" w:line="250"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or of sufficient quality to support the submission of an NDA or other submission or to obtain regulatory approval in the United States or elsewhere;</w:t>
      </w:r>
    </w:p>
    <w:p>
      <w:pPr>
        <w:ind w:left="380" w:right="500" w:hanging="157"/>
        <w:spacing w:after="0" w:line="250"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our manufacturing processes or facilities, or those of third-party manufacturers with which we contract, for clinical and commercial supplies; and</w:t>
      </w:r>
    </w:p>
    <w:p>
      <w:pPr>
        <w:ind w:left="380" w:right="540" w:hanging="157"/>
        <w:spacing w:after="0" w:line="266"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such that our clinical or manufacturing data are insufficient for approval.</w:t>
      </w:r>
    </w:p>
    <w:p>
      <w:pPr>
        <w:spacing w:after="0" w:line="19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Even if we obtain approval, regulatory authorities may approve any of our drug candidates for fewer or more limited indications than we request, thereby narrowing the commercial potential of the drug candidate. In addition, regulatory authorities may grant approval contingent on the performance of costly post-marketing clinical trials or may approve a drug candidate with a label that does not include the labeling claims necessary or desirable for the successful commercialization of that drug candidate.</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we are unable to obtain, or experience delays in obtaining, approval of our current and future drug candidates in the U.S. or other jurisdictions, or if approval is subject to limitations, the commercial prospects for the drug candidates may be harmed, and our reputation and ability to generate revenues may be materially impaired.</w:t>
      </w:r>
    </w:p>
    <w:p>
      <w:pPr>
        <w:spacing w:after="0" w:line="200"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result in a safety profile that could prevent regulatory approval, prevent market acceptance, limit their commercial potential or result in significant negative consequences.</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Patients in our ongoing and planned clinical trials may in the future suffer other significant adverse events or other side effects not observed in our preclinical studies or previous clinical trials. Our product candidates may be used in populations for which safety concerns may be particularly scrutinized by regulatory agencies.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possible that some of the patients enrolled in our clinical trials may die or experience major clinical events either during the course of our clinical trials or after participating in such trials, which has occurred in the past.</w:t>
      </w:r>
    </w:p>
    <w:p>
      <w:pPr>
        <w:spacing w:after="0" w:line="7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spacing w:after="0" w:line="81"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Often done through biomarker testing, patient identification and enrollment are significant factors in the timing of clinical trials. Our ability to identify and enroll eligible patients may be limited or may result in slower enrollment than we anticipate. If patient identification proves unsuccessful, we may have difficulty enrolling or maintaining patients appropriate for our product candidates. Similarly, enrollment in trials for our product candidates may be limited or slower than we anticipated if any required laboratory biomarker tests are not available due to shortages of staff or reagents.</w:t>
      </w:r>
    </w:p>
    <w:p>
      <w:pPr>
        <w:spacing w:after="0" w:line="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Enrollment of patients in our clinical trials and maintaining patients in our ongoing clinical trials may be delayed or limited if our clinical trial sites limit their onsite staff or temporarily close as a result of a global pandemic or other public health emergencies. 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71" w:lineRule="exact"/>
        <w:rPr>
          <w:sz w:val="20"/>
          <w:szCs w:val="20"/>
          <w:color w:val="auto"/>
        </w:rPr>
      </w:pPr>
    </w:p>
    <w:p>
      <w:pPr>
        <w:ind w:left="1100" w:hanging="444"/>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27" w:lineRule="exact"/>
        <w:rPr>
          <w:rFonts w:ascii="Arial" w:cs="Arial" w:eastAsia="Arial" w:hAnsi="Arial"/>
          <w:sz w:val="18"/>
          <w:szCs w:val="18"/>
          <w:color w:val="auto"/>
        </w:rPr>
      </w:pPr>
    </w:p>
    <w:p>
      <w:pPr>
        <w:ind w:left="1100" w:hanging="444"/>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9" w:lineRule="exact"/>
        <w:rPr>
          <w:rFonts w:ascii="Arial" w:cs="Arial" w:eastAsia="Arial" w:hAnsi="Arial"/>
          <w:sz w:val="18"/>
          <w:szCs w:val="18"/>
          <w:color w:val="auto"/>
        </w:rPr>
      </w:pPr>
    </w:p>
    <w:p>
      <w:pPr>
        <w:ind w:left="1100" w:hanging="444"/>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9" w:lineRule="exact"/>
        <w:rPr>
          <w:rFonts w:ascii="Arial" w:cs="Arial" w:eastAsia="Arial" w:hAnsi="Arial"/>
          <w:sz w:val="18"/>
          <w:szCs w:val="18"/>
          <w:color w:val="auto"/>
        </w:rPr>
      </w:pPr>
    </w:p>
    <w:p>
      <w:pPr>
        <w:ind w:left="1100" w:hanging="444"/>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9" w:lineRule="exact"/>
        <w:rPr>
          <w:rFonts w:ascii="Arial" w:cs="Arial" w:eastAsia="Arial" w:hAnsi="Arial"/>
          <w:sz w:val="18"/>
          <w:szCs w:val="18"/>
          <w:color w:val="auto"/>
        </w:rPr>
      </w:pPr>
    </w:p>
    <w:p>
      <w:pPr>
        <w:ind w:left="1100" w:hanging="444"/>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9" w:lineRule="exact"/>
        <w:rPr>
          <w:rFonts w:ascii="Arial" w:cs="Arial" w:eastAsia="Arial" w:hAnsi="Arial"/>
          <w:sz w:val="18"/>
          <w:szCs w:val="18"/>
          <w:color w:val="auto"/>
        </w:rPr>
      </w:pPr>
    </w:p>
    <w:p>
      <w:pPr>
        <w:jc w:val="both"/>
        <w:ind w:left="1100" w:right="280" w:hanging="444"/>
        <w:spacing w:after="0" w:line="250"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1" w:lineRule="exact"/>
        <w:rPr>
          <w:rFonts w:ascii="Arial" w:cs="Arial" w:eastAsia="Arial" w:hAnsi="Arial"/>
          <w:sz w:val="18"/>
          <w:szCs w:val="18"/>
          <w:color w:val="auto"/>
        </w:rPr>
      </w:pPr>
    </w:p>
    <w:p>
      <w:pPr>
        <w:ind w:left="1100" w:right="420" w:hanging="444"/>
        <w:spacing w:after="0" w:line="250"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clinicians’ willingness to screen their patients for biomarkers to indicate which patients may be eligible for enrollment in our clinical trials;</w:t>
      </w:r>
    </w:p>
    <w:p>
      <w:pPr>
        <w:ind w:left="1100" w:hanging="444"/>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9" w:lineRule="exact"/>
        <w:rPr>
          <w:rFonts w:ascii="Arial" w:cs="Arial" w:eastAsia="Arial" w:hAnsi="Arial"/>
          <w:sz w:val="18"/>
          <w:szCs w:val="18"/>
          <w:color w:val="auto"/>
        </w:rPr>
      </w:pPr>
    </w:p>
    <w:p>
      <w:pPr>
        <w:ind w:left="1100" w:hanging="444"/>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9" w:lineRule="exact"/>
        <w:rPr>
          <w:rFonts w:ascii="Arial" w:cs="Arial" w:eastAsia="Arial" w:hAnsi="Arial"/>
          <w:sz w:val="18"/>
          <w:szCs w:val="18"/>
          <w:color w:val="auto"/>
        </w:rPr>
      </w:pPr>
    </w:p>
    <w:p>
      <w:pPr>
        <w:ind w:left="1100" w:hanging="444"/>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9" w:lineRule="exact"/>
        <w:rPr>
          <w:rFonts w:ascii="Arial" w:cs="Arial" w:eastAsia="Arial" w:hAnsi="Arial"/>
          <w:sz w:val="18"/>
          <w:szCs w:val="18"/>
          <w:color w:val="auto"/>
        </w:rPr>
      </w:pPr>
    </w:p>
    <w:p>
      <w:pPr>
        <w:ind w:left="1100" w:right="360" w:hanging="444"/>
        <w:spacing w:after="0" w:line="266"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realize a return on our investment of resources and cash in our drug discovery collaborations.</w:t>
      </w:r>
    </w:p>
    <w:p>
      <w:pPr>
        <w:spacing w:after="0" w:line="25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conduct drug discovery activities for or with collaborators who are also engaged in drug discovery and development, which include pre-commercial biotechnology companies and large pharmaceutical companies. Under these collaborations, we typically provide, among other resources, the benefit of our drug discovery platform and platform experts who identify molecules that have activity against one or more specified targets. In consideration, we have received, and expect to receive in the future, (i) equity investments; (ii) upfront fees; and/or (iii) the right to receive option fees, cash milestone payments upon the achievement of specified development, regulatory, or commercial sales milestones for the drug discovery targets, and potential royalties. Our ability to receive fees and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payments and realize returns from our drug discovery collaborations in a timely manner, or at all, is subject to a number of risks, including but not limited to the following:</w:t>
      </w:r>
    </w:p>
    <w:p>
      <w:pPr>
        <w:spacing w:after="0" w:line="180" w:lineRule="exact"/>
        <w:rPr>
          <w:sz w:val="20"/>
          <w:szCs w:val="20"/>
          <w:color w:val="auto"/>
        </w:rPr>
      </w:pPr>
    </w:p>
    <w:p>
      <w:pPr>
        <w:ind w:left="400" w:right="20" w:hanging="177"/>
        <w:spacing w:after="0" w:line="260" w:lineRule="auto"/>
        <w:tabs>
          <w:tab w:leader="none" w:pos="3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collaborators may incur unanticipated costs or experience delays in completing, or may be unable to complete, the development and commercialization of any drug candidates;</w:t>
      </w:r>
    </w:p>
    <w:p>
      <w:pPr>
        <w:spacing w:after="0" w:line="1" w:lineRule="exact"/>
        <w:rPr>
          <w:rFonts w:ascii="Arial" w:cs="Arial" w:eastAsia="Arial" w:hAnsi="Arial"/>
          <w:sz w:val="18"/>
          <w:szCs w:val="18"/>
          <w:color w:val="auto"/>
        </w:rPr>
      </w:pPr>
    </w:p>
    <w:p>
      <w:pPr>
        <w:ind w:left="400" w:right="720" w:hanging="177"/>
        <w:spacing w:after="0" w:line="250" w:lineRule="auto"/>
        <w:tabs>
          <w:tab w:leader="none" w:pos="3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our collaborations and may not perform their obligations as currently expected;</w:t>
      </w:r>
    </w:p>
    <w:p>
      <w:pPr>
        <w:ind w:left="400" w:right="260" w:hanging="177"/>
        <w:spacing w:after="0" w:line="250" w:lineRule="auto"/>
        <w:tabs>
          <w:tab w:leader="none" w:pos="3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or commercialization of drug candidates for various reasons, including results of clinical trials or other studies, changes in the collaborator’s strategic focus or available funding, their desire to develop products that compete directly or indirectly with our drug candidates, or external factors (such as an acquisition or industry slowdown) that divert resources or create competing priorities;</w:t>
      </w:r>
    </w:p>
    <w:p>
      <w:pPr>
        <w:spacing w:after="0" w:line="1" w:lineRule="exact"/>
        <w:rPr>
          <w:rFonts w:ascii="Arial" w:cs="Arial" w:eastAsia="Arial" w:hAnsi="Arial"/>
          <w:sz w:val="18"/>
          <w:szCs w:val="18"/>
          <w:color w:val="auto"/>
        </w:rPr>
      </w:pPr>
    </w:p>
    <w:p>
      <w:pPr>
        <w:ind w:left="400" w:right="220" w:hanging="177"/>
        <w:spacing w:after="0" w:line="250" w:lineRule="auto"/>
        <w:tabs>
          <w:tab w:leader="none" w:pos="3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existing collaborators and potential future collaborators may begin to perceive us to be a competitor more generally, particularly as we advance our internal drug discovery programs, and therefore may be unwilling to continue existing collaborations, or enter into new collaborations, with us;</w:t>
      </w:r>
    </w:p>
    <w:p>
      <w:pPr>
        <w:spacing w:after="0" w:line="1" w:lineRule="exact"/>
        <w:rPr>
          <w:rFonts w:ascii="Arial" w:cs="Arial" w:eastAsia="Arial" w:hAnsi="Arial"/>
          <w:sz w:val="18"/>
          <w:szCs w:val="18"/>
          <w:color w:val="auto"/>
        </w:rPr>
      </w:pPr>
    </w:p>
    <w:p>
      <w:pPr>
        <w:ind w:left="400" w:right="560" w:hanging="177"/>
        <w:spacing w:after="0" w:line="250" w:lineRule="auto"/>
        <w:tabs>
          <w:tab w:leader="none" w:pos="3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drug candidate or product;</w:t>
      </w:r>
    </w:p>
    <w:p>
      <w:pPr>
        <w:ind w:left="400" w:right="160" w:hanging="177"/>
        <w:spacing w:after="0" w:line="250" w:lineRule="auto"/>
        <w:tabs>
          <w:tab w:leader="none" w:pos="3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drug candidates, or might result in litigation or arbitration;</w:t>
      </w:r>
    </w:p>
    <w:p>
      <w:pPr>
        <w:spacing w:after="0" w:line="1" w:lineRule="exact"/>
        <w:rPr>
          <w:rFonts w:ascii="Arial" w:cs="Arial" w:eastAsia="Arial" w:hAnsi="Arial"/>
          <w:sz w:val="18"/>
          <w:szCs w:val="18"/>
          <w:color w:val="auto"/>
        </w:rPr>
      </w:pPr>
    </w:p>
    <w:p>
      <w:pPr>
        <w:ind w:left="400" w:right="240" w:hanging="177"/>
        <w:spacing w:after="0" w:line="250" w:lineRule="auto"/>
        <w:tabs>
          <w:tab w:leader="none" w:pos="3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they may use our proprietary information in such a way as to potentially lead to disputes or legal proceedings that could jeopardize or invalidate our or their intellectual property or proprietary rights;</w:t>
      </w:r>
    </w:p>
    <w:p>
      <w:pPr>
        <w:spacing w:after="0" w:line="1" w:lineRule="exact"/>
        <w:rPr>
          <w:rFonts w:ascii="Arial" w:cs="Arial" w:eastAsia="Arial" w:hAnsi="Arial"/>
          <w:sz w:val="18"/>
          <w:szCs w:val="18"/>
          <w:color w:val="auto"/>
        </w:rPr>
      </w:pPr>
    </w:p>
    <w:p>
      <w:pPr>
        <w:ind w:left="400" w:right="180" w:hanging="177"/>
        <w:spacing w:after="0" w:line="250" w:lineRule="auto"/>
        <w:tabs>
          <w:tab w:leader="none" w:pos="3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ind w:left="400" w:hanging="177"/>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drug discovery collaborations may be terminated prior to our receipt of any significant value.</w:t>
      </w:r>
    </w:p>
    <w:p>
      <w:pPr>
        <w:spacing w:after="0" w:line="2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we may be over-reliant on our partners to provide information for molecules that we in-license, or such molecules may no longer be well-protected because the composition of matter patents that once protected them become expired. Moreover, we may have difficulty obtaining the quality and quantity of active pharmaceutical ingredients (API) for use in drug candidates, or we may be unable to ensure the stability of the molecule, all of which is needed to conduct clinical trials or bring a drug candidate to market. For those molecules that we are attempting to repurpose for other indications, our collaboration partners may not have sufficient data, may have poor quality data, or may not be able to help us interpret data, any of which could cause our collaboration to fail.</w:t>
      </w:r>
    </w:p>
    <w:p>
      <w:pPr>
        <w:spacing w:after="0" w:line="20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Furthermore, the amounts we are entitled to receive upon the achievement of such milestones vary depending on regulatory approval and the level of commercial success achieved, if any.</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any drug discovery collaborations that we enter into do not result in the successful development and commercialization of drug products that result in option fees, milestone payments, royalties, or other payments to us as expected, we may not receive an adequate return on the resources we have invested in such collaborations, which would have an adverse effect on our business, results of operations and prospects. Further, we may not have access to, or may be restricted from disclosing, certain information regarding development and commercialization of our collaborators’ drug candidates and, consequently, may have limited ability to inform our stockholders about the status of, and likelihood of achieving, option fees, milestone payments or royalties under such collaborations.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realize a return on our equity investments in our drug discovery collaborators.</w:t>
      </w:r>
    </w:p>
    <w:p>
      <w:pPr>
        <w:spacing w:after="0" w:line="2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decided to take and may decide in the future to take equity stakes in our drug discovery collaborators. We may never realize a return on our equity investments in our drug discovery collaborators. None of the drug discovery collaborators in which we hold equity generate revenue from commercial sales of drug products. They are therefore dependent on the availability of capital on favorable terms to continue their operations. In addition, if the drug discovery collaborators in which we hold equity raise additional capital, our ownership interest in and degree of control over these drug discovery collaborators will be diluted, unless we have sufficient resources and choose to invest in them further or successfully negotiate contractual anti-dilution protections for our equity investment. The financial success of our equity investment in any collaborator will likely be dependent on a liquidity event, such as a public offering, acquisition or other favorable market event reflecting appreciation in the value of the equity we hold. The capital markets for public offerings and acquisitions are dynamic, and the likelihood of liquidity events for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companies in which we hold equity interests could significantly worsen. Further, valuations of privately held companies are inherently complex due to the lack of readily available market data. If we determine that any of our investments in such companies have experienced a decline in value, we may be required to record an impairment, which could negatively impact our financial results. All of the equity we hold in our drug discovery collaborators is subject to a risk of partial or total loss of our investment.</w:t>
      </w:r>
    </w:p>
    <w:p>
      <w:pPr>
        <w:spacing w:after="0" w:line="205"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6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development and commercialization of new products in the biopharmaceutical and related industries is highly competitive. There are other companies focusing on technology-enabled drug discovery to identify and develop new chemical entities (NCEs) that have not previously been investigated in clinical trials and/or known chemical entities (KCEs) that have been previously investigated. Some of these competitive companies are employing scientific approaches that are the same as or similar to our approach, and others are using entirely different approaches. These companies include large pharmaceutical companies, specialty pharmaceutical companies, and biotechnology companies of various sizes worldwide.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Many of the companies that we compete against, or which we may compete against in the future, have significantly greater financial resources and expertise in research and development, manufacturing, preclinical testing, conducting clinical trials, obtaining regulatory approvals, and marketing approval of products than we do. They may also compete with us in recruiting and retaining qualified scientific and management personnel, in establishing clinical trial sites and patient recruitment for clinical trials, as well as in acquiring technologies complementary to, or necessary for, developing our programs.</w:t>
      </w:r>
    </w:p>
    <w:p>
      <w:pPr>
        <w:spacing w:after="0" w:line="2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Within the field of technology-enabled drug discovery, we believe that our approach utilizing a combination of wet-lab biology to generate our proprietary dataset, and the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tools in our closed-loop system, sets us apart and affords us a competitive advantage in initiating and advancing drug development programs. We further believe that the principal competitive factors to our business include (i) the accuracy of our computations and predictions; (ii) the ability to integrate experimental and computational capabilities; (iii) the ability to successfully transition research programs into clinical development; (iv) the ability to raise capital; and (v) the scalability of our platform, pipeline, and business.</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Any drug candidates that we successfully develop and commercialize will compete with currently-approved therapies, and new therapies that may become available in the future, from segments of the pharmaceutical, biotechnology, and other related industries. The key competitive factors affecting the success of all of our drug candidates, if approved, are likely to be (i) their efficacy, safety, convenience, and price; (ii) the level of non-generic and generic competition; and (iii) the availability and amount of reimbursement from government healthcare programs, commercial insurance plans, and other third-party payors. Our commercial opportunity could be reduced or eliminated if competing products are more effective, have fewer or less severe side effects, are more convenient, or are less expensive than products that we or our collaborators may develop, or if competitors obtain FDA or other regulatory approval more rapidly than us and are able to establish a strong market position before we or our collaborators are able to enter the market.</w:t>
      </w:r>
    </w:p>
    <w:p>
      <w:pPr>
        <w:spacing w:after="0" w:line="21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If our proprietary tools and technology and other competitive advantages do not remain in place and evolve appropriately as barriers to entry in the future, or if we and our collaboration partners are not otherwise able to effectively compete against existing and potential competitors, our business and results of operations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b w:val="1"/>
          <w:bCs w:val="1"/>
          <w:i w:val="1"/>
          <w:iCs w:val="1"/>
          <w:color w:val="auto"/>
        </w:rPr>
        <w:t>Because we have multiple programs and drug candidates in our development pipeline and are pursuing a variety of target indications and treatment modalities, we may expend our limited resources to pursue a particular drug candidate and fail to capitalize on development opportunities or drug candidates that may be more profitable or for which there is a greater likelihood of success.</w:t>
      </w:r>
    </w:p>
    <w:p>
      <w:pPr>
        <w:spacing w:after="0" w:line="19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currently focus on the development of drug candidates regardless of the treatment modality or the particular target indication. Because we have limited financial and personnel resources, we may forgo or delay pursuit of opportunities with potential target indications or drug candidates that later prove to have greater commercial potential than our current and planned development programs and drug candidates. Our resource allocation decisions may cause us to fail to capitalize on viable commercial products or profitable market opportunities. Our spending on current and future research and development programs and other future drug candidates for specific indications may not yield any future drug candidates that are commercially viable.</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We and our collaborators may not achieve projected discovery and development milestones and other anticipated key events in the time frames that we or they announce, which could have an adverse impact on our business and could cause our stock price to decline.</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From time to time we have made, and in the future are likely to make, public statements regarding the expected timing of certain milestones and key events, such as the commencement and completion of preclinical and clinical studies in our internal drug discovery programs as well as developments and milestones under our collaborations. Our collaborators, such as Roche and Genentech, have also made public statements regarding expectations for the development of programs under collaborations with us and may in the future make additional statements about their goals and expectations for collaborations with us. The actual timing of these events can vary dramatically due to a number of factors, such as (i) delays or failures in our, or our current and future collaborators’, drug discovery and development programs; (ii) the amount of time, effort, and resources committed by us and our current and future collaborators; and (iii) the numerous uncertainties inherent in the development of drugs. As a result, there can be no assurance that our, or our current and future collaborators’, programs will advance or be completed in the time frames we or they announce or expect. If we or any collaborators fail to achieve one or more of these milestones or other key events as planned and announced, our business and reputation could be materially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PLATFORM AND DATA</w:t>
      </w:r>
    </w:p>
    <w:p>
      <w:pPr>
        <w:spacing w:after="0" w:line="254"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i w:val="1"/>
          <w:iCs w:val="1"/>
          <w:color w:val="auto"/>
        </w:rPr>
        <w:t>We have invested, and expect to continue to invest, in research and development efforts to further enhance our drug discovery platform, which is central to our mission. If the return on these investments is lower or develops more slowly than we expect, our business and operating results may suffer.</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drug discovery platform is central to our mission to decode biology by integrating technological innovations across biology, chemistry, automation, data science, and engineering. The platform includes the Recursion Operating System, which combines an advanced infrastructure layer to generate proprietary biological and chemical datasets, a suite of custom software, algorithms, AI models, AI agents, and machine learning tools. Our platform depends upon the continuous, effective, and reliable operation of our software, hardware, databases, and related tools and functions, as well as the integrity of our data. Our ability to develop drug candidates and increase revenue depends in large part on our ability to enhance and improve our platform. The success of any enhancement to our platform depends on several factors, including (i) innovation in hardware solutions; (ii) increased computational storage and processing capacity; (iii) development of more advanced algorithms; and (iv) generation of additional biological and chemical data, such as that which is necessary to our ability to identify important and emerging use cases and quickly develop new and effective innovations to address those use cases.</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invested, and expect to continue to invest, in research and development efforts, acquisitions, and licensing agreements that further enhance our platform. These investments may involve significant time, risks, and uncertainties, including the risks that any new software or hardware enhancement or the integration of software or hardware from an acquired company or third party licensor may not be introduced in a timely or cost-effective manner; may not keep pace with technological developments; or may not achieve the functionality necessary to generate significant revenues.</w:t>
      </w:r>
    </w:p>
    <w:p>
      <w:pPr>
        <w:spacing w:after="0" w:line="20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proprietary software tools, hardware, and data sets are inherently complex. We have from time to time found defects, vulnerabilities, or other errors in our software and hardware that produce the data sets we use to discover new drug candidates, and new errors with our software and hardware may be detected in the future. The risk of</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errors is particularly significant when new software or hardware is first introduced or when new versions or enhancements of existing software or hardware are implemented. Errors may also result from the interface of our proprietary software and hardware tools with our data or with third-party systems and data.</w:t>
      </w:r>
    </w:p>
    <w:p>
      <w:pPr>
        <w:spacing w:after="0" w:line="19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If we are unable to successfully enhance our drug discovery platform, or if there are any defects or disruptions in our platform that are not timely resolved, our ability to develop new innovations and ultimately gain market acceptance of our products and discoveries could be materially and adversely impacted, and our reputation, business, operating results and prospects could be materially harmed.</w:t>
      </w:r>
    </w:p>
    <w:p>
      <w:pPr>
        <w:spacing w:after="0" w:line="200" w:lineRule="exact"/>
        <w:rPr>
          <w:sz w:val="20"/>
          <w:szCs w:val="20"/>
          <w:color w:val="auto"/>
        </w:rPr>
      </w:pPr>
    </w:p>
    <w:p>
      <w:pPr>
        <w:ind w:right="860"/>
        <w:spacing w:after="0" w:line="294" w:lineRule="auto"/>
        <w:rPr>
          <w:sz w:val="20"/>
          <w:szCs w:val="20"/>
          <w:color w:val="auto"/>
        </w:rPr>
      </w:pPr>
      <w:r>
        <w:rPr>
          <w:rFonts w:ascii="Arial" w:cs="Arial" w:eastAsia="Arial" w:hAnsi="Arial"/>
          <w:sz w:val="18"/>
          <w:szCs w:val="18"/>
          <w:b w:val="1"/>
          <w:bCs w:val="1"/>
          <w:i w:val="1"/>
          <w:iCs w:val="1"/>
          <w:color w:val="auto"/>
        </w:rPr>
        <w:t>Our information technology systems and infrastructure may fail or experience security breaches and incidents that could adversely impact our business and operations and subject us to liability.</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experienced significant growth in the complexity of our data and the software tools that our hardware infrastructure supports. We rely significantly upon information technology systems and infrastructure owned and maintained by us or by third party providers to generate, collect, store, and transmit confidential and proprietary information and data (including but not limited to intellectual property, proprietary business information, and personal information) and to operate our business. We also outsource elements of our operations to, and obtain products and services from, third parties and engage in collaborations for drug discovery with third parties, each of which has or could have access to our confidential or proprietary information.</w:t>
      </w:r>
    </w:p>
    <w:p>
      <w:pPr>
        <w:spacing w:after="0" w:line="20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deploy and operate an array of technical and procedural controls to reduce the risks to our information technology systems, infrastructure and data and to work to maintain the availability, confidentiality and integrity of our data, and we expect to continue to incur significant costs on such detection and prevention efforts.</w:t>
      </w:r>
    </w:p>
    <w:p>
      <w:pPr>
        <w:spacing w:after="0" w:line="19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Despite these measures, our information technology and other internal infrastructure systems face the risk of failures, interruptions, security breaches and incidents, or other harm from various causes or sources, and third parties with whom we share confidential or proprietary information, and third parties on which we otherwise rely, face similar risks and may experience similar events that materially impact us. These causes or sources include but are not limited to the following:</w:t>
      </w:r>
    </w:p>
    <w:p>
      <w:pPr>
        <w:spacing w:after="0" w:line="203" w:lineRule="exact"/>
        <w:rPr>
          <w:sz w:val="20"/>
          <w:szCs w:val="20"/>
          <w:color w:val="auto"/>
        </w:rPr>
      </w:pPr>
    </w:p>
    <w:p>
      <w:pPr>
        <w:ind w:left="400" w:hanging="177"/>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service interruptions;</w:t>
      </w:r>
    </w:p>
    <w:p>
      <w:pPr>
        <w:spacing w:after="0" w:line="27" w:lineRule="exact"/>
        <w:rPr>
          <w:rFonts w:ascii="Arial" w:cs="Arial" w:eastAsia="Arial" w:hAnsi="Arial"/>
          <w:sz w:val="18"/>
          <w:szCs w:val="18"/>
          <w:color w:val="auto"/>
        </w:rPr>
      </w:pPr>
    </w:p>
    <w:p>
      <w:pPr>
        <w:ind w:left="400" w:hanging="177"/>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system malfunctions and other technical errors;</w:t>
      </w:r>
    </w:p>
    <w:p>
      <w:pPr>
        <w:spacing w:after="0" w:line="9" w:lineRule="exact"/>
        <w:rPr>
          <w:rFonts w:ascii="Arial" w:cs="Arial" w:eastAsia="Arial" w:hAnsi="Arial"/>
          <w:sz w:val="18"/>
          <w:szCs w:val="18"/>
          <w:color w:val="auto"/>
        </w:rPr>
      </w:pPr>
    </w:p>
    <w:p>
      <w:pPr>
        <w:ind w:left="400" w:hanging="177"/>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computer viruses and other malicious code;</w:t>
      </w:r>
    </w:p>
    <w:p>
      <w:pPr>
        <w:spacing w:after="0" w:line="9" w:lineRule="exact"/>
        <w:rPr>
          <w:rFonts w:ascii="Arial" w:cs="Arial" w:eastAsia="Arial" w:hAnsi="Arial"/>
          <w:sz w:val="18"/>
          <w:szCs w:val="18"/>
          <w:color w:val="auto"/>
        </w:rPr>
      </w:pPr>
    </w:p>
    <w:p>
      <w:pPr>
        <w:ind w:left="400" w:hanging="177"/>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 w:lineRule="exact"/>
        <w:rPr>
          <w:rFonts w:ascii="Arial" w:cs="Arial" w:eastAsia="Arial" w:hAnsi="Arial"/>
          <w:sz w:val="18"/>
          <w:szCs w:val="18"/>
          <w:color w:val="auto"/>
        </w:rPr>
      </w:pPr>
    </w:p>
    <w:p>
      <w:pPr>
        <w:ind w:left="400" w:hanging="177"/>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global political instability;</w:t>
      </w:r>
    </w:p>
    <w:p>
      <w:pPr>
        <w:spacing w:after="0" w:line="9" w:lineRule="exact"/>
        <w:rPr>
          <w:rFonts w:ascii="Arial" w:cs="Arial" w:eastAsia="Arial" w:hAnsi="Arial"/>
          <w:sz w:val="18"/>
          <w:szCs w:val="18"/>
          <w:color w:val="auto"/>
        </w:rPr>
      </w:pPr>
    </w:p>
    <w:p>
      <w:pPr>
        <w:ind w:left="400" w:hanging="177"/>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warfare;</w:t>
      </w:r>
    </w:p>
    <w:p>
      <w:pPr>
        <w:spacing w:after="0" w:line="9" w:lineRule="exact"/>
        <w:rPr>
          <w:rFonts w:ascii="Arial" w:cs="Arial" w:eastAsia="Arial" w:hAnsi="Arial"/>
          <w:sz w:val="18"/>
          <w:szCs w:val="18"/>
          <w:color w:val="auto"/>
        </w:rPr>
      </w:pPr>
    </w:p>
    <w:p>
      <w:pPr>
        <w:ind w:left="400" w:hanging="177"/>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telecommunication and electrical failures;</w:t>
      </w:r>
    </w:p>
    <w:p>
      <w:pPr>
        <w:spacing w:after="0" w:line="9" w:lineRule="exact"/>
        <w:rPr>
          <w:rFonts w:ascii="Arial" w:cs="Arial" w:eastAsia="Arial" w:hAnsi="Arial"/>
          <w:sz w:val="18"/>
          <w:szCs w:val="18"/>
          <w:color w:val="auto"/>
        </w:rPr>
      </w:pPr>
    </w:p>
    <w:p>
      <w:pPr>
        <w:ind w:left="400" w:hanging="177"/>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inadvertent or intentional actions by our employees or third-party providers; and</w:t>
      </w:r>
    </w:p>
    <w:p>
      <w:pPr>
        <w:spacing w:after="0" w:line="9" w:lineRule="exact"/>
        <w:rPr>
          <w:rFonts w:ascii="Arial" w:cs="Arial" w:eastAsia="Arial" w:hAnsi="Arial"/>
          <w:sz w:val="18"/>
          <w:szCs w:val="18"/>
          <w:color w:val="auto"/>
        </w:rPr>
      </w:pPr>
    </w:p>
    <w:p>
      <w:pPr>
        <w:jc w:val="both"/>
        <w:ind w:left="400" w:right="720" w:hanging="177"/>
        <w:spacing w:after="0" w:line="296" w:lineRule="auto"/>
        <w:tabs>
          <w:tab w:leader="none" w:pos="39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cyber-attacks by malicious third parties, including the deployment of ransomware and malware, denial-of-service attacks, social engineering, and other means to affect service reliability and threaten the confidentiality, integrity, and availability of information.</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With respect to cyber-attacks, 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These risks may be heightened in connection with geopolitical events such as the conflict between Russia and Ukraine. Sophisticated cyber attackers (including foreign adversaries engaged in industrial espionage) are skilled at adapting to existing security technology and developing new methods (including leveraging AI) of gaining access to organizations’ sensitive business data, which could result in the loss of sensitive information, including trade secrets. Further,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21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take steps designed to detect, mitigate, and remediate vulnerabilities in our information systems (such as our hardware and/or software). We may not, however, detect and remediate all such vulnerabilities on a timely basis or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otherwise. Further, we may experience delays in deploying remedial measures and patches designed to address identified vulnerabilities.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Vulnerabilities could be exploited and result in a security breach or other incident.</w:t>
      </w:r>
    </w:p>
    <w:p>
      <w:pPr>
        <w:spacing w:after="0" w:line="23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costs to us to investigate and mitigate actual and suspected security breaches and other incidents could be significant. We may not be able to anticipate all types of threats and implement preventive measures effective against all such threats. Additionally, actual, potential, or anticipated incidents may cause us to incur increasing costs, including costs to deploy additional personnel and protection technologies, train employees and engage third-party experts and consultants. In addition, an increased amount of work is occurring remotely, including through the use of mobile devices. This could increase our cybersecurity risk, create data accessibility concerns, and make us more susceptible to communication disruptions.</w:t>
      </w:r>
    </w:p>
    <w:p>
      <w:pPr>
        <w:spacing w:after="0" w:line="20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may experience cyber-attacks, security breaches and other incidents, and other system failures, errors, or outages, although to our knowledge we have not experienced any material interruption or incident as of December 31, 2025. The loss, corruption, unavailability of, or damage to our data would interfere with and undermine the insights we draw from our platform and could impair the integrity of our clinical trial data, leading to regulatory delays or the inability to get our drug candidates approved. If we do not accurately predict and identify our infrastructure requirements and failures and timely enhance our infrastructure, or if our remediation efforts are not successful, it could result in a material disruption of our business operations and development programs, including the loss or unavailability of, damage to, or unauthorized acquisition, disclosure, use, or other processing of our trade secrets, individuals’ personal information, or other proprietary or sensitive data. A security breach or other incident that leads to unauthorized acquisition, disclosure, or other processing of our intellectual property or other proprietary information could also affect our intellectual property rights and enable competitors to compete with us more effectively. Likewise, as we rely on third parties for the manufacture of our drug candidates and to conduct clinical trials, similar events relating to their systems and operations could also have a material adverse effect on our business and lead to regulatory agency actions.</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Moreover, any security breach or other incident that leads to loss of, unauthorized access to, disclosure of, or other processing of personal information, including personal information regarding clinical trial subjects, contractors, directors, or employees, or the perception any of these has occurred, could harm our reputation, compel us to comply with federal and/or state notification laws and foreign law equivalents, subject us to mandatory corrective action, and otherwise subject us to liability under laws and regulations that protect the privacy and security of personal information. For more information see “Risk Factors— We are subject to U.S. and foreign laws regarding privacy, data protection, and cybersecurity that could entail substantial compliance costs, while the failure to comply could subject us to significant liability” set forth below.</w:t>
      </w:r>
    </w:p>
    <w:p>
      <w:pPr>
        <w:spacing w:after="0" w:line="21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Failures, disruptions, security breaches and other incidents, cyber-attacks, and other harmful events impacting data processed or maintained in our business, or information technology systems or infrastructure used in our business, including those resulting in a loss of or damage to our information technology systems or infrastructure, or the loss of or inappropriate acquisition, disclosure, or other processing of confidential, proprietary, or personal information, or the perception any of these has occurred, could expose us to a risk of loss, enforcement measures, regulatory agency investigations, proceedings, and other actions, penalties, fines, indemnification claims, litigation, potential civil or criminal liability, collaborators’ loss of confidence, damage to our reputation, and other consequences, which could materially adversely affect our business and results of operations. While we maintain insurance coverage for certain expenses and liabilities related to failures or breaches of our information technology systems, it may not be adequate to cover all losses associated with such events. In addition, such insurance may not be available to us in the future on satisfactory terms or at all. Furthermore, if the information technology systems of third parties with whom we do business become subject to disruptions or security breaches or incidents, we may have insufficient recourse against them, and we may have to expend significant resources to mitigate the impact of such an event and to develop and implement protections designed to prevent events of this nature from occurring.</w:t>
      </w:r>
    </w:p>
    <w:p>
      <w:pPr>
        <w:spacing w:after="0" w:line="215"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6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rely on third-party data centers and telecommunications solutions, including cloud infrastructure services such as Google Cloud and Amazon Web Services, to host substantial portions of our technology platforms and to support our business operations. We have no control over these cloud-based service or other third-party providers, although we attempt to reduce risk by minimizing reliance on any single third party or its operations. We have experienced,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expect we may in the future again experience, system interruptions, outages, or delays due to a variety of factors, including infrastructure changes, human or software errors, website hosting disruptions, and capacity constraints. A prolonged service disruption affecting our cloud-based solutions could damage our reputation or otherwise materially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Further, if the security measures of our third-party data center or cloud infrastructure providers are breached or otherwise compromised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cyber-attacks or other means and unauthorized access to our information technology systems or data occurs, it could result in interruptions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our operations and the loss of proprietary or confidential information, which could damage our reputation, cause us to incur substantial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costs, divert our resources from other tasks, and subject us to significant legal and financial exposure and liabilities, any one of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could materially adversely affect our business, results of operations, and prospects. Such third-party providers may also be subject to natural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disasters, global political instability, warfare, power losses, telecommunications failures, or other disruptive events that could negatively affect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business and require us to incur significant costs to secure alternate cloud-based solutions. In addition, any changes in our third-party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providers’ service levels or features that we utilize or a termination of our agreements could also adversely affect our business.</w:t>
      </w:r>
    </w:p>
    <w:p>
      <w:pPr>
        <w:spacing w:after="0" w:line="236"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Our solutions utilize third-party open source software (OSS), which presents risks that could adversely affect our business and subject us to possible litigation.</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solutions include software that is licensed from third parties under open source licenses, and we expect to continue to incorporate such OSS in our solutions in the future. We cannot ensure that we have effectively monitored our use of OSS, validated the quality or source of such software, or are in compliance with the terms of the applicable open source licenses or our policies and procedures. Use of OSS may entail greater risks than use of third-party commercial software because open source licensors generally do not provide support, updates, or warranties or other contractual protections regarding infringement claims or the quality of the code. OSS may also be more susceptible to security vulnerabilities. Third-party OSS providers could experience service outages, data loss, privacy breaches, cyber-attacks, and other events relating to the applications and services they provide, which could diminish the utility of these services and harm our business. We also could be subject to lawsuits by third parties claiming that what we believe to be licensed OSS infringes such parties’ intellectual property rights, which could be costly for us to defend and require us to devote additional research and development resources to change our solutions.</w:t>
      </w:r>
    </w:p>
    <w:p>
      <w:pPr>
        <w:spacing w:after="0" w:line="214"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Issues relating to the use of artificial intelligence and machine learning in our offerings could adversely affect our business and operating results.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incorporate artificial intelligence and machine learning (“AI”) solutions into our platform, in applications that are important to our operations and our drug discovery processes. There are significant risks involved in utilizing AI. Issues relating to the use of new and evolving technologies such as AI and machine learning may cause us to experience brand or reputational harm, competitive harm, legal liability, and new or enhanced governmental or regulatory scrutiny, and we may incur additional costs to resolve such issues. Known risks of AI currently include inaccuracy, bias, toxicity, intellectual property infringement or misappropriation, privacy, data protection and cybersecurity issues, and data provenance disputes. Perceived or actual technical, legal, compliance, privacy, data protection, cybersecurity, ethical or other issues relating to the use of AI may cause public confidence in AI to be undermined, which could slow our customers’ adoption of our products and services that use AI. In addition, litigation or government regulation related to the use of AI may also adversely impact our and others’ abilities to develop and offer products that use AI, as well as increase the cost and complexity of doing so. See the section titled “— Regulatory and legislative developments related to the use of AI could adversely affect our use of such technologies in our products, services, and business.” Developing, testing and deploying AI systems may also increase the cost profile of our product offerings due to the nature of the computing costs involved in such systems, which could impact our project margin and adversely affect our business and operating results. In addition, AI may have or produce errors or inadequacies that are not easily detectable. If the data used to train AI or the content, analyses, or recommendations that AI applications assist in producing are or are alleged to be deficient, inaccurate, incomplete, overbroad or biased, our business, financial condition, and results of operations may be adversely affected. The legal landscape and subsequent legal protection for the use of AI and the collection and use of data used to train AI models remains uncertain, and development of the law in this area could impact our ability to enforce our proprietary rights or protect against infringing uses. If we do not have sufficient rights to collect or use the data on which our AI relies or to the outputs produced by AI applications, we may incur liability through the alleged violation of certain laws, third-party privacy rights, online terms of service, or other contracts to which we or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data providers are a party. Our use of AI applications may also, in the future, result in security breaches or other incidents that implicate the personal data of customers or patients. Any such security breaches or other incidents related to our use of AI applications could adversely affect our reputation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OPERATIONS/COMMERCIALIZATION</w:t>
      </w:r>
    </w:p>
    <w:p>
      <w:pPr>
        <w:spacing w:after="0" w:line="254"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Even if any drug candidates we develop receive marketing approval, they may fail to achieve the degree of market acceptance by physicians, patients, healthcare payors, and others in the medical community necessary for commercial success.</w:t>
      </w:r>
    </w:p>
    <w:p>
      <w:pPr>
        <w:spacing w:after="0" w:line="16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commercial success of our drug candidates that receive marketing approval will depend upon their degree of market acceptance by physicians, patients, third-party payors, and others in the medical community. The degree of market acceptance will depend on a number of factors, including but not limited to the following:</w:t>
      </w:r>
    </w:p>
    <w:p>
      <w:pPr>
        <w:spacing w:after="0" w:line="198" w:lineRule="exact"/>
        <w:rPr>
          <w:sz w:val="20"/>
          <w:szCs w:val="20"/>
          <w:color w:val="auto"/>
        </w:rPr>
      </w:pPr>
    </w:p>
    <w:p>
      <w:pPr>
        <w:ind w:left="380" w:hanging="157"/>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their efficacy and safety as demonstrated in pivotal clinical trials and published in peer-reviewed journals;</w:t>
      </w:r>
    </w:p>
    <w:p>
      <w:pPr>
        <w:spacing w:after="0" w:line="27"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their potential and perceived advantages compared to alternative treatments, including any similar generic treatments;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prevalence and severity of any side effects or adverse events;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offer these products for sale at competitive prices;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offer appropriate patient access programs, such as co-pay assistance;</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their convenience and ease of dosing and administration compared to alternative treatments;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clinical indications for which the drug candidate is approved by the FDA or comparable regulatory authorities;</w:t>
      </w:r>
    </w:p>
    <w:p>
      <w:pPr>
        <w:spacing w:after="0" w:line="9" w:lineRule="exact"/>
        <w:rPr>
          <w:rFonts w:ascii="Arial" w:cs="Arial" w:eastAsia="Arial" w:hAnsi="Arial"/>
          <w:sz w:val="18"/>
          <w:szCs w:val="18"/>
          <w:color w:val="auto"/>
        </w:rPr>
      </w:pPr>
    </w:p>
    <w:p>
      <w:pPr>
        <w:ind w:left="380" w:right="160" w:hanging="157"/>
        <w:spacing w:after="0" w:line="250" w:lineRule="auto"/>
        <w:tabs>
          <w:tab w:leader="none" w:pos="3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comparable foreign regulatory authorities, including any limitations, contraindications, or warnings;</w:t>
      </w: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publicity concerning these products or competing products and treatments;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favorable third-party coverage and sufficient reimbursement.</w:t>
      </w:r>
    </w:p>
    <w:p>
      <w:pPr>
        <w:spacing w:after="0" w:line="2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Sales of medical products also depend on the willingness of physicians to prescribe treatment with our drug products, which is likely to be based on a determination by these physicians that the products are safe, therapeutically effective, and cost effective. In addition, the inclusion or exclusion of products from treatment guidelines established by various physician groups, as well as the viewpoints of influential physicians, can affect the willingness of other physicians to prescribe treatment with our drug products. We cannot predict whether physicians, physicians’ organizations, hospitals, other healthcare providers, government agencies, or private insurers will determine that any product we may develop is safe, therapeutically effective and cost effective as compared with competing treatments. If any drug candidates we develop do not achieve an adequate level of acceptance, we may not generate significant product revenue, and we may not become profitable.</w:t>
      </w:r>
    </w:p>
    <w:p>
      <w:pPr>
        <w:spacing w:after="0" w:line="214"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sell and market any drug candidates we may develop, we may not be successful in commercializing those drug candidates, if and when they are approved.</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do not have a sales or marketing infrastructure and have little experience in the sale, marketing, or distribution of pharmaceutical products. To achieve commercial success for any approved product for which we retain sales and marketing responsibilities, we must either develop a sales and marketing organization, develop sales and marketing software solutions, or outsource these functions to third parties. In the future, we may choose to build a focused sales, marketing, and commercial support infrastructure to market and sell our drug candidates, if and when they are approved. We may also elect to enter into collaborations or strategic partnerships with third parties to engage in commercialization activities with respect to selected drug candidates, indications, or geographic territories, including territories outside the United States, although there is no guarantee we will be able to enter into these arrangements.</w:t>
      </w:r>
    </w:p>
    <w:p>
      <w:pPr>
        <w:spacing w:after="0" w:line="210"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time-consuming and could delay any product launch. If the commercial launch of a</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drug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 Factors that may inhibit our efforts to commercialize any approved product on our own include but are not limited to the following:</w:t>
      </w:r>
    </w:p>
    <w:p>
      <w:pPr>
        <w:spacing w:after="0" w:line="203" w:lineRule="exact"/>
        <w:rPr>
          <w:sz w:val="20"/>
          <w:szCs w:val="20"/>
          <w:color w:val="auto"/>
        </w:rPr>
      </w:pPr>
    </w:p>
    <w:p>
      <w:pPr>
        <w:ind w:left="380" w:right="120" w:hanging="157"/>
        <w:spacing w:after="0" w:line="260" w:lineRule="auto"/>
        <w:tabs>
          <w:tab w:leader="none" w:pos="3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inability to recruit and retain adequate numbers of effective sales, marketing, reimbursement, customer service, medical affairs, and other support personnel;</w:t>
      </w:r>
    </w:p>
    <w:p>
      <w:pPr>
        <w:spacing w:after="0" w:line="1" w:lineRule="exact"/>
        <w:rPr>
          <w:rFonts w:ascii="Arial" w:cs="Arial" w:eastAsia="Arial" w:hAnsi="Arial"/>
          <w:sz w:val="18"/>
          <w:szCs w:val="18"/>
          <w:color w:val="auto"/>
        </w:rPr>
      </w:pPr>
    </w:p>
    <w:p>
      <w:pPr>
        <w:ind w:left="380" w:right="780" w:hanging="157"/>
        <w:spacing w:after="0" w:line="250" w:lineRule="auto"/>
        <w:tabs>
          <w:tab w:leader="none" w:pos="3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inability of sales personnel or software tools to obtain access to physicians or persuade adequate numbers of physicians to prescribe any future approved products;</w:t>
      </w:r>
    </w:p>
    <w:p>
      <w:pPr>
        <w:ind w:left="380" w:right="200" w:hanging="157"/>
        <w:spacing w:after="0" w:line="250" w:lineRule="auto"/>
        <w:tabs>
          <w:tab w:leader="none" w:pos="3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ind w:left="380" w:hanging="156"/>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inability to price products at a sufficient price point to enable an adequate and attractive level of profitability;</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9" w:lineRule="exact"/>
        <w:rPr>
          <w:rFonts w:ascii="Arial" w:cs="Arial" w:eastAsia="Arial" w:hAnsi="Arial"/>
          <w:sz w:val="18"/>
          <w:szCs w:val="18"/>
          <w:color w:val="auto"/>
        </w:rPr>
      </w:pPr>
    </w:p>
    <w:p>
      <w:pPr>
        <w:ind w:left="380" w:right="660" w:hanging="156"/>
        <w:spacing w:after="0" w:line="250" w:lineRule="auto"/>
        <w:tabs>
          <w:tab w:leader="none" w:pos="3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380" w:hanging="156"/>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they may also experience many of the above challenges. In addition, our product revenue or the profitability of product revenue may be lower than if we were to market and sell any products we may develop internally. We may not be successful in entering into such arrangements, or we may be unable to do so on terms that are favorable to us or them. We also may have little control over such third parties, and any of them may fail to devote the necessary resources and attention to sell and market our products effectively, or they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any future approved drug candidates.</w:t>
      </w:r>
    </w:p>
    <w:p>
      <w:pPr>
        <w:spacing w:after="0" w:line="214" w:lineRule="exact"/>
        <w:rPr>
          <w:sz w:val="20"/>
          <w:szCs w:val="20"/>
          <w:color w:val="auto"/>
        </w:rPr>
      </w:pPr>
    </w:p>
    <w:p>
      <w:pPr>
        <w:ind w:right="620"/>
        <w:spacing w:after="0" w:line="294" w:lineRule="auto"/>
        <w:rPr>
          <w:sz w:val="20"/>
          <w:szCs w:val="20"/>
          <w:color w:val="auto"/>
        </w:rPr>
      </w:pPr>
      <w:r>
        <w:rPr>
          <w:rFonts w:ascii="Arial" w:cs="Arial" w:eastAsia="Arial" w:hAnsi="Arial"/>
          <w:sz w:val="18"/>
          <w:szCs w:val="18"/>
          <w:b w:val="1"/>
          <w:bCs w:val="1"/>
          <w:i w:val="1"/>
          <w:iCs w:val="1"/>
          <w:color w:val="auto"/>
        </w:rPr>
        <w:t>We are subject to regulatory and operational risks associated with the physical and digital infrastructure at both our internal facilities and those of our external service providers.</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facilities in Salt Lake City, Utah and Milton Park, United Kingdom have not been reviewed or pre-approved by any regulatory agency, such as the FDA. An inspection by the FDA could disrupt our ability to generate data and develop drug candidates. Our laboratory facilities are designed to incorporate a significant level of automation of equipment, with integration of several digital systems to improve efficiency of research operations. We have attempted to achieve a high level of digitization for a research operation relative to industry standards. While this is meant to improve operational efficiency, this may pose additional risk of equipment malfunction and even overall system failure or shutdown due to internal or external factors including, but not limited to, design issues, system compatibility, or potential security breaches or other incidents. This may lead to delay in potential drug candidate identification or a shutdown of our facility. Any disruption in our data generation capabilities could cause delays in advancing new drug candidates into our pipeline, advancing existing programs, or enhancing the capabilities of our platform, including expanding our data, the occurrence of which could have a material adverse effect on our business, financial condition, results of operations, and prospects.</w:t>
      </w:r>
    </w:p>
    <w:p>
      <w:pPr>
        <w:spacing w:after="0" w:line="214"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In the future, we may manufacture drug substances or products at our facilities for preclinical and clinical use, and we may face risks arising from our limited prior manufacturing capability and experience.</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do not currently have the infrastructure or capability internally to manufacture drug substances or products for preclinical, clinical, or commercial use. If, in the future, we decide to produce drug substances or products for preclinical and clinical use, the costs of developing suitable facilities and infrastructure and implementing appropriate manufacturing processes may be greater than expected. We may also have difficulty implementing the full operational state of the facility, causing delays to preclinical or clinical supply or the need to rely on third-party service providers, resulting in unplanned expenses.</w:t>
      </w:r>
    </w:p>
    <w:p>
      <w:pPr>
        <w:spacing w:after="0" w:line="208"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or supply chain. If any of our third-party manufacturers encounter such difficulties, our ability to</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provide adequate supply of our product candidates for clinical trials or our products for patients, if approved, could be delayed or prevented.</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currently utilize contract development and manufacturing organizations to produce drug substance and investigational drug product in support of the assets within our pipeline. To date, we have obtained drug substance and drug product for our drug candidates from third party contract manufacturers. 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Additionally, we may experience supply chain disruptions or slowdowns, including related manufacturing, logistics, labor supply or other factors related to the supply chains of products and materials that we use. 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12"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Recursion, or the third parties upon whom we depend, may be adversely affected by natural disasters, and our business continuity plans and insurance coverage may not be adequate.</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current operations are located in Salt Lake City, Utah; New York City, New York; London and Milton Park, United Kingdom; and Montreal, Canada. A natural disaster or other serious unplanned event, such as flood, fire, explosion, earthquake, extreme weather condition, pandemic (including COVID-19), power shortage, telecommunications failure, global political instability, warfare, or man-made incident, could result in us being unable to fully utilize our facilities, delays in the development of our drug candidates, interruption of our business operations, or unexpected increased costs, which may have a material and adverse effect on our business. Our collaboration partners, as well as suppliers to us or our collaboration partners, and our third-party service providers and vendors, are similarly subject to some or all of these events. If a natural disaster, power outage, or other event occurs that (i) prevents us from using all or a significant portion of our headquarters or our datacenters; (ii) damages critical infrastructure or our equipment, such as our research facilities or the manufacturing facilities of our third-party contract manufacturers; or (iii) otherwise significantly disrupts operations, it may be difficult, or in certain cases impossible, for us to continue our business for a substantial period of time.</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Furthermore, the disaster recovery and business continuity plans we have in place may prove inadequate in the event of a serious disaster or similar event. We may incur substantial expenses, business interruptions, and harm to our research and development programs as a result of the limited nature of our disaster recovery and business continuity plans. As part of our risk management policy, we maintain insurance coverage at levels that we believe are appropriate for our business to the extent it is available on commercially reasonable terms. However, in the event of an accident or incident at these facilities, the amounts of insurance may not be sufficient to cover all of our damages and losses.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addition, our facilities in Salt Lake City, Utah are located in a busy downtown area. Although we believe we have taken the necessary steps to ensure our operations are safe to the surrounding area, there could be a risk to the public if we were to conduct hazardous material research, including use of flammable chemicals and materials, at our facilities. If the surrounding community perceives our facility as unsafe, it could have a material and adverse effect on our reputation, operations, and prospects.</w:t>
      </w:r>
    </w:p>
    <w:p>
      <w:pPr>
        <w:spacing w:after="0" w:line="205"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If we fail to comply with environmental, health and safety, or other laws and regulations, we could become subject to fines, penalties, or personal injury or property damages.</w:t>
      </w:r>
    </w:p>
    <w:p>
      <w:pPr>
        <w:spacing w:after="0" w:line="16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are subject to numerous environmental, health and safety, and other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significant damages for harm to persons or property, as well as civil or criminal fines and penalties. Although we maintain workers’ compensation insurance to cover costs and expenses arising from injuries to our employees resulting from the use of hazardous materials, this insurance may not provide adequate coverage against all such potential liabilities.</w:t>
      </w:r>
    </w:p>
    <w:p>
      <w:pPr>
        <w:spacing w:after="0" w:line="214" w:lineRule="exact"/>
        <w:rPr>
          <w:sz w:val="20"/>
          <w:szCs w:val="20"/>
          <w:color w:val="auto"/>
        </w:rPr>
      </w:pPr>
    </w:p>
    <w:p>
      <w:pPr>
        <w:ind w:right="660"/>
        <w:spacing w:after="0" w:line="294" w:lineRule="auto"/>
        <w:rPr>
          <w:sz w:val="20"/>
          <w:szCs w:val="20"/>
          <w:color w:val="auto"/>
        </w:rPr>
      </w:pPr>
      <w:r>
        <w:rPr>
          <w:rFonts w:ascii="Arial" w:cs="Arial" w:eastAsia="Arial" w:hAnsi="Arial"/>
          <w:sz w:val="18"/>
          <w:szCs w:val="18"/>
          <w:b w:val="1"/>
          <w:bCs w:val="1"/>
          <w:i w:val="1"/>
          <w:iCs w:val="1"/>
          <w:color w:val="auto"/>
        </w:rPr>
        <w:t>Our insurance policies are expensive and protect us only from some business risks, which leaves us exposed to significant uninsured liabilities.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do not carry insurance for all categories of risk that our business may encounter and insurance coverage is becoming increasingly expensive. We do not know if we will be able to maintain existing insurance with adequate levels of coverage in the future, and any liability insurance coverage we acquire in the future may not be sufficient to reimburse us for any expenses or losses we may suffer. If we obtain marketing approval for any drug candidates that we or our collaborators may develop, we intend to acquire insurance coverage to include the sale of commercial products, but we may be unable to obtain such insurance on commercially reasonable terms or in adequate amounts. The coverage or coverage limits currently maintained under our insurance policies may not be adequate. If our losses exceed our insurance coverage, our financial condition would be adversely affected. Clinical trials or regulatory approvals for any of our drug candidates could be suspended, which could adversely affect our results of operations and business, including by preventing or limiting the development and commercialization of any drug candidates that we or our collaborators may identify. Additionally, operating as a public company has made it more expensive for us to obtain directors and officers liability insurance. If we do not maintain adequate levels of directors and officers liability insurance, it may be more difficult for us to attract and retain qualified individuals to serve on our board of directors and in our executive team.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substantial federal and state net operating loss (NOL) carryforwards. To the extent that we continue to generate taxable losses as expected, unused losses will carry forward to offset future taxable income, if any, until such unused losses expire, except the federal NOLs generated during and after fiscal year 2018 are carried forward indefinitely. Under Section 382 of the Internal Revenue Code of 1986, as amended, if a corporation undergoes an “ownership change,” its ability to use pre-change NOL carryforwards and certain other pre-change tax attributes (such as research tax credits) to offset its post-change income could be subject to an annual limitation. An “ownership change” is generally defined as a greater than 50% change by value in the ownership of the corporation’s equity by one or more 5% shareholders over a three-year period. Such annual limitation could result in the expiration of a portion of our NOL carryforwards before full utilization thereof. We may have experienced ownership changes within the meaning of Section 382 in the past and we may experience some ownership changes in the future as a result of subsequent shifts in our stock ownership, such as a result of our follow-on offerings or subsequent shifts in our stock ownership (some of which shifts are outside our control). We have not yet conducted a study to assess whether an ownership change has occurred. Future legislative or regulatory changes could also negatively impact our ability to utilize our NOL carryforwards or other tax attributes. We also have substantial foreign NOLs, which are likely subject to similar restrictions under the laws of the applicable jurisdiction. Provisions of state or foreign tax law may also suspend or otherwise limit our ability to use NOLs and accumulated state or foreign tax attributes. As a result, if we attain profitability, we may be unable to use all or a material portion of our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NOL carryforwards and other tax attributes for federal, state or foreign tax purposes, which could result in increased tax liability and adversely affect our future cash flows.</w:t>
      </w:r>
    </w:p>
    <w:p>
      <w:pPr>
        <w:spacing w:after="0" w:line="182" w:lineRule="exact"/>
        <w:rPr>
          <w:sz w:val="20"/>
          <w:szCs w:val="20"/>
          <w:color w:val="auto"/>
        </w:rPr>
      </w:pPr>
    </w:p>
    <w:p>
      <w:pPr>
        <w:jc w:val="both"/>
        <w:ind w:right="40"/>
        <w:spacing w:after="0" w:line="272"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disagreements between us and tax authorities regarding the application of existing tax laws or regulations may have a material adverse effect on our business, cash flow, financial condition or results of operations.</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New income, sales, use or other tax laws or regulations could be enacted at any time, which could affect our tax profile and our business and financial performance. Further, existing tax laws, statutes, rules, regulations or ordinances could be interpreted, changed, modified or applied adversely to us. For example, the Tax Cuts and Jobs Act of 2017 (TCJA) eliminated the option to deduct research and development expenditures currently and requires taxpayers to capitalize and amortize them over five or fifteen years pursuant to Code Section 174, beginning in 2022. In July 2025, the “One Big Beautiful Bill Act” (OBBA) was signed into law, which suspended the research and development amortization requirement of TCJA with respect to domestic expenses, permitting the full deduction of domestic research and development expenses in the year they are incurred for tax years 2025 through 2029. Further, the Inflation Reduction Act of 2022 (IRA), among other changes, imposes a one-percent excise tax on stock repurchases made on or after January 1, 2023. Any further changes in tax laws or regulations that are applied adversely to us could have a material adverse effect on our business, cash flow, financial condition or results of operations.</w:t>
      </w:r>
    </w:p>
    <w:p>
      <w:pPr>
        <w:spacing w:after="0" w:line="21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tax authority may disagree with tax positions that we take, and may take the position that tax liabilities, interest and penalties, which could be material, are payable by us. Contesting such an assessment may be lengthy and costly and if we were unsuccessful in disputing the assessment, the implications could increase our anticipated effective tax rate, where applicable.</w:t>
      </w:r>
    </w:p>
    <w:p>
      <w:pPr>
        <w:spacing w:after="0" w:line="200"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(U.S. GAAP) requires management to make estimates and assumptions that affect the amounts reported in the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Operations—Critical Accounting Policies and Use of Estimates.” The results of these estimates form the basis for making judgments about the carrying values of assets and liabilities that are not readily apparent from other sources. Significant assumptions and estimates used in preparing our consolidated financial statements include stock-based compensation and valuation of our equity investments in early-stage biotechnology companies. Our results of operations may be adversely affected if our assumptions change or if actual circumstances differ from those in our assumptions.</w:t>
      </w:r>
    </w:p>
    <w:p>
      <w:pPr>
        <w:spacing w:after="0" w:line="2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or changes in their interpretation, we might be required to change our accounting policies, alter our operational policies, and implement new or enhanced systems so that they reflect new or amended financial reporting standards, or we may be required to restate our published financial statements, which may have an adverse effect on our financial position and reputation.</w:t>
      </w:r>
    </w:p>
    <w:p>
      <w:pPr>
        <w:spacing w:after="0" w:line="208"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Product liability lawsuits could cause us to incur substantial liabilities and could limit commercialization of any drug candidates that we may develop.</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face an inherent risk of product liability exposure related to the testing of drug candidates in human clinical trials, and we will face an even greater risk if we commercially sell any medicines that we may develop. If we cannot successfully defend ourselves against claims that our drug candidates or medicines caused injuries, we could incur substantial damages or settlement liability. Regardless of merit or eventual outcome, liability claims may also result in adverse effects including but not limited to the following:</w:t>
      </w:r>
    </w:p>
    <w:p>
      <w:pPr>
        <w:spacing w:after="0" w:line="203" w:lineRule="exact"/>
        <w:rPr>
          <w:sz w:val="20"/>
          <w:szCs w:val="20"/>
          <w:color w:val="auto"/>
        </w:rPr>
      </w:pPr>
    </w:p>
    <w:p>
      <w:pPr>
        <w:ind w:left="5520" w:right="4400" w:hanging="5296"/>
        <w:spacing w:after="0" w:line="991" w:lineRule="auto"/>
        <w:tabs>
          <w:tab w:leader="none" w:pos="377"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decreased demand for any drug candidates or therapeutics that we may develop;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-356870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380" w:hanging="156"/>
        <w:spacing w:after="0"/>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7" w:lineRule="exact"/>
        <w:rPr>
          <w:rFonts w:ascii="Arial" w:cs="Arial" w:eastAsia="Arial" w:hAnsi="Arial"/>
          <w:sz w:val="18"/>
          <w:szCs w:val="18"/>
          <w:color w:val="auto"/>
        </w:rPr>
      </w:pPr>
    </w:p>
    <w:p>
      <w:pPr>
        <w:ind w:left="380" w:hanging="156"/>
        <w:spacing w:after="0"/>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significant costs to defend the litigation;</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inability to commercialize our drug candidates.</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maintain product liability insurance, including coverage for clinical trials that we sponsor, it may not be adequate to cover all liabilities that we may incur. We anticipate that we will need to increase our insurance coverage as we commence additional clinical trials and if we successfully commercialize any drug candidates. The market for insurance coverage can be challenging, and the costs of insurance coverage will increase as our clinical programs increase in size. We may not be able to maintain insurance coverage at a reasonable cost and with adequate limits to satisfy any and all liability that may arise.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4"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Third parties that perform some of our research and preclinical testing or conduct our clinical trials may not perform satisfactorily or their agreements may be terminated.</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currently rely, and expect to continue to rely, on third parties to conduct some aspects of research and preclinical testing and clinical trials. The third parties include CROs, clinical data management organizations, contract laboratories, medical institutions, and principal investigators. Any of these third parties may fail to fulfill their contractual obligations, including by not meeting deadlines for the completion of research, testing, or trials, or we or they may terminate their engagements with us. If any of our relationships with these third parties terminate, we may not be able to enter into arrangements with alternative third parties on commercially reasonable terms, or at all. If we need to enter into alternative arrangements, such negotiations could delay product development activities. Termination of or limitations on our relationships with foreign third parties can also occur if U.S. legislation, sanctions, trade restrictions, or other U.S. and foreign regulatory requirements, prohibitions or restrictions, limit or prevent our ability to enter into arrangements with such foreign third parties. For example, we currently rely on foreign CROs and CDMOs, including an affiliate/subsidiary of WuXi AppTec Co., Ltd. (WuXi AppTec) in China that has been listed as a biotechnology company “of concern” in proposed U.S. legislation known as the BIOSECURE Act. While the BIOSECURE Act as currently proposed would restrict purchasing of services or products from WuXi AppTec and other companies of concern in China, in its most recent form it would only impact U.S. companies that contract with or receive funding from the U.S. government, which means that our company may not be directly impacted by such legislation. As another example, the Department of Justice recently issued a final rule which took effect in April 2025 that places limitations, and in some cases prohibitions, on certain transfers of sensitive personal data to business partners located in China or with other specified links to China (and other designated countries). These rules also may broadly require us to extract promises from other third-party service providers that they will not transfer data we share with them onward to parties linked to countries of concern. These and other future further regulations, legislation, sanctions, or restrictions could adversely impact our current or future third-party arrangements with companies such as WuXi AppTec, which in turn could delay or impact clinical trials, add expenses or unforeseen burdens to the process of contracting with service providers, and consequently could delay or obstruct successful commercialization of our drug candidates or reduce our profitability.</w:t>
      </w:r>
    </w:p>
    <w:p>
      <w:pPr>
        <w:spacing w:after="0" w:line="2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reliance on third parties for research and development activities reduces our control over these activities, but does not relieve us of our responsibilities. For example, we remain responsible for ensuring that each of our respective clinical trials is conducted in accordance with the general investigational plan and protocols for the trial, as well as applicable legal, regulatory, and scientific standards. We also are required to register ongoing clinical trials and post the results of completed clinical trials on a government-sponsored database within certain timeframes. In addition, the FDA and comparable foreign regulatory authorities require compliance with good clinical practices (GCP) guidelines for conducting, recording, and reporting the results of clinical trials to assure that data and reported results are credible, reproducible, and accurate, and that the rights, integrity, and confidentiality of trial participants are protected. Regulatory authorities enforce GCP compliance through periodic inspections of trial sponsors, principal investigators, and trial sites.</w:t>
      </w:r>
    </w:p>
    <w:p>
      <w:pPr>
        <w:spacing w:after="0" w:line="21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If we or any of the third parties fail to comply with applicable GCP regulations, some or all of the clinical data generated in our clinical trials may be deemed unreliable, and the FDA or comparable foreign regulatory authorities may require us to perform additional nonclinical or clinical trials or to enroll additional patients before approving our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marketing applications. In addition, if we or the third parties fail to comply with our stated protocols or applicable laws and regulations during the conduct of clinical trials, we or the third parties could be subject to warning letters or enforcement actions by the FDA and comparable foreign regulatory authorities, which could result in civil penalties or criminal prosecution, as well as adverse publicity that harms our business.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will not be able to obtain, or may be delayed in obtaining, marketing approvals for any drug candidates we may develop if these third parties do not successfully carry out their contractual duties, meet expected deadlines, or conduct clinical trials in accordance with our stated protocols or regulatory requirements. As a result, we may be delayed or unable to successfully commercialize our drug candidates.</w:t>
      </w:r>
    </w:p>
    <w:p>
      <w:pPr>
        <w:spacing w:after="0" w:line="200" w:lineRule="exact"/>
        <w:rPr>
          <w:sz w:val="20"/>
          <w:szCs w:val="20"/>
          <w:color w:val="auto"/>
        </w:rPr>
      </w:pPr>
    </w:p>
    <w:p>
      <w:pPr>
        <w:ind w:right="500"/>
        <w:spacing w:after="0" w:line="272" w:lineRule="auto"/>
        <w:rPr>
          <w:sz w:val="20"/>
          <w:szCs w:val="20"/>
          <w:color w:val="auto"/>
        </w:rPr>
      </w:pPr>
      <w:r>
        <w:rPr>
          <w:rFonts w:ascii="Arial" w:cs="Arial" w:eastAsia="Arial" w:hAnsi="Arial"/>
          <w:sz w:val="18"/>
          <w:szCs w:val="18"/>
          <w:b w:val="1"/>
          <w:bCs w:val="1"/>
          <w:i w:val="1"/>
          <w:iCs w:val="1"/>
          <w:color w:val="auto"/>
        </w:rPr>
        <w:t>Third parties that manufacture our drug candidates for preclinical development, clinical testing, and future commercialization may not provide sufficient quantities of our drug candidates or products at an acceptable cost, which could delay, impair, or prevent our development or commercialization efforts.</w:t>
      </w:r>
    </w:p>
    <w:p>
      <w:pPr>
        <w:spacing w:after="0" w:line="18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do not currently own or operate any manufacturing facilities and have no manufacturing personnel. We rely, and expect to continue to rely, on third parties for drug supplies for our clinical trials, the manufacture of many of our drug candidates for preclinical development and clinical testing, as well as the commercial manufacture of our products if any of our drug candidates receive marketing approval. We may be unable to establish necessary agreements with third-party manufacturers or to do so on acceptable terms. This reliance on third parties increases the risk that we will not have sufficient quantities of our drug candidates or products, or will not have sufficient quantities at an acceptable cost or quality, which could delay, impair, or prevent our development or commercialization efforts.</w:t>
      </w:r>
    </w:p>
    <w:p>
      <w:pPr>
        <w:spacing w:after="0" w:line="20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the facilities used by our contract manufacturers to manufacture our drug candidates must be inspected by the FDA pursuant to pre-approval inspections that will be conducted after we submit our marketing applications to the FDA. We do not expect to control the manufacturing process of, and will be completely dependent on, our contract manufacturers for compliance with current good manufacturing practice guidelines (cGMP) in connection with the manufacture of our drug candidates in the near to intermediate term, or possibly the long term. If our contract manufacturers cannot maintain adequate quality control and qualified personnel to successfully manufacture material that conforms to our specifications and the strict regulatory requirements of the FDA or others, including cGMP guidelines, they will not be able to pass regulatory inspections and/or maintain regulatory compliance for their manufacturing facilities.</w:t>
      </w:r>
    </w:p>
    <w:p>
      <w:pPr>
        <w:spacing w:after="0" w:line="2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the FDA or a comparable foreign regulatory authority finds deficiencies with, does not approve, or withdraws approval of these facilities for the manufacture of our drug candidates, we may need to find alternative manufacturing facilities, which would significantly impact our timelines and ability to develop, obtain regulatory approval for, or market our drug candidates, if approved. There are a limited number of manufacturers that operate under cGMP regulations and that might be capable of manufacturing for us. Our drug candidates and any other products that we may develop may compete with the drug candidates and approved products of other companies for access to manufacturing facilities or capacity, which may further restrict our ability to secure alternative manufacturing sites.</w:t>
      </w:r>
    </w:p>
    <w:p>
      <w:pPr>
        <w:spacing w:after="0" w:line="20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products that may be approved, operating restrictions, and criminal prosecutions, any of which could significantly and adversely affect our business, supplies of our drug candidates, and prospects.</w:t>
      </w:r>
    </w:p>
    <w:p>
      <w:pPr>
        <w:spacing w:after="0" w:line="20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 but not limited to the following:</w:t>
      </w:r>
    </w:p>
    <w:p>
      <w:pPr>
        <w:spacing w:after="0" w:line="180" w:lineRule="exact"/>
        <w:rPr>
          <w:sz w:val="20"/>
          <w:szCs w:val="20"/>
          <w:color w:val="auto"/>
        </w:rPr>
      </w:pPr>
    </w:p>
    <w:p>
      <w:pPr>
        <w:ind w:left="480" w:hanging="256"/>
        <w:spacing w:after="0"/>
        <w:tabs>
          <w:tab w:leader="none" w:pos="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7" w:lineRule="exact"/>
        <w:rPr>
          <w:rFonts w:ascii="Arial" w:cs="Arial" w:eastAsia="Arial" w:hAnsi="Arial"/>
          <w:sz w:val="18"/>
          <w:szCs w:val="18"/>
          <w:color w:val="auto"/>
        </w:rPr>
      </w:pPr>
    </w:p>
    <w:p>
      <w:pPr>
        <w:ind w:left="380" w:hanging="156"/>
        <w:spacing w:after="0"/>
        <w:tabs>
          <w:tab w:leader="none" w:pos="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9" w:lineRule="exact"/>
        <w:rPr>
          <w:rFonts w:ascii="Arial" w:cs="Arial" w:eastAsia="Arial" w:hAnsi="Arial"/>
          <w:sz w:val="18"/>
          <w:szCs w:val="18"/>
          <w:color w:val="auto"/>
        </w:rPr>
      </w:pPr>
    </w:p>
    <w:p>
      <w:pPr>
        <w:ind w:left="380" w:hanging="156"/>
        <w:spacing w:after="0"/>
        <w:tabs>
          <w:tab w:leader="none" w:pos="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Any performance failure on the part of our existing or future third-party manufacturers could delay clinical development or marketing approval. If it is necessary to replace any such third-party manufacturer, we may incur added costs and delays in identifying and qualifying any a replacement. In addition, any performance failure on the part of our distributors could delay clinical development or marketing approval of any drug candidates we may develop or seek to commercialize, producing additional losses and depriving us of product revenue.</w:t>
      </w:r>
    </w:p>
    <w:p>
      <w:pPr>
        <w:spacing w:after="0" w:line="203"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Our current and anticipated future dependence upon others for the manufacture and distribution of our drug candidates or products may adversely affect our future profit margins and our ability to commercialize any products that receive marketing approval on a timely and competitive basis, if at all.</w:t>
      </w:r>
    </w:p>
    <w:p>
      <w:pPr>
        <w:spacing w:after="0" w:line="200"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auto"/>
        </w:rPr>
        <w:t>If we are unable to adequately source clinical and commercial supplies, equipment, and active pharmaceutical ingredients (API) from third party vendors as our drug development pipeline matures, our business could be significantly harmed.</w:t>
      </w:r>
    </w:p>
    <w:p>
      <w:pPr>
        <w:spacing w:after="0" w:line="166"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We procure raw materials, components, parts, consumables, reagents, and equipment used in the development and operation of our platform and the development of our drug candidates from third party vendors. We also rely on third party vendors to perform quality testing. Particular risks to our platform include reliance on third-party equipment and instrument suppliers and consumable and reagent suppliers. As we increase development of drug products and commence clinical testing and commercialization, we will require expanded capacity across our supply chain. We face risks regarding our sourcing of products and quality-testing services, including but not limited to the following:</w:t>
      </w:r>
    </w:p>
    <w:p>
      <w:pPr>
        <w:spacing w:after="0" w:line="191" w:lineRule="exact"/>
        <w:rPr>
          <w:sz w:val="20"/>
          <w:szCs w:val="20"/>
          <w:color w:val="auto"/>
        </w:rPr>
      </w:pPr>
    </w:p>
    <w:p>
      <w:pPr>
        <w:ind w:left="420" w:right="380" w:hanging="250"/>
        <w:spacing w:after="0" w:line="260" w:lineRule="auto"/>
        <w:tabs>
          <w:tab w:leader="none" w:pos="4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inability of suppliers and service providers to grow their capacity to meet demand, whether from us or other drug manufacturers, particularly if the field of technology-enabled drug discovery continues to expand;</w:t>
      </w:r>
    </w:p>
    <w:p>
      <w:pPr>
        <w:spacing w:after="0" w:line="1" w:lineRule="exact"/>
        <w:rPr>
          <w:rFonts w:ascii="Arial" w:cs="Arial" w:eastAsia="Arial" w:hAnsi="Arial"/>
          <w:sz w:val="18"/>
          <w:szCs w:val="18"/>
          <w:color w:val="auto"/>
        </w:rPr>
      </w:pPr>
    </w:p>
    <w:p>
      <w:pPr>
        <w:ind w:left="400" w:hanging="230"/>
        <w:spacing w:after="0"/>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termination or non-renewal of supply and service agreements with third parties in a manner or at a time that is costly or damaging to us;</w:t>
      </w:r>
    </w:p>
    <w:p>
      <w:pPr>
        <w:spacing w:after="0" w:line="9" w:lineRule="exact"/>
        <w:rPr>
          <w:rFonts w:ascii="Arial" w:cs="Arial" w:eastAsia="Arial" w:hAnsi="Arial"/>
          <w:sz w:val="18"/>
          <w:szCs w:val="18"/>
          <w:color w:val="auto"/>
        </w:rPr>
      </w:pPr>
    </w:p>
    <w:p>
      <w:pPr>
        <w:ind w:left="420" w:right="400" w:hanging="250"/>
        <w:spacing w:after="0" w:line="250" w:lineRule="auto"/>
        <w:tabs>
          <w:tab w:leader="none" w:pos="4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disruptions to the operations of these suppliers and service providers caused by conditions unrelated to our business or operations, including the bankruptcy of the supplier or service provider or force majeure events, such as public health crises, global political instability, natural disasters, supply chain issues, or warfare; and</w:t>
      </w:r>
    </w:p>
    <w:p>
      <w:pPr>
        <w:spacing w:after="0" w:line="1" w:lineRule="exact"/>
        <w:rPr>
          <w:rFonts w:ascii="Arial" w:cs="Arial" w:eastAsia="Arial" w:hAnsi="Arial"/>
          <w:sz w:val="18"/>
          <w:szCs w:val="18"/>
          <w:color w:val="auto"/>
        </w:rPr>
      </w:pPr>
    </w:p>
    <w:p>
      <w:pPr>
        <w:ind w:left="420" w:right="1280" w:hanging="250"/>
        <w:spacing w:after="0" w:line="266" w:lineRule="auto"/>
        <w:tabs>
          <w:tab w:leader="none" w:pos="4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inspections of third-party facilities by regulatory authorities that could have a negative outcome and result in delays in, or termination of, their ability to meet our requirements.</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Moreover, certain of our specialized equipment, as well as the API used in our drug candidates, are obtained from single-source suppliers. Our ability to successfully develop our drug candidates, and to ultimately supply our commercial products in quantities sufficient to meet the market demand, depends in part on our ability to obtain equipment and the API for these products in accordance with regulatory requirements and in sufficient quantities for clinical testing and commercialization. We do not currently have arrangements in place for a redundant or second-source supply of any such equipment or ingredients in the event any of our current suppliers fails or is unable to meet our requirements. While our single-source suppliers have generally met our demand for their products on a timely basis in the past, we are not certain that they will be able to meet our future demand, whether due to any of the above factors, the nature of our agreements with those suppliers, our limited experience with those suppliers, our relative importance as a customer, or any other reason. For all of our drug candidates, we intend to identify and qualify additional vendors and manufacturers, as available, to provide such equipment and API prior to our submission of an NDA to the FDA and/or an MAA to the EMA, which may require additional regulatory inspection or approval and result in further delay.</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interruption or delay in the supply of components, materials, specialized equipment, API, and quality-testing sources at acceptable prices and in a timely manner could impede, delay, limit, or prevent our development efforts, which could harm our business, results of operations, and prospects.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4"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Our success significantly depends on our ability to obtain and maintain patents of adequate scope covering our proprietary technology and drug candidate products. Obtaining and maintaining patent assets is inherently challenging, and our pending and future patent applications may not issue with the scope we need, if at all.</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Our commercial success depends in significant part on our ability and the ability of our licensors and collaborators to obtain and maintain patent protection and other intellectual property rights in the United States and other countries relating to our drug product candidates and our core proprietary technologies important to the development and implementation of our business.</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Patent prosecution is a complex, expensive, and lengthy process, with no guarantee that a patent will issue in a timely fashion or at all, or with sufficiently broad claims to protect our drug product candidates and proprietary technologies. Further, the laws and regulations for obtaining and maintaining patents are subject to change by legislative or judicial action in the relevant jurisdictions. The patent positions of pharmaceutical, biotechnology, and other life sciences companies in particular can be highly uncertain and involve complex legal and factual questions for which important legal principles remain unresolved. No consistent policy regarding the breadth of claims allowed in biotechnology patents has emerged to date in the U.S., and tests used for determining the patentability of patent claims in all technologies are in flux. The pharmaceutical, biotechnology, and other life sciences patent laws and regulations outside the U.S. can be even more uncertain. The U.S. Patent and Trademark Office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patent offices and courts in the United States and abroad. Third parties may invent, publish, or file patents of their own in ways which overlap or conflict with our patent rights. Moreover, even if unchallenged, our owned patent portfolio and any patent portfolio we license may not provide us with any meaningful protection or prevent competitors from designing around our patent claims to circumvent our owned or licensed patents by developing similar or alternative technologies or products in a non-infringing manner. For example, a third party may develop a competitive product that provides benefits similar to one or more of our drug candidates, but that has a different composition that falls outside the scope of our patent protection. In addition, patents have a limited lifespan. In the United States, the natural expiration of a patent is generally 20 years after its first effective, non-provisional filing date, and patents protecting drug candidates might expire before or shortly after the candidates are commercialized given the amount of time required for development, testing, and regulatory review. The various governmental patent agencies also require compliance with extensive rules and fee obligations. Failure to do so can, under certain circumstances, result in the abandonment of a patent application or the termination of patent rights. Non-compliance events that could result in abandonment or lapse of a patent or patent application include a failure to respond to official actions within prescribed time limits, non-payment of fees, and failure to properly legalize and submit formal documents.</w:t>
      </w:r>
    </w:p>
    <w:p>
      <w:pPr>
        <w:spacing w:after="0" w:line="21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have patent applications pending before the USPTO and other patent offices, and we plan to file new applications in the future. Patent offices may require us to significantly narrow our claims based upon prior art discovered by the USPTO or through third-party submissions. Moreover, we do not always have the right to control the preparation, filing, prosecution, and maintenance of licensed patents and applications under arrangements with collaborators or licensors. We may become involved in procedural challenges, including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which could result in the narrowing or elimination of our patent rights or those of our licensors. This could limit our ability to stop others from freely using or commercializing similar or identical technology and products, or limit the duration of the patent protection covering our technology and drug candidates. Such challenges may also result in our inability to manufacture or commercialize our drug candidates without infringing third-party patent rights. Further, inadvertent or intentional public disclosures of our inventions prior to the filing of a patent application have precluded us, and in the future may preclude us, from obtaining patent protection in certain jurisdictions. We also could fail to identify patentable aspects of our technology and research and development output in time to obtain patent protection.</w:t>
      </w:r>
    </w:p>
    <w:p>
      <w:pPr>
        <w:spacing w:after="0" w:line="2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also currently own a number of U.S. provisional patent applications. These provisional applications are not eligible to become issued patents until, among other things, we file a non-provisional patent application within 12 months of filing one or more of our related provisional patent applications. If we do not timely file any non-provisional patent applications, we may lose our priority dates with respect to our provisional patent applications and any patent protection on the inventions disclosed in such applications.</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current patent portfolio contains a limited number of patents and patent applications, some of which are in-licensed from third parties, related to our drug product candidates and methods of their use. While we license composition of matter patents for REC-4881 and REC-2282, we expect these patents to expire prior to commercial launch. We cannot be certain that any non-provisional patent applications we or our licensors may file will result in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issued patent claims covering the composition of matter of REC-994, REC-2282, REC-4881, REC-3964, REC-617, REC-1245, REC-3565, REC-102, or REC-4539.</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provide any assurances that any of our or our licensors’ pending or future patent applications will issue, or that any pending or future patent applications that mature into issued patents will include claims with a scope sufficient to protect our drug candidates from competition. If we fail to obtain and maintain adequate intellectual property protection covering any technology, invention, or improvement that is important to our business, or if the scope of the patent protection obtained is not sufficiently broad, we may not be able to prevent third parties from launching generic versions of our products, from using our proprietary technologies, or from marketing products that are very similar or identical to ours. If the breadth or strength of protection provided by our patents and patent applications are threatened, it could also dissuade companies from collaborating with us to license, develop, or commercialize current or future drug candidates. This could have a material, adverse effect on our ability to successfully commercialize our technology and products, and on our business, results of operations, and prospects.</w:t>
      </w: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current proprietary position for certain drug product candidates depends upon our owned or in-licensed patent filings covering components of such drug product candidates, manufacturing-related methods, formulations, and/or methods of use, which may not adequately prevent a competitor or other third party from using the same drug candidate for the same or a different use.</w:t>
      </w:r>
    </w:p>
    <w:p>
      <w:pPr>
        <w:spacing w:after="0" w:line="191"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Composition of matter patent protection is generally considered to be desirable for drug products because it provides protection without regard to any particular method of use or manufacturing, or formulation. For some of the molecules that we in -license from our collaboration partners, we cannot rely on composition of matter patent protection as the term on those patents has already expired or is close to expiring.</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Method of use patents protect the use of a product for the specified method and formulation patents cover formulations to deliver therapeutics. While we file applications covering method of use for our programs at appropriate times in the development process, we cannot be certain that claims in any future patents issuing from these applications will cover all commercially-relevant applications of molecules in competing uses. These types of patents do not prevent a competitor or other third party from developing,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Additionally, some commercially-relevant jurisdictions do not allow for patents covering a new method of use of an otherwise-known molecule. Consequently, we may not be able to prevent third parties from practicing our inventions in the United States or abroad, which may have a material adverse effect on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Filing, prosecuting, maintaining, and defending patents related to our drug product candidates or other proprietary technologies we may develop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 rights or other intellectual property rights may not be effective or sufficient to prevent them from competing.</w:t>
      </w:r>
    </w:p>
    <w:p>
      <w:pPr>
        <w:spacing w:after="0" w:line="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such as certain developing countries, do not favor the enforcement of patents, trade secrets and other intellectual property protection, particularly those relating to biotechnology products, which could make it difficult for us to stop the infringement of our patent rights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U.S. and other jurisdictions.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Proceedings to enforce our intellectual property and proprietary rights in foreign jurisdictions could result in substantial costs and divert our efforts and attention from other aspects of our business, could put our patent rights at risk of being invalidated or interpreted narrowly, could put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2012, the European Patent Package, or EU Patent Package, regulations were passed with the goal of providing a single pan-European Unitary Patent and a new European Unified Patent Court, or UPC, for litigation involving European patents. Implementation of the EU Patent Package began in June 2023, when the UPC opened for business. Under the UPC, all European patents, including those issued prior to ratification of the European Patent Package, will by default automatically fall under the jurisdiction of the UPC. The UPC provides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we have the right to opt our patents out of the UPC over the first seven years of the court’s existence, but doing so may preclude us from realizing the benefits of the new unified court.</w:t>
      </w:r>
    </w:p>
    <w:p>
      <w:pPr>
        <w:spacing w:after="0" w:line="214"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drug product candidates we may develop, our business may be materially harmed.</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Depending upon the timing, duration, and specifics of any FDA marketing approval of any drug candidates we may develop, one or more of our U.S. patents may be eligible for limited patent term extension under the Drug Price Competition and Patent Term Restoration Action of 1984, referred to as the Hatch-Waxman Amendments. The Hatch-Waxman Amendments permit a patent extension term of up to five years as compensation for patent term lost during the FDA regulatory review process. A patent term extension cannot extend the remaining term of a patent beyond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11"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growth of our business may depend in part on our ability to acquire, in-license or use third-party intellectual property and proprietary rights. A third party may hold intellectual property that is important or necessary to the development of our products. It may be necessary for us to use the patented or proprietary technology of third parties to commercialize our products, in which case we would be required to obtain a license from these third. For example, when we explore repurposing molecules owned by our collaboration partners or other third parties, we in-license the rights to use those molecules for our use. In addition, our drug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us to obtain rights to use intellectual property held by third parties. In addition, with respect to any patent or other intellectual property rights we may co-own with third parties, we may require licenses to such co-owners’ interest to such patent or other intellectual property rights.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commercially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5" w:lineRule="exact"/>
        <w:rPr>
          <w:sz w:val="20"/>
          <w:szCs w:val="20"/>
          <w:color w:val="auto"/>
        </w:rPr>
      </w:pPr>
    </w:p>
    <w:p>
      <w:pPr>
        <w:ind w:right="1080"/>
        <w:spacing w:after="0" w:line="266" w:lineRule="auto"/>
        <w:rPr>
          <w:sz w:val="20"/>
          <w:szCs w:val="20"/>
          <w:color w:val="auto"/>
        </w:rPr>
      </w:pPr>
      <w:r>
        <w:rPr>
          <w:rFonts w:ascii="Arial" w:cs="Arial" w:eastAsia="Arial" w:hAnsi="Arial"/>
          <w:sz w:val="18"/>
          <w:szCs w:val="18"/>
          <w:color w:val="auto"/>
        </w:rPr>
        <w:t>If we are not able to obtain a license, or to obtain one on commercially reasonable terms and with sufficient breadth to cover the intended use of third-party intellectual property, our business could be materially harmed.</w:t>
      </w:r>
    </w:p>
    <w:p>
      <w:pPr>
        <w:spacing w:after="0" w:line="19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related to the products or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typically not published until 18 months after filing or until issuance, or in some cases not at all, we cannot be certain that we were the first to either (i) file any patent application related to our therapeutic and diagnostic programs and other proprietary technologies we may develop or (ii) invent any of the inventions claimed in our owned or in-licensed patent applications.</w:t>
      </w: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applications and the enforcement or defense of patents issuing from those patent applications, all of which could have a material adverse effect on our business, financial condition, results of operations and prospects.</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For example, U.S. Supreme Court rulings, such as </w:t>
      </w:r>
      <w:r>
        <w:rPr>
          <w:rFonts w:ascii="Arial" w:cs="Arial" w:eastAsia="Arial" w:hAnsi="Arial"/>
          <w:sz w:val="18"/>
          <w:szCs w:val="18"/>
          <w:u w:val="single" w:color="auto"/>
          <w:color w:val="auto"/>
        </w:rPr>
        <w:t>Amgen Inc. v. Sanofi</w:t>
      </w:r>
      <w:r>
        <w:rPr>
          <w:rFonts w:ascii="Arial" w:cs="Arial" w:eastAsia="Arial" w:hAnsi="Arial"/>
          <w:sz w:val="18"/>
          <w:szCs w:val="18"/>
          <w:color w:val="auto"/>
        </w:rPr>
        <w:t>, 598 U.S. 594, 143 S. Ct.</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1243 (2023), may limit the breadth of certain genus patent claims covering composition of matter of pharmaceutical products if enough compounds with shared claimed features are not provided. As such, we cannot guarantee that we will be able to obtain patents covering our drug product candidates. These cases and others like them have created uncertainty with respect to the validity and enforceability of patents, once obtained. Depending on future actions by the U.S. Congress, the federal courts and the USPTO, the laws and regulations governing patents could change in unpredictable ways. In addition, the complexity and uncertainty of European patent laws have also increased in recent years. Any of the foregoing could have a material adverse effect on our owned and in-licensed patent portfolio and our ability to protect and enforce our intellectual property in the future.</w:t>
      </w:r>
    </w:p>
    <w:p>
      <w:pPr>
        <w:spacing w:after="0" w:line="212"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Issued patents covering our drug product candidates and proprietary technology that we have developed or may develop in the future could be found invalid or unenforceable if challenged in court or before administrative bodies in the United States or abroad.</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patent rights may be subject to priority, validity, inventorship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our licensors are unsuccessful in any of these proceedings, such patents and patent applications may be narrowed, invalidated or held unenforceable, we may be required to obtain licenses from third parties, which may not be available on commercially reasonable terms or at all, or we may be required to cease the development, manufacture or commercialization of our product candidates. Any of the foregoing could have a material adverse effect on our business, financial condition, results of operations and prospects.</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If we or one of our licensors initiated legal proceedings against a third party to enforce a patent covering our drug product candidates or methods of their use, or other proprietary technologies, we may develop,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derivation proceedings, and equivalent proceedings in foreign jurisdictions (e.g., opposition proceedings). Such proceedings could result in the revocation of, cancellation of or amendment to our patent rights in such a way that they no longer cover our drug product candidates or methods of their use, and other proprietary technologies we may develop.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drug product candidates or methods of their use, or other proprietary technologies, that we may develop. Such a loss of patent protection would have a material adverse impact on our business, financial condition, results of operations and prospects.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owned or in-licensed patent rights and other intellectual property.</w:t>
      </w:r>
    </w:p>
    <w:p>
      <w:pPr>
        <w:spacing w:after="0" w:line="2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 rights, trade secrets, or other intellectual property as an inventor or co-inventor. For example, we may have inventorship disputes arise from conflicting obligations of consultants or others who are involved in developing our therapeutic and diagnostic programs and other proprietary technologies we may develop. Litigation may be necessary to defend against these and other claims challenging inventorship or our patent rights, trade secrets or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intellectual property. If we fail in defending any such claims, in addition to paying monetary damages, we may lose valuable intellectual property rights, such as exclusive ownership of, or right to use, intellectual property that is important to our therapeutic and diagnostic programs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5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degree of future protection afforded by our intellectual property rights, and particularly those arising from patents, is uncertain because these rights have limitations and may not adequately protect our business or permit us to maintain our competitive advantage. Examples where our intellectual property rights may not further our competitive advantage include but are not limited to the following:</w:t>
      </w:r>
    </w:p>
    <w:p>
      <w:pPr>
        <w:spacing w:after="0" w:line="198" w:lineRule="exact"/>
        <w:rPr>
          <w:sz w:val="20"/>
          <w:szCs w:val="20"/>
          <w:color w:val="auto"/>
        </w:rPr>
      </w:pPr>
    </w:p>
    <w:p>
      <w:pPr>
        <w:ind w:left="400" w:right="880" w:hanging="177"/>
        <w:spacing w:after="0" w:line="260" w:lineRule="auto"/>
        <w:tabs>
          <w:tab w:leader="none" w:pos="3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others may be able to duplicate or utilize similar technology in a manner that infringes our patents but is undetectable or done in a jurisdiction where we have not secured, or cannot secure or enforce, patent rights;</w:t>
      </w:r>
    </w:p>
    <w:p>
      <w:pPr>
        <w:spacing w:after="0" w:line="1" w:lineRule="exact"/>
        <w:rPr>
          <w:rFonts w:ascii="Arial" w:cs="Arial" w:eastAsia="Arial" w:hAnsi="Arial"/>
          <w:sz w:val="18"/>
          <w:szCs w:val="18"/>
          <w:color w:val="auto"/>
        </w:rPr>
      </w:pPr>
    </w:p>
    <w:p>
      <w:pPr>
        <w:ind w:left="400" w:right="1040" w:hanging="177"/>
        <w:spacing w:after="0" w:line="250" w:lineRule="auto"/>
        <w:tabs>
          <w:tab w:leader="none" w:pos="3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or our licensing partners or collaborators, might not have been the first to make the inventions covered by our owned or licensed current or future patent applications;</w:t>
      </w:r>
    </w:p>
    <w:p>
      <w:pPr>
        <w:ind w:left="400" w:right="1240" w:hanging="177"/>
        <w:spacing w:after="0" w:line="250" w:lineRule="auto"/>
        <w:tabs>
          <w:tab w:leader="none" w:pos="3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or our licensing partners or collaborators, might not have been the first to file patent applications covering our or their inventions;</w:t>
      </w:r>
    </w:p>
    <w:p>
      <w:pPr>
        <w:ind w:left="380" w:hanging="157"/>
        <w:spacing w:after="0" w:line="250" w:lineRule="auto"/>
        <w:tabs>
          <w:tab w:leader="none" w:pos="3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ind w:left="400" w:hanging="149"/>
        <w:spacing w:after="0"/>
        <w:tabs>
          <w:tab w:leader="none" w:pos="4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it is possible that our owned or licensed current or future patent applications will not lead to issued patents;</w:t>
      </w:r>
    </w:p>
    <w:p>
      <w:pPr>
        <w:spacing w:after="0" w:line="9" w:lineRule="exact"/>
        <w:rPr>
          <w:rFonts w:ascii="Arial" w:cs="Arial" w:eastAsia="Arial" w:hAnsi="Arial"/>
          <w:sz w:val="18"/>
          <w:szCs w:val="18"/>
          <w:color w:val="auto"/>
        </w:rPr>
      </w:pPr>
    </w:p>
    <w:p>
      <w:pPr>
        <w:ind w:left="420" w:right="480" w:hanging="169"/>
        <w:spacing w:after="0" w:line="265" w:lineRule="auto"/>
        <w:tabs>
          <w:tab w:leader="none" w:pos="415" w:val="left"/>
        </w:tabs>
        <w:numPr>
          <w:ilvl w:val="1"/>
          <w:numId w:val="80"/>
        </w:numPr>
        <w:rPr>
          <w:rFonts w:ascii="Arial" w:cs="Arial" w:eastAsia="Arial" w:hAnsi="Arial"/>
          <w:sz w:val="17"/>
          <w:szCs w:val="17"/>
          <w:color w:val="auto"/>
        </w:rPr>
      </w:pPr>
      <w:r>
        <w:rPr>
          <w:rFonts w:ascii="Arial" w:cs="Arial" w:eastAsia="Arial" w:hAnsi="Arial"/>
          <w:sz w:val="17"/>
          <w:szCs w:val="17"/>
          <w:color w:val="auto"/>
        </w:rPr>
        <w:t>any patent issuing from our owned or licensed current or future patent applications may be held invalid or unenforceable, including as a result of legal challenges by our competitors or other third parties, or may not provide us with any competitive advantages;</w:t>
      </w:r>
    </w:p>
    <w:p>
      <w:pPr>
        <w:ind w:left="400" w:right="520" w:hanging="177"/>
        <w:spacing w:after="0" w:line="250" w:lineRule="auto"/>
        <w:tabs>
          <w:tab w:leader="none" w:pos="3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 w:lineRule="exact"/>
        <w:rPr>
          <w:rFonts w:ascii="Arial" w:cs="Arial" w:eastAsia="Arial" w:hAnsi="Arial"/>
          <w:sz w:val="18"/>
          <w:szCs w:val="18"/>
          <w:color w:val="auto"/>
        </w:rPr>
      </w:pPr>
    </w:p>
    <w:p>
      <w:pPr>
        <w:ind w:left="400" w:hanging="177"/>
        <w:spacing w:after="0"/>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patents or pending or future patent applications of others, if issued, may harm our business; and</w:t>
      </w:r>
    </w:p>
    <w:p>
      <w:pPr>
        <w:spacing w:after="0" w:line="9" w:lineRule="exact"/>
        <w:rPr>
          <w:rFonts w:ascii="Arial" w:cs="Arial" w:eastAsia="Arial" w:hAnsi="Arial"/>
          <w:sz w:val="18"/>
          <w:szCs w:val="18"/>
          <w:color w:val="auto"/>
        </w:rPr>
      </w:pPr>
    </w:p>
    <w:p>
      <w:pPr>
        <w:ind w:left="400" w:right="600" w:hanging="177"/>
        <w:spacing w:after="0" w:line="266" w:lineRule="auto"/>
        <w:tabs>
          <w:tab w:leader="none" w:pos="3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have a material, adverse effect on our business, results of operations, and prospects.</w:t>
      </w:r>
    </w:p>
    <w:p>
      <w:pPr>
        <w:spacing w:after="0" w:line="254"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know-how, our business and competitive position may be harmed.</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protection afforded by patents, we rely on trade secret protection and contractual arrangements to protect proprietary know-how, information, and technology that is not covered by our patents. With respect to curating our data and our library of small molecules generally, we consider trade secrets and know-how to be our primary intellectual property. Unpatented proprietary rights, including trade secrets and know-how, can be difficult to protect and may lose their value if their secrecy is lost or if they are independently developed by a third party.</w:t>
      </w:r>
    </w:p>
    <w:p>
      <w:pPr>
        <w:spacing w:after="0" w:line="20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seek to protect our proprietary technology and processes, in part, by entering into non-disclosure and confidentiality agreements with parties that have access to them, including our collaborators, scientific advisors, employees, and consultants. We cannot guarantee that we have entered into such agreements with each party that may have or have had access to our trade secrets or proprietary technology and processes. Our agreements with our employees and consultants also require them to acknowledge ownership by us of inventions they may conceive as a result of their work for us and to perfect such ownership by assignment. However, we may not be able to prevent the unauthorized disclosure or use of our trade secrets or other confidential information through these agreements or other preventative measures. In addition, third parties, including our competitors, could independently develop and lawfully use the same or substantially equivalent trade secrets and know-how. Enforcing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Any loss of trade secret protection or other unpatented proprietary rights could harm our business, results of operations, financial condition, and prospects.</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our product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14"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drug product candidates.</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and future products and product candidates in any jurisdiction. The scope of a patent claim is determined by an interpretation of the law, the written disclosure in a patent and the patent’s prosecution history. Our interpretation of the relevance or the scope of a patent or a pending patent application may be incorrect, which may negatively impact our ability to market our products. We may incorrectly determine that our drug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we may incorrectly conclude that a third-party patent is invalid and unenforceable. Our failure to identify and correctly interpret relevant patents may negatively impact our ability to develop and market our drug product candidates. Any of the foregoing could have a material adverse effect on our business, financial condition, results of operations and prospects.</w:t>
      </w:r>
    </w:p>
    <w:p>
      <w:pPr>
        <w:spacing w:after="0" w:line="211"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trade secrets of third parties or are in breach of their non-competition or non-solicitation agreements with third parties.</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take efforts intended to ensure that our employees and consultants do not use the intellectual property, proprietary information, know-how, or trade secrets of others in their work for us, or breach any applicable non-competition or non-solicitation agreement. However, we may in the future be subject to claims that we or these individuals have, inadvertently or otherwise, used or disclosed the alleged trade secrets or other proprietary information of a third party, including a former employer or competitor, or that we caused an employee or contractor to breach the terms of their non-competition or non-solicitation agreement with a third party. In addition, while it is our policy to require our employees and contractors who may be involved in the conception or development of intellectual property to execute agreements assigning such intellectual property to us, we may be unsuccessful in obtaining such agreements or an assignment of rights to us.</w:t>
      </w:r>
    </w:p>
    <w:p>
      <w:pPr>
        <w:spacing w:after="0" w:line="2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Litigation may be necessary to defend against or enforce these claims, which may be costly, a distraction to management, and of uncertain outcome. If we are found liable for disclosure or misuse of a third party’s proprietary information, or if we are unable to secure rights to intellectual property developed by an employee or contractor a court could prohibit us from using technologies or features that may be essential to our drug candidates that incorporate or are derived from such proprietary information, in addition to awarding damages. Moreover, any such litigation could also adversely affect our ability to hire or retain employees or contractors. If we are unable to establish our rights to valuable intellectual property or retain key personnel, this failure may prevent us from</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successfully commercializing our drug candidates and have an adverse effect on our business, financial condition, and results of operation.</w:t>
      </w:r>
    </w:p>
    <w:p>
      <w:pPr>
        <w:spacing w:after="0" w:line="254"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auto"/>
        </w:rPr>
        <w:t>Litigation to defend against third party claims of intellectual property infringement, misappropriation or other violations against us or our collaborators, or to enforce our intellectual property rights or the intellectual property rights of our collaborators, presents numerous risks.</w:t>
      </w:r>
    </w:p>
    <w:p>
      <w:pPr>
        <w:spacing w:after="0" w:line="18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biotechnology and pharmaceutical industries are characterized by extensive and frequent litigation regarding patents and other intellectual property rights. Intellectual property litigation or other legal proceedings, with or without merit, is generally expensive and time consuming, potentially distracting to technical and management personnel, and subject to uncertain outcomes.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w:t>
      </w:r>
    </w:p>
    <w:p>
      <w:pPr>
        <w:spacing w:after="0" w:line="20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drug product candidates, and to use our proprietary technologies, without infringing, misappropriating, or otherwise violating the intellectual property or proprietary rights of third parties. Given the vast and continually increasing number of patents in our field of technology, we cannot be certain that we do not infringe existing patents or that we will not infringe patents granted in the future. We may in the future become party to, or threatened with, litigation or adversarial proceedings initiated by our competitors or other third parties alleging that our products or technologies are covered by their patents.</w:t>
      </w:r>
    </w:p>
    <w:p>
      <w:pPr>
        <w:spacing w:after="0" w:line="20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Many companies have obtained patents or filed patent applications in areas important to our business, including artificial intelligence and deep learning, technology-aided drug discovery, CRISPR, high-throughput screening, and combinations of any or all of these fields. For example, we sublicense CRISPR-Cas9 gene editing technology from a licensed vendor, which provides critical tools upon which portions of our drug discovery process relies. CRISPR-Cas9 gene editing is a field that is highly active for patent filings and there are ongoing disputes between third parties, which we are not party to, regarding the ownership of and licensing rights related to the technology. The extensive patent filings related to CRISPR and Cas make it difficult for us to assess the full extent of relevant patents and pending applications that may cover this technology, and there may be third-party patents, or pending patent applications with claims that may issue in the future, covering our use of CRISPR-Cas9.</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we or our collaborators are found to infringe a third party’s patent or other intellectual property rights, such determination could result in significant damages and costs including treble damages and attorneys’ fees for willful infringement or royalties. In the event of a successful infringement claim against us or our collaborators, we may have to redesign the infringing products or technologies, which may be impossible or require substantial time and monetary expenditure. In addition, we could be required to obtain a license from such third party to continue developing and marketing our drug product candidates or other proprietary technology, which may not be available on commercially reasonable terms or at all, or to cease developing and commercializing the infringing technology or drug product candidates altogether. If we are prevented from commercializing our drug product candidates or forced to cease some of our business operations, this restriction could materially harm our reputation and have a significant adverse impact on our business, results of operations, and prospects.</w:t>
      </w:r>
    </w:p>
    <w:p>
      <w:pPr>
        <w:spacing w:after="0" w:line="212" w:lineRule="exact"/>
        <w:rPr>
          <w:sz w:val="20"/>
          <w:szCs w:val="20"/>
          <w:color w:val="auto"/>
        </w:rPr>
      </w:pPr>
    </w:p>
    <w:p>
      <w:pPr>
        <w:ind w:right="580"/>
        <w:spacing w:after="0" w:line="254" w:lineRule="auto"/>
        <w:rPr>
          <w:sz w:val="20"/>
          <w:szCs w:val="20"/>
          <w:color w:val="auto"/>
        </w:rPr>
      </w:pPr>
      <w:r>
        <w:rPr>
          <w:rFonts w:ascii="Arial" w:cs="Arial" w:eastAsia="Arial" w:hAnsi="Arial"/>
          <w:sz w:val="18"/>
          <w:szCs w:val="18"/>
          <w:color w:val="auto"/>
        </w:rPr>
        <w:t>We may initiate litigation, or file counterclaims, to protect or enforce our patents and other intellectual property rights if we believe competitors or other third parties have infringed, misappropriated, or otherwise violated our intellectual property rights or the intellectual property rights of our collaborators in certain circumstances. Our ability to enforce our intellectual property rights or the intellectual property rights of our collaborators is subject to litigation risks, including that the opposing party may seek counterclaims against us, as well as uncertainty as to the protection and enforceability of those rights in some countries. If we seek to enforce our patents or the patents of our collaborators, we may be subject to findings that these patents should be interpreted narrowly and do not cover the technology at issue, or that these patents are invalid or unenforceable. If we are unable to enforce and protect our intellectual property rights or the intellectual property rights of our collaborators, or if they are circumvented, invalidated, or rendered obsolete by the rapid pace of technological change, it could have an adverse impact on our competitive position, business, financial position,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Competing products may also be sold in other countries in which our patent coverage might not exist or might not be as strong. The legal systems of some countries do not favor the enforcement of patents and other intellectual property rights, and other jurisdictions may have limited enforcement rights for patent holders. This could make it difficult for us to stop the infringement of our patents, if obtained, or the misappropriation of our other intellectual property rights in other countries. Consequently, we and our licensors or collaborators may have limited remedies in those foreign countries if patents are infringed, or we or our licensors may be compelled to grant a license to a third party, which could materially diminish the value of those patents and could limit our potential revenue opportunities. In addition, competitors may use our technologies to develop their own products that compete with ours in jurisdictions where we have not obtained patent protection or where we have patent protection but limited enforcement rights. Accordingly, our efforts to protect our intellectual property rights in such countries may be inadequate to obtain a significant commercial advantage from the intellectual property that we own or license.</w:t>
      </w:r>
    </w:p>
    <w:p>
      <w:pPr>
        <w:spacing w:after="0" w:line="21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w:t>
      </w:r>
    </w:p>
    <w:p>
      <w:pPr>
        <w:spacing w:after="0" w:line="205" w:lineRule="exact"/>
        <w:rPr>
          <w:sz w:val="20"/>
          <w:szCs w:val="20"/>
          <w:color w:val="auto"/>
        </w:rPr>
      </w:pPr>
    </w:p>
    <w:p>
      <w:pPr>
        <w:ind w:right="660"/>
        <w:spacing w:after="0" w:line="265"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collaborate with or license intellectual property rights from third parties, if the licenses are terminated, if a dispute regarding these licenses arises, or we otherwise experience disruptions to our business relationships with our collaborators or licensors, we could lose rights that are important to our business.</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license certain intellectual property that is important to our business and, in the future, we may enter into additional agreements that provide us with licenses to valuable intellectual property or technology. Our current license agreements impose, and we expect our future license agreements will impose, various development, diligence, commercialization, and other obligations on us in order to maintain the licenses. In spite of our efforts, a licensor might conclude that we have materially breached our obligations under a license agreement and seek to terminate the agreement, thereby removing or limiting our ability to develop and commercialize products and technology covered by the agreement. If these in-licenses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development and commercialization of certain of our drug candidates. Any of the foregoing could have a material adverse effect on our competitive position, business, financial conditions, results of operations, and prospects.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 but not limited to the following:</w:t>
      </w:r>
    </w:p>
    <w:p>
      <w:pPr>
        <w:spacing w:after="0" w:line="252" w:lineRule="exact"/>
        <w:rPr>
          <w:sz w:val="20"/>
          <w:szCs w:val="20"/>
          <w:color w:val="auto"/>
        </w:rPr>
      </w:pPr>
    </w:p>
    <w:p>
      <w:pPr>
        <w:ind w:left="380" w:hanging="157"/>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7" w:lineRule="exact"/>
        <w:rPr>
          <w:rFonts w:ascii="Arial" w:cs="Arial" w:eastAsia="Arial" w:hAnsi="Arial"/>
          <w:sz w:val="18"/>
          <w:szCs w:val="18"/>
          <w:color w:val="auto"/>
        </w:rPr>
      </w:pPr>
    </w:p>
    <w:p>
      <w:pPr>
        <w:ind w:left="380" w:right="80" w:hanging="157"/>
        <w:spacing w:after="0" w:line="250" w:lineRule="auto"/>
        <w:tabs>
          <w:tab w:leader="none" w:pos="3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that is not subject to the licensing agreement;</w:t>
      </w:r>
    </w:p>
    <w:p>
      <w:pPr>
        <w:ind w:left="380" w:hanging="157"/>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9" w:lineRule="exact"/>
        <w:rPr>
          <w:rFonts w:ascii="Arial" w:cs="Arial" w:eastAsia="Arial" w:hAnsi="Arial"/>
          <w:sz w:val="18"/>
          <w:szCs w:val="18"/>
          <w:color w:val="auto"/>
        </w:rPr>
      </w:pPr>
    </w:p>
    <w:p>
      <w:pPr>
        <w:ind w:left="380" w:right="540" w:hanging="157"/>
        <w:spacing w:after="0" w:line="250" w:lineRule="auto"/>
        <w:tabs>
          <w:tab w:leader="none" w:pos="3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w:t>
      </w:r>
    </w:p>
    <w:p>
      <w:pPr>
        <w:ind w:left="380" w:hanging="157"/>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right to transfer or assign the license agreement; and</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agreements under which we license intellectual property or technology from third parties are, and future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it could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licensing arrangements on commercially acceptable terms, we may be unable to successfully develop and commercialize the affected drug candidates, which could have a material adverse effect on our business, financial conditions, results of operations, and prospects.</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11" w:name="page112"/>
    <w:bookmarkEnd w:id="111"/>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These and similar issues may arise with respect to our collaboration agreements, such as the Bayer Agreement and the Roche and Genentech Agreement. The Bayer Agreement, the Roche and Genentech Agreement, the Merck Agreement, and the Sanofi Agreement are some of our key collaborations, and there is no assurance that these collaborations will continue past their current terms, on favorable terms or at all, or that at any time while the collaborations are in effect the parties will operate under the agreements without disputes.</w:t>
      </w:r>
    </w:p>
    <w:p>
      <w:pPr>
        <w:spacing w:after="0" w:line="205"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b w:val="1"/>
          <w:bCs w:val="1"/>
          <w:i w:val="1"/>
          <w:iCs w:val="1"/>
          <w:color w:val="auto"/>
        </w:rPr>
        <w:t>Some of our intellectual property has been, and in the future may be, discovered through government-funded programs and thus may be subject to federal regulations such as “march-in” rights, certain reporting requirements, and a preference for U.S.-based companies, and compliance with such regulations may limit our exclusive rights and our ability to contract with non-U.S. manufacturers.</w:t>
      </w:r>
    </w:p>
    <w:p>
      <w:pPr>
        <w:spacing w:after="0" w:line="191"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Our intellectual property rights may be subject to a reservation of rights by one or more third parties. For example, certain intellectual property rights that we have licensed, or may in the future license, have been generated through the use of U.S. government funding. As a result, the U.S. government may have certain rights to intellectual property embodied in our current or future processes and related products and services.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the U.S. government determines that (1) adequate steps have not been taken to commercialize the invention and achieve practical application of the government-funded technology, (2) government action is necessary to meet public health or safety needs, (3) government action is necessary to meet requirements for public use under federal regulations or (4) we have failed to meet requirements of federal regulations (also collectively referred to as “march-in rights”).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U.S. government also has the right to take title to these inventions if we or our licensors fail to disclose the invention to the government or fail to file an application to register the intellectual property within specified time limits. These rights may permit the U.S. government to disclose our confidential information to third parties. In addition, our rights in such inventions may be subject to requirements to manufacture products embodying such inventions in the United States. Intellectual property generated under a government-funded program is also subject to certain reporting requirements, compliance with which may require us to expend substantial resources.</w:t>
      </w:r>
    </w:p>
    <w:p>
      <w:pPr>
        <w:spacing w:after="0" w:line="20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Any exercise by the U.S. government of such rights could have a material adverse effect on our competitive position, business, results of operations, financial condition, and prospects.</w:t>
      </w:r>
    </w:p>
    <w:p>
      <w:pPr>
        <w:spacing w:after="0" w:line="182"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6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our intellectual property may be ineffective and could result in substantial costs and diversion of resources and could adversely affect our business, financial condition, results of operations, and prospects.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anticipated benefits of the business combination with Exscientia may vary from expectations.</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Recursion may fail to realize the anticipated cost savings or other benefits expected from the business combination with Exscientia, which could adversely affect its business, financial condition and operating results. The success of the business combination will depend, in significant part, on Recursion’s ability to successfully integrate the businesses of Recursion and Exscientia and realize the anticipated strategic benefits and synergies from the business combination. Recursion and Exscientia believe that the combination of the two businesses will</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complement each party’s strategy by providing a balanced and diversified product portfolio, operational efficiencies, supply chain optimization, complementary geographic footprints, product development synergies and capital raising opportunities. However, achieving these goals requires, among other things, realization of the targeted cost synergies expected from the business combination. The anticipated benefits of the business combination and actual operating, technological, strategic and revenue opportunities may not be realized fully or at all, or may take longer to realize than expected. If Recursion is not able to achieve these objectives and realize the anticipated benefits and synergies expected from the business combination within the anticipated timeframe or at all, Recursion’s business, financial condition and operating results may be adversely affected.</w:t>
      </w:r>
    </w:p>
    <w:p>
      <w:pPr>
        <w:spacing w:after="0" w:line="185"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The future results of Recursion will suffer if Recursion does not effectively manage its expanded operations resulting from the business combination with Exscientia.</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business combination with Exscientia, the size of the business of Recursion has increased significantly. Recursion’s future results depends, in part, upon its ability to manage this expanded business, which will pose substantial challenges for management, including challenges related to the management and monitoring of new operations and associated increased costs and complexity. There can be no assurance that Recursion will be successful or that it will realize the expected operating efficiencies, cost savings, revenue enhancements and other benefits currently anticipated from the business combination.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issues currently faced by Recursion or Exscientia may be imputed to the operations of the other.</w:t>
      </w:r>
    </w:p>
    <w:p>
      <w:pPr>
        <w:spacing w:after="0" w:line="22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To the extent either Recursion or Exscientia had, or is perceived by business partners to have had, operational challenges, such as performance, management or workforce issues, those challenges may raise concerns by existing business partners of the other company, which may limit or impede Recursion’s future ability to obtain additional business from those business partners.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Recursion is exposed to greater foreign currency exchange risk.</w:t>
      </w:r>
    </w:p>
    <w:p>
      <w:pPr>
        <w:spacing w:after="0" w:line="22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result of integrating the businesses of Exscientia, Cyclica, and Valence, a greater portion of Recursion’s business takes place in international markets. Recursion will conduct its business and prepare its consolidated financial statements in its functional currency, while the financial statements of each of its subsidiaries will be prepared in the functional currency of that entity and the business of that entity will be conducted in the functional currency of that entity. Accordingly, it is expected that Recursion’s revenues and earnings will be exposed to the risks that may arise from fluctuations in foreign currency exchange rates, which could have a material adverse effect on Recursion’s business, results of operations or financial condition.</w:t>
      </w:r>
    </w:p>
    <w:p>
      <w:pPr>
        <w:spacing w:after="0" w:line="184"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As a company with substantial operations outside of the United States, we are subject to economic, political, regulatory and other risks associated with international operations.</w:t>
      </w:r>
    </w:p>
    <w:p>
      <w:pPr>
        <w:spacing w:after="0" w:line="139"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As a result of our acquisitions, we now have substantial operations in Canada, England, Scotland, and our business is subject to risks associated with conducting business outside of the United States. Many of our suppliers and clinical trial relationships are now located outside the United States. Accordingly, our future results could be harmed by a variety of factors, including:</w:t>
      </w:r>
    </w:p>
    <w:p>
      <w:pPr>
        <w:spacing w:after="0" w:line="171"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certain non-U.S. economies and markets;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and proprietary rights;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changes in currency exchange rates of the pound sterling, euro and the risk of the imposition of currency controls;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negative consequences from changes in tax laws or practice;</w:t>
      </w:r>
    </w:p>
    <w:p>
      <w:pPr>
        <w:spacing w:after="0" w:line="27"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travelling abroad, including, for example, the variable tax treatment in different jurisdictions of options granted under our share option schemes or equity incentive plans;</w:t>
      </w: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9" w:lineRule="exact"/>
        <w:rPr>
          <w:rFonts w:ascii="Arial" w:cs="Arial" w:eastAsia="Arial" w:hAnsi="Arial"/>
          <w:sz w:val="18"/>
          <w:szCs w:val="18"/>
          <w:color w:val="auto"/>
        </w:rPr>
      </w:pPr>
    </w:p>
    <w:p>
      <w:pPr>
        <w:ind w:left="660" w:right="320" w:hanging="328"/>
        <w:spacing w:after="0" w:line="266"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and other natural disasters caused by climate change.</w:t>
      </w:r>
    </w:p>
    <w:p>
      <w:pPr>
        <w:spacing w:after="0" w:line="173"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We have in the past and may in the future acquire other companies or technologies, which could divert our management’s attention, result in additional dilution to our shareholders and otherwise disrupt our operations and adversely affect our operating results.</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May 2023, we acquired Cyclica and Valence, and in November 2024, we entered into a business combination with Exscientia. We may in the future seek to acquire or invest in additional businesses, solutions or technologies that we believe could complement or expand our solutions, enhance our technical capabilities, or otherwise offer growth opportunities. The pursuit of potential acquisitions or business combinations may divert the attention of management and cause us to incur various expenses in identifying, investigating and pursuing suitable acquisitions, whether or not they are consummated.</w:t>
      </w:r>
    </w:p>
    <w:p>
      <w:pPr>
        <w:spacing w:after="0" w:line="20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success in realizing any such growth opportunities and cost synergies, and the timing of this realization, depends on the successful integration of any acquired company’s, business and operations with our business and operations. Even if we are able to integrate our business with acquired businesses or the business of a future acquisition target successfully, this integration may not result in the realization of the outcomes and benefits, growth opportunities, and cost synergies we expect within the anticipated time frame or at all. Moreover, we may incur substantial expenses in connection with the integration of any acquired company’s business with our business. While we may be able to anticipate that certain expenses will be incurred, such expenses are difficult to estimate accurately, and may exceed our estimates. Accordingly, the outcomes and benefits from any future acquisition may be offset by costs incurred or delays in integrating the potential acquisition targets, which could cause the outcomes and benefits we may anticipate to be inaccurate or not realized.</w:t>
      </w:r>
    </w:p>
    <w:p>
      <w:pPr>
        <w:spacing w:after="0" w:line="199"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20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business, financial condition, results of operations and prospects may suffer.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19"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 and, as a result, may be unable to commercialize our product candidates.</w:t>
      </w:r>
    </w:p>
    <w:p>
      <w:pPr>
        <w:spacing w:after="0" w:line="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The FDA’s decision to release “real-time” newly issued Complete Response Letter associated with withdrawn or abandoned applications, if applicable to any of our product candidates, can materially impact our business and competitive advantage. Further, future government shutdowns or other lapses in government funding could delay or otherwise interfere with obtaining regulatory approval for our clinical trials or product candidates.</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REMS plan as part of approving a marketing application,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7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70"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 and/or the UK and increase our costs. We cannot predict the impact of such changes and future regulation on our business or the results of our operations.</w:t>
      </w:r>
    </w:p>
    <w:p>
      <w:pPr>
        <w:spacing w:after="0" w:line="208" w:lineRule="exact"/>
        <w:rPr>
          <w:sz w:val="20"/>
          <w:szCs w:val="20"/>
          <w:color w:val="auto"/>
        </w:rPr>
      </w:pPr>
    </w:p>
    <w:p>
      <w:pPr>
        <w:ind w:right="620"/>
        <w:spacing w:after="0" w:line="272" w:lineRule="auto"/>
        <w:rPr>
          <w:sz w:val="20"/>
          <w:szCs w:val="20"/>
          <w:color w:val="auto"/>
        </w:rPr>
      </w:pPr>
      <w:r>
        <w:rPr>
          <w:rFonts w:ascii="Arial" w:cs="Arial" w:eastAsia="Arial" w:hAnsi="Arial"/>
          <w:sz w:val="18"/>
          <w:szCs w:val="18"/>
          <w:b w:val="1"/>
          <w:bCs w:val="1"/>
          <w:i w:val="1"/>
          <w:iCs w:val="1"/>
          <w:color w:val="auto"/>
        </w:rPr>
        <w:t>Even if we receive FDA or other regulatory approval for any of our drug candidates, we will be subject to ongoing regulatory obligations and other conditions that may result in significant additional expense, as well as the potential recall or market withdrawal of an approved product if unanticipated safety issues are discovered.</w:t>
      </w:r>
    </w:p>
    <w:p>
      <w:pPr>
        <w:spacing w:after="0" w:line="18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Even if the FDA or a comparable foreign regulatory authority approves any of our drug candidates, the manufacturing processes, labeling, packaging, distribution, adverse event reporting, storage, advertising, promotion, and recordkeeping for the product will be subject to extensive and ongoing regulatory requirements. These requirements also include submission of safety and other post-marketing information and reports, establishment registration and listing, as well as continued compliance with cGMPs for manufacturing processes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and GCPs for any clinical trials that we conduct post-approval. Any regulatory approvals that we receive for our drug candidates may also be subject to limitations on the approved indicated uses for which the product may be marketed or to the conditions of approval, or they may contain requirements for potentially costly post-marketing studies and surveillance to monitor the safety and efficacy of the drug product.</w:t>
      </w:r>
    </w:p>
    <w:p>
      <w:pPr>
        <w:spacing w:after="0" w:line="19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Any failure to comply with regulatory requirements, or any discovery of previously unknown problems with a drug product — including adverse events of unanticipated severity or frequency — or with our third-party manufacturers or manufacturing processes, may result in, among other things:</w:t>
      </w:r>
    </w:p>
    <w:p>
      <w:pPr>
        <w:spacing w:after="0" w:line="198" w:lineRule="exact"/>
        <w:rPr>
          <w:sz w:val="20"/>
          <w:szCs w:val="20"/>
          <w:color w:val="auto"/>
        </w:rPr>
      </w:pPr>
    </w:p>
    <w:p>
      <w:pPr>
        <w:ind w:left="380" w:right="80" w:hanging="157"/>
        <w:spacing w:after="0" w:line="260" w:lineRule="auto"/>
        <w:tabs>
          <w:tab w:leader="none" w:pos="3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product, withdrawal of the product from the market, or voluntary or mandatory product recalls;</w:t>
      </w:r>
    </w:p>
    <w:p>
      <w:pPr>
        <w:spacing w:after="0" w:line="1" w:lineRule="exact"/>
        <w:rPr>
          <w:rFonts w:ascii="Arial" w:cs="Arial" w:eastAsia="Arial" w:hAnsi="Arial"/>
          <w:sz w:val="18"/>
          <w:szCs w:val="18"/>
          <w:color w:val="auto"/>
        </w:rPr>
      </w:pPr>
    </w:p>
    <w:p>
      <w:pPr>
        <w:ind w:left="380" w:hanging="157"/>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drug products; and</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34" w:lineRule="exact"/>
        <w:rPr>
          <w:sz w:val="20"/>
          <w:szCs w:val="20"/>
          <w:color w:val="auto"/>
        </w:rPr>
      </w:pPr>
    </w:p>
    <w:p>
      <w:pPr>
        <w:ind w:right="2540"/>
        <w:spacing w:after="0" w:line="287" w:lineRule="auto"/>
        <w:rPr>
          <w:sz w:val="20"/>
          <w:szCs w:val="20"/>
          <w:color w:val="auto"/>
        </w:rPr>
      </w:pPr>
      <w:r>
        <w:rPr>
          <w:rFonts w:ascii="Arial" w:cs="Arial" w:eastAsia="Arial" w:hAnsi="Arial"/>
          <w:sz w:val="18"/>
          <w:szCs w:val="18"/>
          <w:color w:val="auto"/>
        </w:rPr>
        <w:t>The occurrence of any of the foregoing actions could materially and adversely affect our reputation, business, results of operation, and prospects.</w:t>
      </w:r>
    </w:p>
    <w:p>
      <w:pPr>
        <w:spacing w:after="0" w:line="182" w:lineRule="exact"/>
        <w:rPr>
          <w:sz w:val="20"/>
          <w:szCs w:val="20"/>
          <w:color w:val="auto"/>
        </w:rPr>
      </w:pPr>
    </w:p>
    <w:p>
      <w:pPr>
        <w:ind w:right="1100"/>
        <w:spacing w:after="0" w:line="294" w:lineRule="auto"/>
        <w:rPr>
          <w:sz w:val="20"/>
          <w:szCs w:val="20"/>
          <w:color w:val="auto"/>
        </w:rPr>
      </w:pPr>
      <w:r>
        <w:rPr>
          <w:rFonts w:ascii="Arial" w:cs="Arial" w:eastAsia="Arial" w:hAnsi="Arial"/>
          <w:sz w:val="18"/>
          <w:szCs w:val="18"/>
          <w:b w:val="1"/>
          <w:bCs w:val="1"/>
          <w:i w:val="1"/>
          <w:iCs w:val="1"/>
          <w:color w:val="auto"/>
        </w:rPr>
        <w:t>Though we have been granted orphan drug designation for certain of our drug candidates, we may be unsuccessful or unable to maintain the benefits associated with such a designation, including the potential for market exclusivity.</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our business strategy, we have sought orphan drug designation for certain of our drug candidates and may do so for other drug candidates in the future. Regulatory authorities in some jurisdictions, including the United States and Europe, may designate drugs for relatively small patient populations as orphan drugs. The FDA may designate a drug as an orphan drug if it is intended to treat a rare disease or condition. In the United States, orphan drug designation entitles a party to financial incentives such as opportunities for grant funding towards clinical trial costs, tax advantages and user-fee waivers.</w:t>
      </w:r>
    </w:p>
    <w:p>
      <w:pPr>
        <w:spacing w:after="0" w:line="20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Similarly in Europe, the European Commission, upon the recommendation of the EMA’s Committee for Orphan Medicinal Products, grants orphan drug designation for drugs intended for the diagnosis, prevention, or treatment of a life-threatening, seriously debilitating or serious and chronic condition when, without incentives, it is unlikely that sales of the drug in Europe would be sufficient to justify the necessary investment in developing the drug. In Europe, orphan drug designation entitles a party to financial incentives such as reduction of fees or fee waivers. We have received orphan drug designation from the FDA and European Commission for REC-4881 for the potential treatment of FAP, but we may be unsuccessful with respect to other drug candidates in the future.</w:t>
      </w:r>
    </w:p>
    <w:p>
      <w:pPr>
        <w:spacing w:after="0" w:line="20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w:t>
      </w:r>
    </w:p>
    <w:p>
      <w:pPr>
        <w:spacing w:after="0" w:line="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Even if we obtain orphan drug exclusivity for a drug, that exclusivity may not effectively protect the drug from competition because different drugs can be approved for the same condition. Even after an orphan drug is approved, the FDA can subsequently approve a different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part of the molecule is determined to be safer, more effective, or represents a major contribution to patient care. Orphan drug designation neither shortens the development time or regulatory review time of a drug, nor gives the drug any advantage in the regulatory review or approval process. While we may seek orphan drug designation for our drug candidates, we may never receive such designations. Even if we do receive such designations, there is no guarantee that we will enjoy the benefits of those designations.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response to the court decision in </w:t>
      </w:r>
      <w:r>
        <w:rPr>
          <w:rFonts w:ascii="Arial" w:cs="Arial" w:eastAsia="Arial" w:hAnsi="Arial"/>
          <w:sz w:val="18"/>
          <w:szCs w:val="18"/>
          <w:i w:val="1"/>
          <w:iCs w:val="1"/>
          <w:color w:val="auto"/>
        </w:rPr>
        <w:t>Catalyst Pharms., Inc. v. Becerra</w:t>
      </w:r>
      <w:r>
        <w:rPr>
          <w:rFonts w:ascii="Arial" w:cs="Arial" w:eastAsia="Arial" w:hAnsi="Arial"/>
          <w:sz w:val="18"/>
          <w:szCs w:val="18"/>
          <w:color w:val="auto"/>
        </w:rPr>
        <w:t xml:space="preserve">, 14 F.4th 1299 (11th Cir. 2021), in January 2023, which challenged FDA’s orphan exclusivity determination, the FDA published a notice in the Federal Register to clarify that while the agency complies with the court’s order in </w:t>
      </w:r>
      <w:r>
        <w:rPr>
          <w:rFonts w:ascii="Arial" w:cs="Arial" w:eastAsia="Arial" w:hAnsi="Arial"/>
          <w:sz w:val="18"/>
          <w:szCs w:val="18"/>
          <w:i w:val="1"/>
          <w:iCs w:val="1"/>
          <w:color w:val="auto"/>
        </w:rPr>
        <w:t>Catalyst</w:t>
      </w:r>
      <w:r>
        <w:rPr>
          <w:rFonts w:ascii="Arial" w:cs="Arial" w:eastAsia="Arial" w:hAnsi="Arial"/>
          <w:sz w:val="18"/>
          <w:szCs w:val="18"/>
          <w:color w:val="auto"/>
        </w:rPr>
        <w:t xml:space="preserve">, the FDA intends to continue to apply its longstanding interpretation of the regulations to matters outside of the scope of the </w:t>
      </w:r>
      <w:r>
        <w:rPr>
          <w:rFonts w:ascii="Arial" w:cs="Arial" w:eastAsia="Arial" w:hAnsi="Arial"/>
          <w:sz w:val="18"/>
          <w:szCs w:val="18"/>
          <w:i w:val="1"/>
          <w:iCs w:val="1"/>
          <w:color w:val="auto"/>
        </w:rPr>
        <w:t>Catalyst</w:t>
      </w:r>
      <w:r>
        <w:rPr>
          <w:rFonts w:ascii="Arial" w:cs="Arial" w:eastAsia="Arial" w:hAnsi="Arial"/>
          <w:sz w:val="18"/>
          <w:szCs w:val="18"/>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especially in view of Supreme Court’s overturn of the </w:t>
      </w:r>
      <w:r>
        <w:rPr>
          <w:rFonts w:ascii="Arial" w:cs="Arial" w:eastAsia="Arial" w:hAnsi="Arial"/>
          <w:sz w:val="18"/>
          <w:szCs w:val="18"/>
          <w:i w:val="1"/>
          <w:iCs w:val="1"/>
          <w:color w:val="auto"/>
        </w:rPr>
        <w:t>Chevron</w:t>
      </w:r>
      <w:r>
        <w:rPr>
          <w:rFonts w:ascii="Arial" w:cs="Arial" w:eastAsia="Arial" w:hAnsi="Arial"/>
          <w:sz w:val="18"/>
          <w:szCs w:val="18"/>
          <w:color w:val="auto"/>
        </w:rPr>
        <w:t xml:space="preserve"> doctrine in </w:t>
      </w:r>
      <w:r>
        <w:rPr>
          <w:rFonts w:ascii="Arial" w:cs="Arial" w:eastAsia="Arial" w:hAnsi="Arial"/>
          <w:sz w:val="18"/>
          <w:szCs w:val="18"/>
          <w:i w:val="1"/>
          <w:iCs w:val="1"/>
          <w:color w:val="auto"/>
        </w:rPr>
        <w:t>Loper Bright Enterprises v. Raimondo</w:t>
      </w:r>
      <w:r>
        <w:rPr>
          <w:rFonts w:ascii="Arial" w:cs="Arial" w:eastAsia="Arial" w:hAnsi="Arial"/>
          <w:sz w:val="18"/>
          <w:szCs w:val="18"/>
          <w:color w:val="auto"/>
        </w:rPr>
        <w:t>, legislation, agency decisions, and administrative actions under the new Trump administration will impact the scope of the orphan drug exclusivity.</w:t>
      </w:r>
    </w:p>
    <w:p>
      <w:pPr>
        <w:spacing w:after="0" w:line="376" w:lineRule="exact"/>
        <w:rPr>
          <w:sz w:val="20"/>
          <w:szCs w:val="20"/>
          <w:color w:val="auto"/>
        </w:rPr>
      </w:pPr>
    </w:p>
    <w:p>
      <w:pPr>
        <w:ind w:right="1040"/>
        <w:spacing w:after="0" w:line="294"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6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may submit marketing applications in countries other than the United States. Regulatory authorities in jurisdictions outside of the United States have requirements for approval of drug candidates with which we must comply prior to marketing in those jurisdictions. For example, our trials to date have consisted of small patient populations and some international regulatory filings may require larger patient populations or additional nonclinical studies or clinical trials.</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our drug candidates will be harmed.</w:t>
      </w:r>
    </w:p>
    <w:p>
      <w:pPr>
        <w:spacing w:after="0" w:line="2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Obtaining and maintaining regulatory approval of our drug candidates in one jurisdiction does not guarantee that we will be able to obtain or maintain regulatory approval in any other jurisdiction, although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and greater than, those in the United States. These may include additional nonclinical studies and clinical trials since clinical trials conducted in one jurisdiction may not be accepted by regulatory authorities in other jurisdictions. In short, the foreign regulatory approval process involves all of the risks associated with FDA approval. In many jurisdictions outside the United States, a drug candidate must be approved for reimbursement before it can be approved for sale in that jurisdiction. In some cases, the price that we may intend to charge for our drug products will also be subject to regulatory approval.</w:t>
      </w:r>
    </w:p>
    <w:p>
      <w:pPr>
        <w:spacing w:after="0" w:line="214" w:lineRule="exact"/>
        <w:rPr>
          <w:sz w:val="20"/>
          <w:szCs w:val="20"/>
          <w:color w:val="auto"/>
        </w:rPr>
      </w:pPr>
    </w:p>
    <w:p>
      <w:pPr>
        <w:jc w:val="both"/>
        <w:ind w:right="240"/>
        <w:spacing w:after="0" w:line="272" w:lineRule="auto"/>
        <w:rPr>
          <w:sz w:val="20"/>
          <w:szCs w:val="20"/>
          <w:color w:val="auto"/>
        </w:rPr>
      </w:pPr>
      <w:r>
        <w:rPr>
          <w:rFonts w:ascii="Arial" w:cs="Arial" w:eastAsia="Arial" w:hAnsi="Arial"/>
          <w:sz w:val="18"/>
          <w:szCs w:val="18"/>
          <w:b w:val="1"/>
          <w:bCs w:val="1"/>
          <w:i w:val="1"/>
          <w:iCs w:val="1"/>
          <w:color w:val="auto"/>
        </w:rPr>
        <w:t>Increasing scrutiny and changing expectations from governments, regulators, and third-parties relating to environmental, social and governance (ESG) policies and practices may cause us to incur additional costs, expose us to additional risks or impact our reputation.</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recent years, there has been increasing public focus and scrutiny from certain investors, employees and other stakeholders concerning corporate responsibility, specifically related to ESG factors. In addition to the changing rules and regulations related to ESG matters imposed by governmental and self-regulatory organizations, a variety of third-party organizations, institutional investors and customers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 Third-party providers of ESG ratings and reports on companies have increased in number, resulting in varied and, in some cases, inconsistent standards and frameworks. Topics considered in such assessments include, among others, our efforts and impacts with respect to climate change; diversity, equity and inclusion (DEI); and the role of our board of directors in supervising various sustainability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DEI initiatives in the private sector. Such anti-ESG and anti-DEI-related policies, legislation, initiatives, litigation, legal opinions, and scrutiny could result in our facing additional compliance obligations, becoming the subject of investigations and enforcement actions, or sustaining reputational harm.</w:t>
      </w:r>
    </w:p>
    <w:p>
      <w:pPr>
        <w:spacing w:after="0" w:line="2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our business practices do not meet evolving investor, government agency or other stakeholder expectations and standards with respect to ESG, then our reputation, our ability to attract or retain employees and the market price of our securities could be negatively impacted. New governmental regulations could result in new directives and new or more stringent forms of ESG oversight and disclosures which may lead to increased expenditures for sustainability initiatives, which in turn could have a material adverse effect on our business, financial condition, cash flows and results of operations and could cause the market value of our common stock to decline.</w:t>
      </w:r>
    </w:p>
    <w:p>
      <w:pPr>
        <w:spacing w:after="0" w:line="208"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Failure to comply with anti-bribery and anti-corruption laws and anti-money laundering laws, and similar laws, could subject us to penalties and other adverse consequences.</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expanded our operations outside of the United States, use service providers in many regions outside the U.S. and expect our foreign activities to increase in the future. If we continue expanding our operations outside of the United States, we must dedicate additional resources to comply with U.S. laws governing activities in other countries, as well as numerous laws and regulations in each jurisdiction in which we plan to operate, such as the U.S. Foreign Corrupt Practices Act, the United Kingdom Bribery Act 2010, and similar laws, U.S. and foreign anti-money laundering laws and regulations.</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 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direct or indirect interactions with officials and employees of governmental agencies or government-affiliated hospitals, universities or other organizations. We engage third parties for clinical trials and/or to obtain necessary permits, licenses, patent registrations, and other regulatory approvals and to otherwise assist in conducting our business abroad. We can be held liable for the corrupt or other illegal activities of our employees, agents, representatives, business partners and third parties, even if we do not explicitly authorize or have prior knowledge of such activities. These laws also require that we keep accurate books and records and maintain internal controls and compliance procedures designed to prevent any such actions. We cannot assure you that all of our employees, agents, representatives, business partners, or third-party intermediaries will not take actions in violation of applicable law for which we may be ultimately held responsible. As we increase our international sales and business, our risks under these laws may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Changing, inconsistent, or conflicting laws, rules and regulations governing international business practices, and ambiguities in their interpretation and application, create uncertainty and challenges. Any allegations or failure to comply with any such laws or regulations may result in whistleblower complaints, sanctions, settlements, prosecution, enforcement actions, fines, damages, adverse media coverage, investigations, substantial civil and criminal penalties, and suspension or debarment from government contracting,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 The SEC also may suspend or bar issuers from trading securities on U.S. exchanges for violations of the FCPA’s accounting provisions.</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We are subject to various governmental export controls, trade and economic sanctions, and import laws and regulations that could impair our ability to compete in international markets and subject us to liability if we are not in full compliance with applicable laws.</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products and technologies are subject to export control laws and regulations, including the Export Administration Regulations administered by the U.S. Department of Commerce, and our products, technologies, and activities are subject to trade and economic sanctions, including those administered by the U.S. Treasury Department’s Office of Foreign Assets Control, or OFAC, as well as regulations administered by the governments of the United Kingdom and authorities in the European Union, which we collectively refer to as trade controls. As such, licenses and notices may be required to import products, technologies, and services from or export or re-export products, technologies, and services to certain countries and end users and for certain end uses. For example, the U.S. government continues to add additional entities in China and elsewhere to restricted party lists impacting the ability of U.S. companies to provide products, technology, and services to, and in some cases receive products, technologies, and services from, these entities. These controls may impact our ability to import certain products, technology, or services from or export or re-export certain products, technology, or services to China and other destinations, and it is also possible that the Chinese government will retaliate in ways that could impact our business. The process for obtaining necessary licenses and making required notices may be time-consuming or unsuccessful, potentially causing delays in sales or losses of sales opportunities. Trade controls are complex and dynamic regimes and monitoring and ensuring compliance can be challenging. Any failure to comply with these regimes could subject us to both civil and criminal penalties, including substantial fines, possible incarceration of responsible individuals for willful violations, possible loss of our export or import privileges, and reputational harm. In addition, investigating or defending against any such allegations, actions, or investigations will likely result in a materially significant diversion of management’s attention and resources and significant defense costs and other professional fees.</w:t>
      </w:r>
    </w:p>
    <w:p>
      <w:pPr>
        <w:spacing w:after="0" w:line="2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various countries regulate the import of certain encryption technology, including through import permit and license requirements, and have enacted laws that could limit our ability to distribute our products or could limit our end-customers’ ability to implement our products in those countries. Changes in our products or changes in export and import regulations in such countries may create delays in the introduction of our products into international markets, prevent our end-customers with international operations from deploying our products globally or, in some cases, prevent or delay the export or import of our products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products by, or in our decreased ability to export or sell our products to, existing or potential end-customers with international operations. Any decreased use of our products or limitation on our ability to export to or sell our products in international markets could adversely affect our business, financial condition, and results of operations.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Tariffs could also have a material impact on our product costs and decrease our ability to sell our products and services to existing or potential customers as well as harm our ability to compete internationally. Recent escalations in tariffs imposed by the United States on imports from its trading partners, retaliatory actions taken by affected countries, as well as uncertainties concerning further changes in tariff and non-tariff trade policies, particularly regarding those between the United States, Mexico, and Canada, and the between the United States and China, have been significant. The U.S. government has implemented additional broad tariffs on the import of most items from virtually all U.S. trading partners and has imposed particularly significant tariffs on imports from China. China responded by imposing significant tariffs on a variety of items imported from the United States, implementing new export controls on certain commodities, and imposing trade restrictions targeting particular U.S. companies. These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tariffs could materially and adversely affect our ability to compete internationally. The future of these tariffs, as well as the possibility for new tariffs, remains very uncertain. Other causes of uncertainty include the effects of new tariffs implemented by the United States on imports from Mexico and Canada that do not qualify for duty-free treatment under the U.S.-Mexico-Canada Agreement. The macroeconomic effect of any such tariffs on major trading partners, including China, Mexico, Canada, and other countries could be significant, and our business and financial results could be negatively affected as a result.</w:t>
      </w:r>
    </w:p>
    <w:p>
      <w:pPr>
        <w:spacing w:after="0" w:line="2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Any changes in our product or in export or import regulations or legislation; shifts or changes in enforcement; or changes in the countries, persons or technologies targeted by these regulations could delay us introducing new products in international markets, decrease use of our products by, or decrease our ability to export or sell our products to existing or potential customers with international operations, adversely affecting our business and results of operations.</w:t>
      </w:r>
    </w:p>
    <w:p>
      <w:pPr>
        <w:spacing w:after="0" w:line="205"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i w:val="1"/>
          <w:iCs w:val="1"/>
          <w:color w:val="auto"/>
        </w:rPr>
        <w:t>Though we have been granted priority review designation for certain drug candidates, such designation may not lead to a faster regulatory review or regulatory approval process, and we might not receive such designation for additional drug candidates in the future.</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FDA determines that a drug candidate offers a treatment for a serious condition and, if approved, the drug product would provide a significant improvement in safety or effectiveness, the FDA may designate the drug candidate for priority review. The FDA has broad discretion with respect to whether or not to grant priority review status to a drug candidate, so even if we believe a particular drug candidate is eligible for such designation or status, the FDA may decide not to grant it. While we have been granted priority review designation for REC-4881 for the potential treatment of FAP, a priority review designation does not necessarily result in an expedited regulatory review or regulatory approval process or necessarily confer any advantage with respect to regulatory approval compared to conventional FDA procedures. Receiving priority review from the FDA does not guarantee regulatory approval within the six-month review cycle or at all. We may request priority review for additional drug candidates from time to time.</w:t>
      </w:r>
    </w:p>
    <w:p>
      <w:pPr>
        <w:spacing w:after="0" w:line="214"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b w:val="1"/>
          <w:bCs w:val="1"/>
          <w:i w:val="1"/>
          <w:iCs w:val="1"/>
          <w:color w:val="auto"/>
        </w:rPr>
        <w:t>Breakthrough therapy designation and fast track designation by the FDA, even if granted for any of our drug candidates, may not lead to a faster development, regulatory review, or regulatory approval process, and each designation does not increase the likelihood that any of our drug candidates will receive marketing approval in the United States.</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may seek a breakthrough therapy designation for some of our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therapies considered for approval under conventional FDA procedures and does not assure ultimate approval by the FDA. In addition, even if one or more of our drug candidates qualify as breakthrough therapies, the FDA may later decide that such drug candidates no longer meet the conditions for qualification or decide that the time period for FDA review or approval will not be shortened.</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seek fast track designation for some of our drug candidates from time to time. If a drug candidate is intended for the treatment of a serious or life-threatening condition and the drug candidate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ensure that the FDA would decide to grant it. Even if we do receive fast track designation, we may not experience a faster development process, regulatory review or regulatory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940"/>
        <w:spacing w:after="0" w:line="294" w:lineRule="auto"/>
        <w:rPr>
          <w:sz w:val="20"/>
          <w:szCs w:val="20"/>
          <w:color w:val="auto"/>
        </w:rPr>
      </w:pPr>
      <w:r>
        <w:rPr>
          <w:rFonts w:ascii="Arial" w:cs="Arial" w:eastAsia="Arial" w:hAnsi="Arial"/>
          <w:sz w:val="18"/>
          <w:szCs w:val="18"/>
          <w:b w:val="1"/>
          <w:bCs w:val="1"/>
          <w:i w:val="1"/>
          <w:iCs w:val="1"/>
          <w:color w:val="auto"/>
        </w:rPr>
        <w:t>The FDA, EMA, and other regulatory authorities may implement amended or additional regulations or restrictions on the development and commercialization of our drug candidates.</w:t>
      </w:r>
    </w:p>
    <w:p>
      <w:pPr>
        <w:spacing w:after="0" w:line="16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FDA, other agencies at both the federal and state level, and U.S. Congressional committees have expressed interest in further regulating the small molecule pharmaceutical industry, as have the EMA and regulatory authorities in other countries. Such action may delay or prevent commercialization of some or all of our drug candidates. Adverse developments in clinical trials conducted by others may cause the FDA or other oversight bodies to change the requirements for regulatory approval of any of our drug candidates. These regulatory review agencies and committees, and any new requirements or guidelines they promulgate, may lengthen the regulatory review process, require us to perform additional studies or trials, increase our development costs, lead to changes in regulatory positions and interpretations, delay or prevent regulatory approval and commercialization of our drug candidates, or lead to significant post-approval limitations or restrictions. As we advance our drug candidates, we will be required to consult with these regulatory authorities and comply with applicable regulatory requirements and guidelines. If we fail to do so, we may be required to delay or discontinue development of such drug candidates. These additional processes may result in a review and approval process that is longer than we otherwise would have expected. Delays as a result of a more stringent or lengthier regulatory approval process, or further restrictions on the development of our drug candidates, could be costly and could negatively impact our ability to complete clinical trials and commercialize our current and future drug candidates in a timely manner, if at all.</w:t>
      </w:r>
    </w:p>
    <w:p>
      <w:pPr>
        <w:spacing w:after="0" w:line="324"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73"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98" w:lineRule="exact"/>
        <w:rPr>
          <w:sz w:val="20"/>
          <w:szCs w:val="20"/>
          <w:color w:val="auto"/>
        </w:rPr>
      </w:pPr>
    </w:p>
    <w:p>
      <w:pPr>
        <w:ind w:right="960"/>
        <w:spacing w:after="0" w:line="294"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will be subject to significant post-marketing regulatory requirements and oversight.</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If the FDA finds that the clinical data used to support approval do not sufficiently represent the diversity of the real-world patient population, the FDA may require additional data on underrepresented populations post-approval, including as a post-marketing requirement, or the FDA may enter into a written agreement with the applicant to collect additional data as a post-marketing commitment.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other post-marketing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77" w:lineRule="exact"/>
        <w:rPr>
          <w:sz w:val="20"/>
          <w:szCs w:val="20"/>
          <w:color w:val="auto"/>
        </w:rPr>
      </w:pPr>
    </w:p>
    <w:p>
      <w:pPr>
        <w:ind w:left="1100" w:hanging="444"/>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17" w:lineRule="exact"/>
        <w:rPr>
          <w:rFonts w:ascii="Arial" w:cs="Arial" w:eastAsia="Arial" w:hAnsi="Arial"/>
          <w:sz w:val="18"/>
          <w:szCs w:val="18"/>
          <w:color w:val="auto"/>
        </w:rPr>
      </w:pPr>
    </w:p>
    <w:p>
      <w:pPr>
        <w:ind w:left="1100" w:hanging="444"/>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1100" w:hanging="444"/>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1100" w:hanging="444"/>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1100" w:hanging="444"/>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1100" w:hanging="444"/>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100" w:hanging="444"/>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1100" w:hanging="444"/>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1100" w:hanging="444"/>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100" w:hanging="444"/>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17" w:lineRule="exact"/>
        <w:rPr>
          <w:rFonts w:ascii="Arial" w:cs="Arial" w:eastAsia="Arial" w:hAnsi="Arial"/>
          <w:sz w:val="18"/>
          <w:szCs w:val="18"/>
          <w:color w:val="auto"/>
        </w:rPr>
      </w:pPr>
    </w:p>
    <w:p>
      <w:pPr>
        <w:ind w:left="1100" w:hanging="444"/>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if approved, and generate revenue.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210" w:lineRule="exact"/>
        <w:rPr>
          <w:sz w:val="20"/>
          <w:szCs w:val="20"/>
          <w:color w:val="auto"/>
        </w:rPr>
      </w:pPr>
    </w:p>
    <w:p>
      <w:pPr>
        <w:jc w:val="both"/>
        <w:ind w:right="180"/>
        <w:spacing w:after="0" w:line="272"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reform measures in the U.S. and abroad, such as changes in healthcare spending and policy, may have a material adverse effect on our business, results of operations, and prospects.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policies of the FDA, the competent authorities of the E.U. Member States, the EMA, the European Commission and other comparable regulatory authorities responsible for clinical trials may change and additional government regulations may be enacted. In June 2024, the U.S. Supreme Court overruled the </w:t>
      </w:r>
      <w:r>
        <w:rPr>
          <w:rFonts w:ascii="Arial" w:cs="Arial" w:eastAsia="Arial" w:hAnsi="Arial"/>
          <w:sz w:val="18"/>
          <w:szCs w:val="18"/>
          <w:i w:val="1"/>
          <w:iCs w:val="1"/>
          <w:color w:val="auto"/>
        </w:rPr>
        <w:t>Chevron</w:t>
      </w:r>
      <w:r>
        <w:rPr>
          <w:rFonts w:ascii="Arial" w:cs="Arial" w:eastAsia="Arial" w:hAnsi="Arial"/>
          <w:sz w:val="18"/>
          <w:szCs w:val="18"/>
          <w:color w:val="auto"/>
        </w:rPr>
        <w:t xml:space="preserve"> doctrine in </w:t>
      </w:r>
      <w:r>
        <w:rPr>
          <w:rFonts w:ascii="Arial" w:cs="Arial" w:eastAsia="Arial" w:hAnsi="Arial"/>
          <w:sz w:val="18"/>
          <w:szCs w:val="18"/>
          <w:i w:val="1"/>
          <w:iCs w:val="1"/>
          <w:color w:val="auto"/>
        </w:rPr>
        <w:t>Loper Bright</w:t>
      </w:r>
      <w:r>
        <w:rPr>
          <w:rFonts w:ascii="Arial" w:cs="Arial" w:eastAsia="Arial" w:hAnsi="Arial"/>
          <w:sz w:val="18"/>
          <w:szCs w:val="18"/>
          <w:color w:val="auto"/>
        </w:rPr>
        <w:t>, which gives deference to regulatory agencies’ statutory interpretations in litigation against federal government agencies, such as the FDA, where the law is ambiguous. This landmark Supreme Court decision may invite various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stakeholders to bring lawsuits against the FDA and other federal agencies to challenge longstanding decisions and policies, which can lead to uncertainty in the industry and disrupt the agencies’ normal operations. Further, changes in the leadership of the FDA and other federal agencies under the new Trump administration can result in changes in agency funding, operations, policies and regulatory actions, which may impact our clinical development plans and timelines.</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operate in a highly regulated industry, and new laws and regulations, or new interpretations of laws and regulations by regulatory authorities or the courts, related to healthcare availability and the method of delivery of, or payment for, healthcare products and services could negatively impact our business. The U.S. and many foreign jurisdictions have enacted or proposed legislative and regulatory changes affecting the healthcare system that could impact our clinical trials; prevent or delay marketing approval of our current or future drug candidates; restrict or regulate potential post-approval activities; and/or affect our ability to profitably sell a drug product for which we obtain marketing approval. For any of our drug candidates that receive marketing approval, such laws and regulations could require, for example, (i) changes to our manufacturing arrangements; (ii) additions or modifications to drug product labeling; (iii) the recall or discontinuation of our drug products; and/or (iv) additional record-keeping and data transfer requirements.</w:t>
      </w:r>
    </w:p>
    <w:p>
      <w:pPr>
        <w:spacing w:after="0" w:line="32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There have been, and likely will continue to be, legislative and regulatory proposals at the U.S. federal and state levels and abroad directed at increasing the availability of healthcare and containing or lowering healthcare costs. For example, the Affordable Care Act (ACA) substantially changed the way healthcare is financed by both governmental and private insurers in the U.S., and significantly impacted the pharmaceutical industry. Since its enactment, there have been legislative and judicial efforts to repeal, replace, or change some or all of the ACA. In June 2021, the United States Supreme Court held that Texas and other challengers had no legal standing to challenge the ACA, dismissing the case without specifically ruling on the constitutionality of the ACA. It is unclear how future litigation and healthcare measures promulgated by the new Trump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 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2032, unless Congress takes additional action.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various pharmaceutical companies and the Pharmaceutical Research and Manufacturers of America, have initiated lawsuits against the federal government asserting that the price negotiation provisions of the IRA are unconstitutional. Further, uncertainties created by the IRA, including its long-term impact on drug pricing, may negatively impact investments, company valuation, royalty-based earnings, mergers, and acquisitions in the industry.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U.S. Trade Representative and Secretary of Commerce to take action to ensure foreign countries are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not engaged in practices that purposefully and unfairly undercut market prices and drive price hikes in the U.S.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can have a material adverse effect on our industry, ability to set adequate pricing for new drugs to recover R&amp;D costs, ability to attract potential investors and potential buyers in the future, or the pricing of our approved product in the U.S. and in foreign countries. The impact of future legislative, executive, and administrative actions and agency rules implemented by the current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and expose us to greater liability.</w:t>
      </w:r>
    </w:p>
    <w:p>
      <w:pPr>
        <w:spacing w:after="0" w:line="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In addition, the FDA has authorized the state of Florida to develop Section 804 Importation Programs to import certain prescription drugs from Canada for a limited period time to help reduce drug costs, provided that Florida’s Agency for Health Care Administration meets the requirements set forth by the FDA. Other states may follow Florida.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21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19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74" w:lineRule="exact"/>
        <w:rPr>
          <w:sz w:val="20"/>
          <w:szCs w:val="20"/>
          <w:color w:val="auto"/>
        </w:rPr>
      </w:pPr>
    </w:p>
    <w:p>
      <w:pPr>
        <w:ind w:left="1100" w:right="120" w:hanging="444"/>
        <w:spacing w:after="0" w:line="262"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federal AKS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68" w:lineRule="exact"/>
        <w:rPr>
          <w:rFonts w:ascii="Arial" w:cs="Arial" w:eastAsia="Arial" w:hAnsi="Arial"/>
          <w:sz w:val="18"/>
          <w:szCs w:val="18"/>
          <w:color w:val="auto"/>
        </w:rPr>
      </w:pPr>
    </w:p>
    <w:p>
      <w:pPr>
        <w:ind w:left="1100" w:hanging="444"/>
        <w:spacing w:after="0" w:line="262"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FCA,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68" w:lineRule="exact"/>
        <w:rPr>
          <w:rFonts w:ascii="Arial" w:cs="Arial" w:eastAsia="Arial" w:hAnsi="Arial"/>
          <w:sz w:val="18"/>
          <w:szCs w:val="18"/>
          <w:color w:val="auto"/>
        </w:rPr>
      </w:pPr>
    </w:p>
    <w:p>
      <w:pPr>
        <w:ind w:left="1100" w:right="520" w:hanging="444"/>
        <w:spacing w:after="0" w:line="287"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federal HIPAA, prohibits, among other things, executing or attempting to execute a scheme to defraud any healthcare benefit program or making false statements relating to healthcare matters;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00" w:right="240" w:hanging="444"/>
        <w:spacing w:after="0" w:line="259" w:lineRule="auto"/>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spacing w:after="0" w:line="71" w:lineRule="exact"/>
        <w:rPr>
          <w:rFonts w:ascii="Arial" w:cs="Arial" w:eastAsia="Arial" w:hAnsi="Arial"/>
          <w:sz w:val="18"/>
          <w:szCs w:val="18"/>
          <w:color w:val="auto"/>
        </w:rPr>
      </w:pPr>
    </w:p>
    <w:p>
      <w:pPr>
        <w:ind w:left="1100" w:right="240" w:hanging="444"/>
        <w:spacing w:after="0" w:line="257" w:lineRule="auto"/>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covered recipients, including physicians (defined to include doctors, dentists, optometrists, podiatrists and chiropractors), certain non-physician healthcare providers (such as physician assistants and nurse practitioners), and teaching hospitals, as well as information regarding ownership and investment interests held by physicians and their immediate family members; and</w:t>
      </w:r>
    </w:p>
    <w:p>
      <w:pPr>
        <w:spacing w:after="0" w:line="74" w:lineRule="exact"/>
        <w:rPr>
          <w:rFonts w:ascii="Arial" w:cs="Arial" w:eastAsia="Arial" w:hAnsi="Arial"/>
          <w:sz w:val="18"/>
          <w:szCs w:val="18"/>
          <w:color w:val="auto"/>
        </w:rPr>
      </w:pPr>
    </w:p>
    <w:p>
      <w:pPr>
        <w:ind w:left="1100" w:hanging="444"/>
        <w:spacing w:after="0" w:line="254" w:lineRule="auto"/>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(such as Washington’s My Health, My Data Act, which, among other things, provides for a private right of action), many of which differ from each other in significant ways and often are not preempted by HIPAA, thus complicating compliance efforts.</w:t>
      </w:r>
    </w:p>
    <w:p>
      <w:pPr>
        <w:spacing w:after="0" w:line="7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19" w:lineRule="exact"/>
        <w:rPr>
          <w:sz w:val="20"/>
          <w:szCs w:val="20"/>
          <w:color w:val="auto"/>
        </w:rPr>
      </w:pPr>
    </w:p>
    <w:p>
      <w:pPr>
        <w:ind w:right="860"/>
        <w:spacing w:after="0" w:line="294" w:lineRule="auto"/>
        <w:rPr>
          <w:sz w:val="20"/>
          <w:szCs w:val="20"/>
          <w:color w:val="auto"/>
        </w:rPr>
      </w:pPr>
      <w:r>
        <w:rPr>
          <w:rFonts w:ascii="Arial" w:cs="Arial" w:eastAsia="Arial" w:hAnsi="Arial"/>
          <w:sz w:val="18"/>
          <w:szCs w:val="18"/>
          <w:b w:val="1"/>
          <w:bCs w:val="1"/>
          <w:i w:val="1"/>
          <w:iCs w:val="1"/>
          <w:color w:val="auto"/>
        </w:rPr>
        <w:t>We are subject to U.S. and foreign laws regarding privacy, data protection, and cybersecurity that could entail substantial compliance costs, while the failure to comply could subject us to significant liability.</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Privacy, data protection, and cybersecurity have become significant issues in the U.S., Europe, and other jurisdictions where we conduct or may in the future conduct our operations. The regulatory framework for the collection, use, safeguarding, sharing, transfer, and other processing of health and other personal information is rapidly evolving worldwide and is likely to remain in flux for the foreseeable future. The scope and interpretation of the laws that are or may be applicable to us are often uncertain, subject to differing interpretations, and may be inconsistent among different jurisdictions.</w:t>
      </w:r>
    </w:p>
    <w:p>
      <w:pPr>
        <w:spacing w:after="0" w:line="2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U.S., HIPAA, as amended by the HITECH Act, imposes on covered entities certain requirements relating to the privacy, security, and transmission of individually identifiable health information. The legislation also increased the civil and criminal penalties that may be assessed for violations and gave state attorneys general the authority to file civil actions in federal courts to enforce the HIPAA rules. In addition, for clinical trials conducted in the U.S., any personal information that is collected is further regulated by the Federal Policy for the Protection of Human Subjects. Privacy laws are also being enacted or considered at the state level, including significant privacy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legislation in California, the California Consumer Privacy Act, as amended and supplemented by the California Privacy Rights Act (the CCPA). Numerous other states have proposed, and in many cases enacted, laws and regulations addressing privacy and cybersecurity. Many of these are general privacy statutes similar to the CCPA. While these laws provide for certain exceptions for protected health information subject to HIPAA and clinical trial regulations, these and other state privacy laws may impact our business activities, and there continues to be uncertainty about how these laws will be interpreted and enforced. Other states have passed privacy legislation, including general privacy legislation similar to the CCPA, and legislation such as Washington’s My Health, My Data Act, that also may impact our business activities, in the future and additional states are evaluating similar legislation.</w:t>
      </w: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event we enroll subjects in clinical trials in the European Union (EU) or other jurisdictions, or otherwise acquire or process personal data of individuals in those jurisdictions, we may be subject to additional restrictions and obligations relating to the collection, use, storage, transfer, and other processing of this data. In Europe, the EU and the United Kingdom General Data Protection Regulations (respectively, the GDPR and the UK GDPR, together the GDPR) each impose strict requirements around the processing of personal data: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Other countries outside of Europe and the United Kingdom have enacted or are considering enacting similar comprehensive data privacy and security laws and regulations, which could increase the cost and complexity of operating our business.</w:t>
      </w:r>
    </w:p>
    <w:p>
      <w:pPr>
        <w:spacing w:after="0" w:line="2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ordinary course of business, we may transfer personal data from Europe and other jurisdictions to the U.S. or other countries. Europe and other jurisdictions have enacted laws requiring data to be localized or limiting the transfer of personal data to other countries. The European Economic Area (EEA) and the United Kingdom each restricts the transfer of personal data to the United States and other countries whose privacy laws it generally believes are inadequate. Other jurisdictions may adopt similarly stringent interpretations of their data localization and cross-border data transfer laws. Certain mechanisms may be used to transfer personal data from the EEA and United Kingdom to the United States in compliance with law, such as the European Commission’s Standard Contractual Clauses, the United Kingdom’s International Data Transfer Agreement and United Kingdom Transfer Addendum, and the E.U.-U.S. Data Privacy Framework and the United Kingdom’s Extension to such framework (which allows for transfers for relevant U.S.-based organizations who self-certify compliance and participate in the relevant framework and/or extension), such mechanisms are subject to potential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21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may need to take additional steps, such as new contractual negotiations or modifications to our policies or practices relating to cross-border transfers of personal data, to comply with these restrictions and obligations. More generally, laws and regulations governing privacy and data protection exist in many other countries around the world, and these laws (which are evolving and expanding) create complicated and potentially inconsistent obligations that may impact our business.</w:t>
      </w:r>
    </w:p>
    <w:p>
      <w:pPr>
        <w:spacing w:after="0" w:line="20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increasing number, complexity, and potential inconsistency of current and future laws and regulations relating to privacy, data protection, and cybersecurity in the U.S. and other countries make our compliance obligations more difficult and costly. This is particularly true with respect to healthcare data or other personal information acquired as a result of our research activities and clinical trials. More recently, the Department of Justice recently issued a final rule which took effect in April 2025 that places limitations, and in some cases prohibitions, on certain transfers of sensitive personal data to data to business partners located in China or with other specified links to China (and other designated countries). These rules also may broadly require us to extract promises from other third-party service providers that they will not transfer data we share with them onward to parties linked to countries of</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concern. If we fail to comply with applicable laws, regulations, or other actual or asserted obligations relating to privacy, data protection or cybersecurity, or experience a security breach or incident – or if a third party with whom we share personal information or who processes such information for us fails to comply with applicable actual or asserted obligations or experiences a security breach or incident – or if any of these is reported or perceived to have occurred, it could lead to government investigations, enforcement actions, and other proceedings, as well as civil claims and litigation against us. We could incur substantial costs to defend against any such claims or proceedings and may also be held liable for significant fines, penalties, and monetary judgments. Any of the foregoing could have a material adverse effect on our business, results of operations, reputation, and prospects, including but not limited to: loss of customers; interruptions or stoppages in our business operations (including clinical trials);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14" w:lineRule="exact"/>
        <w:rPr>
          <w:sz w:val="20"/>
          <w:szCs w:val="20"/>
          <w:color w:val="auto"/>
        </w:rPr>
      </w:pPr>
    </w:p>
    <w:p>
      <w:pPr>
        <w:ind w:right="720"/>
        <w:spacing w:after="0" w:line="294" w:lineRule="auto"/>
        <w:rPr>
          <w:sz w:val="20"/>
          <w:szCs w:val="20"/>
          <w:color w:val="auto"/>
        </w:rPr>
      </w:pPr>
      <w:r>
        <w:rPr>
          <w:rFonts w:ascii="Arial" w:cs="Arial" w:eastAsia="Arial" w:hAnsi="Arial"/>
          <w:sz w:val="18"/>
          <w:szCs w:val="18"/>
          <w:b w:val="1"/>
          <w:bCs w:val="1"/>
          <w:i w:val="1"/>
          <w:iCs w:val="1"/>
          <w:color w:val="auto"/>
        </w:rPr>
        <w:t>Regulatory and legislative developments related to the use of AI could adversely affect our use of such technologies in our products, services, and business.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AI throughout our business, including in our drug discovery processes and technology. As the regulatory framework for AI (including generative AI) evolves, our business, financial condition and results of operations may be adversely affected. The regulatory framework for AI and similar technologies is changing rapidly. It is possible that new laws and regulations will be adopted in the United States and in non-U.S. jurisdictions, or that existing laws and regulations may be interpreted in ways that would affect the operation of our drug discovery platform and data analytics and the way in which we use AI and similar technologies. We may not be able to adequately anticipate or respond to these evolving laws and regulations, and we may need to expend additional resources to adjust our offerings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example, in Europe, the European Union’s Artificial Intelligence Act (AI Act) entered into force on August 1, 2024. The AI Act establishes a risk-based governance framework for regulating high-risk AI systems operating in or being used by the EU market. The AI Act could impact our products, business, and use of AI, even if we do not have a direct presence in the EU. This framework categorizes AI systems based on the risks associated with such AI systems’ intended purposes as creating “unacceptable”, “high” or “limited” risks. While the AI Act has not yet been enforced, there is a risk that our current or future AI-powered software or applications may be categorized as “high” risk or “limited” risk, obligating us to comply with the applicable requirements of the AI Act, which may impose additional costs on us, increase our risk of liability, or adversely affect our business. For example, “high” risk AI systems are required, amongst other things, to implement and maintain certain risk and quality management systems, conduct certain conformity and risk assessments, use appropriate data governance and management practices, including in development and training, and meet certain standards related to testing, technical robustness, transparency, human oversight, and cybersecurity. Even if our AI systems are not categorized as “high” risk we may be subject to additional transparency and other obligations for “low” risk AI system providers. The AI Act sets forth certain penalties, including fines of the greater of EUR 35 million or 7% of worldwide annual turnover (as defined in the AI Act) for the prior year for violations related to offering prohibited AI-systems or data governance, fines of the greater of EUR 15 million or 3% of worldwide annual turnover for the prior year for violations related to the requirements for “high” risk AI systems, and fines of the greater of EUR 7.5 million or 1.5% of worldwide annual turnover for the prior year for violations related to supplying incorrect, incomplete or misleading information to the EU and member state authorities. The AI Act’s regulatory framework is expected to have a material impact on the way AI is regulated in the EU and across the world. Other jurisdictions also have proposed, and in certain cases enacted, laws and regulations addressing the use and development of AI. For example, in the United States, numerous states have proposed or have enacted laws addressing these matters, and in the United Kingdom, the government has published a white paper calling for existing regulators to implement certain specific principles to guide and inform the responsible development and use of AI. The AI Act and other evolving laws and regulations addressing AI, together with developing guidance and/or decisions in this area, may affect our use of AI and our ability to provide and to improve our services, require additional compliance measures and changes to our operations and processes, result in increased compliance costs and potential increases in civil claims against us, and could adversely affect our business, financial condition and results of operations.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80"/>
        <w:spacing w:after="0" w:line="272" w:lineRule="auto"/>
        <w:rPr>
          <w:sz w:val="20"/>
          <w:szCs w:val="20"/>
          <w:color w:val="auto"/>
        </w:rPr>
      </w:pPr>
      <w:r>
        <w:rPr>
          <w:rFonts w:ascii="Arial" w:cs="Arial" w:eastAsia="Arial" w:hAnsi="Arial"/>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laws, which could cause significant liability for us and harm our reputation.</w:t>
      </w:r>
    </w:p>
    <w:p>
      <w:pPr>
        <w:spacing w:after="0" w:line="18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are exposed to the risk of fraud or other misconduct by our employees, independent contractors, CROs, consultants, and vendors. Misconduct by these parties could include intentional, reckless, or negligent conduct that causes us to fail to comply with, among other things, FDA regulations or similar regulations of comparable foreign regulatory authorities, drug manufacturing standards, and healthcare fraud and abuse laws. Such misconduct could also involve the improper use of information obtained in the course of clinical trials, as well as violations of HIPAA and other laws relating to privacy, data protection and cybersecurity in the U.S and foreign jurisdictions, including the GDPR. We are also exposed to risks in connection with potential insider trading violations by employees or others affiliated with us. It is not always possible to identify and deter employee or other individual misconduct. The precautions we take to detect and prevent this activity may not be effective in controlling unknown or unmanaged risks or losses, or in protecting us from governmental investigations or other actions or lawsuits stemming from noncompliance with applicable laws, standards, regulations, or codes of conduct. If any such actions are instituted against us, whether with or without merit, and we are not successful in defending ourselves or asserting our rights, they may result in damages, fines, and other sanctions that could materially and adversely affect our business, results of operations, and reputation.</w:t>
      </w:r>
    </w:p>
    <w:p>
      <w:pPr>
        <w:spacing w:after="0" w:line="20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are exposed to the risk of fraud or other misconduct by our employees, independent contractors, CROs, consultants, and vendors. Misconduct by these parties could include intentional, reckless, and/or negligent conduct that causes us to fail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foreign jurisdictions, including the GDPR. We are also exposed to risks in connection with any insider trading violations by employees or others affiliated with us, including inadvertent violations such as a sale of pledged shares by a lender when the pledgor is in possession of material nonpublic information.</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Additionally, we are subject to the risk that a person could allege such fraud or other misconduct, even if none occurred and our employees may, from time to time, bring lawsuits against us for employment issues, including injury, discrimination, wage and hour disputes, sexual harassment, hostile work environment, or other employment issues.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results of operations, financial condition, reputation, and prospects.</w:t>
      </w:r>
    </w:p>
    <w:p>
      <w:pPr>
        <w:spacing w:after="0" w:line="214"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Climate change-related risks and uncertainties and legal or regulatory responses to climate change could negatively impact our results of operations, financial condition and/or reputation.</w:t>
      </w:r>
    </w:p>
    <w:p>
      <w:pPr>
        <w:spacing w:after="0" w:line="16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are subject to increasing climate-related risks and uncertainties, many of which are outside of our control. Climate change may result in more frequent severe weather events, potential changes in precipitation patterns, and extreme variability in weather patterns, which can disrupt our operations as well as those of our vendors, suppliers, and collaborators.</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transition to lower greenhouse gas emissions technology, the effects of carbon pricing, and changes in public sentiment, regulations, taxes, public mandates, or requirements and increases in climate-related lawsuits, insurance premiums, and implementation of more robust disaster recovery and business continuity plans could increase costs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to maintain or resume our operations or achieve any sustainability commitments we make, which would negatively impact our results of operations.</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reviewing our impact on climate change and determining if it is economically feasible for us to be carbon neutral by 2030. We are also working on other environmental, social and governance goals. Execution and achievement of any future commitments or goals are subject to risks and uncertainties. Given the focus on sustainable investing and corporate and social responsibility, if we fail to make a climate change commitment by 2030 and adopt policies and practices to enhance environmental, social and governance initiatives, our reputation and our customer and other stakeholder relationships could be negatively impacted and it may be more difficult for us to compete effectively or gain access to financing on acceptable terms when needed, which would have an adverse effect on our results of operations, financial condition, reputation and prospects.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54"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Our future success depends on our ability to retain key executives and experienced scientists or technologists, and to attract, retain, and motivate qualified personnel.</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highly dependent on the research and development, clinical, and business development expertise of our executive, management, scientific, technological, and clinical teams. Although we have entered into employment agreements with our executive officers, certain officers have, and any of them may in the future terminate their employment with us at any time or may not be able to perform the services we need in the future. The loss of the services of any of our executive officers, other key employees or qualified consultants could impede the achievement of our research, development and commercialization or other business objectives in our drug discovery business or harm our ability to successfully implement our business strategy. Replacing any executive officers and key employees may be difficult and may take an extended period of time because of the limited number of individuals with the breadth of skills and experience required to successfully develop, gain regulatory approval of, and commercialize products in the life sciences industry. In addition, our consultants and advisors may have commitments or non-competition obligations under consulting or advisory contracts with other entities that may limit their availability to us.</w:t>
      </w:r>
    </w:p>
    <w:p>
      <w:pPr>
        <w:spacing w:after="0" w:line="21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is also critical to our success. For example, we rely on our employees to help operate and repair our equipment, and on consultants and advisors, including scientific and clinical advisors, to assist us in formulating our research and development and commercialization strategies. Because of the specialized scientific nature of our business, we are highly dependent upon attracting and retaining qualified scientific, technical, and managerial personnel. While we strive to reduce the impact of the potential loss of existing employees by having an established organizational talent review process that identifies successors and potential talent needs, there is still significant competition for qualified personnel in the pharmaceutical, biotechnology fields and technology fields. Therefore, we may not be able to attract and retain the qualified personnel necessary for the continued development of our business. The loss of the services of existing personnel, as well as the failure to recruit and train additional key scientific, technical, and managerial personnel in a timely manner, could harm our business, results of operations, financial condition, and prospects. We may also experience difficulties recruiting scientific and clinical personnel from universities and research institutions.</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increases in salaries and wages, extensions of personal and other leave policies, other governmental regulations affecting labor costs, and a diminishing pool of potential qualified personnel when the unemployment rate falls could significantly increase our labor costs and make it more difficult to retain, attract, and motivate qualified personnel, which could materially adversely affect our business, financial performance, and cash reserves. As a result of inflationary pressures and other initiatives, our net losses may increase and we may need to raise capital sooner than otherwise anticipated. Because we employ a large workforce, any salary or wage increase and/or expansion of benefits mandates will have a particularly significant impact on our labor costs. Our vendors, contractors and business partners are similarly impacted by wage and benefit cost inflation, and many have or will increase their price for goods, construction and services in order to offset their increasing labor costs. If one or more of our clinical trials are unsuccessful, it may become more challenging to recruit and retain qualified scientific personnel.</w:t>
      </w:r>
    </w:p>
    <w:p>
      <w:pPr>
        <w:spacing w:after="0" w:line="208"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We currently have operations in the United States (Salt Lake City and New York), The United Kingdom (London and Milton Park) and Canada (Montreal). While these locations are in or near major biotechnology and technology hubs,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face intense competition in these markets for talent. In addition, many of the other pharmaceutical, biotechnology or technology companies that we compete against for qualified personnel have greater financial and other resources, different risk profiles, and a longer history in the industry than we do. They also may provide more diverse opportunities, better chances for career advancement and more attractive compensation packages. If we are unable to compete effectively in these specific geographic markets or if we are unable to recruit personnel willing to relocate to them, our ability to hire qualified personnel will be limited.</w:t>
      </w:r>
    </w:p>
    <w:p>
      <w:pPr>
        <w:spacing w:after="0" w:line="206"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If we are unable to hire, retain, and motivate highly qualified senior executives and personnel, the rate and success with which we can discover and develop drug candidates, our ability to pursue our growth strategy, and our business may be adversely impacted.</w:t>
      </w:r>
    </w:p>
    <w:p>
      <w:pPr>
        <w:spacing w:after="0" w:line="182" w:lineRule="exact"/>
        <w:rPr>
          <w:sz w:val="20"/>
          <w:szCs w:val="20"/>
          <w:color w:val="auto"/>
        </w:rPr>
      </w:pPr>
    </w:p>
    <w:p>
      <w:pPr>
        <w:ind w:right="580"/>
        <w:spacing w:after="0" w:line="294" w:lineRule="auto"/>
        <w:rPr>
          <w:sz w:val="20"/>
          <w:szCs w:val="20"/>
          <w:color w:val="auto"/>
        </w:rPr>
      </w:pPr>
      <w:r>
        <w:rPr>
          <w:rFonts w:ascii="Arial" w:cs="Arial" w:eastAsia="Arial" w:hAnsi="Arial"/>
          <w:sz w:val="18"/>
          <w:szCs w:val="18"/>
          <w:b w:val="1"/>
          <w:bCs w:val="1"/>
          <w:i w:val="1"/>
          <w:iCs w:val="1"/>
          <w:color w:val="auto"/>
        </w:rPr>
        <w:t>If we achieve success in our clinical trials, we would need to scale our operations to support commercialization, and we may encounter difficulties in managing this growth.</w:t>
      </w:r>
    </w:p>
    <w:p>
      <w:pPr>
        <w:spacing w:after="0" w:line="166"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While we do not anticipate significant growth in our workforce or the scope of our operations in the near-term, our long-term strategy depends on the successful development and subsequent commercialization of our product candidates. If we achieve positive clinical results, we expect to experience a period of rapid scaling to build the necessary development, regulatory, sales, marketing, and distribution capabilities. To manage this future growth, we must continue to improve our managerial, operational, and financial systems. Shifting from a research-focused organization to a commercial-stage company presents significant operational and cultural challenges. We may not be able to effectively manage this future expansion or recruit and train the additional qualified personnel required for commercialization. If we are unable to manage this long-term scaling effectively, our ability to generate revenue from our product candidates would be compromised.</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To manage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11"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222222"/>
        </w:rPr>
        <w:t>We may acquire additional businesses, products, form strategic alliances, or create joint ventures and we may not realize the benefits of such transactions.</w:t>
      </w:r>
    </w:p>
    <w:p>
      <w:pPr>
        <w:spacing w:after="0" w:line="16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ensure that, following any such acquisition, we will achieve the expected synergies to justify the transaction.</w:t>
      </w:r>
    </w:p>
    <w:p>
      <w:pPr>
        <w:spacing w:after="0" w:line="211"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222222"/>
        </w:rPr>
        <w:t>We have recently undertaken a cost reduction plan and may do so again in the future. The assumptions underlying these activities may prove to be inaccurate, or we may fail to achieve the expected benefits therefrom.</w:t>
      </w:r>
    </w:p>
    <w:p>
      <w:pPr>
        <w:spacing w:after="0" w:line="16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part of our strategic positioning to reduce costs and adapt to regulatory policy uncertainty, we announced in June 2025 a cost reduction plan to promote the long-term sustainability and scalability of the Company. As part of this plan, we have reduced our workforce. This reduction in force, and any other future reductions, and the attrition that may occur following them, result in the loss of institutional knowledge and expertise and the reallocation and combination of certain roles and responsibilities across the organization, all of which could adversely affect our operations. These actions and other additional measures we might take to reduce costs could strain our workforce, divert management attention, yield attrition beyond our intended reduction in force, reduce employee morale, cause us to delay, limit, reduce or eliminate certain development plans or otherwise interfere with our ability to operate and grow our business effectively, each of which could have an adverse impact on our business, operating results and financial condition. We may not complete the current or any cost reduction plan and reorganization 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anticipated timetable, and even if successfully completed, we may not achieve the anticipated cost savings, operating efficiencies or other benefits of such activities.</w:t>
      </w:r>
    </w:p>
    <w:p>
      <w:pPr>
        <w:spacing w:after="0" w:line="182"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Increased labor costs, potential organization of our workforce, employee strikes and other labor-related disruption may adversely affect our operations.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None of our employees are represented by a labor union or, other than as set out below, subject to a collective bargaining agreement. We provide no assurance that our labor costs going forward will remain competitive for various reasons, such as: (i) our workforce may organize in the future and labor agreements may be put in place that have significantly higher labor rates and company obligations; (ii) our competitors may maintain significantly lower labor costs, thereby reducing or eliminating our comparative advantages vis-à-vis one or more of our competitors or the larger industry; and (iii) our labor costs may increase in connection with our growth.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CLASS A COMMON STOCK</w:t>
      </w:r>
    </w:p>
    <w:p>
      <w:pPr>
        <w:spacing w:after="0" w:line="254" w:lineRule="exact"/>
        <w:rPr>
          <w:sz w:val="20"/>
          <w:szCs w:val="20"/>
          <w:color w:val="auto"/>
        </w:rPr>
      </w:pPr>
    </w:p>
    <w:p>
      <w:pPr>
        <w:jc w:val="both"/>
        <w:ind w:right="340"/>
        <w:spacing w:after="0" w:line="265" w:lineRule="auto"/>
        <w:rPr>
          <w:sz w:val="20"/>
          <w:szCs w:val="20"/>
          <w:color w:val="auto"/>
        </w:rPr>
      </w:pPr>
      <w:r>
        <w:rPr>
          <w:rFonts w:ascii="Arial" w:cs="Arial" w:eastAsia="Arial" w:hAnsi="Arial"/>
          <w:sz w:val="18"/>
          <w:szCs w:val="18"/>
          <w:b w:val="1"/>
          <w:bCs w:val="1"/>
          <w:i w:val="1"/>
          <w:iCs w:val="1"/>
          <w:color w:val="auto"/>
        </w:rPr>
        <w:t>The dual-class structure of our common stock affects the concentration of voting power, which limits our Class A common stockholders’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transactions.</w:t>
      </w:r>
    </w:p>
    <w:p>
      <w:pPr>
        <w:spacing w:after="0" w:line="19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Class A common stock, the class of our common stock listed on The Nasdaq Stock Market, has one vote per share, and our Class B common stock has 10 votes per share. As of December 31, 2025, Dr. Gibson, our former CEO and Chair of the board of directors, and his affiliates held 159,341 shares of our Class A common stock and all of the issued and outstanding shares of our Class B common stock, representing approximately 9.6% of the voting power of our outstanding capital stock, which voting power may increase over time as Dr. Gibson exercises or vests in equity awards. If all such equity awards held by Dr. Gibson had been exercised or vested and exchanged for shares of Class B common stock as of December 31, 2025, Dr. Gibson and his affiliates would hold approximately 10.8% of the voting power of our outstanding capital stock.</w:t>
      </w:r>
    </w:p>
    <w:p>
      <w:pPr>
        <w:spacing w:after="0" w:line="21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a result, Dr. Gibson may be able to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 Dr. Gibson may have interests that differ from our Class A common stockholders and may vote in a way with which our Class A stockholders disagree and which may be adverse to our Class A stockholders’ interests. The concentrated control of Dr. Gibson may have the effect of delaying, preventing, or deterring a change in control of our company, could deprive our stockholders of an opportunity to receive a premium for their capital stock as part of a sale in our company, and, thus, may affect the market price of our Class A common stock.</w:t>
      </w:r>
    </w:p>
    <w:p>
      <w:pPr>
        <w:spacing w:after="0" w:line="21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Future transfers by the holders of Class B common stock will generally result in those shares automatically converting into shares of Class A common stock, subject to limited exceptions, such as certain transfers for estate planning. Transfers or exchanges of shares of Class B common stock may result in the issuance of additional shares of Class A common stock and such issuances will be dilutive to holders of our Class A common stock. In addition, each share of Class B common stock will convert automatically into one share of Class A common stock upon the earliest of (i) April 16, 2028; (ii) the date specified by written consent or agreement of the holders of 66 2/3% of our then outstanding shares of Class B common stock; (iii) nine months after Dr. Gibson ceases to hold any positions as an officer or director with the Company; or (iv) nine months after the death or disability of Dr. Gibson. We refer to the date on which such final conversion of all outstanding shares of Class B common stock pursuant to the terms of amended and restated certificate of incorporation occurs as the Final Conversion Date.</w:t>
      </w:r>
    </w:p>
    <w:p>
      <w:pPr>
        <w:spacing w:after="0" w:line="210" w:lineRule="exact"/>
        <w:rPr>
          <w:sz w:val="20"/>
          <w:szCs w:val="20"/>
          <w:color w:val="auto"/>
        </w:rPr>
      </w:pPr>
    </w:p>
    <w:p>
      <w:pPr>
        <w:ind w:right="760"/>
        <w:spacing w:after="0" w:line="294"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6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As of December 31, 2025, our executive officers, directors, holders of 5% or more of our capital stock, and their respective affiliates, including Dr. Gibson and his affiliates, beneficially owned shares representing more than 20.2% of our voting power. These stockholders, acting together, may be able to impact matters requiring stockholder approval, including the elections of directors; amendments of our organizational documents; and approval of any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merger, sale of all or substantially all of our assets, or other major corporate transaction. This beneficial ownership concentration may also have the effect of deterring, delaying, or preventing unsolicited acquisition proposals or offers for our capital stock that other stockholders may feel are in their best interest. The interests of this group of stockholders may not always coincide with each other’s interests or the interests of other stockholders, and this group may act in a manner that advances its best interests and not necessarily those of other stockholders generally, including seeking a premium value for their Class A common stock, which might therefore affect the market price for our Class A common stock.</w:t>
      </w:r>
    </w:p>
    <w:p>
      <w:pPr>
        <w:spacing w:after="0" w:line="225" w:lineRule="exact"/>
        <w:rPr>
          <w:sz w:val="20"/>
          <w:szCs w:val="20"/>
          <w:color w:val="auto"/>
        </w:rPr>
      </w:pPr>
    </w:p>
    <w:p>
      <w:pPr>
        <w:ind w:right="400"/>
        <w:spacing w:after="0" w:line="341" w:lineRule="auto"/>
        <w:rPr>
          <w:sz w:val="20"/>
          <w:szCs w:val="20"/>
          <w:color w:val="auto"/>
        </w:rPr>
      </w:pPr>
      <w:r>
        <w:rPr>
          <w:rFonts w:ascii="Arial" w:cs="Arial" w:eastAsia="Arial" w:hAnsi="Arial"/>
          <w:sz w:val="18"/>
          <w:szCs w:val="18"/>
          <w:b w:val="1"/>
          <w:bCs w:val="1"/>
          <w:i w:val="1"/>
          <w:iCs w:val="1"/>
          <w:color w:val="auto"/>
        </w:rPr>
        <w:t>The price of our Class A common stock may be volatile and fluctuate substantially, which could result in substantial losses for holders of our common stock.</w:t>
      </w:r>
    </w:p>
    <w:p>
      <w:pPr>
        <w:spacing w:after="0" w:line="152"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The trading price of our Class A common stock has been volatile since our initial public offering and it is likely that the price will fluctuate substantially in the future. The stock price may be influenced by many factors, a number of which are beyond our control, which factors include but are not limited to the following:</w:t>
      </w:r>
    </w:p>
    <w:p>
      <w:pPr>
        <w:spacing w:after="0" w:line="211" w:lineRule="exact"/>
        <w:rPr>
          <w:sz w:val="20"/>
          <w:szCs w:val="20"/>
          <w:color w:val="auto"/>
        </w:rPr>
      </w:pPr>
    </w:p>
    <w:p>
      <w:pPr>
        <w:ind w:left="380" w:hanging="156"/>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36" w:lineRule="exact"/>
        <w:rPr>
          <w:rFonts w:ascii="Arial" w:cs="Arial" w:eastAsia="Arial" w:hAnsi="Arial"/>
          <w:sz w:val="18"/>
          <w:szCs w:val="18"/>
          <w:color w:val="auto"/>
        </w:rPr>
      </w:pPr>
    </w:p>
    <w:p>
      <w:pPr>
        <w:ind w:left="380" w:hanging="156"/>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49" w:lineRule="exact"/>
        <w:rPr>
          <w:rFonts w:ascii="Arial" w:cs="Arial" w:eastAsia="Arial" w:hAnsi="Arial"/>
          <w:sz w:val="18"/>
          <w:szCs w:val="18"/>
          <w:color w:val="auto"/>
        </w:rPr>
      </w:pPr>
    </w:p>
    <w:p>
      <w:pPr>
        <w:ind w:left="380" w:hanging="156"/>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36" w:lineRule="exact"/>
        <w:rPr>
          <w:rFonts w:ascii="Arial" w:cs="Arial" w:eastAsia="Arial" w:hAnsi="Arial"/>
          <w:sz w:val="18"/>
          <w:szCs w:val="18"/>
          <w:color w:val="auto"/>
        </w:rPr>
      </w:pPr>
    </w:p>
    <w:p>
      <w:pPr>
        <w:ind w:left="380" w:hanging="156"/>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49" w:lineRule="exact"/>
        <w:rPr>
          <w:rFonts w:ascii="Arial" w:cs="Arial" w:eastAsia="Arial" w:hAnsi="Arial"/>
          <w:sz w:val="18"/>
          <w:szCs w:val="18"/>
          <w:color w:val="auto"/>
        </w:rPr>
      </w:pPr>
    </w:p>
    <w:p>
      <w:pPr>
        <w:ind w:left="380" w:hanging="156"/>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36" w:lineRule="exact"/>
        <w:rPr>
          <w:rFonts w:ascii="Arial" w:cs="Arial" w:eastAsia="Arial" w:hAnsi="Arial"/>
          <w:sz w:val="18"/>
          <w:szCs w:val="18"/>
          <w:color w:val="auto"/>
        </w:rPr>
      </w:pPr>
    </w:p>
    <w:p>
      <w:pPr>
        <w:ind w:left="380" w:hanging="156"/>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49" w:lineRule="exact"/>
        <w:rPr>
          <w:rFonts w:ascii="Arial" w:cs="Arial" w:eastAsia="Arial" w:hAnsi="Arial"/>
          <w:sz w:val="18"/>
          <w:szCs w:val="18"/>
          <w:color w:val="auto"/>
        </w:rPr>
      </w:pPr>
    </w:p>
    <w:p>
      <w:pPr>
        <w:ind w:left="380" w:hanging="156"/>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drug products;</w:t>
      </w:r>
    </w:p>
    <w:p>
      <w:pPr>
        <w:spacing w:after="0" w:line="36" w:lineRule="exact"/>
        <w:rPr>
          <w:rFonts w:ascii="Arial" w:cs="Arial" w:eastAsia="Arial" w:hAnsi="Arial"/>
          <w:sz w:val="18"/>
          <w:szCs w:val="18"/>
          <w:color w:val="auto"/>
        </w:rPr>
      </w:pPr>
    </w:p>
    <w:p>
      <w:pPr>
        <w:ind w:left="380" w:hanging="156"/>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49" w:lineRule="exact"/>
        <w:rPr>
          <w:rFonts w:ascii="Arial" w:cs="Arial" w:eastAsia="Arial" w:hAnsi="Arial"/>
          <w:sz w:val="18"/>
          <w:szCs w:val="18"/>
          <w:color w:val="auto"/>
        </w:rPr>
      </w:pPr>
    </w:p>
    <w:p>
      <w:pPr>
        <w:ind w:left="380" w:hanging="156"/>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36" w:lineRule="exact"/>
        <w:rPr>
          <w:rFonts w:ascii="Arial" w:cs="Arial" w:eastAsia="Arial" w:hAnsi="Arial"/>
          <w:sz w:val="18"/>
          <w:szCs w:val="18"/>
          <w:color w:val="auto"/>
        </w:rPr>
      </w:pPr>
    </w:p>
    <w:p>
      <w:pPr>
        <w:ind w:left="380" w:hanging="156"/>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49" w:lineRule="exact"/>
        <w:rPr>
          <w:rFonts w:ascii="Arial" w:cs="Arial" w:eastAsia="Arial" w:hAnsi="Arial"/>
          <w:sz w:val="18"/>
          <w:szCs w:val="18"/>
          <w:color w:val="auto"/>
        </w:rPr>
      </w:pPr>
    </w:p>
    <w:p>
      <w:pPr>
        <w:ind w:left="380" w:hanging="156"/>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inflation, general supply chain matters, global political instability, or warfare;</w:t>
      </w:r>
    </w:p>
    <w:p>
      <w:pPr>
        <w:spacing w:after="0" w:line="36" w:lineRule="exact"/>
        <w:rPr>
          <w:rFonts w:ascii="Arial" w:cs="Arial" w:eastAsia="Arial" w:hAnsi="Arial"/>
          <w:sz w:val="18"/>
          <w:szCs w:val="18"/>
          <w:color w:val="auto"/>
        </w:rPr>
      </w:pPr>
    </w:p>
    <w:p>
      <w:pPr>
        <w:ind w:left="380" w:right="240" w:hanging="156"/>
        <w:spacing w:after="0" w:line="289" w:lineRule="auto"/>
        <w:tabs>
          <w:tab w:leader="none" w:pos="375"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performance of the overall stock market and shares of biotechnology companies in particular, as well as general economic conditions; and</w:t>
      </w:r>
    </w:p>
    <w:p>
      <w:pPr>
        <w:spacing w:after="0" w:line="1" w:lineRule="exact"/>
        <w:rPr>
          <w:rFonts w:ascii="Arial" w:cs="Arial" w:eastAsia="Arial" w:hAnsi="Arial"/>
          <w:sz w:val="18"/>
          <w:szCs w:val="18"/>
          <w:color w:val="auto"/>
        </w:rPr>
      </w:pPr>
    </w:p>
    <w:p>
      <w:pPr>
        <w:ind w:left="380" w:hanging="156"/>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7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a result of this volatility, holders of our Class A common stock may not be able to sell their stock at or above the price they originally paid for it, which could result in the loss of a part or all of their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Class A common stock in the public market could cause our stock price to fall.</w:t>
      </w:r>
    </w:p>
    <w:p>
      <w:pPr>
        <w:spacing w:after="0" w:line="2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These sales, or the perception in the market that one or more holders of a large number of shares intend to sell their shares, could cause the market price of our Class A common stock to decline.</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Also, shares of Class A common stock that are either subject to outstanding equity awards or that are reserved for future issuance under our equity compensation plans are eligible for sale in the public market to the extent permitted by the provisions of various vesting schedules and Rule 144 and Rule 701 under the Securities Act. Some holders of shares of our Class A common stock issued and issuable upon conversion of Class B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and may in the future, issue additional securities in connection with any financings, investments, or acquisitions, and the number of shares issued could constitute a material portion of our then-outstanding common stock. For example, we issued shares of Class A common stock in private placement financings in October 2022 and July 2023; in an underwritten public offering in June 2024; and from time-to-time in “at-the-market” offerings, including in February 2026 when we entered into a sales agreement for an at-the-market offering for the sale of up to $300 million in Class A common stock (see “Part II - Item 9B - Other Information” for further details). In addition to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capital raising issuances, in connection with the acquisitions of Cyclica and Valence in May 2023, we issued 12.4 million shares of our Class A common stock or securities convertible or exchangeable into Class A common stock; in November 2024, we issued approximately 102.1 million shares of our Class A common stock in connection with our business combination with Exscientia; and in July and August 2025 we issued an aggregate of 3.9 million shares of our Class A common stock in connection with our purchase of RallyBio Corporation’s 50% membership interest in the ENPP1 joint venture, RE Ventures I, LLC. We have also issued an aggregate of 13.8 million shares of our Class A common stock to Tempus in payment for license fees under the terms of the Tempus Agreement and may issue additional shares in the future under the Tempus Agreement.</w:t>
      </w:r>
    </w:p>
    <w:p>
      <w:pPr>
        <w:spacing w:after="0" w:line="21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sale of a significant number of shares of our Class A common stock under any of the above circumstances, or otherwise, in the public market at any time, or the perception that they may be sold, could have a material adverse effect on the market price of our Class A common stock. In that event, holders of our Class A common stock may not be able to sell their stock at or above the price they originally paid for it, which could result in the loss of part or all of their investment.</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84"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Our amended and restated bylaws provide that the Court of Chancery of the State of Delaware and the federal district courts of the United States of America is the exclusive forums for substantially all disputes between us and our stockholders, which could limit our stockholders’ ability to obtain a favorable judicial forum for disputes with us or our directors, officers or employees.</w:t>
      </w:r>
    </w:p>
    <w:p>
      <w:pPr>
        <w:spacing w:after="0" w:line="198"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91" w:lineRule="exact"/>
        <w:rPr>
          <w:sz w:val="20"/>
          <w:szCs w:val="20"/>
          <w:color w:val="auto"/>
        </w:rPr>
      </w:pPr>
    </w:p>
    <w:p>
      <w:pPr>
        <w:ind w:left="380" w:hanging="156"/>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7" w:lineRule="exact"/>
        <w:rPr>
          <w:rFonts w:ascii="Arial" w:cs="Arial" w:eastAsia="Arial" w:hAnsi="Arial"/>
          <w:sz w:val="18"/>
          <w:szCs w:val="18"/>
          <w:color w:val="auto"/>
        </w:rPr>
      </w:pPr>
    </w:p>
    <w:p>
      <w:pPr>
        <w:ind w:left="380" w:hanging="156"/>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9" w:lineRule="exact"/>
        <w:rPr>
          <w:rFonts w:ascii="Arial" w:cs="Arial" w:eastAsia="Arial" w:hAnsi="Arial"/>
          <w:sz w:val="18"/>
          <w:szCs w:val="18"/>
          <w:color w:val="auto"/>
        </w:rPr>
      </w:pPr>
    </w:p>
    <w:p>
      <w:pPr>
        <w:ind w:left="380" w:right="220" w:hanging="156"/>
        <w:spacing w:after="0" w:line="250" w:lineRule="auto"/>
        <w:tabs>
          <w:tab w:leader="none" w:pos="37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ind w:left="380" w:hanging="156"/>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3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Exchange Act of 1934, as amended (the "Exchange Act") or any other claim for which the U.S. federal courts have exclusive jurisdiction. Our amended and restated bylaws further provide that the federal district courts of the United States of America will be the exclusive forum for resolving any complaint asserting a cause of action arising under the Securities Act.</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and may result in increased costs to stockholders of bringing a claim, each of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prices of our Class A common stock.</w:t>
      </w:r>
    </w:p>
    <w:p>
      <w:pPr>
        <w:spacing w:after="0" w:line="1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prices of our Class A common stock by acting to discourage, delay or prevent a change in control of our company or changes in our management that the stockholders of our company may deem advantageous. These provisions, among other things:</w:t>
      </w:r>
    </w:p>
    <w:p>
      <w:pPr>
        <w:spacing w:after="0" w:line="198" w:lineRule="exact"/>
        <w:rPr>
          <w:sz w:val="20"/>
          <w:szCs w:val="20"/>
          <w:color w:val="auto"/>
        </w:rPr>
      </w:pPr>
    </w:p>
    <w:p>
      <w:pPr>
        <w:ind w:left="380" w:hanging="157"/>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27" w:lineRule="exact"/>
        <w:rPr>
          <w:rFonts w:ascii="Arial" w:cs="Arial" w:eastAsia="Arial" w:hAnsi="Arial"/>
          <w:sz w:val="18"/>
          <w:szCs w:val="18"/>
          <w:color w:val="auto"/>
        </w:rPr>
      </w:pPr>
    </w:p>
    <w:p>
      <w:pPr>
        <w:ind w:left="380" w:hanging="157"/>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9" w:lineRule="exact"/>
        <w:rPr>
          <w:rFonts w:ascii="Arial" w:cs="Arial" w:eastAsia="Arial" w:hAnsi="Arial"/>
          <w:sz w:val="18"/>
          <w:szCs w:val="18"/>
          <w:color w:val="auto"/>
        </w:rPr>
      </w:pPr>
    </w:p>
    <w:p>
      <w:pPr>
        <w:ind w:left="380" w:right="20" w:hanging="157"/>
        <w:spacing w:after="0" w:line="250" w:lineRule="auto"/>
        <w:tabs>
          <w:tab w:leader="none" w:pos="3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ind w:left="380" w:hanging="157"/>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9" w:lineRule="exact"/>
        <w:rPr>
          <w:rFonts w:ascii="Arial" w:cs="Arial" w:eastAsia="Arial" w:hAnsi="Arial"/>
          <w:sz w:val="18"/>
          <w:szCs w:val="18"/>
          <w:color w:val="auto"/>
        </w:rPr>
      </w:pPr>
    </w:p>
    <w:p>
      <w:pPr>
        <w:ind w:left="380" w:hanging="157"/>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9" w:lineRule="exact"/>
        <w:rPr>
          <w:rFonts w:ascii="Arial" w:cs="Arial" w:eastAsia="Arial" w:hAnsi="Arial"/>
          <w:sz w:val="18"/>
          <w:szCs w:val="18"/>
          <w:color w:val="auto"/>
        </w:rPr>
      </w:pPr>
    </w:p>
    <w:p>
      <w:pPr>
        <w:ind w:left="400" w:right="460" w:hanging="177"/>
        <w:spacing w:after="0" w:line="250" w:lineRule="auto"/>
        <w:tabs>
          <w:tab w:leader="none" w:pos="3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ind w:left="380" w:hanging="157"/>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23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DGCL that has the effect of delaying or preventing a change in control could limit the opportunity for our stockholders to receive a premium for their shares of Class A common stock and could also affect the price that some investors are willing to pay for our stock.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any guidance that we provide.</w:t>
      </w:r>
    </w:p>
    <w:p>
      <w:pPr>
        <w:spacing w:after="0" w:line="25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From time to time, we may provide guidance in our quarterly earnings releases, or otherwise, regarding our future performance that represents our management’s estimates as of the date of release. This guidance, which would include forward-looking statements, would be based on projections prepared by our management. Neither our registered public accountants nor any other independent expert or outside party would compile or examine the projections. Accordingly, no such person would express any opinion or any other form of assurance with respect to the projections.</w:t>
      </w:r>
    </w:p>
    <w:p>
      <w:pPr>
        <w:spacing w:after="0" w:line="20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The principal reason that we would release guidance is to provide a basis for our management to discuss our business outlook with analysts and investors. We do not accept any responsibility for any projections or reports published by any such third parties. Guidance is necessarily speculative in nature, and it can be expected that some or all of the assumptions underlying any guidance furnished by us will not materialize or will vary significantly from actual results. Accordingly, our guidance would be only an estimate of what management believes is realizable as of the date of release. Actual results may vary from our guidance and the variations may be material.</w:t>
      </w:r>
    </w:p>
    <w:p>
      <w:pPr>
        <w:spacing w:after="0" w:line="214" w:lineRule="exact"/>
        <w:rPr>
          <w:sz w:val="20"/>
          <w:szCs w:val="20"/>
          <w:color w:val="auto"/>
        </w:rPr>
      </w:pPr>
    </w:p>
    <w:p>
      <w:pPr>
        <w:jc w:val="both"/>
        <w:ind w:right="240"/>
        <w:spacing w:after="0" w:line="272"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a proper and effective system of disclosure controls and internal controls over financial reporting. Any failure to maintain the adequacy of this system and these internal controls may adversely affect investor confidence in our company and, as a result,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subject to the reporting requirements of the Exchange Act,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or submit with the SEC is recorded, processed, summarized, and reported within the time periods specified in SEC rules and forms and that information required to be disclosed in reports we will file or submit under the Exchange Act is accumulated and communicated to our management, including our principal executive and financial officers to allow timely decisions regarding required disclosure.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Our chief financial officer has only been the chief financial officer of a publicly traded company since our initial public offering and our chief executive officer has only been the chief executive officer of a publicly traded company since our initial public offering. Neither has been involved in the long-term operations of a public company.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2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Section 404 of the Sarbanes-Oxley Act, we are required to furnish a report by our management on our internal control over financial reporting. This assessment must include disclosure of any material weaknesses identified by our management in our internal control over financial reporting. If we identify one or more material weaknesses in our internal control over financial reporting, we will be unable to assert that our internal control over financial reporting is effective. For example, in connection with the audit of our consolidated financial statements as of and for the year ended December 31, 2023, our management and auditors identified a material weakness related to the Company’s processes to estimate costs used to calculate revenue related to its revenue license agreement, which was remediated as of December 31, 2025. Further, in connection with the business combination with Exscientia, material weaknesses related to internal controls over financial reporting were identified related to ineffective process and controls, which resulted in an immaterial misstatement to unearned revenue and unearned revenue, non-current in our consolidated financial statements as of and for the year ended December 31, 2024, which remain unremediated as of December 31, 2025 (see “Part II - Item 9A - Controls and Procedures” for further details). If we fail to maintain effective internal controls, we may be unable to produce timely and accurate financial statements, and we may conclude that our internal control over financial reporting is not effective, which could adversely impact our investors’ confidence and our stock price. We cannot assure you that we will be able to remediate such material weaknesses or that there will not be material weaknesses or significant deficiencies in our internal control over financial reporting in the future.</w:t>
      </w:r>
    </w:p>
    <w:p>
      <w:pPr>
        <w:spacing w:after="0" w:line="212"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Any failure to maintain effective disclosure controls and procedures and internal control over financial reporting could severely inhibit our ability to accurately report our financial condition, or results of operations. If at any time we are unable to conclude that our disclosure controls and procedures and internal control over financial reporting are effective, or if our independent registered public accounting firm determines we have a material weakness or significant deficiency in our internal control over financial reporting, or if we are unable to remediate any existing weaknesses or deficiencies in a timely manner or at all, we could lose investor confidence in the accuracy and completeness of our financial reports, the market price of shares of our Class A common stock could decline, and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these material weaknesses, or if we identify additional material weakness in the future or otherwise fail to maintain effective internal controls, we may be unable to produce timely and accurate financial statements, which could adversely impact our investors’ confidence and our stock price.</w:t>
      </w:r>
    </w:p>
    <w:p>
      <w:pPr>
        <w:spacing w:after="0" w:line="19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business combination with Exscientia, material weaknesses related to internal controls over financial reporting were identified related to ineffective process and controls, which resulted in an immaterial misstatement to unearned revenue and unearned revenue, non-current in our consolidated financial statements as of and for the year ended December 31, 2024, which remain unremediated as of December 31, 2025 (see “Part II - Item 9A - Controls and Procedures” for further details).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20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Although we are taking steps to improve our internal control over financial reporting and remediate these material weaknesses, we cannot assure you that the measures we have taken to date will be sufficient to avoid potential future material weaknesses.</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identification of material weaknesses in our internal control over financial reporting, the inability to comply with the requirements of Section 404 of the Sarbanes-Oxley Act, the inability to conclude that our internal control over financial reporting is effective, or the inability of our independent registered public accounting firm to express an opinion that our internal control over financial reporting is effective, could cause investors lose confidence in the accuracy and completeness of our financial reports and the market price of our common stock could be negatively affected. As a result of such failures, we could also become subject to investigations by Nasdaq,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w:t>
      </w:r>
    </w:p>
    <w:p>
      <w:pPr>
        <w:spacing w:after="0" w:line="250"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global political instability, supply chain issues, and inflation have caused significant volatility and uncertainty in U.S. and international markets. Uncertainty in the U.S. regarding the federal government’s debt ceiling and related budgetary matters may also cause volatility and uncertainty in the global markets. A severe or prolonged economic downturn could result in a variety of risks to our business, including weakened demand for our drug candidates and impaired ability to raise additional capital when needed on acceptable terms, if at all. A weak or declining economy could also strain our suppliers or result in supply disruption. Any of the foregoing could harm our business and we cannot anticipate all of the ways in which the current economic climate and financial market conditions could adversely impact our business, results of operations, financial condition, and prospects.</w:t>
      </w:r>
    </w:p>
    <w:p>
      <w:pPr>
        <w:spacing w:after="0" w:line="214" w:lineRule="exact"/>
        <w:rPr>
          <w:sz w:val="20"/>
          <w:szCs w:val="20"/>
          <w:color w:val="auto"/>
        </w:rPr>
      </w:pPr>
    </w:p>
    <w:p>
      <w:pPr>
        <w:ind w:right="520"/>
        <w:spacing w:after="0" w:line="294" w:lineRule="auto"/>
        <w:rPr>
          <w:sz w:val="20"/>
          <w:szCs w:val="20"/>
          <w:color w:val="auto"/>
        </w:rPr>
      </w:pPr>
      <w:r>
        <w:rPr>
          <w:rFonts w:ascii="Arial" w:cs="Arial" w:eastAsia="Arial" w:hAnsi="Arial"/>
          <w:sz w:val="18"/>
          <w:szCs w:val="18"/>
          <w:b w:val="1"/>
          <w:bCs w:val="1"/>
          <w:i w:val="1"/>
          <w:iCs w:val="1"/>
          <w:color w:val="auto"/>
        </w:rPr>
        <w:t>We are subject to the risks of litigation that may arise in the ordinary course of our business, which could be costly and time-consuming to pursue or defend.</w:t>
      </w:r>
    </w:p>
    <w:p>
      <w:pPr>
        <w:spacing w:after="0" w:line="16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periodically are, and in the future may be, involved in legal proceedings or claims that arise in the ordinary course of business, such as those regarding commercial or contractual disputes, intellectual property rights, employment matters, product liability, or data privacy.</w:t>
      </w:r>
    </w:p>
    <w:p>
      <w:pPr>
        <w:spacing w:after="0" w:line="18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a public company, we and our directors and officers are also subject to potential securities class action litigation, particularly if the market price of our Class A common stock is volatile. The stock market in general, and Nasdaq-listed and biotechnology companies in particular, experience significant price and volume fluctuations from time to time that often are unrelated or disproportionate to the operating performance of these companies. In the past,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companies that have experienced volatility in the market price of their stock have been subject to securities class action lawsuits, and we may be the target of such litigation in the future.</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Litigation, whether with or without merit, may be expensive to pursue or defend; divert management’s attention; result in adverse judgments for damages, injunctive relief, penalties, and fines; and harm our business and reputation. </w:t>
      </w:r>
      <w:r>
        <w:rPr>
          <w:rFonts w:ascii="Arial" w:cs="Arial" w:eastAsia="Arial" w:hAnsi="Arial"/>
          <w:sz w:val="18"/>
          <w:szCs w:val="18"/>
          <w:color w:val="auto"/>
          <w:highlight w:val="white"/>
        </w:rPr>
        <w:t>Some</w:t>
      </w:r>
      <w:r>
        <w:rPr>
          <w:rFonts w:ascii="Arial" w:cs="Arial" w:eastAsia="Arial" w:hAnsi="Arial"/>
          <w:sz w:val="18"/>
          <w:szCs w:val="18"/>
          <w:color w:val="auto"/>
        </w:rPr>
        <w:t xml:space="preserve"> third parties may be able to sustain the costs of litigation more effectively than we can because they have substantially greater resources. Insurance may not cover all claims or may cover only a portion of our expenses and losses, and may not continue to be available on terms acceptable to us.</w:t>
      </w:r>
    </w:p>
    <w:p>
      <w:pPr>
        <w:spacing w:after="0" w:line="205"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6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trading market for our Class A common stock relies, in part, on the research and reports that industry or financial analysts publish about us or our business. If only a small number of analysts maintain coverage of us, the trading price of our stock would likely decrease. If an analyst covering our stock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cybersecurity is a critical component of our enterprise risk management function. Our strategy regarding Information Security (“InfoSec”) includes a comprehensive, proactive, and sustainable risk-based approach, assessing the risk posed to the Company at the strategic, operational, financial, and reputational levels. We take appropriate preventive, detective, and response measures to mitigate these risks on a continuing basis.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Process</w:t>
      </w: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Recursion’s approach to InfoSec is informed by the National institute of Standards and Technology (“NIST”) Cybersecurity Framework (“CSF”), which is a broad standards framework that provides direction and guidance to assess the Company’s InfoSec risk and implement InfoSec capabilities, and also provides measures of progress in areas that are relevant for the organization’s business objectives.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Identification and Assessment</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part of our overall risk management system, we have a dedicated InfoSec team to oversee management’s process for effectively monitoring and mitigating risk. The InfoSec team regularly reviews threat intelligence from various sources, including third-party InfoSec firms, assesses the applicability of known threats and threat actor behavior and tactics to the Company, and the impact to the Company. The InfoSec team then evaluates potentially appropriate administrative, technical, and physical controls to mitigate and reduce these risks within the appropriate business context and applies such controls where appropriate. We also have implemented a process to identify and mitigate risks from cybersecurity threats related to our use of third-party service providers.</w:t>
      </w:r>
    </w:p>
    <w:p>
      <w:pPr>
        <w:spacing w:after="0" w:line="20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These mitigation measures are detailed in the Company’s InfoSec Roadmap. Progress against this Roadmap and potential incidents are reviewed with management and the Company’s Audit Committee.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Assurance</w:t>
      </w:r>
    </w:p>
    <w:p>
      <w:pPr>
        <w:spacing w:after="0" w:line="25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InfoSec team tests relevant controls and maintains industry standard SOC2 attestations, including reports prepared by an independent AICPA-accredited auditor.</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also run regular cybersecurity exercises, such as red team, to test the effectiveness of our controls. We use the results of these exercises to identify, evaluate, and prioritize potential areas of improvement through the InfoSec Roadmap.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 Mitigation</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also test the Company’s InfoSec’s Incident Response control effectiveness through tabletop exercises facilitated by a third party. These exercises test the Company’s ability to detect and respond to cybersecurity incidents in a timely manner with a goal to reduce the impact of cybersecurity incidents. Our InfoSec policies, processes and procedures are tested for completion and accuracy through these exercises. We use the results of these exercises to identify, evaluate, and prioritize potential areas of improvement identified through the InfoSec Roadmap.</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like any technology company in the current environment, have experienced cybersecurity incidents in the past, but we have not experienced a cybersecurity incident which has been determined to be material. For additional information regarding whether any risks from cybersecurity threats are reasonably likely to materially affect our company, including our business strategy, results of operations, or financial condition, please refer to Item 1A, “Risk Factors,” in this annual report on Form 10-K, including the risk factors entitled “Risks Related to Our Platform and Data.”</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Governance</w:t>
      </w:r>
    </w:p>
    <w:p>
      <w:pPr>
        <w:spacing w:after="0" w:line="25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cybersecurity processes are overseen by the Audit Committee of the Board of Directors. The Audit Committee, through its charter, has express oversight of the Company’s cybersecurity processes, controls, and procedures and is responsible for monitoring and reviewing the Company’s mitigation efforts. The Audit Committee receives quarterly briefings from senior leadership, including our Chief Information Security Officer, regarding information security risk, strategy, and effectiveness and progress of the InfoSec program. The Audit Committee also reviews with management significant information security incidents for the period and associated remediation plans, and new or emerging information security risks. The Board of Directors is also provided an update quarterly on the Company’s cybersecurity risk, processes, and mitigation efforts.</w:t>
      </w:r>
    </w:p>
    <w:p>
      <w:pPr>
        <w:spacing w:after="0" w:line="21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execution of the Company’s cybersecurity processes is overseen by a committee that includes our Chief Information Security Officer (“CISO”), Chief Financial Officer, Chief Operating Officer, General Counsel and Chief Technology Officer (“CTO”). This committee is responsible for the overall cybersecurity strategy and approving the cybersecurity processes, policies, and procedures, including the InfoSec Roadmap. The committee receives regular reports on the InfoSec strategy, risks, and mitigation efforts. It is also informed of any potential reportable information security incidents and is responsible for assessing the impact and approving remediation plans, as well as escalating to the Audit Committee or Board of Directors. Overall implementation of the cybersecurity strategy is executed across the enterprise by Recursion’s InfoSec team, which is supervised by the CISO.</w:t>
      </w:r>
    </w:p>
    <w:p>
      <w:pPr>
        <w:spacing w:after="0" w:line="210"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Our CISO has held various Information Security Leadership and Technology roles over the past 25 years in the biopharmaceutical, life sciences industry, including roles at Genentech (USA), Roche Farma S.A. (Spain), Hoffman - La Roche (Switzerland) and most recently at Jazz Pharmaceuticals (USA) as their Global CISO before joining Recursion in 2021. Our CISO brings extensive risk management experience including developing cybersecurity strategy, implementing effective information and cybersecurity programs, and secure architecture.</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General Counsel was a corporate and securities lawyer at Wilson Sonsini Goodrich &amp; Rosati, P.C., where he represented venture-backed technology and life sciences companies through all stages of growth. Additionally, he has played a critical role in building Recursion’s public company compliance and corporate governance structure.</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CTO has a versatile background in computer science, machine learning, software engineering and data science with over 15 years of industry experience, building automated machine learning systems and solutions in the ad tech, customer service, and healthcare industries. Prior to joining Recursion, our CTO held various leadership roles providing strategic leadership for the Company’s IT organization.</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Given the importance of information security to our stakeholders, our Audit Committee (Board of Directors) receives regular updates from our CISO on cybersecurity-related matters, including the status of projects to strengthen our security systems and to improve our cyber threat readiness.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Recursion’s corporate headquarters are located at 41 S Rio Grande Street, Salt Lake City, Utah 84101 where we lease 99,172 square feet of office, dry and wet laboratory space. The laboratories include both traditional and automated laboratories for drug research. The current term of our lease expires in May, 2028. We have entered into a lease for an additional 103,634 square feet of office, research and laboratory space adjacent to our corporate headquarters under a lease that expires in May, 2032.</w:t>
      </w:r>
    </w:p>
    <w:p>
      <w:pPr>
        <w:spacing w:after="0" w:line="20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Recursion’s New York City office is located at 66 Hudson Boulevard E, New York, NY 10001, where we lease 11,655 square feet of office with a term that expires December, 2028.</w:t>
      </w:r>
    </w:p>
    <w:p>
      <w:pPr>
        <w:spacing w:after="0" w:line="18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Recursion’s United Kingdom operations are headquartered at 3 Pancras Sq, London N1C 4AG, UK where we lease 6,792 square feet of office space through January, 2029. In addition to our London office, we also have laboratory space in Milton Park, Oxfordshire, for our automation chemistry laboratory with approximately 20,151 square feet. The Milton Park lease expires in July, 2031.</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0"/>
        <w:spacing w:after="0" w:line="318" w:lineRule="auto"/>
        <w:rPr>
          <w:sz w:val="20"/>
          <w:szCs w:val="20"/>
          <w:color w:val="auto"/>
        </w:rPr>
      </w:pPr>
      <w:r>
        <w:rPr>
          <w:rFonts w:ascii="Arial" w:cs="Arial" w:eastAsia="Arial" w:hAnsi="Arial"/>
          <w:sz w:val="17"/>
          <w:szCs w:val="17"/>
          <w:color w:val="auto"/>
        </w:rPr>
        <w:t>In addition to US and UK presence, Recursion also has one lease in Montreal, Canada related to Valence Labs. Valence Labs leases an 8,367 square foot office and dry laboratory space located at 6666 Rue Saint-Urbain, Montreal CA H2S3H1 that expires in March, 2029.</w:t>
      </w:r>
    </w:p>
    <w:p>
      <w:pPr>
        <w:spacing w:after="0" w:line="15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believe these facilities are adequate and suitable for our current needs and that, should it be needed, suitable additional or alternative space will be available to accommodate our operations.</w:t>
      </w:r>
    </w:p>
    <w:p>
      <w:pPr>
        <w:spacing w:after="0" w:line="18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Post business combination with Exscientia in November, 2024, Recursion has focused on strategically consolidating its workplace environments and leasehold interests, with an aim at optimizing our aforementioned core physical sites and recovering leasehold obligations at non-core sites.</w:t>
      </w:r>
    </w:p>
    <w:p>
      <w:pPr>
        <w:spacing w:after="0" w:line="198" w:lineRule="exact"/>
        <w:rPr>
          <w:sz w:val="20"/>
          <w:szCs w:val="20"/>
          <w:color w:val="auto"/>
        </w:rPr>
      </w:pPr>
    </w:p>
    <w:p>
      <w:pPr>
        <w:jc w:val="both"/>
        <w:ind w:right="440"/>
        <w:spacing w:after="0" w:line="262" w:lineRule="auto"/>
        <w:rPr>
          <w:sz w:val="20"/>
          <w:szCs w:val="20"/>
          <w:color w:val="auto"/>
        </w:rPr>
      </w:pPr>
      <w:r>
        <w:rPr>
          <w:rFonts w:ascii="Arial" w:cs="Arial" w:eastAsia="Arial" w:hAnsi="Arial"/>
          <w:sz w:val="18"/>
          <w:szCs w:val="18"/>
          <w:color w:val="auto"/>
        </w:rPr>
        <w:t>In 2025, Recursion executed an assignment for the 36,362 square foot legacy Exscientia lab and office headquarters located in Oxford, Oxfordshire. Recursion also surrendered a 54,992 square foot laboratory and office space in Vienna, Austria as part of a larger strategic spinout with a previously acquired legacy Exscientia company. In the US, Recursion executed a sublease for a 9,662 square foot legacy Exscientia office in Boston, MA through January, 2030.</w:t>
      </w:r>
    </w:p>
    <w:p>
      <w:pPr>
        <w:spacing w:after="0" w:line="203"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In 2026, Recursion will continue to focus efforts on consolidation for facilities we believe do not strategically further our operations or business needs. This includes facilities in the US, Canada and UK.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3. Legal Proceedings.</w:t>
      </w:r>
    </w:p>
    <w:p>
      <w:pPr>
        <w:spacing w:after="0" w:line="25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Company is, and may in the future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our legal proceedings, see the information set forth under the heading “Legal Matters” in Part II, Item 8, Note 7, “Commitments and Contingencies,” which is incorporated herein by reference.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w:t>
      </w:r>
    </w:p>
    <w:p>
      <w:pPr>
        <w:spacing w:after="0" w:line="25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principal market for Recursion’s Class A common stock is the Nasdaq Global Select Market (Symbol: RXRX). Our Class A common stock began trading on April 16, 2021. Prior to that date, there was no public market for our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Recursion’s Class B and Exchangeable common stock are not listed on any stock exchange nor traded on any public market.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graph compares the cumulative total returns of Recursion, the Nasdaq Composite Index and the Nasdaq Biotechnology Index from our April 16, 2021 closing stock price (the date on which our common stock first began trading on the Nasdaq Global Select Market) through December 31, 2025. This graph assumes $ 100 was invested and the reinvestment of dividends, if any. The comparisons shown in the graph below are based upon historical data and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5863590" cy="31115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6359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This performance graph is furnished pursuant to Item 201(e) of Regulation S-K and shall not be deemed "filed" with the SEC or subject to Regulation 14A or 14C, other than as provided in Item 201(e), or to the liabilities of Section 18 of the Securities Exchange Act of 1934, as amended, nor shall it be deemed incorporated by reference in any of Recursion’s filings under the Securities Act of 1933, as amended.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87 stockholders of record of Recursion Class A common stock as of January 31, 2026. The actual number of stockholders of our Class A common stock is greater than this number of record holders and includes stockholders who are beneficial owners but whose shares are held in street name by brokers and other nominees.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including restrictions in our current and future debt instruments, our future earnings, capital requirements, financial condition, prospects, and applicable Delaware law, which provides that dividends are only payable out of surplus or current net profits.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2"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Information about our equity compensation plans in Item 12 of Part III of this Annual Report on Form 10-K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Recent sales of unregistered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(a) Sales of Unregistered Securities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Tempus Private Placement</w:t>
      </w:r>
    </w:p>
    <w:p>
      <w:pPr>
        <w:spacing w:after="0" w:line="2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November 30, 2023, the Company entered into a Master Agreement (the “Tempus Agreement”) with Tempus pursuant to which Tempus will provide certain services and deliverables to the Company and/or license certain data to the Company. Pursuant to the Tempus Agreement, on November 24, 2025, the Company issued to Tempus an aggregate of 7.1 million shares of the Company’s Class A common Stock, (the “Tempus Shares”), in lieu of a cash payment of 32.0 million for the annual license fee owed to Tempus in exchange for the rights granted to the Company under the Tempus Agreement (the “Tempus Private Placement”). The sale was made pursuant to the exemption from registration contained in Section 4(a)(2) of the Securities Act. Pursuant to the terms of the Tempus Agreement, the Company subsequently filed a prospectus supplement to a registration statement (File No. 333-284878) pursuant to Rule 424(b) on November 26, 2025, to register the resale of the Tempus Shares by Tempus.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For the year ended December 31, 2025, we issued 75,200 shares of our Class A common stock to our employees, advisors and consultants upon the exercise of stock options under our Key Personnel Incentive Stock Plans for aggregate consideration of approximately</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$26 thousand, in reliance on the exemption provided by Rule 701(b)(2) promulgated under the Securities Act, or pursuant to Section 4(a)(2) under the Securities Act, relative to transactions by an issuer not involving any public offering, to the extent an exemption from such registration was required.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Issuer Purchases of Equity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024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9202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7. Management’s Discussion and Analysis of Financial Condition and Results of Operations.</w:t>
      </w:r>
    </w:p>
    <w:p>
      <w:pPr>
        <w:spacing w:after="0" w:line="2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1E1E1E"/>
        </w:rPr>
        <w:t xml:space="preserve">The following is a discussion and analysis of the financial condition of </w:t>
      </w:r>
      <w:r>
        <w:rPr>
          <w:rFonts w:ascii="Arial" w:cs="Arial" w:eastAsia="Arial" w:hAnsi="Arial"/>
          <w:sz w:val="18"/>
          <w:szCs w:val="18"/>
          <w:i w:val="1"/>
          <w:iCs w:val="1"/>
          <w:color w:val="000000"/>
        </w:rPr>
        <w:t>Recursion Pharmaceuticals, Inc. (Recursion, the Company, we, us or</w:t>
      </w:r>
      <w:r>
        <w:rPr>
          <w:rFonts w:ascii="Arial" w:cs="Arial" w:eastAsia="Arial" w:hAnsi="Arial"/>
          <w:sz w:val="18"/>
          <w:szCs w:val="18"/>
          <w:i w:val="1"/>
          <w:iCs w:val="1"/>
          <w:color w:val="1E1E1E"/>
        </w:rPr>
        <w:t xml:space="preserve"> </w:t>
      </w:r>
      <w:r>
        <w:rPr>
          <w:rFonts w:ascii="Arial" w:cs="Arial" w:eastAsia="Arial" w:hAnsi="Arial"/>
          <w:sz w:val="18"/>
          <w:szCs w:val="18"/>
          <w:i w:val="1"/>
          <w:iCs w:val="1"/>
          <w:color w:val="000000"/>
        </w:rPr>
        <w:t xml:space="preserve">our) </w:t>
      </w:r>
      <w:r>
        <w:rPr>
          <w:rFonts w:ascii="Arial" w:cs="Arial" w:eastAsia="Arial" w:hAnsi="Arial"/>
          <w:sz w:val="18"/>
          <w:szCs w:val="18"/>
          <w:i w:val="1"/>
          <w:iCs w:val="1"/>
          <w:color w:val="1E1E1E"/>
        </w:rPr>
        <w:t>and the results of our operations. This commentary should be read in conjunction with the Consolidated Financial Statements and</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1E1E1E"/>
        </w:rPr>
        <w:t>accompanying notes appearing in Item 8, “Financial Statements.”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Annual Report on Form 10-K. You should review the disclosure under the heading "Risk Factors" in our Annual Report on Form 10-K for a discussion of important factors that could cause our actual results to differ materially from those anticipated in these forward-looking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Overview</w:t>
      </w:r>
    </w:p>
    <w:p>
      <w:pPr>
        <w:spacing w:after="0" w:line="266"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1E1E1E"/>
        </w:rPr>
        <w:t>R</w:t>
      </w:r>
      <w:r>
        <w:rPr>
          <w:rFonts w:ascii="Arial" w:cs="Arial" w:eastAsia="Arial" w:hAnsi="Arial"/>
          <w:sz w:val="18"/>
          <w:szCs w:val="18"/>
          <w:color w:val="000000"/>
        </w:rPr>
        <w:t>ecursion is a clinical-stage TechBio company with a mission to decode biology to radically improve lives. We have advanced a portfolio of</w:t>
      </w:r>
      <w:r>
        <w:rPr>
          <w:rFonts w:ascii="Arial" w:cs="Arial" w:eastAsia="Arial" w:hAnsi="Arial"/>
          <w:sz w:val="18"/>
          <w:szCs w:val="18"/>
          <w:color w:val="1E1E1E"/>
        </w:rPr>
        <w:t xml:space="preserve"> </w:t>
      </w:r>
      <w:r>
        <w:rPr>
          <w:rFonts w:ascii="Arial" w:cs="Arial" w:eastAsia="Arial" w:hAnsi="Arial"/>
          <w:sz w:val="18"/>
          <w:szCs w:val="18"/>
          <w:color w:val="000000"/>
        </w:rPr>
        <w:t>differentiated internal programs and strategic partnerships that leverage our integrated drug discovery and development platform, the Recursion Operating System (OS). This platform provides end-to-end, AI-native capabilities that span from novel biological ideas through the clinic, integrating multimodal biological data generation, AI-powered small molecule synthesis, and AI-enabled clinical development. All of our technologies are designed to translate complex science into medicines that matter — faster, better, and at scale — for patients who are waiting.</w:t>
      </w:r>
    </w:p>
    <w:p>
      <w:pPr>
        <w:spacing w:after="0" w:line="200" w:lineRule="exact"/>
        <w:rPr>
          <w:sz w:val="20"/>
          <w:szCs w:val="20"/>
          <w:color w:val="auto"/>
        </w:rPr>
      </w:pPr>
    </w:p>
    <w:p>
      <w:pPr>
        <w:spacing w:after="0" w:line="206" w:lineRule="exact"/>
        <w:rPr>
          <w:sz w:val="20"/>
          <w:szCs w:val="20"/>
          <w:color w:val="auto"/>
        </w:rPr>
      </w:pPr>
    </w:p>
    <w:p>
      <w:pPr>
        <w:ind w:right="100"/>
        <w:spacing w:after="0" w:line="296" w:lineRule="auto"/>
        <w:rPr>
          <w:sz w:val="20"/>
          <w:szCs w:val="20"/>
          <w:color w:val="auto"/>
        </w:rPr>
      </w:pPr>
      <w:r>
        <w:rPr>
          <w:rFonts w:ascii="Arial" w:cs="Arial" w:eastAsia="Arial" w:hAnsi="Arial"/>
          <w:sz w:val="18"/>
          <w:szCs w:val="18"/>
          <w:b w:val="1"/>
          <w:bCs w:val="1"/>
          <w:color w:val="auto"/>
        </w:rPr>
        <w:t>Summary of Business Highlights: Driving a diversified pipeline powered by the end-to-end AI-native Recursion OS - wholly-owned and partnered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863590" cy="2828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63590" cy="282892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2025 Wholly Owned Pipeline Achievements: </w:t>
      </w:r>
      <w:r>
        <w:rPr>
          <w:rFonts w:ascii="Arial" w:cs="Arial" w:eastAsia="Arial" w:hAnsi="Arial"/>
          <w:sz w:val="18"/>
          <w:szCs w:val="18"/>
          <w:b w:val="1"/>
          <w:bCs w:val="1"/>
          <w:color w:val="auto"/>
        </w:rPr>
        <w:t>Advancing programs with strong therapeutic rationale, powered by the Recursion 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863590" cy="22631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6359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right="760" w:hanging="328"/>
        <w:spacing w:after="0" w:line="25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REC-4881 (MEK1/2): </w:t>
      </w:r>
      <w:r>
        <w:rPr>
          <w:rFonts w:ascii="Arial" w:cs="Arial" w:eastAsia="Arial" w:hAnsi="Arial"/>
          <w:sz w:val="18"/>
          <w:szCs w:val="18"/>
          <w:color w:val="auto"/>
        </w:rPr>
        <w:t>Provided the first clinical validation of the Recursion OS from a novel phenotypic insight, with positive</w:t>
      </w:r>
      <w:r>
        <w:rPr>
          <w:rFonts w:ascii="Arial" w:cs="Arial" w:eastAsia="Arial" w:hAnsi="Arial"/>
          <w:sz w:val="18"/>
          <w:szCs w:val="18"/>
          <w:b w:val="1"/>
          <w:bCs w:val="1"/>
          <w:color w:val="auto"/>
        </w:rPr>
        <w:t xml:space="preserve"> </w:t>
      </w:r>
      <w:r>
        <w:rPr>
          <w:rFonts w:ascii="Arial" w:cs="Arial" w:eastAsia="Arial" w:hAnsi="Arial"/>
          <w:sz w:val="18"/>
          <w:szCs w:val="18"/>
          <w:color w:val="auto"/>
        </w:rPr>
        <w:t>preliminary efficacy results from the ongoing Phase 2 portion of the TUPELO study in FAP, a disease with no approved pharmacotherapies</w:t>
      </w:r>
    </w:p>
    <w:p>
      <w:pPr>
        <w:spacing w:after="0" w:line="1" w:lineRule="exact"/>
        <w:rPr>
          <w:rFonts w:ascii="Arial" w:cs="Arial" w:eastAsia="Arial" w:hAnsi="Arial"/>
          <w:sz w:val="18"/>
          <w:szCs w:val="18"/>
          <w:color w:val="auto"/>
        </w:rPr>
      </w:pPr>
    </w:p>
    <w:p>
      <w:pPr>
        <w:ind w:left="1300" w:hanging="320"/>
        <w:spacing w:after="0" w:line="250" w:lineRule="auto"/>
        <w:tabs>
          <w:tab w:leader="none" w:pos="1296"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REC-4881 (4 mg QD) achieved rapid clinical activity, with 75% of evaluable patients showing reductions in total polyp burden and a 43% median reduction after 12 weeks of treatment (n=12).</w:t>
      </w:r>
    </w:p>
    <w:p>
      <w:pPr>
        <w:ind w:left="1300" w:right="40" w:hanging="320"/>
        <w:spacing w:after="0" w:line="250" w:lineRule="auto"/>
        <w:tabs>
          <w:tab w:leader="none" w:pos="1297" w:val="left"/>
        </w:tabs>
        <w:numPr>
          <w:ilvl w:val="1"/>
          <w:numId w:val="91"/>
        </w:numPr>
        <w:rPr>
          <w:rFonts w:ascii="Arial" w:cs="Arial" w:eastAsia="Arial" w:hAnsi="Arial"/>
          <w:sz w:val="14"/>
          <w:szCs w:val="14"/>
          <w:color w:val="auto"/>
        </w:rPr>
      </w:pPr>
      <w:r>
        <w:rPr>
          <w:rFonts w:ascii="Arial" w:cs="Arial" w:eastAsia="Arial" w:hAnsi="Arial"/>
          <w:sz w:val="18"/>
          <w:szCs w:val="18"/>
          <w:color w:val="auto"/>
        </w:rPr>
        <w:t>After 12 weeks off therapy (week 25 of the study), 82% of evaluable patients (9 of 11) maintained a durable reduction in total polyp burden, with a 53% median reduction observed from baseline.</w:t>
      </w:r>
    </w:p>
    <w:p>
      <w:pPr>
        <w:ind w:left="1300" w:right="240" w:hanging="320"/>
        <w:spacing w:after="0" w:line="265" w:lineRule="auto"/>
        <w:tabs>
          <w:tab w:leader="none" w:pos="1297" w:val="left"/>
        </w:tabs>
        <w:numPr>
          <w:ilvl w:val="1"/>
          <w:numId w:val="91"/>
        </w:numPr>
        <w:rPr>
          <w:rFonts w:ascii="Arial" w:cs="Arial" w:eastAsia="Arial" w:hAnsi="Arial"/>
          <w:sz w:val="13"/>
          <w:szCs w:val="13"/>
          <w:color w:val="auto"/>
        </w:rPr>
      </w:pPr>
      <w:r>
        <w:rPr>
          <w:rFonts w:ascii="Arial" w:cs="Arial" w:eastAsia="Arial" w:hAnsi="Arial"/>
          <w:sz w:val="17"/>
          <w:szCs w:val="17"/>
          <w:color w:val="auto"/>
        </w:rPr>
        <w:t>REC-4881 (4 mg QD) has a safety profile consistent with MEK1/2 inhibition, with the majority of treatment-related adverse events being Grade 1 or 2, Grade 3 events occurring in 15.8% of the safety-evaluable patients, and no Grade ≥4 TRAEs reported to date. The most frequent TRAEs (at ≥10%) included dermatitis acneiform / rash and blood CPK increase.</w:t>
      </w:r>
    </w:p>
    <w:p>
      <w:pPr>
        <w:ind w:left="660" w:right="40" w:hanging="328"/>
        <w:spacing w:after="0" w:line="250"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REC-617 (CDK7): </w:t>
      </w:r>
      <w:r>
        <w:rPr>
          <w:rFonts w:ascii="Arial" w:cs="Arial" w:eastAsia="Arial" w:hAnsi="Arial"/>
          <w:sz w:val="18"/>
          <w:szCs w:val="18"/>
          <w:color w:val="auto"/>
        </w:rPr>
        <w:t>A potential best-in-class CDK7 inhibitor optimized for improved therapeutic index using our AI-driven precision</w:t>
      </w:r>
      <w:r>
        <w:rPr>
          <w:rFonts w:ascii="Arial" w:cs="Arial" w:eastAsia="Arial" w:hAnsi="Arial"/>
          <w:sz w:val="18"/>
          <w:szCs w:val="18"/>
          <w:b w:val="1"/>
          <w:bCs w:val="1"/>
          <w:color w:val="auto"/>
        </w:rPr>
        <w:t xml:space="preserve"> </w:t>
      </w:r>
      <w:r>
        <w:rPr>
          <w:rFonts w:ascii="Arial" w:cs="Arial" w:eastAsia="Arial" w:hAnsi="Arial"/>
          <w:sz w:val="18"/>
          <w:szCs w:val="18"/>
          <w:color w:val="auto"/>
        </w:rPr>
        <w:t>design platform and identified as lead candidate in under 11 months with 136 novel compounds synthesized, delivered further Phase 1/2 results in November 2025, demonstrating promising safety and preliminary efficacy signals. The program is currently advancing in ongoing Phase 1 combination studies in 2L+ platinum-resistant ovarian cancer (PROC) alongside Phase 2 monotherapy expansion.</w:t>
      </w:r>
    </w:p>
    <w:p>
      <w:pPr>
        <w:spacing w:after="0" w:line="1" w:lineRule="exact"/>
        <w:rPr>
          <w:rFonts w:ascii="Arial" w:cs="Arial" w:eastAsia="Arial" w:hAnsi="Arial"/>
          <w:sz w:val="18"/>
          <w:szCs w:val="18"/>
          <w:color w:val="auto"/>
        </w:rPr>
      </w:pPr>
    </w:p>
    <w:p>
      <w:pPr>
        <w:ind w:left="660" w:right="200" w:hanging="328"/>
        <w:spacing w:after="0" w:line="217" w:lineRule="exact"/>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REC-7735 (PI3Kα H1047R): </w:t>
      </w:r>
      <w:r>
        <w:rPr>
          <w:rFonts w:ascii="Arial" w:cs="Arial" w:eastAsia="Arial" w:hAnsi="Arial"/>
          <w:sz w:val="18"/>
          <w:szCs w:val="18"/>
          <w:color w:val="auto"/>
        </w:rPr>
        <w:t>Recursion announced new preclinical efficacy data on REC-7735, a potential best-in-class PI3K</w:t>
      </w:r>
      <w:r>
        <w:rPr>
          <w:rFonts w:ascii="Arial Unicode MS" w:cs="Arial Unicode MS" w:eastAsia="Arial Unicode MS" w:hAnsi="Arial Unicode MS"/>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H1047R inhibitor, precision designed with 242 compounds synthesized from first novel hit to REC-7735 in 10 months using the Recursion OS platform. Current pan-PI3K</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inhibitors lack selectivity over the wild-type protein, resulting in metabolic liabilities, including hyperglycemia, that often necessitate dose reductions in a significant portion of non diabetic patients and the exclusion entirely of diabetic patients from treatment. REC-7735 demonstrates &gt;100-fold selectivity for the H1074R mutation over WT PI3K</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suggesting potential improved tolerability and is currently in IND-enabling studies.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upcoming milestones across Recursion’s wholly-owned pipeline:</w:t>
      </w:r>
    </w:p>
    <w:p>
      <w:pPr>
        <w:spacing w:after="0" w:line="252"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REC-1245 (RBM39): Early Phase 1 safety and PK monotherapy data expected in 1H26</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8"/>
          <w:szCs w:val="18"/>
          <w:color w:val="auto"/>
        </w:rPr>
        <w:t>REC-4881 (MEK1/2):</w:t>
      </w:r>
    </w:p>
    <w:p>
      <w:pPr>
        <w:spacing w:after="0" w:line="9" w:lineRule="exact"/>
        <w:rPr>
          <w:rFonts w:ascii="Arial" w:cs="Arial" w:eastAsia="Arial" w:hAnsi="Arial"/>
          <w:sz w:val="14"/>
          <w:szCs w:val="14"/>
          <w:color w:val="auto"/>
        </w:rPr>
      </w:pPr>
    </w:p>
    <w:p>
      <w:pPr>
        <w:ind w:left="1300" w:right="540" w:hanging="320"/>
        <w:spacing w:after="0" w:line="250" w:lineRule="auto"/>
        <w:tabs>
          <w:tab w:leader="none" w:pos="1297" w:val="left"/>
        </w:tabs>
        <w:numPr>
          <w:ilvl w:val="1"/>
          <w:numId w:val="92"/>
        </w:numPr>
        <w:rPr>
          <w:rFonts w:ascii="Arial" w:cs="Arial" w:eastAsia="Arial" w:hAnsi="Arial"/>
          <w:sz w:val="14"/>
          <w:szCs w:val="14"/>
          <w:color w:val="auto"/>
        </w:rPr>
      </w:pPr>
      <w:r>
        <w:rPr>
          <w:rFonts w:ascii="Arial" w:cs="Arial" w:eastAsia="Arial" w:hAnsi="Arial"/>
          <w:sz w:val="18"/>
          <w:szCs w:val="18"/>
          <w:color w:val="auto"/>
        </w:rPr>
        <w:t>Initiate FDA engagement in 1H26 to align on a potential registration pathway for REC-4881, alongside ongoing dosing optimization and expansion of TUPELO to include patients aged 18+ to support a broader development strategy.</w:t>
      </w:r>
    </w:p>
    <w:p>
      <w:pPr>
        <w:ind w:left="1300" w:hanging="320"/>
        <w:spacing w:after="0"/>
        <w:tabs>
          <w:tab w:leader="none" w:pos="1300" w:val="left"/>
        </w:tabs>
        <w:numPr>
          <w:ilvl w:val="1"/>
          <w:numId w:val="92"/>
        </w:numPr>
        <w:rPr>
          <w:rFonts w:ascii="Arial" w:cs="Arial" w:eastAsia="Arial" w:hAnsi="Arial"/>
          <w:sz w:val="14"/>
          <w:szCs w:val="14"/>
          <w:color w:val="auto"/>
        </w:rPr>
      </w:pPr>
      <w:r>
        <w:rPr>
          <w:rFonts w:ascii="Arial" w:cs="Arial" w:eastAsia="Arial" w:hAnsi="Arial"/>
          <w:sz w:val="18"/>
          <w:szCs w:val="18"/>
          <w:color w:val="auto"/>
        </w:rPr>
        <w:t>Additional Phase 1b/2 clinical data expected in 1H27</w:t>
      </w:r>
    </w:p>
    <w:p>
      <w:pPr>
        <w:spacing w:after="0" w:line="9" w:lineRule="exact"/>
        <w:rPr>
          <w:rFonts w:ascii="Arial" w:cs="Arial" w:eastAsia="Arial" w:hAnsi="Arial"/>
          <w:sz w:val="14"/>
          <w:szCs w:val="14"/>
          <w:color w:val="auto"/>
        </w:rPr>
      </w:pPr>
    </w:p>
    <w:p>
      <w:pPr>
        <w:ind w:left="660" w:right="560" w:hanging="328"/>
        <w:spacing w:after="0" w:line="250" w:lineRule="auto"/>
        <w:tabs>
          <w:tab w:leader="none" w:pos="656" w:val="left"/>
        </w:tabs>
        <w:numPr>
          <w:ilvl w:val="0"/>
          <w:numId w:val="92"/>
        </w:numPr>
        <w:rPr>
          <w:rFonts w:ascii="Arial" w:cs="Arial" w:eastAsia="Arial" w:hAnsi="Arial"/>
          <w:sz w:val="14"/>
          <w:szCs w:val="14"/>
          <w:color w:val="auto"/>
        </w:rPr>
      </w:pPr>
      <w:r>
        <w:rPr>
          <w:rFonts w:ascii="Arial" w:cs="Arial" w:eastAsia="Arial" w:hAnsi="Arial"/>
          <w:sz w:val="18"/>
          <w:szCs w:val="18"/>
          <w:color w:val="auto"/>
        </w:rPr>
        <w:t>REC-7735 (PI3Kα H1047R) and REC-102 (ENPP1): IND-enabling studies ongoing; data-driven go/no-go decision on Phase 1 initiation expected in 2H26</w:t>
      </w:r>
    </w:p>
    <w:p>
      <w:pPr>
        <w:ind w:left="660" w:hanging="328"/>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8"/>
          <w:szCs w:val="18"/>
          <w:color w:val="auto"/>
        </w:rPr>
        <w:t>REC-617 (CDK7): Early Phase 1 safety and PK combination data expected in 1H27</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8"/>
          <w:szCs w:val="18"/>
          <w:color w:val="auto"/>
        </w:rPr>
        <w:t>REC-3565 (MALT1): Early Phase 1 safety and PK monotherapy data expected in 1H27</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4"/>
          <w:szCs w:val="14"/>
          <w:color w:val="auto"/>
        </w:rPr>
      </w:pPr>
      <w:r>
        <w:rPr>
          <w:rFonts w:ascii="Arial" w:cs="Arial" w:eastAsia="Arial" w:hAnsi="Arial"/>
          <w:sz w:val="18"/>
          <w:szCs w:val="18"/>
          <w:color w:val="auto"/>
        </w:rPr>
        <w:t>REC-4539 (LSD1): Early Phase 1 safety and PK monotherapy data expected in 2H27</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Advancing Partnered Discovery, with Over $500 Million in Milestone Payments Achieved to Date:</w:t>
      </w:r>
    </w:p>
    <w:p>
      <w:pPr>
        <w:spacing w:after="0" w:line="252"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Sanofi:</w:t>
      </w:r>
    </w:p>
    <w:p>
      <w:pPr>
        <w:spacing w:after="0" w:line="27" w:lineRule="exact"/>
        <w:rPr>
          <w:rFonts w:ascii="Arial" w:cs="Arial" w:eastAsia="Arial" w:hAnsi="Arial"/>
          <w:sz w:val="18"/>
          <w:szCs w:val="18"/>
          <w:b w:val="1"/>
          <w:bCs w:val="1"/>
          <w:color w:val="auto"/>
        </w:rPr>
      </w:pPr>
    </w:p>
    <w:p>
      <w:pPr>
        <w:ind w:left="1300" w:right="20" w:hanging="320"/>
        <w:spacing w:after="0" w:line="250" w:lineRule="auto"/>
        <w:tabs>
          <w:tab w:leader="none" w:pos="1296"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Advancing programs for complex targets: </w:t>
      </w:r>
      <w:r>
        <w:rPr>
          <w:rFonts w:ascii="Arial" w:cs="Arial" w:eastAsia="Arial" w:hAnsi="Arial"/>
          <w:sz w:val="18"/>
          <w:szCs w:val="18"/>
          <w:color w:val="auto"/>
        </w:rPr>
        <w:t>Recursion is using its platform to discover, design, and advance a joint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of 5+ AI-driven novel small molecule programs across immunology and oncology. Recursion continues to design against challenging and diverse protein targets.</w:t>
      </w:r>
    </w:p>
    <w:p>
      <w:pPr>
        <w:spacing w:after="0" w:line="1" w:lineRule="exact"/>
        <w:rPr>
          <w:rFonts w:ascii="Arial" w:cs="Arial" w:eastAsia="Arial" w:hAnsi="Arial"/>
          <w:sz w:val="18"/>
          <w:szCs w:val="18"/>
          <w:b w:val="1"/>
          <w:bCs w:val="1"/>
          <w:color w:val="auto"/>
        </w:rPr>
      </w:pPr>
    </w:p>
    <w:p>
      <w:pPr>
        <w:ind w:left="1300" w:hanging="320"/>
        <w:spacing w:after="0"/>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The collaboration has the </w:t>
      </w:r>
      <w:r>
        <w:rPr>
          <w:rFonts w:ascii="Arial" w:cs="Arial" w:eastAsia="Arial" w:hAnsi="Arial"/>
          <w:sz w:val="18"/>
          <w:szCs w:val="18"/>
          <w:b w:val="1"/>
          <w:bCs w:val="1"/>
          <w:color w:val="auto"/>
        </w:rPr>
        <w:t>potential for up to 15 AI-designed small molecule programs.</w:t>
      </w:r>
    </w:p>
    <w:p>
      <w:pPr>
        <w:spacing w:after="0" w:line="9" w:lineRule="exact"/>
        <w:rPr>
          <w:rFonts w:ascii="Arial" w:cs="Arial" w:eastAsia="Arial" w:hAnsi="Arial"/>
          <w:sz w:val="18"/>
          <w:szCs w:val="18"/>
          <w:color w:val="auto"/>
        </w:rPr>
      </w:pPr>
    </w:p>
    <w:p>
      <w:pPr>
        <w:ind w:left="1300" w:right="740" w:hanging="320"/>
        <w:spacing w:after="0" w:line="250" w:lineRule="auto"/>
        <w:tabs>
          <w:tab w:leader="none" w:pos="1296"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Milestone payments: </w:t>
      </w:r>
      <w:r>
        <w:rPr>
          <w:rFonts w:ascii="Arial" w:cs="Arial" w:eastAsia="Arial" w:hAnsi="Arial"/>
          <w:sz w:val="18"/>
          <w:szCs w:val="18"/>
          <w:color w:val="auto"/>
        </w:rPr>
        <w:t>Recursion has now received $134 million in upfront and progress-based milestones from this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to date.</w:t>
      </w:r>
    </w:p>
    <w:p>
      <w:pPr>
        <w:ind w:left="1960" w:right="640" w:hanging="332"/>
        <w:spacing w:after="0" w:line="250" w:lineRule="auto"/>
        <w:tabs>
          <w:tab w:leader="none" w:pos="1955" w:val="left"/>
        </w:tabs>
        <w:numPr>
          <w:ilvl w:val="2"/>
          <w:numId w:val="94"/>
        </w:numPr>
        <w:rPr>
          <w:rFonts w:ascii="Arial" w:cs="Arial" w:eastAsia="Arial" w:hAnsi="Arial"/>
          <w:sz w:val="18"/>
          <w:szCs w:val="18"/>
          <w:color w:val="auto"/>
        </w:rPr>
      </w:pPr>
      <w:r>
        <w:rPr>
          <w:rFonts w:ascii="Arial" w:cs="Arial" w:eastAsia="Arial" w:hAnsi="Arial"/>
          <w:sz w:val="18"/>
          <w:szCs w:val="18"/>
          <w:color w:val="auto"/>
        </w:rPr>
        <w:t>In the next 12-18 months, there is potential for additional near-term milestones as the first programs advance towards development candidates and earlier-stage programs progress.</w:t>
      </w:r>
    </w:p>
    <w:p>
      <w:pPr>
        <w:ind w:left="1300" w:right="600" w:hanging="320"/>
        <w:spacing w:after="0"/>
        <w:tabs>
          <w:tab w:leader="none" w:pos="1296"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Fifth progress-based milestone: </w:t>
      </w:r>
      <w:r>
        <w:rPr>
          <w:rFonts w:ascii="Arial" w:cs="Arial" w:eastAsia="Arial" w:hAnsi="Arial"/>
          <w:sz w:val="18"/>
          <w:szCs w:val="18"/>
          <w:color w:val="auto"/>
        </w:rPr>
        <w:t>In February 2026, Recursion achieved its fifth milestone across the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generating a $4M payment from Sanofi. This 5th milestone reflects a first-in-class Sanofi-partnered oncology program against a historically difficult and novel biological space.</w:t>
      </w:r>
    </w:p>
    <w:p>
      <w:pPr>
        <w:ind w:left="1960" w:right="400" w:hanging="324"/>
        <w:spacing w:after="0" w:line="266" w:lineRule="auto"/>
        <w:rPr>
          <w:rFonts w:ascii="Arial" w:cs="Arial" w:eastAsia="Arial" w:hAnsi="Arial"/>
          <w:sz w:val="18"/>
          <w:szCs w:val="18"/>
          <w:color w:val="auto"/>
        </w:rPr>
      </w:pPr>
      <w:r>
        <w:rPr>
          <w:rFonts w:ascii="Arial" w:cs="Arial" w:eastAsia="Arial" w:hAnsi="Arial"/>
          <w:sz w:val="18"/>
          <w:szCs w:val="18"/>
          <w:color w:val="auto"/>
        </w:rPr>
        <w:t>▪ Recursion's AI-driven design coupled with Recursion’s physics-based capabilities has produced selective, orally active lead series.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Roche and Genentech:</w:t>
      </w:r>
    </w:p>
    <w:p>
      <w:pPr>
        <w:spacing w:after="0" w:line="27" w:lineRule="exact"/>
        <w:rPr>
          <w:rFonts w:ascii="Arial" w:cs="Arial" w:eastAsia="Arial" w:hAnsi="Arial"/>
          <w:sz w:val="18"/>
          <w:szCs w:val="18"/>
          <w:color w:val="auto"/>
        </w:rPr>
      </w:pPr>
    </w:p>
    <w:p>
      <w:pPr>
        <w:ind w:left="1300" w:right="120" w:hanging="320"/>
        <w:spacing w:after="0" w:line="250" w:lineRule="auto"/>
        <w:tabs>
          <w:tab w:leader="none" w:pos="1296"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Neuron Map: </w:t>
      </w:r>
      <w:r>
        <w:rPr>
          <w:rFonts w:ascii="Arial" w:cs="Arial" w:eastAsia="Arial" w:hAnsi="Arial"/>
          <w:sz w:val="18"/>
          <w:szCs w:val="18"/>
          <w:color w:val="auto"/>
        </w:rPr>
        <w:t>In partnership with Roche and Genentech, Recursion built the first whole-genome CRISPR knockout map</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from a subset of 1 trillion internally manufactured iPSC-derived neuronal cells ($30 million milestone payment, accepted in 2024). This proprietary dataset is being used in partnership with Roche and Genentech to identify potential new targets in neuroscience, a field which has historically suffered from limited new discoveries.</w:t>
      </w:r>
    </w:p>
    <w:p>
      <w:pPr>
        <w:spacing w:after="0" w:line="1" w:lineRule="exact"/>
        <w:rPr>
          <w:rFonts w:ascii="Arial" w:cs="Arial" w:eastAsia="Arial" w:hAnsi="Arial"/>
          <w:sz w:val="18"/>
          <w:szCs w:val="18"/>
          <w:color w:val="auto"/>
        </w:rPr>
      </w:pPr>
    </w:p>
    <w:p>
      <w:pPr>
        <w:ind w:left="1300" w:right="80" w:hanging="320"/>
        <w:spacing w:after="0" w:line="250" w:lineRule="auto"/>
        <w:tabs>
          <w:tab w:leader="none" w:pos="1296"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Microglia Map: </w:t>
      </w:r>
      <w:r>
        <w:rPr>
          <w:rFonts w:ascii="Arial" w:cs="Arial" w:eastAsia="Arial" w:hAnsi="Arial"/>
          <w:sz w:val="18"/>
          <w:szCs w:val="18"/>
          <w:color w:val="auto"/>
        </w:rPr>
        <w:t>Recursion built and Roche and Genentech accepted a second neuroscience Phenomap, a first-of-its-kind</w:t>
      </w:r>
      <w:r>
        <w:rPr>
          <w:rFonts w:ascii="Arial" w:cs="Arial" w:eastAsia="Arial" w:hAnsi="Arial"/>
          <w:sz w:val="18"/>
          <w:szCs w:val="18"/>
          <w:b w:val="1"/>
          <w:bCs w:val="1"/>
          <w:color w:val="auto"/>
        </w:rPr>
        <w:t xml:space="preserve"> </w:t>
      </w:r>
      <w:r>
        <w:rPr>
          <w:rFonts w:ascii="Arial" w:cs="Arial" w:eastAsia="Arial" w:hAnsi="Arial"/>
          <w:sz w:val="18"/>
          <w:szCs w:val="18"/>
          <w:color w:val="auto"/>
        </w:rPr>
        <w:t>whole-genome CRISPR knockout map generated from over 100 billion internally manufactured iPSC-derived microglial cells ($30 million milestone payment, accepted in 2025). With approximately 46 million images, the scale and quality of this proprietary map enables us, in partnership with Roche and Genentech, to leverage the power of AI to explore novel targets and pathways.</w:t>
      </w:r>
    </w:p>
    <w:p>
      <w:pPr>
        <w:spacing w:after="0" w:line="1" w:lineRule="exact"/>
        <w:rPr>
          <w:rFonts w:ascii="Arial" w:cs="Arial" w:eastAsia="Arial" w:hAnsi="Arial"/>
          <w:sz w:val="18"/>
          <w:szCs w:val="18"/>
          <w:color w:val="auto"/>
        </w:rPr>
      </w:pPr>
    </w:p>
    <w:p>
      <w:pPr>
        <w:ind w:left="1300" w:right="220" w:hanging="320"/>
        <w:spacing w:after="0" w:line="250" w:lineRule="auto"/>
        <w:tabs>
          <w:tab w:leader="none" w:pos="1296"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Gastrointestinal-Oncology Advancements: </w:t>
      </w:r>
      <w:r>
        <w:rPr>
          <w:rFonts w:ascii="Arial" w:cs="Arial" w:eastAsia="Arial" w:hAnsi="Arial"/>
          <w:sz w:val="18"/>
          <w:szCs w:val="18"/>
          <w:color w:val="auto"/>
        </w:rPr>
        <w:t>We have built four proprietary Phenomaps which are being leveraged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collaboration to identify novel insights that can be used to initiate programs for a gastrointestinal-oncology indication including continuing to advance one program optioned by Roche and Genentech.</w:t>
      </w:r>
    </w:p>
    <w:p>
      <w:pPr>
        <w:spacing w:after="0" w:line="1" w:lineRule="exact"/>
        <w:rPr>
          <w:rFonts w:ascii="Arial" w:cs="Arial" w:eastAsia="Arial" w:hAnsi="Arial"/>
          <w:sz w:val="18"/>
          <w:szCs w:val="18"/>
          <w:color w:val="auto"/>
        </w:rPr>
      </w:pPr>
    </w:p>
    <w:p>
      <w:pPr>
        <w:ind w:left="1300" w:right="280" w:hanging="320"/>
        <w:spacing w:after="0" w:line="255" w:lineRule="auto"/>
        <w:tabs>
          <w:tab w:leader="none" w:pos="1296"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Milestones and Collaboration: </w:t>
      </w:r>
      <w:r>
        <w:rPr>
          <w:rFonts w:ascii="Arial" w:cs="Arial" w:eastAsia="Arial" w:hAnsi="Arial"/>
          <w:sz w:val="18"/>
          <w:szCs w:val="18"/>
          <w:color w:val="auto"/>
        </w:rPr>
        <w:t>In total, Recursion has received $213 million in upfront and milestone payments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Roche and Genentech have accepted 6 Phenomaps and initiated one small molecule program based on Phenomap insights to date. The companies have also identified a number of biological insights from Phenomaps that are now being validated or advanced as potential novel targets.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Meaningful Potential Upcoming Milestones Across Partnered Discovery:</w:t>
      </w:r>
    </w:p>
    <w:p>
      <w:pPr>
        <w:spacing w:after="0" w:line="27" w:lineRule="exact"/>
        <w:rPr>
          <w:sz w:val="20"/>
          <w:szCs w:val="20"/>
          <w:color w:val="auto"/>
        </w:rPr>
      </w:pPr>
    </w:p>
    <w:p>
      <w:pPr>
        <w:ind w:left="660" w:hanging="328"/>
        <w:spacing w:after="0" w:line="250"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Sanofi programs continue advancing towards potential lead series and development candidate designation milestones in the next 12-18 months.</w:t>
      </w:r>
    </w:p>
    <w:p>
      <w:pPr>
        <w:ind w:left="660" w:right="140" w:hanging="328"/>
        <w:spacing w:after="0" w:line="266"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expects to translate biological insights from maps delivered to Roche and Genentech to early stage programs across 2026 and beyond.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Recursion OS Advances: Driving Platform Innovations, Grounded in Impact</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color w:val="auto"/>
        </w:rPr>
        <w:t xml:space="preserve">Full stack AI-powered platform: </w:t>
      </w:r>
      <w:r>
        <w:rPr>
          <w:rFonts w:ascii="Arial" w:cs="Arial" w:eastAsia="Arial" w:hAnsi="Arial"/>
          <w:sz w:val="18"/>
          <w:szCs w:val="18"/>
          <w:color w:val="auto"/>
        </w:rPr>
        <w:t>The Recursion Operating System (OS) is continuing to drive program development by integrating AI</w:t>
      </w:r>
      <w:r>
        <w:rPr>
          <w:rFonts w:ascii="Arial" w:cs="Arial" w:eastAsia="Arial" w:hAnsi="Arial"/>
          <w:sz w:val="18"/>
          <w:szCs w:val="18"/>
          <w:b w:val="1"/>
          <w:bCs w:val="1"/>
          <w:color w:val="auto"/>
        </w:rPr>
        <w:t xml:space="preserve"> </w:t>
      </w:r>
      <w:r>
        <w:rPr>
          <w:rFonts w:ascii="Arial" w:cs="Arial" w:eastAsia="Arial" w:hAnsi="Arial"/>
          <w:sz w:val="18"/>
          <w:szCs w:val="18"/>
          <w:color w:val="auto"/>
        </w:rPr>
        <w:t>across multimodal biology, precision design, and next-generation clinical development—enabling faster, more efficient, and more innovative drug discovery and development from biology to insight, insight to molecule, and molecule to patient.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5863590" cy="19545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6359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Biology to Insight: </w:t>
      </w:r>
      <w:r>
        <w:rPr>
          <w:rFonts w:ascii="Arial" w:cs="Arial" w:eastAsia="Arial" w:hAnsi="Arial"/>
          <w:sz w:val="18"/>
          <w:szCs w:val="18"/>
          <w:color w:val="auto"/>
        </w:rPr>
        <w:t>Initiating programs with deep biological grounding</w:t>
      </w:r>
    </w:p>
    <w:p>
      <w:pPr>
        <w:spacing w:after="0" w:line="27" w:lineRule="exact"/>
        <w:rPr>
          <w:rFonts w:ascii="Arial" w:cs="Arial" w:eastAsia="Arial" w:hAnsi="Arial"/>
          <w:sz w:val="18"/>
          <w:szCs w:val="18"/>
          <w:color w:val="auto"/>
        </w:rPr>
      </w:pPr>
    </w:p>
    <w:p>
      <w:pPr>
        <w:ind w:left="1300" w:right="120" w:hanging="320"/>
        <w:spacing w:after="0" w:line="250" w:lineRule="auto"/>
        <w:tabs>
          <w:tab w:leader="none" w:pos="1296"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Unmatched multimodal scale: </w:t>
      </w:r>
      <w:r>
        <w:rPr>
          <w:rFonts w:ascii="Arial" w:cs="Arial" w:eastAsia="Arial" w:hAnsi="Arial"/>
          <w:sz w:val="18"/>
          <w:szCs w:val="18"/>
          <w:color w:val="auto"/>
        </w:rPr>
        <w:t>At-scale cellular imaging, integrated with proprietary and partner omics datasets, has created</w:t>
      </w:r>
      <w:r>
        <w:rPr>
          <w:rFonts w:ascii="Arial" w:cs="Arial" w:eastAsia="Arial" w:hAnsi="Arial"/>
          <w:sz w:val="18"/>
          <w:szCs w:val="18"/>
          <w:i w:val="1"/>
          <w:iCs w:val="1"/>
          <w:color w:val="auto"/>
        </w:rPr>
        <w:t xml:space="preserve"> </w:t>
      </w:r>
      <w:r>
        <w:rPr>
          <w:rFonts w:ascii="Arial" w:cs="Arial" w:eastAsia="Arial" w:hAnsi="Arial"/>
          <w:sz w:val="18"/>
          <w:szCs w:val="18"/>
          <w:color w:val="auto"/>
        </w:rPr>
        <w:t>one of the most comprehensive and relatable biological datasets in biopharma.</w:t>
      </w:r>
    </w:p>
    <w:p>
      <w:pPr>
        <w:ind w:left="1300" w:right="280" w:hanging="320"/>
        <w:spacing w:after="0" w:line="250" w:lineRule="auto"/>
        <w:tabs>
          <w:tab w:leader="none" w:pos="1296"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From signal to selection: </w:t>
      </w:r>
      <w:r>
        <w:rPr>
          <w:rFonts w:ascii="Arial" w:cs="Arial" w:eastAsia="Arial" w:hAnsi="Arial"/>
          <w:sz w:val="18"/>
          <w:szCs w:val="18"/>
          <w:color w:val="auto"/>
        </w:rPr>
        <w:t>This foundation enables systematic discovery of novel biology — over 100 novel insights triaged</w:t>
      </w:r>
      <w:r>
        <w:rPr>
          <w:rFonts w:ascii="Arial" w:cs="Arial" w:eastAsia="Arial" w:hAnsi="Arial"/>
          <w:sz w:val="18"/>
          <w:szCs w:val="18"/>
          <w:i w:val="1"/>
          <w:iCs w:val="1"/>
          <w:color w:val="auto"/>
        </w:rPr>
        <w:t xml:space="preserve"> </w:t>
      </w:r>
      <w:r>
        <w:rPr>
          <w:rFonts w:ascii="Arial" w:cs="Arial" w:eastAsia="Arial" w:hAnsi="Arial"/>
          <w:sz w:val="18"/>
          <w:szCs w:val="18"/>
          <w:color w:val="auto"/>
        </w:rPr>
        <w:t>into 10 actionable and translatable targets.</w:t>
      </w: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Insight to Molecule</w:t>
      </w:r>
      <w:r>
        <w:rPr>
          <w:rFonts w:ascii="Arial" w:cs="Arial" w:eastAsia="Arial" w:hAnsi="Arial"/>
          <w:sz w:val="18"/>
          <w:szCs w:val="18"/>
          <w:color w:val="auto"/>
        </w:rPr>
        <w:t>: Designing differentiated molecules more efficiently</w:t>
      </w:r>
    </w:p>
    <w:p>
      <w:pPr>
        <w:spacing w:after="0" w:line="9" w:lineRule="exact"/>
        <w:rPr>
          <w:rFonts w:ascii="Arial" w:cs="Arial" w:eastAsia="Arial" w:hAnsi="Arial"/>
          <w:sz w:val="18"/>
          <w:szCs w:val="18"/>
          <w:color w:val="auto"/>
        </w:rPr>
      </w:pPr>
    </w:p>
    <w:p>
      <w:pPr>
        <w:ind w:left="1300" w:right="620" w:hanging="320"/>
        <w:spacing w:after="0" w:line="250" w:lineRule="auto"/>
        <w:tabs>
          <w:tab w:leader="none" w:pos="1296"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Proven platform productivity and reproducibility: </w:t>
      </w:r>
      <w:r>
        <w:rPr>
          <w:rFonts w:ascii="Arial" w:cs="Arial" w:eastAsia="Arial" w:hAnsi="Arial"/>
          <w:sz w:val="18"/>
          <w:szCs w:val="18"/>
          <w:color w:val="auto"/>
        </w:rPr>
        <w:t>To date, the platform has delivered &gt;10 development candidates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a wide variety of previously unsolved biology or chemistry problems.</w:t>
      </w:r>
    </w:p>
    <w:p>
      <w:pPr>
        <w:ind w:left="1300" w:right="40" w:hanging="320"/>
        <w:spacing w:after="0" w:line="250" w:lineRule="auto"/>
        <w:tabs>
          <w:tab w:leader="none" w:pos="1296" w:val="left"/>
        </w:tabs>
        <w:numPr>
          <w:ilvl w:val="1"/>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Advanced candidates have been delivered by synthesizing ~330 compounds per program in ~17 months, compared to industry averages of over 2,500 compounds and 42 months, respectively.</w:t>
      </w:r>
    </w:p>
    <w:p>
      <w:pPr>
        <w:ind w:left="1300" w:right="140" w:hanging="320"/>
        <w:spacing w:after="0" w:line="250" w:lineRule="auto"/>
        <w:tabs>
          <w:tab w:leader="none" w:pos="1296" w:val="left"/>
        </w:tabs>
        <w:numPr>
          <w:ilvl w:val="1"/>
          <w:numId w:val="96"/>
        </w:numPr>
        <w:rPr>
          <w:rFonts w:ascii="Arial" w:cs="Arial" w:eastAsia="Arial" w:hAnsi="Arial"/>
          <w:sz w:val="18"/>
          <w:szCs w:val="18"/>
          <w:color w:val="auto"/>
        </w:rPr>
      </w:pPr>
      <w:r>
        <w:rPr>
          <w:rFonts w:ascii="Arial" w:cs="Arial" w:eastAsia="Arial" w:hAnsi="Arial"/>
          <w:sz w:val="18"/>
          <w:szCs w:val="18"/>
          <w:color w:val="auto"/>
        </w:rPr>
        <w:t>Leverages an AI-native engine for the industrialized generation of over 100 million molecules annually through synthetically aware design, generating novel and patentable compounds.</w:t>
      </w: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Molecule to Patient: </w:t>
      </w:r>
      <w:r>
        <w:rPr>
          <w:rFonts w:ascii="Arial" w:cs="Arial" w:eastAsia="Arial" w:hAnsi="Arial"/>
          <w:sz w:val="18"/>
          <w:szCs w:val="18"/>
          <w:color w:val="auto"/>
        </w:rPr>
        <w:t>Advancing medicines into the clinic with improved patient relevance.</w:t>
      </w:r>
    </w:p>
    <w:p>
      <w:pPr>
        <w:spacing w:after="0" w:line="9" w:lineRule="exact"/>
        <w:rPr>
          <w:rFonts w:ascii="Arial" w:cs="Arial" w:eastAsia="Arial" w:hAnsi="Arial"/>
          <w:sz w:val="18"/>
          <w:szCs w:val="18"/>
          <w:color w:val="auto"/>
        </w:rPr>
      </w:pPr>
    </w:p>
    <w:p>
      <w:pPr>
        <w:ind w:left="1300" w:right="220" w:hanging="320"/>
        <w:spacing w:after="0" w:line="250" w:lineRule="auto"/>
        <w:tabs>
          <w:tab w:leader="none" w:pos="1296" w:val="left"/>
        </w:tabs>
        <w:numPr>
          <w:ilvl w:val="1"/>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Integrated high-quality, linked patient datasets to strengthen programs, bolster preclinical and early clinical data to select patients and optimize recruitment: </w:t>
      </w:r>
      <w:r>
        <w:rPr>
          <w:rFonts w:ascii="Arial" w:cs="Arial" w:eastAsia="Arial" w:hAnsi="Arial"/>
          <w:sz w:val="18"/>
          <w:szCs w:val="18"/>
          <w:color w:val="auto"/>
        </w:rPr>
        <w:t>Contextualized the single-arm efficacy of REC-4881 in the TUPELO study through real-world evidence analytics and AI-enabled data extraction, to build a comprehensive view of the lived, progressive-disease FAP patient experience, to directly inform clinical development strategy.</w:t>
      </w:r>
    </w:p>
    <w:p>
      <w:pPr>
        <w:spacing w:after="0" w:line="1" w:lineRule="exact"/>
        <w:rPr>
          <w:rFonts w:ascii="Arial" w:cs="Arial" w:eastAsia="Arial" w:hAnsi="Arial"/>
          <w:sz w:val="18"/>
          <w:szCs w:val="18"/>
          <w:i w:val="1"/>
          <w:iCs w:val="1"/>
          <w:color w:val="auto"/>
        </w:rPr>
      </w:pPr>
    </w:p>
    <w:p>
      <w:pPr>
        <w:ind w:left="1300" w:right="100" w:hanging="320"/>
        <w:spacing w:after="0" w:line="266" w:lineRule="auto"/>
        <w:tabs>
          <w:tab w:leader="none" w:pos="1296"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Rapid, data-driven optimization of clinical trial operations: </w:t>
      </w:r>
      <w:r>
        <w:rPr>
          <w:rFonts w:ascii="Arial" w:cs="Arial" w:eastAsia="Arial" w:hAnsi="Arial"/>
          <w:sz w:val="18"/>
          <w:szCs w:val="18"/>
          <w:color w:val="auto"/>
        </w:rPr>
        <w:t>Deployed global clinical trial site intelligence database, covering a</w:t>
      </w:r>
      <w:r>
        <w:rPr>
          <w:rFonts w:ascii="Arial" w:cs="Arial" w:eastAsia="Arial" w:hAnsi="Arial"/>
          <w:sz w:val="18"/>
          <w:szCs w:val="18"/>
          <w:i w:val="1"/>
          <w:iCs w:val="1"/>
          <w:color w:val="auto"/>
        </w:rPr>
        <w:t xml:space="preserve"> </w:t>
      </w:r>
      <w:r>
        <w:rPr>
          <w:rFonts w:ascii="Arial" w:cs="Arial" w:eastAsia="Arial" w:hAnsi="Arial"/>
          <w:sz w:val="18"/>
          <w:szCs w:val="18"/>
          <w:color w:val="auto"/>
        </w:rPr>
        <w:t>wide swath of historical clinical trials, to reduce trial country and site selection from months to hours.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Operations</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Since 2023, our financing and operating activities include the following: In July 2023, we issued an aggregate of 7.7 million shares of our Class A common stock at a purchase price of $6.49 per share in the 2023 Private Placement with NVIDIA Corporation for net proceeds of approximately $49.9 million. In August 2023, Recursion entered into an Open Market Sales Agreement with Jefferies LLC to provide for the offering, issuance and sale of up to an aggregate amount of $ 300.0 million of its Class A Common stock. The Company sold 26.8 million shares and received net proceeds of $199.1 million under the agreement. In June 2024, we issued an aggregate of 35.4 million shares of our Class A Common stock at a purchase price of $6.50 per share and received net proceeds of $216.4 million, after deducting transaction costs of $13.6 million. See Note 8, “Common Stock” to the Consolidated Financial Statements for additional information on the public offering. In September 2024, we received a Phenomap acceptance fee of $30.0 million from our collaboration with Roche. In February 2025, the Company terminated the Sales Agreement with Jefferies LLC and entered into a Sales Agreement with Citigroup Capital Markets Inc., to provide for the offering, issuance and sale of up to an aggregate amount of $ 500 million of its Class A common stock. For year ended December 31, 2025, the Company sold 99.9 million shares and received net proceeds of $491.7 million under the agreement. Pursuant to its terms, the Sales Agreement has completed and no amount</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remained available for future sales as of December 31, 2025. For the year ended December 31, 2025, we received multiple milestone payments related to our collaborative development contracts totaling $37.0 million.</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use the capital we have raised to fund operating and investing activities across platform research operations, drug discovery, clinical development, digital and other infrastructure, creation of our portfolio of intellectual property and administrative support. We do not have any products approved for commercial sale and have not generated any revenues from product sales. Cash, cash equivalents and restricted cash totaled $753.9 million as of December 31, 2025. Based on our current operating plan, we believe that our cash and cash equivalents will be sufficient to fund our operations for at least the next twelve months.</w:t>
      </w:r>
    </w:p>
    <w:p>
      <w:pPr>
        <w:spacing w:after="0" w:line="20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Since inception, we have incurred significant operating losses. Our net losses were $644.8 million, $463.7 million and $328.1 million during the years ended December 31, 2025, 2024 and 2023, respectively. As of December 31, 2025, our accumulated deficit was $2.1 billion.</w:t>
      </w:r>
    </w:p>
    <w:p>
      <w:pPr>
        <w:spacing w:after="0" w:line="18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As of December 31, 2025, we did not have any unconditional outstanding commitments for additional funding. 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19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had a valuation allowance against all of our Canadian subsidiary deferred tax assets (DTAs) as of December 31, 2025, and December 31, 2024 of $26.9 million and $25.3 million respectively. We intend to continue maintaining a full valuation allowance on the Canadian DTAs until there is sufficient evidence to support the reversal of all or some portion of these allowances. However, given our current earnings and anticipated future earnings of our Canadian operations, we believe that there is a reasonable possibility that within the next 12 months, sufficient positive evidence may become available to allow us to reach a conclusion that a significant portion of the valuation allowance will no longer be needed. Release of the valuation allowance would result in the recognition of certain DTAs and a decrease to income tax expense for the period the release is recorded. However, the exact timing and amount of the valuation allowance release are subject to change on the basis of the level of profitability that we are able to actually achieve.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2025 compared to 2024</w:t>
            </w:r>
          </w:p>
        </w:tc>
        <w:tc>
          <w:tcPr>
            <w:tcW w:w="1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2024 compared to 2023</w:t>
            </w:r>
          </w:p>
        </w:tc>
      </w:tr>
      <w:tr>
        <w:trPr>
          <w:trHeight w:val="228"/>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w:t>
            </w:r>
          </w:p>
        </w:tc>
      </w:tr>
      <w:tr>
        <w:trPr>
          <w:trHeight w:val="211"/>
        </w:trPr>
        <w:tc>
          <w:tcPr>
            <w:tcW w:w="306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74,256</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58,488</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15,768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27.0 % $</w:t>
            </w:r>
          </w:p>
        </w:tc>
        <w:tc>
          <w:tcPr>
            <w:tcW w:w="10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14,612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33.3 %</w:t>
            </w:r>
          </w:p>
        </w:tc>
      </w:tr>
      <w:tr>
        <w:trPr>
          <w:trHeight w:val="215"/>
        </w:trPr>
        <w:tc>
          <w:tcPr>
            <w:tcW w:w="30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74</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21.1 %</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(348)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74,681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58,839</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15,842</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26.9 %</w:t>
            </w:r>
          </w:p>
        </w:tc>
        <w:tc>
          <w:tcPr>
            <w:tcW w:w="10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14,264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32.0 %</w:t>
            </w:r>
          </w:p>
        </w:tc>
      </w:tr>
      <w:tr>
        <w:trPr>
          <w:trHeight w:val="257"/>
        </w:trPr>
        <w:tc>
          <w:tcPr>
            <w:tcW w:w="3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70,953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45,238</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42,587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40"/>
              <w:spacing w:after="0"/>
              <w:rPr>
                <w:sz w:val="20"/>
                <w:szCs w:val="20"/>
                <w:color w:val="auto"/>
              </w:rPr>
            </w:pPr>
            <w:r>
              <w:rPr>
                <w:rFonts w:ascii="Arial" w:cs="Arial" w:eastAsia="Arial" w:hAnsi="Arial"/>
                <w:sz w:val="16"/>
                <w:szCs w:val="16"/>
                <w:color w:val="auto"/>
              </w:rPr>
              <w:t>25,715</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56.8 %</w:t>
            </w:r>
          </w:p>
        </w:tc>
        <w:tc>
          <w:tcPr>
            <w:tcW w:w="1080" w:type="dxa"/>
            <w:vAlign w:val="bottom"/>
          </w:tcPr>
          <w:p>
            <w:pPr>
              <w:jc w:val="right"/>
              <w:ind w:right="220"/>
              <w:spacing w:after="0"/>
              <w:rPr>
                <w:sz w:val="20"/>
                <w:szCs w:val="20"/>
                <w:color w:val="auto"/>
              </w:rPr>
            </w:pPr>
            <w:r>
              <w:rPr>
                <w:rFonts w:ascii="Arial" w:cs="Arial" w:eastAsia="Arial" w:hAnsi="Arial"/>
                <w:sz w:val="16"/>
                <w:szCs w:val="16"/>
                <w:color w:val="auto"/>
              </w:rPr>
              <w:t>2,651</w:t>
            </w:r>
          </w:p>
        </w:tc>
        <w:tc>
          <w:tcPr>
            <w:tcW w:w="900" w:type="dxa"/>
            <w:vAlign w:val="bottom"/>
          </w:tcPr>
          <w:p>
            <w:pPr>
              <w:jc w:val="right"/>
              <w:spacing w:after="0"/>
              <w:rPr>
                <w:sz w:val="20"/>
                <w:szCs w:val="20"/>
                <w:color w:val="auto"/>
              </w:rPr>
            </w:pPr>
            <w:r>
              <w:rPr>
                <w:rFonts w:ascii="Arial" w:cs="Arial" w:eastAsia="Arial" w:hAnsi="Arial"/>
                <w:sz w:val="16"/>
                <w:szCs w:val="16"/>
                <w:color w:val="auto"/>
              </w:rPr>
              <w:t>6.2 %</w:t>
            </w: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475,271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314,421</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160,850</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51.2 %</w:t>
            </w:r>
          </w:p>
        </w:tc>
        <w:tc>
          <w:tcPr>
            <w:tcW w:w="10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73,195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30.3 %</w:t>
            </w:r>
          </w:p>
        </w:tc>
      </w:tr>
      <w:tr>
        <w:trPr>
          <w:trHeight w:val="215"/>
        </w:trPr>
        <w:tc>
          <w:tcPr>
            <w:tcW w:w="30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176,589</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178,184</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110,822</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(1,595)</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(0.9)%</w:t>
            </w:r>
          </w:p>
        </w:tc>
        <w:tc>
          <w:tcPr>
            <w:tcW w:w="10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67,362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60.8 %</w:t>
            </w: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costs and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722,813</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537,843</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394,635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184,970</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34.4 %</w:t>
            </w:r>
          </w:p>
        </w:tc>
        <w:tc>
          <w:tcPr>
            <w:tcW w:w="10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143,208</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r>
      <w:tr>
        <w:trPr>
          <w:trHeight w:val="257"/>
        </w:trPr>
        <w:tc>
          <w:tcPr>
            <w:tcW w:w="30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r>
      <w:tr>
        <w:trPr>
          <w:trHeight w:val="20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from operations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(648,132)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(479,004)</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(169,128)</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35.3 %</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(128,944)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36.8 %</w:t>
            </w:r>
          </w:p>
        </w:tc>
      </w:tr>
      <w:tr>
        <w:trPr>
          <w:trHeight w:val="215"/>
        </w:trPr>
        <w:tc>
          <w:tcPr>
            <w:tcW w:w="30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3,237</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14,216</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17,932</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(10,979)</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(77.2)%</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(3,716)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 benefit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(644,895)</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(464,788)</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(180,107)</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38.8 %</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(132,660)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39.9 %</w:t>
            </w:r>
          </w:p>
        </w:tc>
      </w:tr>
      <w:tr>
        <w:trPr>
          <w:trHeight w:val="215"/>
        </w:trPr>
        <w:tc>
          <w:tcPr>
            <w:tcW w:w="30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Income tax benefit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(991)</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(87.9)%</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(2,935)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r>
      <w:tr>
        <w:trPr>
          <w:trHeight w:val="235"/>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(644,759)</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(463,661)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(328,066)</w:t>
            </w:r>
          </w:p>
        </w:tc>
        <w:tc>
          <w:tcPr>
            <w:tcW w:w="2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(181,098)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39.1 % $</w:t>
            </w:r>
          </w:p>
        </w:tc>
        <w:tc>
          <w:tcPr>
            <w:tcW w:w="10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(135,595)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41.3 %</w:t>
            </w:r>
          </w:p>
        </w:tc>
      </w:tr>
      <w:tr>
        <w:trPr>
          <w:trHeight w:val="20"/>
        </w:trPr>
        <w:tc>
          <w:tcPr>
            <w:tcW w:w="3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revenue: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2025 compared to 2024</w:t>
            </w:r>
          </w:p>
        </w:tc>
        <w:tc>
          <w:tcPr>
            <w:tcW w:w="198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4"/>
                <w:szCs w:val="14"/>
                <w:b w:val="1"/>
                <w:bCs w:val="1"/>
                <w:color w:val="auto"/>
              </w:rPr>
              <w:t>2024 compared to 2023</w:t>
            </w:r>
          </w:p>
        </w:tc>
      </w:tr>
      <w:tr>
        <w:trPr>
          <w:trHeight w:val="22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r>
      <w:tr>
        <w:trPr>
          <w:trHeight w:val="210"/>
        </w:trPr>
        <w:tc>
          <w:tcPr>
            <w:tcW w:w="3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3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74,256</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58,488</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15,768</w:t>
            </w:r>
          </w:p>
        </w:tc>
        <w:tc>
          <w:tcPr>
            <w:tcW w:w="11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27.0 % $</w:t>
            </w:r>
          </w:p>
        </w:tc>
        <w:tc>
          <w:tcPr>
            <w:tcW w:w="10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14,612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33.3 %</w:t>
            </w:r>
          </w:p>
        </w:tc>
      </w:tr>
      <w:tr>
        <w:trPr>
          <w:trHeight w:val="215"/>
        </w:trPr>
        <w:tc>
          <w:tcPr>
            <w:tcW w:w="30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74</w:t>
            </w: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21.1 %</w:t>
            </w:r>
          </w:p>
        </w:tc>
        <w:tc>
          <w:tcPr>
            <w:tcW w:w="108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(348)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r>
      <w:tr>
        <w:trPr>
          <w:trHeight w:val="234"/>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74,681</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58,839</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44,575</w:t>
            </w:r>
          </w:p>
        </w:tc>
        <w:tc>
          <w:tcPr>
            <w:tcW w:w="2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15,842</w:t>
            </w:r>
          </w:p>
        </w:tc>
        <w:tc>
          <w:tcPr>
            <w:tcW w:w="11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26.9 % $</w:t>
            </w:r>
          </w:p>
        </w:tc>
        <w:tc>
          <w:tcPr>
            <w:tcW w:w="10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14,264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32.0 %</w:t>
            </w: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 is generated through research and development agreements derived from strategic alliances.</w:t>
      </w:r>
    </w:p>
    <w:p>
      <w:pPr>
        <w:spacing w:after="0" w:line="27" w:lineRule="exact"/>
        <w:rPr>
          <w:sz w:val="20"/>
          <w:szCs w:val="20"/>
          <w:color w:val="auto"/>
        </w:rPr>
      </w:pPr>
    </w:p>
    <w:p>
      <w:pPr>
        <w:ind w:right="700"/>
        <w:spacing w:after="0" w:line="266" w:lineRule="auto"/>
        <w:rPr>
          <w:sz w:val="20"/>
          <w:szCs w:val="20"/>
          <w:color w:val="auto"/>
        </w:rPr>
      </w:pPr>
      <w:r>
        <w:rPr>
          <w:rFonts w:ascii="Arial" w:cs="Arial" w:eastAsia="Arial" w:hAnsi="Arial"/>
          <w:sz w:val="18"/>
          <w:szCs w:val="18"/>
          <w:color w:val="auto"/>
        </w:rPr>
        <w:t>We are entitled to receive variable consideration as certain milestones are achieved. The timing of revenue recognition is not directly correlated to the timing of cash receipts.</w:t>
      </w:r>
    </w:p>
    <w:p>
      <w:pPr>
        <w:spacing w:after="0" w:line="19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the year ended December 31, 2025, the increase in revenue compared to the prior year was due to revenue recognized from our partnership with Sanofi. In 2024, the Sanofi contract was included in Recursion’s results beginning on November 20, 2024, the date of the Exscientia combination and therefore the year ended December 31, 2024 results only included revenue starting at that point compared to a full year of revenue for the year ended December 31, 2025. See Note 9, “Collaborative Development Contracts” to the Consolidated Financial Statements for additional information. The increase related to the Sanofi contract was partially offset by a decrease in revenue recognized from Roche, which was due to the timing of our mix of work on the performance obligations. For the year ended December 31, 2024, the increase in revenue compared to the prior year was due to revenue recognized from our partnership with Roche. We recognized revenue related to the acceptance fee for the completion of a Phenomap for one of our neuroscience performance obligations. The consideration did not include the $30 million milestone until the map was accepted, which was during the third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cost of revenue: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Years ended December 31,</w:t>
            </w:r>
          </w:p>
        </w:tc>
        <w:tc>
          <w:tcPr>
            <w:tcW w:w="242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rPr>
              <w:t>2025 compared to 2024</w:t>
            </w:r>
          </w:p>
        </w:tc>
        <w:tc>
          <w:tcPr>
            <w:tcW w:w="200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2024 compared to 2023</w:t>
            </w:r>
          </w:p>
        </w:tc>
      </w:tr>
      <w:tr>
        <w:trPr>
          <w:trHeight w:val="242"/>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249"/>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70,953</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45,238</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42,587</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  25,715</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56.8 % $</w:t>
            </w:r>
          </w:p>
        </w:tc>
        <w:tc>
          <w:tcPr>
            <w:tcW w:w="9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2,651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0"/>
        </w:trPr>
        <w:tc>
          <w:tcPr>
            <w:tcW w:w="3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Cost of revenue consists of the Company’s costs to provide services for drug discovery required under performance obligations with partnership customers. These primarily include materials costs, service hours performed by our employees and depreciation of property and equipment.</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the year ended December 31, 2025, the increase in cost of revenue compared to the prior year was due to our Exscientia acquisition for which the cost of revenue is now included for the full year. For the year ended December 31, 2024, the increase in cost of revenue compared to the prior year was due to our Exscientia acquisition for which our results now also include additional customers.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research and development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gridSpan w:val="6"/>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7"/>
                <w:szCs w:val="17"/>
                <w:color w:val="auto"/>
              </w:rPr>
            </w:pPr>
          </w:p>
        </w:tc>
        <w:tc>
          <w:tcPr>
            <w:tcW w:w="2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2025 compared to 2024</w:t>
            </w:r>
          </w:p>
        </w:tc>
        <w:tc>
          <w:tcPr>
            <w:tcW w:w="2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2024 compared to 2023</w:t>
            </w:r>
          </w:p>
        </w:tc>
      </w:tr>
      <w:tr>
        <w:trPr>
          <w:trHeight w:val="22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w:t>
            </w: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Platform</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232,557</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144,413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96,796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88,144</w:t>
            </w:r>
          </w:p>
        </w:tc>
        <w:tc>
          <w:tcPr>
            <w:tcW w:w="1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61.0 % $</w:t>
            </w:r>
          </w:p>
        </w:tc>
        <w:tc>
          <w:tcPr>
            <w:tcW w:w="10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47,617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49.2 %</w:t>
            </w:r>
          </w:p>
        </w:tc>
      </w:tr>
      <w:tr>
        <w:trPr>
          <w:trHeight w:val="215"/>
        </w:trPr>
        <w:tc>
          <w:tcPr>
            <w:tcW w:w="3600" w:type="dxa"/>
            <w:vAlign w:val="bottom"/>
          </w:tcPr>
          <w:p>
            <w:pPr>
              <w:ind w:left="140"/>
              <w:spacing w:after="0"/>
              <w:rPr>
                <w:sz w:val="20"/>
                <w:szCs w:val="20"/>
                <w:color w:val="auto"/>
              </w:rPr>
            </w:pPr>
            <w:r>
              <w:rPr>
                <w:rFonts w:ascii="Arial" w:cs="Arial" w:eastAsia="Arial" w:hAnsi="Arial"/>
                <w:sz w:val="16"/>
                <w:szCs w:val="16"/>
                <w:color w:val="auto"/>
              </w:rPr>
              <w:t>Discovery</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81,808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69,957</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62,142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41"/>
              <w:spacing w:after="0"/>
              <w:rPr>
                <w:sz w:val="20"/>
                <w:szCs w:val="20"/>
                <w:color w:val="auto"/>
              </w:rPr>
            </w:pPr>
            <w:r>
              <w:rPr>
                <w:rFonts w:ascii="Arial" w:cs="Arial" w:eastAsia="Arial" w:hAnsi="Arial"/>
                <w:sz w:val="16"/>
                <w:szCs w:val="16"/>
                <w:color w:val="auto"/>
              </w:rPr>
              <w:t>11,851</w:t>
            </w:r>
          </w:p>
        </w:tc>
        <w:tc>
          <w:tcPr>
            <w:tcW w:w="1120" w:type="dxa"/>
            <w:vAlign w:val="bottom"/>
          </w:tcPr>
          <w:p>
            <w:pPr>
              <w:ind w:left="380"/>
              <w:spacing w:after="0"/>
              <w:rPr>
                <w:sz w:val="20"/>
                <w:szCs w:val="20"/>
                <w:color w:val="auto"/>
              </w:rPr>
            </w:pPr>
            <w:r>
              <w:rPr>
                <w:rFonts w:ascii="Arial" w:cs="Arial" w:eastAsia="Arial" w:hAnsi="Arial"/>
                <w:sz w:val="16"/>
                <w:szCs w:val="16"/>
                <w:color w:val="auto"/>
              </w:rPr>
              <w:t>16.9 %</w:t>
            </w:r>
          </w:p>
        </w:tc>
        <w:tc>
          <w:tcPr>
            <w:tcW w:w="1080" w:type="dxa"/>
            <w:vAlign w:val="bottom"/>
          </w:tcPr>
          <w:p>
            <w:pPr>
              <w:jc w:val="right"/>
              <w:ind w:right="261"/>
              <w:spacing w:after="0"/>
              <w:rPr>
                <w:sz w:val="20"/>
                <w:szCs w:val="20"/>
                <w:color w:val="auto"/>
              </w:rPr>
            </w:pPr>
            <w:r>
              <w:rPr>
                <w:rFonts w:ascii="Arial" w:cs="Arial" w:eastAsia="Arial" w:hAnsi="Arial"/>
                <w:sz w:val="16"/>
                <w:szCs w:val="16"/>
                <w:color w:val="auto"/>
              </w:rPr>
              <w:t>7,815</w:t>
            </w:r>
          </w:p>
        </w:tc>
        <w:tc>
          <w:tcPr>
            <w:tcW w:w="940" w:type="dxa"/>
            <w:vAlign w:val="bottom"/>
          </w:tcPr>
          <w:p>
            <w:pPr>
              <w:jc w:val="right"/>
              <w:spacing w:after="0"/>
              <w:rPr>
                <w:sz w:val="20"/>
                <w:szCs w:val="20"/>
                <w:color w:val="auto"/>
              </w:rPr>
            </w:pPr>
            <w:r>
              <w:rPr>
                <w:rFonts w:ascii="Arial" w:cs="Arial" w:eastAsia="Arial" w:hAnsi="Arial"/>
                <w:sz w:val="16"/>
                <w:szCs w:val="16"/>
                <w:color w:val="auto"/>
              </w:rPr>
              <w:t>12.6 %</w:t>
            </w:r>
          </w:p>
        </w:tc>
      </w:tr>
      <w:tr>
        <w:trPr>
          <w:trHeight w:val="217"/>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Clinical</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81,102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62,916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57,564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18,186</w:t>
            </w:r>
          </w:p>
        </w:tc>
        <w:tc>
          <w:tcPr>
            <w:tcW w:w="1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28.9 %</w:t>
            </w:r>
          </w:p>
        </w:tc>
        <w:tc>
          <w:tcPr>
            <w:tcW w:w="10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5,352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15"/>
        </w:trPr>
        <w:tc>
          <w:tcPr>
            <w:tcW w:w="3600" w:type="dxa"/>
            <w:vAlign w:val="bottom"/>
          </w:tcPr>
          <w:p>
            <w:pPr>
              <w:ind w:left="140"/>
              <w:spacing w:after="0"/>
              <w:rPr>
                <w:sz w:val="20"/>
                <w:szCs w:val="20"/>
                <w:color w:val="auto"/>
              </w:rPr>
            </w:pPr>
            <w:r>
              <w:rPr>
                <w:rFonts w:ascii="Arial" w:cs="Arial" w:eastAsia="Arial" w:hAnsi="Arial"/>
                <w:sz w:val="16"/>
                <w:szCs w:val="16"/>
                <w:color w:val="auto"/>
              </w:rPr>
              <w:t>Acquired IPR&amp;D</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22,840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ind w:right="241"/>
              <w:spacing w:after="0"/>
              <w:rPr>
                <w:sz w:val="20"/>
                <w:szCs w:val="20"/>
                <w:color w:val="auto"/>
              </w:rPr>
            </w:pPr>
            <w:r>
              <w:rPr>
                <w:rFonts w:ascii="Arial" w:cs="Arial" w:eastAsia="Arial" w:hAnsi="Arial"/>
                <w:sz w:val="16"/>
                <w:szCs w:val="16"/>
                <w:color w:val="auto"/>
              </w:rPr>
              <w:t>22,840</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n/m</w:t>
            </w:r>
          </w:p>
        </w:tc>
        <w:tc>
          <w:tcPr>
            <w:tcW w:w="10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based compensation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63,177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25,846</w:t>
            </w:r>
          </w:p>
        </w:tc>
        <w:tc>
          <w:tcPr>
            <w:tcW w:w="1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69.2 %</w:t>
            </w:r>
          </w:p>
        </w:tc>
        <w:tc>
          <w:tcPr>
            <w:tcW w:w="10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14,570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64.0 %</w:t>
            </w:r>
          </w:p>
        </w:tc>
      </w:tr>
      <w:tr>
        <w:trPr>
          <w:trHeight w:val="215"/>
        </w:trPr>
        <w:tc>
          <w:tcPr>
            <w:tcW w:w="3600" w:type="dxa"/>
            <w:vAlign w:val="bottom"/>
          </w:tcPr>
          <w:p>
            <w:pPr>
              <w:ind w:left="140"/>
              <w:spacing w:after="0"/>
              <w:rPr>
                <w:sz w:val="20"/>
                <w:szCs w:val="20"/>
                <w:color w:val="auto"/>
              </w:rPr>
            </w:pPr>
            <w:r>
              <w:rPr>
                <w:rFonts w:ascii="Arial" w:cs="Arial" w:eastAsia="Arial" w:hAnsi="Arial"/>
                <w:sz w:val="16"/>
                <w:szCs w:val="16"/>
                <w:color w:val="auto"/>
              </w:rPr>
              <w:t>UK R&amp;D tax credit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(7,710)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(1,769)</w:t>
            </w:r>
          </w:p>
        </w:tc>
        <w:tc>
          <w:tcPr>
            <w:tcW w:w="2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(5,941)</w:t>
            </w:r>
          </w:p>
        </w:tc>
        <w:tc>
          <w:tcPr>
            <w:tcW w:w="1120" w:type="dxa"/>
            <w:vAlign w:val="bottom"/>
          </w:tcPr>
          <w:p>
            <w:pPr>
              <w:ind w:left="380"/>
              <w:spacing w:after="0"/>
              <w:rPr>
                <w:sz w:val="20"/>
                <w:szCs w:val="20"/>
                <w:color w:val="auto"/>
              </w:rPr>
            </w:pPr>
            <w:r>
              <w:rPr>
                <w:rFonts w:ascii="Arial" w:cs="Arial" w:eastAsia="Arial" w:hAnsi="Arial"/>
                <w:sz w:val="16"/>
                <w:szCs w:val="16"/>
                <w:color w:val="auto"/>
              </w:rPr>
              <w:t>&gt;100%</w:t>
            </w: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(1,769)</w:t>
            </w:r>
          </w:p>
        </w:tc>
        <w:tc>
          <w:tcPr>
            <w:tcW w:w="9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(76)</w:t>
            </w:r>
          </w:p>
        </w:tc>
        <w:tc>
          <w:tcPr>
            <w:tcW w:w="11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(4.8)%</w:t>
            </w:r>
          </w:p>
        </w:tc>
        <w:tc>
          <w:tcPr>
            <w:tcW w:w="10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(390)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475,271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314,421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241,226</w:t>
            </w: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160,850</w:t>
            </w: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51.2 % $</w:t>
            </w:r>
          </w:p>
        </w:tc>
        <w:tc>
          <w:tcPr>
            <w:tcW w:w="10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73,195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30.3 %</w:t>
            </w:r>
          </w:p>
        </w:tc>
      </w:tr>
      <w:tr>
        <w:trPr>
          <w:trHeight w:val="21"/>
        </w:trPr>
        <w:tc>
          <w:tcPr>
            <w:tcW w:w="3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1E1E1E"/>
        </w:rPr>
        <w:t>n/m = Not meaningful</w:t>
      </w:r>
    </w:p>
    <w:p>
      <w:pPr>
        <w:spacing w:after="0" w:line="36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Research and development expenses account for a significant portion of our operating expenses. We recognize research and development expenses as they are incurred. Research and development expenses consist of costs incurred in performing activities including:</w:t>
      </w:r>
    </w:p>
    <w:p>
      <w:pPr>
        <w:spacing w:after="0" w:line="180" w:lineRule="exact"/>
        <w:rPr>
          <w:sz w:val="20"/>
          <w:szCs w:val="20"/>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costs to develop and operate our platform;</w:t>
      </w:r>
    </w:p>
    <w:p>
      <w:pPr>
        <w:spacing w:after="0" w:line="27"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costs of discovery efforts which may lead to development candidates, including research materials and external research;</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costs for clinical development of our investigational products;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costs for materials and supplies associated with the manufacture of active pharmaceutical ingredients, investigational products for preclinical testing and clinical trials;</w:t>
      </w:r>
    </w:p>
    <w:p>
      <w:pPr>
        <w:ind w:left="980" w:right="400" w:hanging="324"/>
        <w:spacing w:after="0" w:line="250" w:lineRule="auto"/>
        <w:tabs>
          <w:tab w:leader="none" w:pos="9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bonuses and stock-based compensation for employees engaged in research and development functions;</w:t>
      </w: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costs associated with operating our digital infrastructure; and</w:t>
      </w:r>
    </w:p>
    <w:p>
      <w:pPr>
        <w:spacing w:after="0" w:line="9" w:lineRule="exact"/>
        <w:rPr>
          <w:rFonts w:ascii="Arial" w:cs="Arial" w:eastAsia="Arial" w:hAnsi="Arial"/>
          <w:sz w:val="18"/>
          <w:szCs w:val="18"/>
          <w:color w:val="auto"/>
        </w:rPr>
      </w:pPr>
    </w:p>
    <w:p>
      <w:pPr>
        <w:ind w:left="980" w:right="420" w:hanging="324"/>
        <w:spacing w:after="0" w:line="250" w:lineRule="auto"/>
        <w:tabs>
          <w:tab w:leader="none" w:pos="9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other direct and allocated expenses incurred as a result of research and development activities, including those for facilities, depreciation, amortization and insurance.</w:t>
      </w:r>
    </w:p>
    <w:p>
      <w:pPr>
        <w:ind w:left="980" w:right="620" w:hanging="324"/>
        <w:spacing w:after="0" w:line="266" w:lineRule="auto"/>
        <w:tabs>
          <w:tab w:leader="none" w:pos="9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certain cash refundable research and development tax credits including the research and development expenditure credit (RDEC) in the United Kingdom</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25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Significant components of research and development expense include the following allocated by development phase: Platform, which refers primarily to expenses related to screening of product candidates through hit identification, this also includes expenses related to Tempus records purchased; Discovery, which refers primarily to expenses related to hit identification through development of candidates; and Clinical, which refers primarily to expenses related to development of candidates and beyond.</w:t>
      </w:r>
    </w:p>
    <w:p>
      <w:pPr>
        <w:spacing w:after="0" w:line="20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For the year ended December 31, 2025, the increase in research and development expenses compared to the prior year was driven by Tempus record purchases of $49.9 million, acquired IPR&amp;D purchases of $22.8 million and the inclusion of Exscientia’s results of $102.4 million.</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year ended December 31, 2024, the increase in research and development expenses compared to the prior year was driven by our platform and personnel costs as we continued to expand and upgrade our platform, including our chemical technology, machine learning and transcriptomics platform.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general and administrative expense: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3280" w:type="dxa"/>
            <w:vAlign w:val="bottom"/>
            <w:gridSpan w:val="6"/>
          </w:tcPr>
          <w:p>
            <w:pPr>
              <w:ind w:left="60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7"/>
                <w:szCs w:val="17"/>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b w:val="1"/>
                <w:bCs w:val="1"/>
                <w:color w:val="auto"/>
              </w:rPr>
              <w:t>2025 compared to 2024</w:t>
            </w:r>
          </w:p>
        </w:tc>
        <w:tc>
          <w:tcPr>
            <w:tcW w:w="1980" w:type="dxa"/>
            <w:vAlign w:val="bottom"/>
            <w:gridSpan w:val="2"/>
          </w:tcPr>
          <w:p>
            <w:pPr>
              <w:ind w:left="100"/>
              <w:spacing w:after="0"/>
              <w:rPr>
                <w:sz w:val="20"/>
                <w:szCs w:val="20"/>
                <w:color w:val="auto"/>
              </w:rPr>
            </w:pPr>
            <w:r>
              <w:rPr>
                <w:rFonts w:ascii="Arial" w:cs="Arial" w:eastAsia="Arial" w:hAnsi="Arial"/>
                <w:sz w:val="14"/>
                <w:szCs w:val="14"/>
                <w:b w:val="1"/>
                <w:bCs w:val="1"/>
                <w:color w:val="auto"/>
              </w:rPr>
              <w:t>2024 compared to 2023</w:t>
            </w:r>
          </w:p>
        </w:tc>
      </w:tr>
      <w:tr>
        <w:trPr>
          <w:trHeight w:val="22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98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w:t>
            </w:r>
          </w:p>
        </w:tc>
      </w:tr>
      <w:tr>
        <w:trPr>
          <w:trHeight w:val="235"/>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general and administrative expense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176,589</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178,184</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110,822</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(1,595)</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(0.9)% $</w:t>
            </w:r>
          </w:p>
        </w:tc>
        <w:tc>
          <w:tcPr>
            <w:tcW w:w="10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67,362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r>
      <w:tr>
        <w:trPr>
          <w:trHeight w:val="20"/>
        </w:trPr>
        <w:tc>
          <w:tcPr>
            <w:tcW w:w="3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expense general and administrative costs as incurred. General and administrative expenses consist primarily of salaries; including employee benefits and stock-based compensation. General and administrative expenses also include facilities, depreciation, information technology, professional fees for auditing and tax, legal fees for corporate and patent matters and insurance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2025, the decrease in general and administrative expense compared to the prior year was not significant.</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year ended December 31, 2024, the increase in general and administrative expense compared to the prior year was primarily driven by an increase in salaries and wages of $21.1 million, transaction costs of $20.5 million and the inclusion of Exscientia’s results of $11.3 million. We also had increases in software and lease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other income, net: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4"/>
                <w:szCs w:val="14"/>
                <w:b w:val="1"/>
                <w:bCs w:val="1"/>
                <w:color w:val="auto"/>
              </w:rPr>
              <w:t>2025 compared to 2024</w:t>
            </w: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2024 compared to 2023</w:t>
            </w:r>
          </w:p>
        </w:tc>
      </w:tr>
      <w:tr>
        <w:trPr>
          <w:trHeight w:val="229"/>
        </w:trPr>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r>
      <w:tr>
        <w:trPr>
          <w:trHeight w:val="210"/>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22,788</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15,758</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7,030</w:t>
            </w: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44.6 % $</w:t>
            </w:r>
          </w:p>
        </w:tc>
        <w:tc>
          <w:tcPr>
            <w:tcW w:w="1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(3,358)</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(1,572)</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82"/>
              <w:spacing w:after="0"/>
              <w:rPr>
                <w:sz w:val="20"/>
                <w:szCs w:val="20"/>
                <w:color w:val="auto"/>
              </w:rPr>
            </w:pPr>
            <w:r>
              <w:rPr>
                <w:rFonts w:ascii="Arial" w:cs="Arial" w:eastAsia="Arial" w:hAnsi="Arial"/>
                <w:sz w:val="16"/>
                <w:szCs w:val="16"/>
                <w:color w:val="auto"/>
              </w:rPr>
              <w:t>(238)</w:t>
            </w:r>
          </w:p>
        </w:tc>
        <w:tc>
          <w:tcPr>
            <w:tcW w:w="920" w:type="dxa"/>
            <w:vAlign w:val="bottom"/>
          </w:tcPr>
          <w:p>
            <w:pPr>
              <w:jc w:val="right"/>
              <w:spacing w:after="0"/>
              <w:rPr>
                <w:sz w:val="20"/>
                <w:szCs w:val="20"/>
                <w:color w:val="auto"/>
              </w:rPr>
            </w:pPr>
            <w:r>
              <w:rPr>
                <w:rFonts w:ascii="Arial" w:cs="Arial" w:eastAsia="Arial" w:hAnsi="Arial"/>
                <w:sz w:val="16"/>
                <w:szCs w:val="16"/>
                <w:color w:val="auto"/>
              </w:rPr>
              <w:t>15.1 %</w:t>
            </w:r>
          </w:p>
        </w:tc>
        <w:tc>
          <w:tcPr>
            <w:tcW w:w="200" w:type="dxa"/>
            <w:vAlign w:val="bottom"/>
          </w:tcPr>
          <w:p>
            <w:pPr>
              <w:spacing w:after="0"/>
              <w:rPr>
                <w:sz w:val="18"/>
                <w:szCs w:val="18"/>
                <w:color w:val="auto"/>
              </w:rPr>
            </w:pPr>
          </w:p>
        </w:tc>
        <w:tc>
          <w:tcPr>
            <w:tcW w:w="1080" w:type="dxa"/>
            <w:vAlign w:val="bottom"/>
          </w:tcPr>
          <w:p>
            <w:pPr>
              <w:ind w:left="300"/>
              <w:spacing w:after="0"/>
              <w:rPr>
                <w:sz w:val="20"/>
                <w:szCs w:val="20"/>
                <w:color w:val="auto"/>
              </w:rPr>
            </w:pPr>
            <w:r>
              <w:rPr>
                <w:rFonts w:ascii="Arial" w:cs="Arial" w:eastAsia="Arial" w:hAnsi="Arial"/>
                <w:sz w:val="16"/>
                <w:szCs w:val="16"/>
                <w:color w:val="auto"/>
              </w:rPr>
              <w:t>(1,475)</w:t>
            </w:r>
          </w:p>
        </w:tc>
        <w:tc>
          <w:tcPr>
            <w:tcW w:w="90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(17,741)</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2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(17,771)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1,117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3,237</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14,216</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17,932</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(10,979)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(3,716)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r>
      <w:tr>
        <w:trPr>
          <w:trHeight w:val="21"/>
        </w:trPr>
        <w:tc>
          <w:tcPr>
            <w:tcW w:w="3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1E1E1E"/>
        </w:rPr>
        <w:t>n/m = Not meaningful</w:t>
      </w:r>
    </w:p>
    <w:p>
      <w:pPr>
        <w:spacing w:after="0" w:line="24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For the year ended December 31, 2025, the decrease in other income, net compared to the prior year related to our loss on disposal of Exscientia GmbH of $4.5 million and our Vienna lease termination fee of $5.2 million.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decrease was partially offset by an increase in interest income driven by our increase in earnings on cash and cash equivalents.</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For the year ended December 31, 2024, the decrease in other income, net compared to the prior year was related to a decrease in earnings on cash and cash equivalents in money market funds.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not yet commercialized any products and do not expect to generate revenue from the sales of any product candidates for at least several years. Cash, cash equivalents and restricted cash totaled $753.9 million and $603.0 million as of December 31, 2025 and 2024, respectively.</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have incurred operating losses and experienced negative operating cash flows and we anticipate that the Company will continue to incur losses for at least the foreseeable future. Our net loss was $644.8 million, $463.7 million and $328.1 million during the years ended December 31, 2025, 2024 and 2023, respectively. As of December 31, 2025, we had an accumulated deficit of $2.1 billion.</w:t>
      </w:r>
    </w:p>
    <w:p>
      <w:pPr>
        <w:spacing w:after="0" w:line="19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Since 2023, we have financed our operations primarily through Class A common stock issuances. As of December 31, 2025, we have received net proceeds of $957.1 million from Class A common stock issuances. See Note 8, “Common Stock” to the Consolidated Financial Statements for additional details on Class A common stock issuances. Additionally, since 2023, we have also received proceeds of $ 74.0 million from our strategic partnerships. See Note 9, “Collaborative Development Contracts” to the Consolidated Financial Statements for additional details on the strategic partnerships.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Consolidated Statements of Cash Flows: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center"/>
              <w:ind w:left="637"/>
              <w:spacing w:after="0"/>
              <w:rPr>
                <w:sz w:val="20"/>
                <w:szCs w:val="20"/>
                <w:color w:val="auto"/>
              </w:rPr>
            </w:pPr>
            <w:r>
              <w:rPr>
                <w:rFonts w:ascii="Arial" w:cs="Arial" w:eastAsia="Arial" w:hAnsi="Arial"/>
                <w:sz w:val="14"/>
                <w:szCs w:val="14"/>
                <w:b w:val="1"/>
                <w:bCs w:val="1"/>
                <w:color w:val="auto"/>
              </w:rPr>
              <w:t>Years ended December 31,</w:t>
            </w:r>
          </w:p>
        </w:tc>
        <w:tc>
          <w:tcPr>
            <w:tcW w:w="1060" w:type="dxa"/>
            <w:vAlign w:val="bottom"/>
            <w:tcBorders>
              <w:bottom w:val="single" w:sz="8" w:color="auto"/>
            </w:tcBorders>
          </w:tcPr>
          <w:p>
            <w:pPr>
              <w:spacing w:after="0"/>
              <w:rPr>
                <w:sz w:val="17"/>
                <w:szCs w:val="17"/>
                <w:color w:val="auto"/>
              </w:rPr>
            </w:pPr>
          </w:p>
        </w:tc>
      </w:tr>
      <w:tr>
        <w:trPr>
          <w:trHeight w:val="228"/>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(371,808)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8"/>
              </w:rPr>
              <w:t>(359,174)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(287,780)</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Cash provided by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(16,871)</w:t>
            </w:r>
          </w:p>
        </w:tc>
        <w:tc>
          <w:tcPr>
            <w:tcW w:w="360" w:type="dxa"/>
            <w:vAlign w:val="bottom"/>
          </w:tcPr>
          <w:p>
            <w:pPr>
              <w:spacing w:after="0"/>
              <w:rPr>
                <w:sz w:val="19"/>
                <w:szCs w:val="19"/>
                <w:color w:val="auto"/>
              </w:rPr>
            </w:pPr>
          </w:p>
        </w:tc>
        <w:tc>
          <w:tcPr>
            <w:tcW w:w="1100" w:type="dxa"/>
            <w:vAlign w:val="bottom"/>
          </w:tcPr>
          <w:p>
            <w:pPr>
              <w:jc w:val="center"/>
              <w:ind w:left="195"/>
              <w:spacing w:after="0"/>
              <w:rPr>
                <w:sz w:val="20"/>
                <w:szCs w:val="20"/>
                <w:color w:val="auto"/>
              </w:rPr>
            </w:pPr>
            <w:r>
              <w:rPr>
                <w:rFonts w:ascii="Arial" w:cs="Arial" w:eastAsia="Arial" w:hAnsi="Arial"/>
                <w:sz w:val="18"/>
                <w:szCs w:val="18"/>
                <w:color w:val="auto"/>
              </w:rPr>
              <w:t>260,059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(10,228)</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521,532</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195"/>
              <w:spacing w:after="0"/>
              <w:rPr>
                <w:sz w:val="20"/>
                <w:szCs w:val="20"/>
                <w:color w:val="auto"/>
              </w:rPr>
            </w:pPr>
            <w:r>
              <w:rPr>
                <w:rFonts w:ascii="Arial" w:cs="Arial" w:eastAsia="Arial" w:hAnsi="Arial"/>
                <w:sz w:val="18"/>
                <w:szCs w:val="18"/>
                <w:color w:val="auto"/>
              </w:rPr>
              <w:t>304,120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140,133</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Cash used in operating activities increased during the year ended December 31, 2025 as a result of higher costs incurred for research and development and general and administrative primarily due to the Company’s acquisition of Exscientia. This included partnership inflows of $37.0 million, Exscientia GmbH disposal related payments of $9.7 million and severance payments of $15.1 million. See Note 4, “Acquisitions” to the Consolidated Financial Statements for additional details related to the Exscientia acquisition and Exscientia GmbH disposal.</w:t>
      </w:r>
    </w:p>
    <w:p>
      <w:pPr>
        <w:spacing w:after="0" w:line="210" w:lineRule="exact"/>
        <w:rPr>
          <w:sz w:val="20"/>
          <w:szCs w:val="20"/>
          <w:color w:val="auto"/>
        </w:rPr>
      </w:pPr>
    </w:p>
    <w:p>
      <w:pPr>
        <w:jc w:val="both"/>
        <w:ind w:right="160"/>
        <w:spacing w:after="0" w:line="291" w:lineRule="auto"/>
        <w:rPr>
          <w:sz w:val="20"/>
          <w:szCs w:val="20"/>
          <w:color w:val="auto"/>
        </w:rPr>
      </w:pPr>
      <w:r>
        <w:rPr>
          <w:rFonts w:ascii="Arial" w:cs="Arial" w:eastAsia="Arial" w:hAnsi="Arial"/>
          <w:sz w:val="17"/>
          <w:szCs w:val="17"/>
          <w:color w:val="auto"/>
        </w:rPr>
        <w:t>Cash used in operating activities increased during the year ended December 31, 2024 as a result of higher costs incurred for research and development and general and administrative due to the Company’s expansion and upgraded capabilities. Additionally, cash used increased as a result of our acquisition of Exscientia. See Note 4, “Acquisitions” to the Consolidated Financial Statements for additional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Cash used in investing activities during the year ended December 31, 2025 primarily consisted of the disposal of Exscientia GmbH of $4.4 million and property and equipment purchases of $6.5 million.</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Cash provided by investing activities during the year ended December 31, 2024 consisted of $277.1 million as part of the Exscientia acquisition. This was partially offset by property and equipment purchases of $13.7 million, which included $2.9 million to upgrade the BioHive-2 supercomputer and lab equipment purchases. Additionally, investing activities included the purchase of an intangible asset of $3.0 million from Helix.</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Cash provided by financing activities during the year ended December 31, 2025 primarily included proceeds of $528.9 million from Class A common stock issuances related to our at-the-market offerings (ATMs) which was partially offset by our repayment of long-term debt and finance lease liabilities of $8.4 million.</w:t>
      </w:r>
    </w:p>
    <w:p>
      <w:pPr>
        <w:spacing w:after="0" w:line="20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Cash provided by financing activities during the year ended December 31, 2024 primarily included proceeds of $300.4 million from common stock issuances.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financial statements, which have been prepared in accordance with U.S. generally accepted accounting principles (GAAP). The preparation of our consolidated financial statements and related disclosures requires us to make estimates and assumptions that affect the reported amounts of assets and liabilities and expenses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1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we believe that the following accounting policies are those most critical to the judgments and estimates used in the preparation of our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generated revenue from our contracts with partners. Our partnerships often contain multiple components, including research and development services, licenses, options to obtain development and commercialization rights and options to obtain additional research and development services. Such arrangements may provide for various types of payments to us, including upfront fees, technical, development, regulatory and commercial milestone payments, licensing fees, option exercise fees and royalty and milestone payments on product sales. Determining how to recognize revenue from these partnerships involves judgment about whether promised goods and services are distinct from one another or should be accounted for as combined performance obligations, how to estimate and allocate various payment streams to performance obligations and how to measure performance on each performance obligation. Because of these judgments, payments are often not commensurate with the timing of revenue recognition.</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operating revenue has primarily been generated through research and development agreements. Revenue from research and development agreements is recognized as we satisfy the performance obligation by transferring the promised services to the customer. We recognize revenue over time by measuring the progress toward complete satisfaction of the relevant performance obligation using an appropriate input or output method based on the services promised to the customer. This method of recognizing revenue requires us to make estimates to determine the progress towards completion. A significant change in these estimates could have a material effect on the timing and amount of revenue recognized in future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Intangible Assets</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acquired and may continue to acquire significant intangible assets and goodwill in connection with business combinations. Amounts allocated to intangible assets and goodwill are based upon fair value estimates. We make estimates of fair value based upon assumptions believed to be reasonable and that of a market participant. These estimates are based on available historical information as well as future expectations and the estimates are inherently uncertain. The use of alternative estimates and assumptions could increase or decrease the estimated fair values, the amounts allocated to identifiable intangible assets acquired, future amortization expense and the value of goodwill.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part of the process of preparing our financial statements, we are required to estimate our expenses resulting from our obligations under contracts with vendors and clinical research organizations. The financial terms of these contracts are subject to negotiations, which vary from contract to contract and may result in payment terms that do not match the periods over which materials or services are provided under such contracts. Our objective is to reflect the appropriate expenses in our financial statements by matching those expenses with the period in which services are performed and efforts are expended. We account for these expenses according to the timing of various aspects of the expenses and determine accrual estimates by taking into account discussions with applicable personnel and outside service providers as to the progress of clinical trials, or the services completed. During the course of a clinical trial, we adjust our clinical expense recognition if actual results differ from estimates. We make estimates of our accrued expenses as of each balance sheet date based on the facts and circumstances known to us at that time. Our clinical trial accruals are dependent upon the timely and accurate reporting of contract research organizations and other third-party vendors. Although we do not expect estimates to be materially different from amounts actually incurred, our understanding of the anticipated status and timing of services performed relative to the actual status and timing of services performed may vary and may result in reporting amounts that are too high or too low for any particular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measure stock options and other stock-based awards granted to employees, directors and non-employees based on their fair value on the date of grant and recognize the compensation expense over the requisite service period. We recognize the impact of forfeitures on stock-based compensation expenses as forfeitures occur. We generally apply the straight-line method of expense recognition to awards.</w:t>
      </w:r>
    </w:p>
    <w:p>
      <w:pPr>
        <w:spacing w:after="0" w:line="198"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grant date fair value of stock options is estimated using the Black-Scholes option-pricing model, which requires inputs for the expected term, stock price volatility, dividend yield and the risk-free interest rate of the options. If any assumptions used in the Black-Scholes option-pricing model change significantly, stock-compensation for future awards may differ materially compared with the awards granted previously.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material cash requirements include the following contractual obligations:</w:t>
      </w:r>
    </w:p>
    <w:p>
      <w:pPr>
        <w:spacing w:after="0" w:line="252"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As of December 31, 2025, the Company had $18.7 million of debt outstanding. This balance is related to notes payable for tenant improvement allowances and the supercomputer lease.</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As of December 31, 2025, the Company had $72.7 million of future lease commitments. See Note 5 “Leases” to the Consolidated Financial Statements for additional detail on the Company’s leases.</w:t>
      </w:r>
    </w:p>
    <w:p>
      <w:pPr>
        <w:spacing w:after="0" w:line="18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of December 31, 2025, the Company had $147.4 million of future purchase obligations, $117.7 million of which are expected to be payable within the next year. These commitments primarily related to third-party research services, materials and supplies for research and development activities.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2025, the Company had $55.4 million remaining of its various Gates Commitments. The majority of this commitment is related to the private placement of the Gates Foundation. Concurrent with the Exscientia’s IPO on October 5, 2021, the Company completed a private placement to the Gates Foundation for the sale of 1.6 million ADSs at the initial offering price of $22.00 per ADS, for gross proceeds of approximately $35.0 million. Under the terms of the Company’s agreement with the Gates Foundation, the Group is committed to spending $70.0 million over a multi -year period to the research, discovery, and development of small molecule anti-infective therapeutics for future pandemic preparedness, with a specific focus on developing therapeutics that can be applied against multiple species of coronaviridae, influenza, and paramyxoviridae (the “Pandemic Preparedness Program”). The Group had incurred $21.7 million relating to the Pandemic Preparedness Program as at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See Note 2, “Summary of Significant Accounting Policies” to the Consolidated Financial Statements for information regarding recently issued and adopted accounting pronouncements.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exposed to market risk related to changes in interest rates on our investment portfolio of cash and cash equivalents. As of December 31, 2025, our cash and cash equivalents consisted of money market funds and bank deposits. Our primary exposure to market risk is interest income sensitivity, which is affected by changes in interest rates. A hypothetical 100 basis point decrease in interest rates as of December 31, 2025 would have an insignificant effect on net loss in the ensuing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employees and our operations are primarily located in the United States, United Kingdom and Canada and our expenses are primarily denominated in U.S. dollars, Great British pounds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not have had a material effect on our financial results during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024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9202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Recursion Pharmaceuticals, Inc.</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0"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We have audited the accompanying consolidated balance sheets of Recursion Pharmaceuticals, Inc. and its subsidiaries (the "Company") as of December 31, 2025 and 2024, and the related consolidated statements of operations, of comprehensive loss, of stockholders’ equity and of cash flows for the years then ended,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 Also in our opinion, the Company did not maintain,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issued by the COSO because material weaknesses in internal control over financial reporting existed as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date as the Company (i) did not design and maintain effective processes and controls at the Exscientia business, including with respect to consistent review procedures within its financial statement close process, to appropriately analyze, record and disclose accounting matters timely and accurately while maintaining appropriate segregation of duties and (ii) did not design and maintain effective information technology general controls at the Exscientia business for information systems that are significant to the preparation of its financial statements, including controls to verify that conflicting duties were appropriately segregated within such systems, in addition to controls over change management and program development.</w:t>
      </w:r>
    </w:p>
    <w:p>
      <w:pPr>
        <w:spacing w:after="0" w:line="20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Annual Report on Internal Control Over Financial Reporting appearing under Item 9A. We considered these material weaknesses in determining the nature, timing, and extent of audit tests applied in our audit of the 2025 consolidated financial statements, and our opinion regarding the effectiveness of the Company’s internal control over financial reporting does not affect our opinion on those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Research and Development Expenses</w:t>
      </w:r>
    </w:p>
    <w:p>
      <w:pPr>
        <w:spacing w:after="0" w:line="25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As described in Note 2 to the consolidated financial statements, research and development expenses comprise of costs incurred in performing research and development activities (other than those performed pursuant to contracts with customers, which are recorded as revenue), including drug discovery and development studies, external research and the purchase of laboratory supplies. The Company recognizes expenses associated with its third-party contracted services based on the completion of activities as specified in the applicable contracts. The Company’s research and development expenses for the year ended December 31, 2025 were $475.3 million, a portion of which relates to external research and development expenses.</w:t>
      </w:r>
    </w:p>
    <w:p>
      <w:pPr>
        <w:spacing w:after="0" w:line="20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principal consideration for our determination that performing procedures relating to external research and development expenses is a critical audit matter is a high degree of auditor effort in performing procedures related to the Company’s external research and development expenses.</w:t>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research and development expenses, including controls over external research and development expenses. These procedures also included, among others (i) testing external research and development expenses on a sample basis by obtaining and inspecting source documents, such as the underlying agreements with external vendors, purchase orders, invoices received, and information from third-party service providers and</w:t>
      </w:r>
    </w:p>
    <w:p>
      <w:pPr>
        <w:spacing w:after="0" w:line="3" w:lineRule="exact"/>
        <w:rPr>
          <w:sz w:val="20"/>
          <w:szCs w:val="20"/>
          <w:color w:val="auto"/>
        </w:rPr>
      </w:pPr>
    </w:p>
    <w:p>
      <w:pPr>
        <w:ind w:left="260" w:hanging="252"/>
        <w:spacing w:after="0"/>
        <w:tabs>
          <w:tab w:leader="none" w:pos="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testing the allocation and classification of external research and development expenses.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7"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Recursion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have audited the accompanying consolidated statements of operations, comprehensive loss, stockholders’ equity and cash flows of Recursion Pharmaceuticals, Inc. for December 31, 2023, and the related notes (collectively referred to as the “consolidated financial statements”). In our opinion, the consolidated financial statements present fairly, in all material respects, the results of its operations and its cash flows for the year ended December 31, 2023, in conformity with U.S. generally accepted accounting principles.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2017 to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except for Note 15, as to which the date 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223"/>
        </w:trPr>
        <w:tc>
          <w:tcPr>
            <w:tcW w:w="8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2024</w:t>
            </w:r>
          </w:p>
        </w:tc>
      </w:tr>
      <w:tr>
        <w:trPr>
          <w:trHeight w:val="209"/>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743,294</w:t>
            </w:r>
          </w:p>
        </w:tc>
        <w:tc>
          <w:tcPr>
            <w:tcW w:w="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594,350</w:t>
            </w: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4,594</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3,045</w:t>
            </w: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receivables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24,649</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49,166</w:t>
            </w: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Prepaid data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11,742</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29,601</w:t>
            </w:r>
          </w:p>
        </w:tc>
      </w:tr>
      <w:tr>
        <w:trPr>
          <w:trHeight w:val="216"/>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28,566</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38,107</w:t>
            </w:r>
          </w:p>
        </w:tc>
      </w:tr>
      <w:tr>
        <w:trPr>
          <w:trHeight w:val="210"/>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Total current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812,845</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714,269</w:t>
            </w:r>
          </w:p>
        </w:tc>
      </w:tr>
      <w:tr>
        <w:trPr>
          <w:trHeight w:val="148"/>
        </w:trPr>
        <w:tc>
          <w:tcPr>
            <w:tcW w:w="8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Restricted cash, non-current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6,033</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5,629</w:t>
            </w: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103,931</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141,063</w:t>
            </w: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45,339</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65,877</w:t>
            </w: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Financing lease right-of-use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20,210</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26,273</w:t>
            </w: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309,903</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335,855</w:t>
            </w: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162,158</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148,873</w:t>
            </w: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Deferred tax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957</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1,934</w:t>
            </w:r>
          </w:p>
        </w:tc>
      </w:tr>
      <w:tr>
        <w:trPr>
          <w:trHeight w:val="216"/>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assets, non-current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12,754</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8,825</w:t>
            </w:r>
          </w:p>
        </w:tc>
      </w:tr>
      <w:tr>
        <w:trPr>
          <w:trHeight w:val="210"/>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1,474,130</w:t>
            </w:r>
          </w:p>
        </w:tc>
        <w:tc>
          <w:tcPr>
            <w:tcW w:w="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1,448,598</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15"/>
        </w:trPr>
        <w:tc>
          <w:tcPr>
            <w:tcW w:w="8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18,118</w:t>
            </w: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21,613</w:t>
            </w: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70,230</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81,872</w:t>
            </w: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Unearned revenue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37,605</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61,767</w:t>
            </w: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12,663</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13,795</w:t>
            </w:r>
          </w:p>
        </w:tc>
      </w:tr>
      <w:tr>
        <w:trPr>
          <w:trHeight w:val="215"/>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Notes payable and financing lease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9,091</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8,425</w:t>
            </w:r>
          </w:p>
        </w:tc>
      </w:tr>
      <w:tr>
        <w:trPr>
          <w:trHeight w:val="210"/>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current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147,707</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187,472</w:t>
            </w:r>
          </w:p>
        </w:tc>
      </w:tr>
      <w:tr>
        <w:trPr>
          <w:trHeight w:val="148"/>
        </w:trPr>
        <w:tc>
          <w:tcPr>
            <w:tcW w:w="8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6"/>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Unearned revenue, non-current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114,012</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118,765</w:t>
            </w: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Operating lease liabilities, non-current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46,647</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67,250</w:t>
            </w: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payable and financing lease liabilities, non-current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9,564</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19,022</w:t>
            </w:r>
          </w:p>
        </w:tc>
      </w:tr>
      <w:tr>
        <w:trPr>
          <w:trHeight w:val="215"/>
        </w:trPr>
        <w:tc>
          <w:tcPr>
            <w:tcW w:w="8560" w:type="dxa"/>
            <w:vAlign w:val="bottom"/>
          </w:tcPr>
          <w:p>
            <w:pPr>
              <w:ind w:left="140"/>
              <w:spacing w:after="0"/>
              <w:rPr>
                <w:sz w:val="20"/>
                <w:szCs w:val="20"/>
                <w:color w:val="auto"/>
              </w:rPr>
            </w:pPr>
            <w:r>
              <w:rPr>
                <w:rFonts w:ascii="Arial" w:cs="Arial" w:eastAsia="Arial" w:hAnsi="Arial"/>
                <w:sz w:val="16"/>
                <w:szCs w:val="16"/>
                <w:color w:val="auto"/>
              </w:rPr>
              <w:t>Deferred tax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23,255</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16,575</w:t>
            </w:r>
          </w:p>
        </w:tc>
      </w:tr>
      <w:tr>
        <w:trPr>
          <w:trHeight w:val="216"/>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liabilities, non-current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4,732</w:t>
            </w:r>
          </w:p>
        </w:tc>
      </w:tr>
      <w:tr>
        <w:trPr>
          <w:trHeight w:val="210"/>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343,265</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413,816</w:t>
            </w:r>
          </w:p>
        </w:tc>
      </w:tr>
      <w:tr>
        <w:trPr>
          <w:trHeight w:val="95"/>
        </w:trPr>
        <w:tc>
          <w:tcPr>
            <w:tcW w:w="85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r>
    </w:tbl>
    <w:p>
      <w:pPr>
        <w:ind w:left="140"/>
        <w:spacing w:after="0"/>
        <w:rPr>
          <w:sz w:val="20"/>
          <w:szCs w:val="20"/>
          <w:color w:val="auto"/>
        </w:rPr>
      </w:pPr>
      <w:r>
        <w:rPr>
          <w:rFonts w:ascii="Arial" w:cs="Arial" w:eastAsia="Arial" w:hAnsi="Arial"/>
          <w:sz w:val="16"/>
          <w:szCs w:val="16"/>
          <w:color w:val="auto"/>
        </w:rPr>
        <w:t>Commitments and contingencies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596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59690"/>
                    </a:xfrm>
                    <a:prstGeom prst="rect">
                      <a:avLst/>
                    </a:prstGeom>
                    <a:noFill/>
                  </pic:spPr>
                </pic:pic>
              </a:graphicData>
            </a:graphic>
          </wp:anchor>
        </w:drawing>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5657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46" w:lineRule="exact"/>
        <w:rPr>
          <w:sz w:val="20"/>
          <w:szCs w:val="20"/>
          <w:color w:val="auto"/>
        </w:rPr>
      </w:pPr>
    </w:p>
    <w:p>
      <w:pPr>
        <w:ind w:left="360" w:hanging="215"/>
        <w:spacing w:after="0" w:line="265" w:lineRule="auto"/>
        <w:rPr>
          <w:sz w:val="20"/>
          <w:szCs w:val="20"/>
          <w:color w:val="auto"/>
        </w:rPr>
      </w:pPr>
      <w:r>
        <w:rPr>
          <w:rFonts w:ascii="Arial" w:cs="Arial" w:eastAsia="Arial" w:hAnsi="Arial"/>
          <w:sz w:val="16"/>
          <w:szCs w:val="16"/>
          <w:color w:val="auto"/>
        </w:rPr>
        <w:t>Common stock, $0.00001 par value; 2,000,000,000 shares (Class A 1,989,032,117 and Class B 10,967,883) authorized as of December 31, 2025 and December 31, 2024; 528,182,693 shares (Class A 521,831,046, Class B 5,547,334 and Exchangeable 804,313) and 396,802,394 (Class A 389,547,223 and Class B 6,958,575 and Exchangeable 296,596) issued and outstanding as of December 31, 2025 and December 31, 2024, respectively</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Additional paid-in capital</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Accumulated other 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40" w:hanging="1339"/>
        <w:spacing w:after="0"/>
        <w:tabs>
          <w:tab w:leader="none" w:pos="20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4</w:t>
      </w:r>
    </w:p>
    <w:p>
      <w:pPr>
        <w:spacing w:after="0" w:line="32"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6"/>
          <w:szCs w:val="16"/>
          <w:color w:val="auto"/>
        </w:rPr>
        <w:t>3,170,1452,473,698</w:t>
      </w:r>
    </w:p>
    <w:p>
      <w:pPr>
        <w:spacing w:after="0" w:line="32"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color w:val="auto"/>
        </w:rPr>
        <w:t>(2,076,002)</w:t>
      </w:r>
      <w:r>
        <w:rPr>
          <w:sz w:val="20"/>
          <w:szCs w:val="20"/>
          <w:color w:val="auto"/>
        </w:rPr>
        <w:tab/>
      </w:r>
      <w:r>
        <w:rPr>
          <w:rFonts w:ascii="Arial" w:cs="Arial" w:eastAsia="Arial" w:hAnsi="Arial"/>
          <w:sz w:val="16"/>
          <w:szCs w:val="16"/>
          <w:color w:val="auto"/>
        </w:rPr>
        <w:t>(1,431,283)</w:t>
      </w:r>
    </w:p>
    <w:p>
      <w:pPr>
        <w:spacing w:after="0" w:line="32" w:lineRule="exact"/>
        <w:rPr>
          <w:sz w:val="20"/>
          <w:szCs w:val="20"/>
          <w:color w:val="auto"/>
        </w:rPr>
      </w:pPr>
    </w:p>
    <w:p>
      <w:pPr>
        <w:jc w:val="both"/>
        <w:ind w:left="300"/>
        <w:spacing w:after="0"/>
        <w:tabs>
          <w:tab w:leader="none" w:pos="1640" w:val="left"/>
        </w:tabs>
        <w:rPr>
          <w:sz w:val="20"/>
          <w:szCs w:val="20"/>
          <w:color w:val="auto"/>
        </w:rPr>
      </w:pPr>
      <w:r>
        <w:rPr>
          <w:rFonts w:ascii="Arial" w:cs="Arial" w:eastAsia="Arial" w:hAnsi="Arial"/>
          <w:sz w:val="16"/>
          <w:szCs w:val="16"/>
          <w:color w:val="auto"/>
        </w:rPr>
        <w:t>36,717</w:t>
      </w:r>
      <w:r>
        <w:rPr>
          <w:sz w:val="20"/>
          <w:szCs w:val="20"/>
          <w:color w:val="auto"/>
        </w:rPr>
        <w:tab/>
      </w:r>
      <w:r>
        <w:rPr>
          <w:rFonts w:ascii="Arial" w:cs="Arial" w:eastAsia="Arial" w:hAnsi="Arial"/>
          <w:sz w:val="16"/>
          <w:szCs w:val="16"/>
          <w:color w:val="auto"/>
        </w:rPr>
        <w:t>(7,637)</w:t>
      </w:r>
    </w:p>
    <w:p>
      <w:pPr>
        <w:spacing w:after="0" w:line="31" w:lineRule="exact"/>
        <w:rPr>
          <w:sz w:val="20"/>
          <w:szCs w:val="20"/>
          <w:color w:val="auto"/>
        </w:rPr>
      </w:pPr>
    </w:p>
    <w:p>
      <w:pPr>
        <w:sectPr>
          <w:pgSz w:w="11900" w:h="16838" w:orient="portrait"/>
          <w:cols w:equalWidth="0" w:num="2">
            <w:col w:w="8520" w:space="520"/>
            <w:col w:w="220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9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stockholders’ equity</w:t>
            </w:r>
          </w:p>
        </w:tc>
        <w:tc>
          <w:tcPr>
            <w:tcW w:w="30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1,130,865</w:t>
            </w: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1,034,782</w:t>
            </w:r>
          </w:p>
        </w:tc>
      </w:tr>
      <w:tr>
        <w:trPr>
          <w:trHeight w:val="148"/>
        </w:trPr>
        <w:tc>
          <w:tcPr>
            <w:tcW w:w="590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235"/>
        </w:trPr>
        <w:tc>
          <w:tcPr>
            <w:tcW w:w="5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liabilities and stockholders’ equity</w:t>
            </w:r>
          </w:p>
        </w:tc>
        <w:tc>
          <w:tcPr>
            <w:tcW w:w="3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1,474,130</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1,448,598</w:t>
            </w:r>
          </w:p>
        </w:tc>
      </w:tr>
      <w:tr>
        <w:trPr>
          <w:trHeight w:val="20"/>
        </w:trPr>
        <w:tc>
          <w:tcPr>
            <w:tcW w:w="590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consolidated financial statements.</w:t>
      </w:r>
    </w:p>
    <w:p>
      <w:pPr>
        <w:sectPr>
          <w:pgSz w:w="11900" w:h="16838" w:orient="portrait"/>
          <w:cols w:equalWidth="0" w:num="1">
            <w:col w:w="1124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1960" w:type="dxa"/>
            <w:vAlign w:val="bottom"/>
          </w:tcPr>
          <w:p>
            <w:pPr>
              <w:spacing w:after="0"/>
              <w:rPr>
                <w:sz w:val="24"/>
                <w:szCs w:val="24"/>
                <w:color w:val="auto"/>
              </w:rPr>
            </w:pPr>
          </w:p>
        </w:tc>
        <w:tc>
          <w:tcPr>
            <w:tcW w:w="380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9"/>
              </w:rPr>
              <w:t>Recursion Pharmaceuticals, Inc.</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92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4"/>
        </w:trPr>
        <w:tc>
          <w:tcPr>
            <w:tcW w:w="1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3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43,876</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Grant revenue</w:t>
            </w:r>
          </w:p>
        </w:tc>
        <w:tc>
          <w:tcPr>
            <w:tcW w:w="3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74,681</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58,839</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44,575</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140"/>
              <w:spacing w:after="0"/>
              <w:rPr>
                <w:sz w:val="20"/>
                <w:szCs w:val="20"/>
                <w:color w:val="auto"/>
              </w:rPr>
            </w:pPr>
            <w:r>
              <w:rPr>
                <w:rFonts w:ascii="Arial" w:cs="Arial" w:eastAsia="Arial" w:hAnsi="Arial"/>
                <w:sz w:val="18"/>
                <w:szCs w:val="18"/>
                <w:color w:val="auto"/>
              </w:rPr>
              <w:t>Cost of revenue</w:t>
            </w:r>
          </w:p>
        </w:tc>
        <w:tc>
          <w:tcPr>
            <w:tcW w:w="3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70,953</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45,238</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42,587</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475,271</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314,421</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241,226</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3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176,589</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178,184</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110,822</w:t>
            </w:r>
          </w:p>
        </w:tc>
        <w:tc>
          <w:tcPr>
            <w:tcW w:w="0" w:type="dxa"/>
            <w:vAlign w:val="bottom"/>
          </w:tcPr>
          <w:p>
            <w:pPr>
              <w:spacing w:after="0"/>
              <w:rPr>
                <w:sz w:val="1"/>
                <w:szCs w:val="1"/>
                <w:color w:val="auto"/>
              </w:rPr>
            </w:pPr>
          </w:p>
        </w:tc>
      </w:tr>
      <w:tr>
        <w:trPr>
          <w:trHeight w:val="22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722,813</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537,843</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394,635</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auto"/>
            </w:tcBorders>
            <w:gridSpan w:val="2"/>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(648,132)</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(479,004)</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(350,060)</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income, net</w:t>
            </w:r>
          </w:p>
        </w:tc>
        <w:tc>
          <w:tcPr>
            <w:tcW w:w="3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14,216</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w:t>
            </w:r>
          </w:p>
        </w:tc>
        <w:tc>
          <w:tcPr>
            <w:tcW w:w="0" w:type="dxa"/>
            <w:vAlign w:val="bottom"/>
          </w:tcPr>
          <w:p>
            <w:pPr>
              <w:spacing w:after="0"/>
              <w:rPr>
                <w:sz w:val="1"/>
                <w:szCs w:val="1"/>
                <w:color w:val="auto"/>
              </w:rPr>
            </w:pPr>
          </w:p>
        </w:tc>
      </w:tr>
      <w:tr>
        <w:trPr>
          <w:trHeight w:val="22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benefit</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(644,895)</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(464,788)</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(332,128)</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Income tax benefit</w:t>
            </w:r>
          </w:p>
        </w:tc>
        <w:tc>
          <w:tcPr>
            <w:tcW w:w="3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80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(644,759)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(463,661)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(328,066)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auto"/>
            </w:tcBorders>
            <w:gridSpan w:val="2"/>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33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040" w:type="dxa"/>
            <w:vAlign w:val="bottom"/>
            <w:gridSpan w:val="4"/>
          </w:tcPr>
          <w:p>
            <w:pPr>
              <w:ind w:left="20"/>
              <w:spacing w:after="0" w:line="169" w:lineRule="exact"/>
              <w:rPr>
                <w:sz w:val="20"/>
                <w:szCs w:val="20"/>
                <w:color w:val="auto"/>
              </w:rPr>
            </w:pPr>
            <w:r>
              <w:rPr>
                <w:rFonts w:ascii="Arial" w:cs="Arial" w:eastAsia="Arial" w:hAnsi="Arial"/>
                <w:sz w:val="18"/>
                <w:szCs w:val="18"/>
                <w:b w:val="1"/>
                <w:bCs w:val="1"/>
                <w:color w:val="auto"/>
              </w:rPr>
              <w:t>Net loss per share of Class A, B and Exchangeable common stock, basic</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and diluted</w:t>
            </w:r>
          </w:p>
        </w:tc>
        <w:tc>
          <w:tcPr>
            <w:tcW w:w="38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42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40" w:type="dxa"/>
            <w:vAlign w:val="bottom"/>
            <w:gridSpan w:val="4"/>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Weighted-average shares (Class A, B and Exchangeable) outstanding,</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447,446,109</w:t>
            </w:r>
          </w:p>
        </w:tc>
        <w:tc>
          <w:tcPr>
            <w:tcW w:w="3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274,207,146</w:t>
            </w:r>
          </w:p>
        </w:tc>
        <w:tc>
          <w:tcPr>
            <w:tcW w:w="4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207,853,702</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w:t>
            </w:r>
          </w:p>
        </w:tc>
        <w:tc>
          <w:tcPr>
            <w:tcW w:w="33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63" w:name="page164"/>
    <w:bookmarkEnd w:id="163"/>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Table of Contents</w:t>
            </w:r>
          </w:p>
        </w:tc>
      </w:tr>
      <w:tr>
        <w:trPr>
          <w:trHeight w:val="798"/>
        </w:trPr>
        <w:tc>
          <w:tcPr>
            <w:tcW w:w="3320" w:type="dxa"/>
            <w:vAlign w:val="bottom"/>
          </w:tcPr>
          <w:p>
            <w:pPr>
              <w:spacing w:after="0"/>
              <w:rPr>
                <w:sz w:val="24"/>
                <w:szCs w:val="24"/>
                <w:color w:val="auto"/>
              </w:rPr>
            </w:pPr>
          </w:p>
        </w:tc>
        <w:tc>
          <w:tcPr>
            <w:tcW w:w="378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99"/>
              </w:rPr>
              <w:t>Recursion Pharmaceuticals, Inc.</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484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7"/>
        </w:trPr>
        <w:tc>
          <w:tcPr>
            <w:tcW w:w="3320" w:type="dxa"/>
            <w:vAlign w:val="bottom"/>
          </w:tcPr>
          <w:p>
            <w:pPr>
              <w:spacing w:after="0"/>
              <w:rPr>
                <w:sz w:val="21"/>
                <w:szCs w:val="21"/>
                <w:color w:val="auto"/>
              </w:rPr>
            </w:pPr>
          </w:p>
        </w:tc>
        <w:tc>
          <w:tcPr>
            <w:tcW w:w="378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99"/>
              </w:rPr>
              <w:t>(in thousands)</w:t>
            </w: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522"/>
        </w:trPr>
        <w:tc>
          <w:tcPr>
            <w:tcW w:w="3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6"/>
          </w:tcPr>
          <w:p>
            <w:pPr>
              <w:jc w:val="right"/>
              <w:ind w:right="1070"/>
              <w:spacing w:after="0"/>
              <w:rPr>
                <w:sz w:val="20"/>
                <w:szCs w:val="20"/>
                <w:color w:val="auto"/>
              </w:rPr>
            </w:pPr>
            <w:r>
              <w:rPr>
                <w:rFonts w:ascii="Arial" w:cs="Arial" w:eastAsia="Arial" w:hAnsi="Arial"/>
                <w:sz w:val="18"/>
                <w:szCs w:val="18"/>
                <w:b w:val="1"/>
                <w:bCs w:val="1"/>
                <w:color w:val="auto"/>
              </w:rPr>
              <w:t>Years ended December 31,</w:t>
            </w:r>
          </w:p>
        </w:tc>
      </w:tr>
      <w:tr>
        <w:trPr>
          <w:trHeight w:val="263"/>
        </w:trPr>
        <w:tc>
          <w:tcPr>
            <w:tcW w:w="332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2023</w:t>
            </w: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(644,759)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(328,066)</w:t>
            </w:r>
          </w:p>
        </w:tc>
      </w:tr>
      <w:tr>
        <w:trPr>
          <w:trHeight w:val="270"/>
        </w:trPr>
        <w:tc>
          <w:tcPr>
            <w:tcW w:w="33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 translation adjustments</w:t>
            </w:r>
          </w:p>
        </w:tc>
        <w:tc>
          <w:tcPr>
            <w:tcW w:w="3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44,354</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r>
      <w:tr>
        <w:trPr>
          <w:trHeight w:val="223"/>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3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44,354</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(7,637)</w:t>
            </w:r>
          </w:p>
        </w:tc>
        <w:tc>
          <w:tcPr>
            <w:tcW w:w="2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2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7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(600,405)</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(328,066)</w:t>
            </w:r>
          </w:p>
        </w:tc>
      </w:tr>
      <w:tr>
        <w:trPr>
          <w:trHeight w:val="21"/>
        </w:trPr>
        <w:tc>
          <w:tcPr>
            <w:tcW w:w="33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consolidated financial statements.</w:t>
      </w:r>
    </w:p>
    <w:p>
      <w:pPr>
        <w:sectPr>
          <w:pgSz w:w="11900" w:h="16838" w:orient="portrait"/>
          <w:cols w:equalWidth="0" w:num="1">
            <w:col w:w="11240"/>
          </w:cols>
          <w:pgMar w:left="320" w:top="122" w:right="339" w:bottom="8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81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23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2340" w:type="dxa"/>
            <w:vAlign w:val="bottom"/>
            <w:gridSpan w:val="3"/>
            <w:vMerge w:val="restart"/>
          </w:tcPr>
          <w:p>
            <w:pPr>
              <w:jc w:val="right"/>
              <w:ind w:right="39"/>
              <w:spacing w:after="0"/>
              <w:rPr>
                <w:sz w:val="20"/>
                <w:szCs w:val="20"/>
                <w:color w:val="auto"/>
              </w:rPr>
            </w:pPr>
            <w:r>
              <w:rPr>
                <w:rFonts w:ascii="Arial" w:cs="Arial" w:eastAsia="Arial" w:hAnsi="Arial"/>
                <w:sz w:val="14"/>
                <w:szCs w:val="14"/>
                <w:b w:val="1"/>
                <w:bCs w:val="1"/>
                <w:color w:val="auto"/>
              </w:rPr>
              <w:t>(Class A, B and Exchangeable)</w:t>
            </w: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Accumulated</w:t>
            </w:r>
          </w:p>
        </w:tc>
        <w:tc>
          <w:tcPr>
            <w:tcW w:w="15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36"/>
        </w:trPr>
        <w:tc>
          <w:tcPr>
            <w:tcW w:w="3300" w:type="dxa"/>
            <w:vAlign w:val="bottom"/>
          </w:tcPr>
          <w:p>
            <w:pPr>
              <w:spacing w:after="0"/>
              <w:rPr>
                <w:sz w:val="11"/>
                <w:szCs w:val="11"/>
                <w:color w:val="auto"/>
              </w:rPr>
            </w:pPr>
          </w:p>
        </w:tc>
        <w:tc>
          <w:tcPr>
            <w:tcW w:w="2340" w:type="dxa"/>
            <w:vAlign w:val="bottom"/>
            <w:tcBorders>
              <w:bottom w:val="single" w:sz="8" w:color="auto"/>
            </w:tcBorders>
            <w:gridSpan w:val="3"/>
            <w:vMerge w:val="continue"/>
          </w:tcPr>
          <w:p>
            <w:pPr>
              <w:spacing w:after="0"/>
              <w:rPr>
                <w:sz w:val="11"/>
                <w:szCs w:val="11"/>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 Paid-in-</w:t>
            </w: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3300" w:type="dxa"/>
            <w:vAlign w:val="bottom"/>
          </w:tcPr>
          <w:p>
            <w:pPr>
              <w:spacing w:after="0"/>
              <w:rPr>
                <w:sz w:val="2"/>
                <w:szCs w:val="2"/>
                <w:color w:val="auto"/>
              </w:rPr>
            </w:pPr>
          </w:p>
        </w:tc>
        <w:tc>
          <w:tcPr>
            <w:tcW w:w="124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
                <w:szCs w:val="2"/>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3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income (loss)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191,022,864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1,125,360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(639,556)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485,806</w:t>
            </w: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6"/>
                <w:szCs w:val="16"/>
                <w:color w:val="auto"/>
              </w:rPr>
              <w:t>Net loss</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(328,066)</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(328,066)</w:t>
            </w: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 and other</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9,058,817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12,831</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53,503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53,503</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Common stock issuance for private</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19,658,963</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128,093</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128,093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placement, net of issuance costs</w:t>
            </w:r>
          </w:p>
        </w:tc>
        <w:tc>
          <w:tcPr>
            <w:tcW w:w="12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6"/>
                <w:szCs w:val="16"/>
                <w:color w:val="auto"/>
              </w:rPr>
              <w:t>Class A shares and stock options issued for</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11,303,838</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89,269</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89,269</w:t>
            </w: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6"/>
                <w:szCs w:val="16"/>
                <w:color w:val="auto"/>
              </w:rPr>
              <w:t>acquisitions</w:t>
            </w:r>
          </w:p>
        </w:tc>
        <w:tc>
          <w:tcPr>
            <w:tcW w:w="1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 issued for Tempus agreement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3,225,902</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6"/>
                <w:szCs w:val="16"/>
                <w:b w:val="1"/>
                <w:bCs w:val="1"/>
                <w:color w:val="auto"/>
              </w:rPr>
              <w:t>Balance as of December 31, 2023</w:t>
            </w:r>
          </w:p>
        </w:tc>
        <w:tc>
          <w:tcPr>
            <w:tcW w:w="1240" w:type="dxa"/>
            <w:vAlign w:val="bottom"/>
          </w:tcPr>
          <w:p>
            <w:pPr>
              <w:jc w:val="right"/>
              <w:spacing w:after="0"/>
              <w:rPr>
                <w:sz w:val="20"/>
                <w:szCs w:val="20"/>
                <w:color w:val="auto"/>
              </w:rPr>
            </w:pPr>
            <w:r>
              <w:rPr>
                <w:rFonts w:ascii="Arial" w:cs="Arial" w:eastAsia="Arial" w:hAnsi="Arial"/>
                <w:sz w:val="16"/>
                <w:szCs w:val="16"/>
                <w:color w:val="auto"/>
              </w:rPr>
              <w:t>234,270,384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1,431,056</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(967,622)</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463,436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(463,661)</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(463,661)</w:t>
            </w: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(7,637)</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(7,637)</w:t>
            </w: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 and other</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11,359,808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8,299</w:t>
            </w: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81,688</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81,688</w:t>
            </w:r>
          </w:p>
        </w:tc>
        <w:tc>
          <w:tcPr>
            <w:tcW w:w="0" w:type="dxa"/>
            <w:vAlign w:val="bottom"/>
          </w:tcPr>
          <w:p>
            <w:pPr>
              <w:spacing w:after="0"/>
              <w:rPr>
                <w:sz w:val="1"/>
                <w:szCs w:val="1"/>
                <w:color w:val="auto"/>
              </w:rPr>
            </w:pPr>
          </w:p>
        </w:tc>
      </w:tr>
      <w:tr>
        <w:trPr>
          <w:trHeight w:val="163"/>
        </w:trPr>
        <w:tc>
          <w:tcPr>
            <w:tcW w:w="330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Common stock sales issuances, net of</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45,535,390</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300,532</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300,533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issuance costs</w:t>
            </w:r>
          </w:p>
        </w:tc>
        <w:tc>
          <w:tcPr>
            <w:tcW w:w="12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6"/>
                <w:szCs w:val="16"/>
                <w:color w:val="auto"/>
              </w:rPr>
              <w:t>Class A shares and stock options issued for</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102,138,419</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630,123</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630,124</w:t>
            </w: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6"/>
                <w:szCs w:val="16"/>
                <w:color w:val="auto"/>
              </w:rPr>
              <w:t>acquisitions</w:t>
            </w:r>
          </w:p>
        </w:tc>
        <w:tc>
          <w:tcPr>
            <w:tcW w:w="1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 issued for Tempus agreement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3,498,393</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6"/>
                <w:szCs w:val="16"/>
                <w:b w:val="1"/>
                <w:bCs w:val="1"/>
                <w:color w:val="auto"/>
              </w:rPr>
              <w:t>Balance as of December 31, 2024</w:t>
            </w:r>
          </w:p>
        </w:tc>
        <w:tc>
          <w:tcPr>
            <w:tcW w:w="1240" w:type="dxa"/>
            <w:vAlign w:val="bottom"/>
          </w:tcPr>
          <w:p>
            <w:pPr>
              <w:jc w:val="right"/>
              <w:spacing w:after="0"/>
              <w:rPr>
                <w:sz w:val="20"/>
                <w:szCs w:val="20"/>
                <w:color w:val="auto"/>
              </w:rPr>
            </w:pPr>
            <w:r>
              <w:rPr>
                <w:rFonts w:ascii="Arial" w:cs="Arial" w:eastAsia="Arial" w:hAnsi="Arial"/>
                <w:sz w:val="16"/>
                <w:szCs w:val="16"/>
                <w:color w:val="auto"/>
              </w:rPr>
              <w:t>396,802,394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2,473,698</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(1,431,283)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(7,637)</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1,034,782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(644,759)</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(644,759)</w:t>
            </w: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44,354</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44,354</w:t>
            </w: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 and other</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15,637,988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4,086</w:t>
            </w: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111,223</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111,223</w:t>
            </w:r>
          </w:p>
        </w:tc>
        <w:tc>
          <w:tcPr>
            <w:tcW w:w="0" w:type="dxa"/>
            <w:vAlign w:val="bottom"/>
          </w:tcPr>
          <w:p>
            <w:pPr>
              <w:spacing w:after="0"/>
              <w:rPr>
                <w:sz w:val="1"/>
                <w:szCs w:val="1"/>
                <w:color w:val="auto"/>
              </w:rPr>
            </w:pPr>
          </w:p>
        </w:tc>
      </w:tr>
      <w:tr>
        <w:trPr>
          <w:trHeight w:val="163"/>
        </w:trPr>
        <w:tc>
          <w:tcPr>
            <w:tcW w:w="330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Common stock sales issuances, net of</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104,798,594</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528,863</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528,864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issuance costs</w:t>
            </w:r>
          </w:p>
        </w:tc>
        <w:tc>
          <w:tcPr>
            <w:tcW w:w="12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6"/>
                <w:szCs w:val="16"/>
                <w:color w:val="auto"/>
              </w:rPr>
              <w:t>Class A shares issued for asset acquisition</w:t>
            </w:r>
          </w:p>
        </w:tc>
        <w:tc>
          <w:tcPr>
            <w:tcW w:w="1240" w:type="dxa"/>
            <w:vAlign w:val="bottom"/>
          </w:tcPr>
          <w:p>
            <w:pPr>
              <w:jc w:val="right"/>
              <w:spacing w:after="0"/>
              <w:rPr>
                <w:sz w:val="20"/>
                <w:szCs w:val="20"/>
                <w:color w:val="auto"/>
              </w:rPr>
            </w:pPr>
            <w:r>
              <w:rPr>
                <w:rFonts w:ascii="Arial" w:cs="Arial" w:eastAsia="Arial" w:hAnsi="Arial"/>
                <w:sz w:val="16"/>
                <w:szCs w:val="16"/>
                <w:color w:val="auto"/>
              </w:rPr>
              <w:t>3,854,975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20,315</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20,315</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 issued for Tempus agreement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7,088,742</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32,000</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32,000</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December 31, 2025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528,182,693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3,170,145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(2,076,002)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1,130,865</w:t>
            </w:r>
          </w:p>
        </w:tc>
        <w:tc>
          <w:tcPr>
            <w:tcW w:w="0" w:type="dxa"/>
            <w:vAlign w:val="bottom"/>
          </w:tcPr>
          <w:p>
            <w:pPr>
              <w:spacing w:after="0"/>
              <w:rPr>
                <w:sz w:val="1"/>
                <w:szCs w:val="1"/>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the accompanying notes to these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65" w:name="page166"/>
    <w:bookmarkEnd w:id="165"/>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0" w:type="dxa"/>
            <w:vAlign w:val="bottom"/>
          </w:tcPr>
          <w:p>
            <w:pPr>
              <w:spacing w:after="0"/>
              <w:rPr>
                <w:sz w:val="1"/>
                <w:szCs w:val="1"/>
                <w:color w:val="auto"/>
              </w:rPr>
            </w:pPr>
          </w:p>
        </w:tc>
      </w:tr>
      <w:tr>
        <w:trPr>
          <w:trHeight w:val="798"/>
        </w:trPr>
        <w:tc>
          <w:tcPr>
            <w:tcW w:w="7360" w:type="dxa"/>
            <w:vAlign w:val="bottom"/>
          </w:tcPr>
          <w:p>
            <w:pPr>
              <w:jc w:val="center"/>
              <w:ind w:left="3798"/>
              <w:spacing w:after="0"/>
              <w:rPr>
                <w:sz w:val="20"/>
                <w:szCs w:val="20"/>
                <w:color w:val="auto"/>
              </w:rPr>
            </w:pPr>
            <w:r>
              <w:rPr>
                <w:rFonts w:ascii="Arial" w:cs="Arial" w:eastAsia="Arial" w:hAnsi="Arial"/>
                <w:sz w:val="18"/>
                <w:szCs w:val="18"/>
                <w:b w:val="1"/>
                <w:bCs w:val="1"/>
                <w:color w:val="auto"/>
                <w:w w:val="99"/>
              </w:rPr>
              <w:t>Recursion Pharmaceuticals, Inc.</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tcPr>
          <w:p>
            <w:pPr>
              <w:jc w:val="center"/>
              <w:ind w:left="3798"/>
              <w:spacing w:after="0"/>
              <w:rPr>
                <w:sz w:val="20"/>
                <w:szCs w:val="20"/>
                <w:color w:val="auto"/>
              </w:rPr>
            </w:pPr>
            <w:r>
              <w:rPr>
                <w:rFonts w:ascii="Arial" w:cs="Arial" w:eastAsia="Arial" w:hAnsi="Arial"/>
                <w:sz w:val="18"/>
                <w:szCs w:val="18"/>
                <w:b w:val="1"/>
                <w:bCs w:val="1"/>
                <w:color w:val="auto"/>
              </w:rPr>
              <w:t>Consolidated Statements of Cash Flows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360" w:type="dxa"/>
            <w:vAlign w:val="bottom"/>
          </w:tcPr>
          <w:p>
            <w:pPr>
              <w:jc w:val="center"/>
              <w:ind w:left="3798"/>
              <w:spacing w:after="0"/>
              <w:rPr>
                <w:sz w:val="20"/>
                <w:szCs w:val="20"/>
                <w:color w:val="auto"/>
              </w:rPr>
            </w:pPr>
            <w:r>
              <w:rPr>
                <w:rFonts w:ascii="Arial" w:cs="Arial" w:eastAsia="Arial" w:hAnsi="Arial"/>
                <w:sz w:val="18"/>
                <w:szCs w:val="18"/>
                <w:b w:val="1"/>
                <w:bCs w:val="1"/>
                <w:color w:val="auto"/>
                <w:w w:val="99"/>
              </w:rPr>
              <w:t>(in thousands)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7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(644,759)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(463,661)</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(328,066)</w:t>
            </w: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83,701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36,494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24,402</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111,223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81,688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53,503</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impairment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Lease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22,249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16,616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8,063</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disposal of a business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Acquired IPR&amp;D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22,082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 and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Prepaid data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49,859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(8,757)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Unearned revenue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(36,771)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(41,076)</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6,435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development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(7,407)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5,519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6,719</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Lease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(19,988)</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(15,582)</w:t>
            </w: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(9,862)</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(371,808)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(359,174)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(287,780)</w:t>
            </w:r>
          </w:p>
        </w:tc>
        <w:tc>
          <w:tcPr>
            <w:tcW w:w="0" w:type="dxa"/>
            <w:vAlign w:val="bottom"/>
          </w:tcPr>
          <w:p>
            <w:pPr>
              <w:spacing w:after="0"/>
              <w:rPr>
                <w:sz w:val="1"/>
                <w:szCs w:val="1"/>
                <w:color w:val="auto"/>
              </w:rPr>
            </w:pPr>
          </w:p>
        </w:tc>
      </w:tr>
      <w:tr>
        <w:trPr>
          <w:trHeight w:val="108"/>
        </w:trPr>
        <w:tc>
          <w:tcPr>
            <w:tcW w:w="73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acquired in the acquisition of a business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277,104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(6,469)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(13,695)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(11,955)</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intangible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Decrease in cash related to disposal of a business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(4,438)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investments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Sales and maturities of investments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260,059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(10,228)</w:t>
            </w:r>
          </w:p>
        </w:tc>
        <w:tc>
          <w:tcPr>
            <w:tcW w:w="0" w:type="dxa"/>
            <w:vAlign w:val="bottom"/>
          </w:tcPr>
          <w:p>
            <w:pPr>
              <w:spacing w:after="0"/>
              <w:rPr>
                <w:sz w:val="1"/>
                <w:szCs w:val="1"/>
                <w:color w:val="auto"/>
              </w:rPr>
            </w:pPr>
          </w:p>
        </w:tc>
      </w:tr>
      <w:tr>
        <w:trPr>
          <w:trHeight w:val="108"/>
        </w:trPr>
        <w:tc>
          <w:tcPr>
            <w:tcW w:w="7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Proceeds from issuance of common shares, net of issuance costs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528,864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300,417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128,093</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equity incentive plans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12,806</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Repayment of long-term debt and finance lease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(8,425)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(4,440)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17"/>
        </w:trPr>
        <w:tc>
          <w:tcPr>
            <w:tcW w:w="7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Purchase of an intangible asset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521,532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304,120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140,133</w:t>
            </w:r>
          </w:p>
        </w:tc>
        <w:tc>
          <w:tcPr>
            <w:tcW w:w="0" w:type="dxa"/>
            <w:vAlign w:val="bottom"/>
          </w:tcPr>
          <w:p>
            <w:pPr>
              <w:spacing w:after="0"/>
              <w:rPr>
                <w:sz w:val="1"/>
                <w:szCs w:val="1"/>
                <w:color w:val="auto"/>
              </w:rPr>
            </w:pPr>
          </w:p>
        </w:tc>
      </w:tr>
      <w:tr>
        <w:trPr>
          <w:trHeight w:val="108"/>
        </w:trPr>
        <w:tc>
          <w:tcPr>
            <w:tcW w:w="73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7360" w:type="dxa"/>
            <w:vAlign w:val="bottom"/>
          </w:tcPr>
          <w:p>
            <w:pPr>
              <w:ind w:left="240"/>
              <w:spacing w:after="0"/>
              <w:rPr>
                <w:sz w:val="20"/>
                <w:szCs w:val="20"/>
                <w:color w:val="auto"/>
              </w:rPr>
            </w:pPr>
            <w:r>
              <w:rPr>
                <w:rFonts w:ascii="Arial" w:cs="Arial" w:eastAsia="Arial" w:hAnsi="Arial"/>
                <w:sz w:val="16"/>
                <w:szCs w:val="16"/>
                <w:b w:val="1"/>
                <w:bCs w:val="1"/>
                <w:color w:val="auto"/>
              </w:rPr>
              <w:t>Effect of exchange rate changes on cash, cash equivalents and restricted cash</w:t>
            </w:r>
          </w:p>
        </w:tc>
        <w:tc>
          <w:tcPr>
            <w:tcW w:w="28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18,044</w:t>
            </w: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(3,406)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60"/>
        </w:trPr>
        <w:tc>
          <w:tcPr>
            <w:tcW w:w="7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7360" w:type="dxa"/>
            <w:vAlign w:val="bottom"/>
            <w:tcBorders>
              <w:bottom w:val="single" w:sz="8" w:color="auto"/>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2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150,897</w:t>
            </w:r>
          </w:p>
        </w:tc>
        <w:tc>
          <w:tcPr>
            <w:tcW w:w="3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201,599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(157,687)</w:t>
            </w:r>
          </w:p>
        </w:tc>
        <w:tc>
          <w:tcPr>
            <w:tcW w:w="0" w:type="dxa"/>
            <w:vAlign w:val="bottom"/>
          </w:tcPr>
          <w:p>
            <w:pPr>
              <w:spacing w:after="0"/>
              <w:rPr>
                <w:sz w:val="1"/>
                <w:szCs w:val="1"/>
                <w:color w:val="auto"/>
              </w:rPr>
            </w:pPr>
          </w:p>
        </w:tc>
      </w:tr>
      <w:tr>
        <w:trPr>
          <w:trHeight w:val="60"/>
        </w:trPr>
        <w:tc>
          <w:tcPr>
            <w:tcW w:w="7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603,024</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401,425</w:t>
            </w: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559,112</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753,921</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603,024</w:t>
            </w:r>
          </w:p>
        </w:tc>
        <w:tc>
          <w:tcPr>
            <w:tcW w:w="4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401,425</w:t>
            </w:r>
          </w:p>
        </w:tc>
        <w:tc>
          <w:tcPr>
            <w:tcW w:w="0" w:type="dxa"/>
            <w:vAlign w:val="bottom"/>
          </w:tcPr>
          <w:p>
            <w:pPr>
              <w:spacing w:after="0"/>
              <w:rPr>
                <w:sz w:val="1"/>
                <w:szCs w:val="1"/>
                <w:color w:val="auto"/>
              </w:rPr>
            </w:pP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3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information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shares for the acquisitions of businesses and assets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20,315</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630,124</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89,269</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Issuance of shares for Tempus agreement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32,000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22,000</w:t>
            </w: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property and equipment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Purchase of an intangible asset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Recursion Pharmaceuticals, Inc. (Recursion, the Company, we or our) is a clinical stage TechBio company decoding biology and chemistry to industrialize drug discovery. The Recursion Operating System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w:t>
      </w:r>
    </w:p>
    <w:p>
      <w:pPr>
        <w:spacing w:after="0" w:line="20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December 31, 2025, the Company had an accumulated deficit of $2.1 billion.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funded its operations to date primarily through the issuance of Class A common stock (see Note 8, “Common Stock” for additional details). Additionally, the Company has received payments from its strategic partnerships (see Note 9, “Collaborative Development Contracts” for additional details). Recursion will likely be required to raise additional capital. As of December 31, 2025,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21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Recursion believes that the Company’s existing cash and cash equivalents will be sufficient to fund the Company’s operating expenses and capital expenditures for at least the next 12 months.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(GAAP), which requires the Company to make estimates and assumptions that affect reported amounts and related disclosures. Actual results could differ from those amounts. Significant estimates and assumptions include the estimated progress towards the satisfaction of performance obligations to record revenue, the valuation of goodwill and intangible assets, accrued research and development expenses and the fair value of stock-based awards issued.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consolidated financial statements include the accounts of Recursion and its wholly-owned subsidiaries that the Company controls. Intercompany balances and transactions have been eliminated in consolidation. Certain reclassifications have been made to conform the prior period consolidated financial statements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5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Recursion operates and is managed as a single operating segment. The Company’s chief operating decision maker is its Chief Executive Officer, who allocates resources and assesses performance at the consolidated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0"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These financial instruments are primarily held at several financial institutions that management believes are of high credit quality. Recursion’s primary bank accounts significantly exceed the federally insured limits.</w:t>
      </w:r>
    </w:p>
    <w:p>
      <w:pPr>
        <w:spacing w:after="0" w:line="1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is dependent on third-party suppliers for certain research and development activities including preclinical and clinical testing. In particular, the Company relies on and expects to continue to rely on a small number of these suppliers. These activities could be adversely affected by a significant interruption to Recursion’s third-party suppliers including a delay in the Company’s preclinical and clinical testing and the supply of certain consumable products and compounds.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5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Cash and cash equivalents includes bank deposits held in checking accounts and money market funds. Short-term highly liquid investments with maturities of three months or less at the time of purchase are classified as cash and cash equivalents.</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 Additionally, the Company holds restricted cash related to some grants, for which the funds are contractually limited to specific research and development expenditures. Recursion also holds restricted cash as required by a lease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0"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Property and equipment is carried at acquisition cost less accumulated depreciation. The cost of normal, recurring or periodic repairs and maintenance activities related to property and equipment are expensed as incurred.</w:t>
      </w:r>
    </w:p>
    <w:p>
      <w:pPr>
        <w:spacing w:after="0" w:line="2"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Depreciation is computed using the straight-line method based on the estimated useful lives of the assets. The estimated useful lives by asset classification are generally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5 years</w:t>
            </w:r>
          </w:p>
        </w:tc>
      </w:tr>
      <w:tr>
        <w:trPr>
          <w:trHeight w:val="252"/>
        </w:trPr>
        <w:tc>
          <w:tcPr>
            <w:tcW w:w="3440" w:type="dxa"/>
            <w:vAlign w:val="bottom"/>
          </w:tcPr>
          <w:p>
            <w:pPr>
              <w:ind w:left="20"/>
              <w:spacing w:after="0"/>
              <w:rPr>
                <w:sz w:val="20"/>
                <w:szCs w:val="20"/>
                <w:color w:val="auto"/>
              </w:rPr>
            </w:pPr>
            <w:r>
              <w:rPr>
                <w:rFonts w:ascii="Arial" w:cs="Arial" w:eastAsia="Arial" w:hAnsi="Arial"/>
                <w:sz w:val="18"/>
                <w:szCs w:val="18"/>
                <w:color w:val="auto"/>
              </w:rPr>
              <w:t>Lab Equipment</w:t>
            </w:r>
          </w:p>
        </w:tc>
        <w:tc>
          <w:tcPr>
            <w:tcW w:w="7120" w:type="dxa"/>
            <w:vAlign w:val="bottom"/>
          </w:tcPr>
          <w:p>
            <w:pPr>
              <w:ind w:left="860"/>
              <w:spacing w:after="0"/>
              <w:rPr>
                <w:sz w:val="20"/>
                <w:szCs w:val="20"/>
                <w:color w:val="auto"/>
              </w:rPr>
            </w:pPr>
            <w:r>
              <w:rPr>
                <w:rFonts w:ascii="Arial" w:cs="Arial" w:eastAsia="Arial" w:hAnsi="Arial"/>
                <w:sz w:val="18"/>
                <w:szCs w:val="18"/>
                <w:color w:val="auto"/>
              </w:rPr>
              <w:t>7 years</w:t>
            </w:r>
          </w:p>
        </w:tc>
      </w:tr>
      <w:tr>
        <w:trPr>
          <w:trHeight w:val="261"/>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Lesser of 15 years or the remainder of the lease</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are reviewed for impairment as discussed below under Long-Lived Assets Impairment.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Long-Lived Assets Impairment</w:t>
      </w:r>
    </w:p>
    <w:p>
      <w:pPr>
        <w:spacing w:after="0" w:line="2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1E1E1E"/>
        </w:rPr>
        <w:t>The Compa</w:t>
      </w:r>
      <w:r>
        <w:rPr>
          <w:rFonts w:ascii="Arial" w:cs="Arial" w:eastAsia="Arial" w:hAnsi="Arial"/>
          <w:sz w:val="18"/>
          <w:szCs w:val="18"/>
          <w:color w:val="000000"/>
        </w:rPr>
        <w:t>ny reviews the carrying amounts of long-lived assets, including property and equipment, intangible assets and right-of-use leased</w:t>
      </w:r>
      <w:r>
        <w:rPr>
          <w:rFonts w:ascii="Arial" w:cs="Arial" w:eastAsia="Arial" w:hAnsi="Arial"/>
          <w:sz w:val="18"/>
          <w:szCs w:val="18"/>
          <w:color w:val="1E1E1E"/>
        </w:rPr>
        <w:t xml:space="preserve"> </w:t>
      </w:r>
      <w:r>
        <w:rPr>
          <w:rFonts w:ascii="Arial" w:cs="Arial" w:eastAsia="Arial" w:hAnsi="Arial"/>
          <w:sz w:val="18"/>
          <w:szCs w:val="18"/>
          <w:color w:val="000000"/>
        </w:rPr>
        <w:t>assets for potential impairment when events or changes in circumstances indicate the carrying amount of an asset group may not be recoverable. In evaluating recoverability, Recursion groups assets and liabilities at the lowest level such that the identifiable cash flows relating to the group are largely independent of the cash flows of other assets and liabilities. The Company then compares the carrying amount of the asset group with the projected undiscounted future cash flows to be generated by the asset group. If the undiscounted cash flows of the asset group is lower than its respective carrying value, an impairment charge is recorded as the amount by which the carrying amount of the asset group exceeds the fair value.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 Intangible Assets Impairment</w:t>
      </w:r>
    </w:p>
    <w:p>
      <w:pPr>
        <w:spacing w:after="0" w:line="25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Goodwill represents the excess of the aggregate fair value of the consideration transferred in a business combination over the fair value of the assets acquired, net of liabilities assumed. Indefinite-lived intangible assets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primarily include in-process research and development (IPR&amp;D) acquired in business combinations with indefinite lives.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performs its annual goodwill and indefinite-lived intangible assets impairment test in the fourth quarter, or more frequently if an interim triggering event occurs that may indicate potential impairment. The Company has the option to first assess qualitative factors to determine whether it is more likely than not that the fair value is less than its carrying amount. Some of the factors considered in the qualitative assessment include general macro-economic conditions, conditions specific to the industry and market, cost factors, the overall financial performance and whether there have been sustained declines in the Company's share price. If the Company concludes it is more likely than not that the fair value of the reporting unit or IPR&amp;D is less than its carrying amount, a quantitative impairment test is performed.</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its quantitative impairment tests, the Company uses an estimated future cash flow approach that requires significant judgment with respect to future volume, revenue and expense growth rates, changes in working capital use, the selection of an appropriate discount rate and other assumptions and estimates. The estimates and assumptions used are consistent with the Company's business plans and a market participant's views. The use of alternative estimates and assumptions could increase or decrease projected cash flows and the estimated fair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Results of operations of acquired companies are included in the Recursion results of operations as of the respective acquisition dates. The purchase price of each acquisition is allocated to the net assets acquired based on estimates of their fair values at the date of acquisition. Any purchase price in excess of these net assets is recorded as goodwill. The allocation of purchase price in certain cases may be subject to revision based on the final determination of fair values during the measurement period, which may be up to one year from the acquisition date. Legal costs, due diligence costs, business valuation costs and all other business acquisition costs are expensed when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Accruals for Research and Development Expenses and Clinical Trials</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the process of preparing its financial statements, the Company is required to estimate its expenses resulting from obligations under contracts with vendors and clinical research organizations. The financial terms of these contracts are subject to negotiations, which vary from contract to contract and may result in payment terms that do not match the periods over which materials or services are provided for under such contracts. The Company’s policy is to record these expenses during the period in which services are performed and efforts are expended. The Company determines accrual estimates by taking into account discussions with applicable personnel and outside service providers as to the progress of clinical trials, or the services completed. During the course of a clinical trial, the Company adjusts its clinical expense recognition if actual results differ from its estimates. The Company makes estimates of its accrued expenses as of each Consolidated Balance Sheet date based on the facts and circumstances known to it at that time. The actual expenses could be different from the amounts accrued.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rents facilities under operating lease agreements and recognizes rent expense on a straight-line basis over the term of the lease. Certain lease agreements contain tenant improvement allowances, rent holidays, scheduled rent increases and renewal options. Rent holidays and scheduled rent increases are included in the determination of rent expense. Certain leases also include provisions for variable lease payments which are based on, but not limited to, maintenance, insurance, taxes and usage-based amounts. Recursion recognizes these costs as they are incurred.</w:t>
      </w:r>
    </w:p>
    <w:p>
      <w:pPr>
        <w:spacing w:after="0" w:line="2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Right-of-use assets and lease liabilities are recognized based on the present value of lease payments over the lease term at the lease commencement date. Present value is determined using an incremental borrowing rate when the rate implicit in the lease is not readily determinable. The incremental borrowing rate is equal to the rate of interest that Recursion would have to pay to borrow on a collateralized basis over a similar term in an amount equal to the lease payments in a similar economic environment. Renewals are not included in the determination of the lease term unless they are determined to be reasonably certain to be exercised at the commencement date of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lease. The Company recognizes rent expense beginning on the date the Company obtains the legal right to use and control the leased space. Recursion classifies leases as operating or finance at the lease commencement date.</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elected to apply the practical expedient for short-term leases whereby Recursion does not recognize a lease liability and right-of-use asset for leases with a term of less than 12 months. The Company has also elected to not separate consideration in the contract between lease and non-lease components of a contract that contains a lease. Right-of-use assets and lease liabilities are remeasured upon certain remeasurement events using the present value of remaining lease payments and estimated incremental borrowing rate upon lease modification.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Revenue Recognition</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Operating revenue has primarily been generated through research and development agreements (see Note 9, “Collaborative Development Contracts” for additional details). Revenue for research and development agreements is recognized as the Company satisfies a performance obligation by transferring the promised services to the customer. The Company recognizes revenue over time by measuring the progress toward complete satisfaction of the relevant performance obligation using an appropriate input or output method based on the services promised to the customer. This method of recognizing revenue requires the Company to make estimates of the work required to complete the performance obligation in order to determine the progress towards completion. A significant change in these estimates could have a material effect on the timing and amount of revenue recognized in future periods.</w:t>
      </w:r>
    </w:p>
    <w:p>
      <w:pPr>
        <w:spacing w:after="0" w:line="21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The Company may also provide </w:t>
      </w:r>
      <w:r>
        <w:rPr>
          <w:rFonts w:ascii="Arial" w:cs="Arial" w:eastAsia="Arial" w:hAnsi="Arial"/>
          <w:sz w:val="18"/>
          <w:szCs w:val="18"/>
          <w:color w:val="1E1E1E"/>
        </w:rPr>
        <w:t>options</w:t>
      </w:r>
      <w:r>
        <w:rPr>
          <w:rFonts w:ascii="Arial" w:cs="Arial" w:eastAsia="Arial" w:hAnsi="Arial"/>
          <w:sz w:val="18"/>
          <w:szCs w:val="18"/>
          <w:color w:val="auto"/>
        </w:rPr>
        <w:t xml:space="preserve"> in its agreements under which a partner could request that Recursion provide additional services in the future. Recursion evaluates whether these options are material rights at the inception of the agreement. If the Company determines an option is a material right, Recursion will consider the option a separate performance obligation.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Cost of revenue consists of the Company’s costs to provide services for drug discovery required </w:t>
      </w:r>
      <w:r>
        <w:rPr>
          <w:rFonts w:ascii="Arial" w:cs="Arial" w:eastAsia="Arial" w:hAnsi="Arial"/>
          <w:sz w:val="18"/>
          <w:szCs w:val="18"/>
          <w:color w:val="1E1E1E"/>
        </w:rPr>
        <w:t>under</w:t>
      </w:r>
      <w:r>
        <w:rPr>
          <w:rFonts w:ascii="Arial" w:cs="Arial" w:eastAsia="Arial" w:hAnsi="Arial"/>
          <w:sz w:val="18"/>
          <w:szCs w:val="18"/>
          <w:color w:val="auto"/>
        </w:rPr>
        <w:t xml:space="preserve"> performance obligations with partnership customers. These primarily include materials costs, service hours performed by the Company’s employees, costs from third party contract research organizations and depreciation of property and equipment. Consumables purchased to be used in the future to satisfy performance obligations are recognized on the Consolidated Balance Sheet until consumed.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Research and </w:t>
      </w:r>
      <w:r>
        <w:rPr>
          <w:rFonts w:ascii="Arial" w:cs="Arial" w:eastAsia="Arial" w:hAnsi="Arial"/>
          <w:sz w:val="18"/>
          <w:szCs w:val="18"/>
          <w:b w:val="1"/>
          <w:bCs w:val="1"/>
          <w:i w:val="1"/>
          <w:iCs w:val="1"/>
          <w:color w:val="1E1E1E"/>
        </w:rPr>
        <w:t>Development</w:t>
      </w: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Research and development expenses comprise of costs incurred in performing research and development activities other than those performed pursuant to contracts with customers, including drug discovery and development studies, external research and the purchase of laboratory supplies. The Company recognizes expenses associated with third-party contracted services based on the completion of activities as specified in the applicable contracts. Upon the termination of contracts with third-parties, the Company’s financial obligations are generally limited to costs incurred or committed to date. Any advance payments </w:t>
      </w:r>
      <w:r>
        <w:rPr>
          <w:rFonts w:ascii="Arial" w:cs="Arial" w:eastAsia="Arial" w:hAnsi="Arial"/>
          <w:sz w:val="18"/>
          <w:szCs w:val="18"/>
          <w:color w:val="1E1E1E"/>
        </w:rPr>
        <w:t>for goods</w:t>
      </w:r>
      <w:r>
        <w:rPr>
          <w:rFonts w:ascii="Arial" w:cs="Arial" w:eastAsia="Arial" w:hAnsi="Arial"/>
          <w:sz w:val="18"/>
          <w:szCs w:val="18"/>
          <w:color w:val="auto"/>
        </w:rPr>
        <w:t xml:space="preserve"> or services to be used or rendered in future research and product development activities are classified as prepaid expenses until the goods or services are rendered.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Stock-Based Compensation</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1E1E1E"/>
        </w:rPr>
        <w:t xml:space="preserve">The Company </w:t>
      </w:r>
      <w:r>
        <w:rPr>
          <w:rFonts w:ascii="Arial" w:cs="Arial" w:eastAsia="Arial" w:hAnsi="Arial"/>
          <w:sz w:val="18"/>
          <w:szCs w:val="18"/>
          <w:color w:val="000000"/>
        </w:rPr>
        <w:t>issues stock-based awards to employees and non-employees, generally in the form of stock options and restricted stock units</w:t>
      </w:r>
      <w:r>
        <w:rPr>
          <w:rFonts w:ascii="Arial" w:cs="Arial" w:eastAsia="Arial" w:hAnsi="Arial"/>
          <w:sz w:val="18"/>
          <w:szCs w:val="18"/>
          <w:color w:val="1E1E1E"/>
        </w:rPr>
        <w:t xml:space="preserve"> </w:t>
      </w:r>
      <w:r>
        <w:rPr>
          <w:rFonts w:ascii="Arial" w:cs="Arial" w:eastAsia="Arial" w:hAnsi="Arial"/>
          <w:sz w:val="18"/>
          <w:szCs w:val="18"/>
          <w:color w:val="000000"/>
        </w:rPr>
        <w:t xml:space="preserve">(RSUs). Most of the Company’s stock-based awards have been made to employees. Recursion measures compensation expense for equity awards at their grant-date fair value and recognizes compensation expense over the requisite service period on a straight-line basis or using the graded vesting method. For stock-based awards with a performance </w:t>
      </w:r>
      <w:r>
        <w:rPr>
          <w:rFonts w:ascii="Arial" w:cs="Arial" w:eastAsia="Arial" w:hAnsi="Arial"/>
          <w:sz w:val="18"/>
          <w:szCs w:val="18"/>
          <w:color w:val="1E1E1E"/>
        </w:rPr>
        <w:t>condition</w:t>
      </w:r>
      <w:r>
        <w:rPr>
          <w:rFonts w:ascii="Arial" w:cs="Arial" w:eastAsia="Arial" w:hAnsi="Arial"/>
          <w:sz w:val="18"/>
          <w:szCs w:val="18"/>
          <w:color w:val="000000"/>
        </w:rPr>
        <w:t>, Recursion recognizes stock-based compensation expense based on the probable outcome of the performance condition. Awards generally vest over four years for employees. Recursion recognizes the impact of forfeitures on stock-based compensation expense as they occur.</w:t>
      </w:r>
    </w:p>
    <w:p>
      <w:pPr>
        <w:spacing w:after="0" w:line="209"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grant date fair value of stock options is estimated using the Black-Scholes option pricing model, which requires inputs for the expected term, stock price volatility, dividend yield and the risk-free interest rate of the options. The expected term is based on the simplified method since the Company does not have sufficient historical exercise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data to estimate the expected term. The volatility is based on an average peer historical volatility over the expected term of the option. The expected dividend yield is assumed to be zero as Recursion has never paid dividends and does not have current plans to pay dividends. The risk-free interest rate is based on the rates available at the time of the grant for zero-coupon U.S. government issues with a remaining term equal to the option's expected term.</w:t>
      </w:r>
    </w:p>
    <w:p>
      <w:pPr>
        <w:spacing w:after="0" w:line="2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grant date fair value of RSUs is determined using the market price of the Company’s common stock at grant date. For stock-based awards with a market condition, the grant date fair value is determined using a Monte Carlo simulation and stock-based compensation expense is recognized using the accelerated attribution method over the implied service period. When a market condition is satisfied in a period before the end of the implied service period, any remaining unrecognized compensation cost is recognized. Stock-based compensation is recorded in cost of revenue, research and development expense and general and administrative expense based on the role of the employee.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taxes are accounted for under the asset and liability method. Provisions for federal, state and foreign income taxes are calculated on reported pretax losses based on current tax laws. Deferred taxes are recognized using enacted tax rates on the future tax consequences of temporary differences, which are the differences between the financial statement carrying amounts of assets and liabilities and their respective tax bases and the tax benefits of carryforwards. A valuation allowance is established or maintained when, based on currently available information, it is more likely than not that all or a portion of a deferred tax asset will not be realized.</w:t>
      </w:r>
    </w:p>
    <w:p>
      <w:pPr>
        <w:spacing w:after="0" w:line="20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uncertain tax positions, Recursion determines whether the position is more-likely-than-not to be sustained upon examination based on the technical merits of the position. Any tax position that meets the more-likely-than-not recognition threshold is measured and recognized in the Consolidated Financial Statements at the largest amount that is greater than 50% likely of being realized upon ultimate settlement.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Recursion receives certain cash refundable research and development tax credits including the research and development expenditure credit (RDEC) in the United Kingdom. The Company records these as “Research and Development” in the Consolidated Statements of Operations as the credit is earned. The amount included in the Consolidated Statements of Operations for the year ended December 31, 2025 was $7.7 million. The Company records the amount receivable in “Other receivables” on the Consolidated Balance Sheet.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functional currency for several of Recursion’s foreign subsidiaries is the applicable local currency. Revenues and expenses for non-U.S. dollar functional currency entities are translated into U.S. dollars using average currency exchange rates for the period. Assets and liabilities for such entities are translated using exchange rates at the balance sheet date. Foreign currency translation adjustments are reflected in stockholders’ equity as a component of other comprehensive income (loss). Foreign currency transaction gains and losses on transactions not denominated in functional currency are recorded in “Other income, net” in the Consolidated Statements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Income Taxes (Topic 740)</w:t>
      </w:r>
      <w:r>
        <w:rPr>
          <w:rFonts w:ascii="Arial" w:cs="Arial" w:eastAsia="Arial" w:hAnsi="Arial"/>
          <w:sz w:val="18"/>
          <w:szCs w:val="18"/>
          <w:color w:val="auto"/>
        </w:rPr>
        <w:t>. The new standard updates disclosure requirements for Accounting Standards Codification (ASC) 740 primarily by requiring additional information in the income tax rate reconciliation and additional disclosures about income taxes paid. Recursion adopted the standard in the fourth quarter of 2025. Recursion has adopted the standard using the prospective approach and included the required disclosures in our notes to the financial statements for income taxes (See Note 12, “Income Tax”). The adoption of the amendments in ASU 2023-09 impacted the Company's disclosures in the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notes to the consolidated financial statements and did not have a material impact on its Consolidated Balance Sheets, Consolidated Statements of Operations or Consolidated Statements of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 Not Yet Adopted</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December 2025, the FASB issued ASU No. 2025-10, </w:t>
      </w:r>
      <w:r>
        <w:rPr>
          <w:rFonts w:ascii="Arial" w:cs="Arial" w:eastAsia="Arial" w:hAnsi="Arial"/>
          <w:sz w:val="18"/>
          <w:szCs w:val="18"/>
          <w:i w:val="1"/>
          <w:iCs w:val="1"/>
          <w:color w:val="auto"/>
        </w:rPr>
        <w:t>Government Grants (Topic 832).</w:t>
      </w:r>
      <w:r>
        <w:rPr>
          <w:rFonts w:ascii="Arial" w:cs="Arial" w:eastAsia="Arial" w:hAnsi="Arial"/>
          <w:sz w:val="18"/>
          <w:szCs w:val="18"/>
          <w:color w:val="auto"/>
        </w:rPr>
        <w:t xml:space="preserve"> The new standard adds guidance to ASC 832 on the recognition, measurement, and presentation of government grants. This standard will be effective for Recursion starting the annual period of 2029 and for interim reporting periods within that annual reporting period. Early adoption is permitted. The amendments can be applied on a prospective, modified prospective or retrospective basis. Recursion is currently assessing the impact of adopting this guidance on its consolidated financial statements.</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September 2025, the Financial Accounting Standards Board (FASB) issued Accounting Standards Update (ASU) No. 2025-07,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(Topic 350) and Revenue from Contracts with Customers (Topic 606). </w:t>
      </w:r>
      <w:r>
        <w:rPr>
          <w:rFonts w:ascii="Arial" w:cs="Arial" w:eastAsia="Arial" w:hAnsi="Arial"/>
          <w:sz w:val="18"/>
          <w:szCs w:val="18"/>
          <w:color w:val="auto"/>
        </w:rPr>
        <w:t>The new standard refines the scope of the guidance on</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in Topic 815 and clarifies the guidance on shared-based payments from a customer in ASC 606. This standard will be effective for Recursion starting the annual period of 2027 and for interim reporting periods within that annual reporting period. Early adoption is permitted. Recursion is currently assessing the impact of adopting this guidance on its consolidated financial statements.</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September 2025, the Financial Accounting Standards Board (FASB) issued Accounting Standards Update (ASU) No. 2025-06,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internal-use software costs (Topic 350)</w:t>
      </w:r>
      <w:r>
        <w:rPr>
          <w:rFonts w:ascii="Arial" w:cs="Arial" w:eastAsia="Arial" w:hAnsi="Arial"/>
          <w:sz w:val="18"/>
          <w:szCs w:val="18"/>
          <w:color w:val="auto"/>
        </w:rPr>
        <w:t>. The new standard amends specific aspects of the accounting for internal-use software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criteria for capitalizing software costs. It also amends the related disclosure requirements. This standard will be effective for Recursion starting the annual period of 2029 and for interim reporting periods within that annual reporting period. Early adoption is permitted. The amendments can be applied on a prospective, modified prospective or retrospective basis. Recursion is currently assessing the impact of adopting this guidance on its consolidated financial statements.</w:t>
      </w:r>
    </w:p>
    <w:p>
      <w:pPr>
        <w:spacing w:after="0" w:line="20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In November 2024, the Financial Accounting Standards Board (FASB) issued Accounting Standards Update (ASU) No. 2024-03, </w:t>
      </w:r>
      <w:r>
        <w:rPr>
          <w:rFonts w:ascii="Arial" w:cs="Arial" w:eastAsia="Arial" w:hAnsi="Arial"/>
          <w:sz w:val="18"/>
          <w:szCs w:val="18"/>
          <w:i w:val="1"/>
          <w:iCs w:val="1"/>
          <w:color w:val="auto"/>
        </w:rPr>
        <w:t>Disaggregation of Income Statement Expenses (Topic 220)</w:t>
      </w:r>
      <w:r>
        <w:rPr>
          <w:rFonts w:ascii="Arial" w:cs="Arial" w:eastAsia="Arial" w:hAnsi="Arial"/>
          <w:sz w:val="18"/>
          <w:szCs w:val="18"/>
          <w:color w:val="auto"/>
        </w:rPr>
        <w:t>. The standard requires new disclosures in the notes to the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about certain caption expenses presented on the face of the Income Statement including information on: purchases of inventory; employee compensation; depreciation and intangible asset amortization. Recursion must also disclose a qualitative description of the amounts remaining in expense captions that are not separately disaggregated. This standard will be effective for Recursion starting the annual period of 2027. Early adoption is permitted. The amendments can be applied on a prospective or retrospective basis. Recursion is currently assessing the impact of adopting this guidance on its consolidated financial statements.</w:t>
      </w:r>
    </w:p>
    <w:p>
      <w:pPr>
        <w:spacing w:after="0" w:line="200" w:lineRule="exact"/>
        <w:rPr>
          <w:sz w:val="20"/>
          <w:szCs w:val="20"/>
          <w:color w:val="auto"/>
        </w:rPr>
      </w:pPr>
    </w:p>
    <w:p>
      <w:pPr>
        <w:spacing w:after="0" w:line="25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3.</w:t>
        <w:tab/>
        <w:t>Supplemental Financial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Tempus agreement</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November 2023, Recursion entered into a five-year agreement (the Tempus Agreement) with Tempus Labs, Inc. (Tempus) to purchase access to their records of patient-centric multimodal oncology data and use rights for therapeutic development purposes. This data will be used to improve the training of Recursion’s artificial intelligence and machine learning models and is expected to accelerate Recursion’s drug discovery process. Recursion is making annual payments, ranging between $22.0 million and $42.0 million, up to $160.0 million in aggregate, to Tempus in cash or equity at the Company’s option. The equity value is determined by using the seven-trading day period dollar volume-weighted average price (VWAP) for Recursion Class A common stock ending on the day immediately preceding the date that is five business days prior to the payment date.</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Recursion is expensing the record purchases based on a contractually agreed price as “Research and Development” expenses in the Consolidated Statements of Operations as the records are downloaded. To the extent that the Recursion payments to Tempus are greater than or less than the records purchased amount, Recursion records the applicable amount to “Prepaid data assets” or “Accrued data liability” on the Consolidated Balance Sheet, respectively. The expense for the record purchases was $49.9 million, $8.4 million and $6.0 million for the years ended December 31, 2025, 2024 and 2023 respectively.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91"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100,928</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70,778</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72,727</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28,692</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27,365</w:t>
            </w:r>
          </w:p>
        </w:tc>
      </w:tr>
      <w:tr>
        <w:trPr>
          <w:trHeight w:val="229"/>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193,145</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203,734</w:t>
            </w:r>
          </w:p>
        </w:tc>
      </w:tr>
      <w:tr>
        <w:trPr>
          <w:trHeight w:val="229"/>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(89,214)</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(62,671)</w:t>
            </w:r>
          </w:p>
        </w:tc>
      </w:tr>
      <w:tr>
        <w:trPr>
          <w:trHeight w:val="248"/>
        </w:trPr>
        <w:tc>
          <w:tcPr>
            <w:tcW w:w="7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141,063</w:t>
            </w:r>
          </w:p>
        </w:tc>
      </w:tr>
      <w:tr>
        <w:trPr>
          <w:trHeight w:val="20"/>
        </w:trPr>
        <w:tc>
          <w:tcPr>
            <w:tcW w:w="7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Depreciation expense on property and equipment was $33.7 million, $18.3 million and $15.9 million during the years ended December 31, 2025</w:t>
      </w:r>
      <w:r>
        <w:rPr>
          <w:rFonts w:ascii="Arial" w:cs="Arial" w:eastAsia="Arial" w:hAnsi="Arial"/>
          <w:sz w:val="18"/>
          <w:szCs w:val="18"/>
          <w:color w:val="1E1E1E"/>
        </w:rPr>
        <w:t>, 2024 and 2023,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p>
      <w:pPr>
        <w:spacing w:after="0" w:line="291"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50,853</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Accrued compute liabilities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8,278</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3,073</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development expenses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Accrued early discovery expenses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4,581</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3,095</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Materials received not invoiced</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703</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1,590</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license fees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other expenses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17,972</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13,662</w:t>
            </w:r>
          </w:p>
        </w:tc>
      </w:tr>
      <w:tr>
        <w:trPr>
          <w:trHeight w:val="248"/>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expense and other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81,872</w:t>
            </w:r>
          </w:p>
        </w:tc>
      </w:tr>
      <w:tr>
        <w:trPr>
          <w:trHeight w:val="20"/>
        </w:trPr>
        <w:tc>
          <w:tcPr>
            <w:tcW w:w="7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For the year ended December 31, 2025, the decrease in accrued compensation from the prior year was driven by the Company’s decrease in headcount and initiative around strategic prioritization and streamlined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June 2025, Recursion announced a reduction in personnel program to help streamline the Company's operating strategy and post-integration efficiencies. These changes resulted in a workforce reduction of approximately 20%. As of December 31, 2025, the Company has substantially completed the plan, which consisted of severance payments and employee benefits. Recursion recorded these costs in “General and Administrative” on the Consolidated Statement of Operations as incurred. The following summarizes the activity related to these restructuring actions and the related accrual as of December 31, 2025:</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60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Expense</w:t>
            </w:r>
          </w:p>
        </w:tc>
        <w:tc>
          <w:tcPr>
            <w:tcW w:w="60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9,836</w:t>
            </w:r>
          </w:p>
        </w:tc>
        <w:tc>
          <w:tcPr>
            <w:tcW w:w="20" w:type="dxa"/>
            <w:vAlign w:val="bottom"/>
          </w:tcPr>
          <w:p>
            <w:pPr>
              <w:spacing w:after="0"/>
              <w:rPr>
                <w:sz w:val="19"/>
                <w:szCs w:val="19"/>
                <w:color w:val="auto"/>
              </w:rPr>
            </w:pPr>
          </w:p>
        </w:tc>
      </w:tr>
      <w:tr>
        <w:trPr>
          <w:trHeight w:val="229"/>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60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(8,521)</w:t>
            </w:r>
          </w:p>
        </w:tc>
        <w:tc>
          <w:tcPr>
            <w:tcW w:w="20" w:type="dxa"/>
            <w:vAlign w:val="bottom"/>
          </w:tcPr>
          <w:p>
            <w:pPr>
              <w:spacing w:after="0"/>
              <w:rPr>
                <w:sz w:val="19"/>
                <w:szCs w:val="19"/>
                <w:color w:val="auto"/>
              </w:rPr>
            </w:pPr>
          </w:p>
        </w:tc>
      </w:tr>
      <w:tr>
        <w:trPr>
          <w:trHeight w:val="223"/>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 2025</w:t>
            </w:r>
          </w:p>
        </w:tc>
        <w:tc>
          <w:tcPr>
            <w:tcW w:w="6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20" w:type="dxa"/>
            <w:vAlign w:val="bottom"/>
          </w:tcPr>
          <w:p>
            <w:pPr>
              <w:spacing w:after="0"/>
              <w:rPr>
                <w:sz w:val="19"/>
                <w:szCs w:val="19"/>
                <w:color w:val="auto"/>
              </w:rPr>
            </w:pPr>
          </w:p>
        </w:tc>
      </w:tr>
      <w:tr>
        <w:trPr>
          <w:trHeight w:val="21"/>
        </w:trPr>
        <w:tc>
          <w:tcPr>
            <w:tcW w:w="412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02"/>
        </w:trPr>
        <w:tc>
          <w:tcPr>
            <w:tcW w:w="4120" w:type="dxa"/>
            <w:vAlign w:val="bottom"/>
          </w:tcPr>
          <w:p>
            <w:pPr>
              <w:spacing w:after="0"/>
              <w:rPr>
                <w:sz w:val="24"/>
                <w:szCs w:val="24"/>
                <w:color w:val="auto"/>
              </w:rPr>
            </w:pPr>
          </w:p>
        </w:tc>
        <w:tc>
          <w:tcPr>
            <w:tcW w:w="6000" w:type="dxa"/>
            <w:vAlign w:val="bottom"/>
          </w:tcPr>
          <w:p>
            <w:pPr>
              <w:jc w:val="right"/>
              <w:ind w:right="4250"/>
              <w:spacing w:after="0"/>
              <w:rPr>
                <w:sz w:val="20"/>
                <w:szCs w:val="20"/>
                <w:color w:val="auto"/>
              </w:rPr>
            </w:pPr>
            <w:r>
              <w:rPr>
                <w:rFonts w:ascii="Arial" w:cs="Arial" w:eastAsia="Arial" w:hAnsi="Arial"/>
                <w:sz w:val="18"/>
                <w:szCs w:val="18"/>
                <w:color w:val="auto"/>
              </w:rPr>
              <w:t>170</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120" w:type="dxa"/>
            <w:vAlign w:val="bottom"/>
            <w:tcBorders>
              <w:bottom w:val="single" w:sz="8" w:color="9A9A9A"/>
            </w:tcBorders>
          </w:tcPr>
          <w:p>
            <w:pPr>
              <w:spacing w:after="0"/>
              <w:rPr>
                <w:sz w:val="9"/>
                <w:szCs w:val="9"/>
                <w:color w:val="auto"/>
              </w:rPr>
            </w:pPr>
          </w:p>
        </w:tc>
        <w:tc>
          <w:tcPr>
            <w:tcW w:w="60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15,758</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19,116</w:t>
            </w:r>
          </w:p>
        </w:tc>
      </w:tr>
      <w:tr>
        <w:trPr>
          <w:trHeight w:val="22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48"/>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20,978</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19,019</w:t>
            </w: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years ended December 31, 2025, 2024 and 2023, interest income primarily related to earnings on cash and cash equivalents in money market funds. Interest expense primarily related to the Company’s supercomputer financing lease. Interest income, net was included in “Other income, net” on the Consolidated Statements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 Ventures I</w:t>
      </w:r>
    </w:p>
    <w:p>
      <w:pPr>
        <w:spacing w:after="0" w:line="2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July 2025, Recursion acquired Rallybio’s interest in the joint venture, RE Ventures I, such that Recursion now owns 100% of the interest in RE Ventures I for total consideration of $20.2 million. Recursion determined that this transaction met the criteria for as an asset acquisition since the lead asset, ENPP1 (Rec-102), an inhibitor program for the treatment of hypophosphatasia (HPP), represented substantially all of the fair value of the gross assets acquired. For the year ended December 31, 2025, Recursion recorded an expense of $20.2 million, representing an acquired in-process research and development (IPR&amp;D) asset with no alternative future use, to “Research and Development” on the Consolidated Statements of Operations.</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Subsequent to closing, in August 2025, Recursion issued additional consideration as part of a required milestone payment related to the RE Ventures I transaction for the initiation of an additional preclinical study. This included the settlement of the previously recorded contingent consideration liability. As a result, Recursion recorded an additional expense of $2.4 million acquired IPR&amp;D, which was recorded to “Research and Development” on the Consolidated Statements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consideration transferred at acquisition date: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Recursion Class A common stock</w:t>
            </w:r>
          </w:p>
        </w:tc>
        <w:tc>
          <w:tcPr>
            <w:tcW w:w="220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7,815</w:t>
            </w:r>
          </w:p>
        </w:tc>
      </w:tr>
      <w:tr>
        <w:trPr>
          <w:trHeight w:val="248"/>
        </w:trPr>
        <w:tc>
          <w:tcPr>
            <w:tcW w:w="7980" w:type="dxa"/>
            <w:vAlign w:val="bottom"/>
          </w:tcPr>
          <w:p>
            <w:pPr>
              <w:ind w:left="20"/>
              <w:spacing w:after="0"/>
              <w:rPr>
                <w:sz w:val="20"/>
                <w:szCs w:val="20"/>
                <w:color w:val="auto"/>
              </w:rPr>
            </w:pPr>
            <w:r>
              <w:rPr>
                <w:rFonts w:ascii="Arial" w:cs="Arial" w:eastAsia="Arial" w:hAnsi="Arial"/>
                <w:sz w:val="18"/>
                <w:szCs w:val="18"/>
                <w:color w:val="auto"/>
              </w:rPr>
              <w:t>Contingent consideration liability</w:t>
            </w:r>
          </w:p>
        </w:tc>
        <w:tc>
          <w:tcPr>
            <w:tcW w:w="2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11,875</w:t>
            </w:r>
          </w:p>
        </w:tc>
      </w:tr>
      <w:tr>
        <w:trPr>
          <w:trHeight w:val="26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Transactions costs</w:t>
            </w:r>
          </w:p>
        </w:tc>
        <w:tc>
          <w:tcPr>
            <w:tcW w:w="2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5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paid</w:t>
            </w:r>
          </w:p>
        </w:tc>
        <w:tc>
          <w:tcPr>
            <w:tcW w:w="2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77"/>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20,153</w:t>
            </w:r>
          </w:p>
        </w:tc>
      </w:tr>
      <w:tr>
        <w:trPr>
          <w:trHeight w:val="20"/>
        </w:trPr>
        <w:tc>
          <w:tcPr>
            <w:tcW w:w="798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536"/>
        </w:trPr>
        <w:tc>
          <w:tcPr>
            <w:tcW w:w="7980" w:type="dxa"/>
            <w:vAlign w:val="bottom"/>
          </w:tcPr>
          <w:p>
            <w:pPr>
              <w:spacing w:after="0"/>
              <w:rPr>
                <w:sz w:val="20"/>
                <w:szCs w:val="20"/>
                <w:color w:val="auto"/>
              </w:rPr>
            </w:pPr>
            <w:r>
              <w:rPr>
                <w:rFonts w:ascii="Arial" w:cs="Arial" w:eastAsia="Arial" w:hAnsi="Arial"/>
                <w:sz w:val="18"/>
                <w:szCs w:val="18"/>
                <w:color w:val="auto"/>
              </w:rPr>
              <w:t>The following table summarizes the consideration transferred for the milestone:</w:t>
            </w:r>
          </w:p>
        </w:tc>
        <w:tc>
          <w:tcPr>
            <w:tcW w:w="2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75"/>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5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Recursion Class A common stock</w:t>
            </w:r>
          </w:p>
        </w:tc>
        <w:tc>
          <w:tcPr>
            <w:tcW w:w="2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56"/>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paid</w:t>
            </w:r>
          </w:p>
        </w:tc>
        <w:tc>
          <w:tcPr>
            <w:tcW w:w="2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r>
      <w:tr>
        <w:trPr>
          <w:trHeight w:val="270"/>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14,268</w:t>
            </w:r>
          </w:p>
        </w:tc>
      </w:tr>
      <w:tr>
        <w:trPr>
          <w:trHeight w:val="20"/>
        </w:trPr>
        <w:tc>
          <w:tcPr>
            <w:tcW w:w="798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860"/>
        <w:spacing w:after="0" w:line="318" w:lineRule="auto"/>
        <w:rPr>
          <w:sz w:val="20"/>
          <w:szCs w:val="20"/>
          <w:color w:val="auto"/>
        </w:rPr>
      </w:pPr>
      <w:r>
        <w:rPr>
          <w:rFonts w:ascii="Arial" w:cs="Arial" w:eastAsia="Arial" w:hAnsi="Arial"/>
          <w:sz w:val="17"/>
          <w:szCs w:val="17"/>
          <w:color w:val="auto"/>
        </w:rPr>
        <w:t>As part of the agreement, Rallybio is eligible to receive additional milestone payments under certain conditions. Milestone payment obligations that are incurred prior to regulatory approval of the compound will be expensed as acquired IPR&amp;D when recognized.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Exscientia GmbH</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March 2025, Recursion completed the sale of its Austrian operations (Exscientia GmbH) to a newly formed company, Alpha Biotechnology GmbH (Alpha). As part of the sale, Recursion obtained a 49% equity interest in Alpha. Recursion entered into this transaction as part of focusing its efforts and moderating spend. Alpha is a company leveraging a patient-tissue platform for the development of precision therapeutics for the treatment of hematological and solid cancers. For the year ended December 31, 2025, Recursion recorded a loss on the disposal of Exscientia GmbH of $4.5 million, which was classified as “Other income (loss), net” on the Consolidated Statement of Operations. Recursion also recorded a $4.4 million investment on the Consolidated Balance Sheet within “Other assets, non-current” related to its 49% equity interest in Alpha, which was determined to be an equity method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Exscientia plc</w:t>
      </w:r>
    </w:p>
    <w:p>
      <w:pPr>
        <w:spacing w:after="0" w:line="2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November 20, 2024, Recursion acquired all of the outstanding equity interests of Exscientia plc (“Exscientia”), a United Kingdom based public company that was registered on the Nasdaq Global Select Market. Exscientia is a drug design company utilizing its artificial intelligence platform to efficiently design and develop differentiated medicines for diseases with high unmet patient needs. Their focus is on utilizing their platform to develop best in class molecules with improvements to known or likely points of failure to improve the probability of developmental success. The Company believes the combination of the Recursion and Exscientia platforms and pipelines will position it to be a leader of the AI-enabled drug discovery and development space.</w:t>
      </w:r>
    </w:p>
    <w:p>
      <w:pPr>
        <w:spacing w:after="0" w:line="2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acquisition of Exscientia was accounted for as a business combination using the acquisition method of accounting. The consideration transferred of approximately $630.1 million consisted of $616.9 million in Recursion Class A shares and $13.2 million related to the portion of Exscientia share based awards that were replaced with Recursion share based awards that is attributable to pre-combination service. Approximately 102.1 million Recursion Class A shares were issued in exchange for Exscientia ordinary shares using a fixed exchange ratio of one Exscientia ordinary share converts to 0.7729 Recursion Class A shares (the “Exchange Ratio”). In addition, Recursion replaced all outstanding Exscientia share based awards with Recursion share based awards wherein the vesting schedule and other applicable terms were carried over except for the exercise price of share options which were adjusted using the 0.7729 exchange ratio. This included Exscientia’s stock options and restricted stock units. Recursion used $6.04, the Company’s share price on November 20, 2024 to calculate the consideration transferred. See Note 10, “Stock-Based Compensation” for additional information on the Exscientia share based awards.</w:t>
      </w:r>
    </w:p>
    <w:p>
      <w:pPr>
        <w:spacing w:after="0" w:line="2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year ended December 31, 2025, Recursion updated the deferred tax liabilities from the acquisition, which were incomplete as of December 31, 2024. As a result, Recursion adjusted the provisional deferred tax liabilities to reflect the additional information obtained about the facts and circumstances that existed as of the acquisition date. As a result, deferred tax liabilities and goodwill increased by $6.0 million.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32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277,104</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48,408</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61,961</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Intangible assets, technology</w:t>
            </w:r>
          </w:p>
        </w:tc>
        <w:tc>
          <w:tcPr>
            <w:tcW w:w="3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182,000</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indefinite-lived</w:t>
            </w:r>
          </w:p>
        </w:tc>
        <w:tc>
          <w:tcPr>
            <w:tcW w:w="3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1,934</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non-current</w:t>
            </w:r>
          </w:p>
        </w:tc>
        <w:tc>
          <w:tcPr>
            <w:tcW w:w="3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(40,780)</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(21,679)</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(120,905)</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(23,077)</w:t>
            </w:r>
          </w:p>
        </w:tc>
      </w:tr>
      <w:tr>
        <w:trPr>
          <w:trHeight w:val="229"/>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liabilities</w:t>
            </w:r>
          </w:p>
        </w:tc>
        <w:tc>
          <w:tcPr>
            <w:tcW w:w="3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33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526,438</w:t>
            </w:r>
          </w:p>
        </w:tc>
      </w:tr>
      <w:tr>
        <w:trPr>
          <w:trHeight w:val="229"/>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w:t>
            </w:r>
          </w:p>
        </w:tc>
        <w:tc>
          <w:tcPr>
            <w:tcW w:w="3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103,686</w:t>
            </w:r>
          </w:p>
        </w:tc>
      </w:tr>
      <w:tr>
        <w:trPr>
          <w:trHeight w:val="223"/>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 acquired and liabilities assumed</w:t>
            </w:r>
          </w:p>
        </w:tc>
        <w:tc>
          <w:tcPr>
            <w:tcW w:w="3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630,124</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Acquired contract liabilities in the scope of ASC 606 are an exception to the ASC 805 fair value measurement principle and were measured as if Recursion had originated the acquired contract. Two acquired customer contracts had contract liabilities and for each contract Recursion reassessed the identification of performance obligations, determination of transaction price, allocation of transaction price, and measure of progress for each performance obligation as if Recursion has been party to the original contract and recognized the resulting contract liability as a liability assumed. No contract assets in the scope of ASC 606 were acquired.</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intangible assets of Exscientia consist of the Exscientia artificial intelligence platform and four clinical stage oncology in process research and development (IPR&amp;D) assets. The operating system is a critical tool used for both designing molecules for fulfilling collaboration agreements and Exscientia’s own research and development projects. The fair value of each intangible asset was valued based on the present value of future discounted cash flows prepared under the multi-period excess earnings method with the significant inputs being the estimates of future revenues, future expenses, the discount rate of 10.5% and probabilities of technological and regulatory success. The platform asset is being amortized on a straight line basis over a six year useful life. The IPR&amp;D assets have been assigned an indefinite useful life and will be tested for impairment prospectively and, if regulatory approval is achieved, will be assigned a useful life and amortization will commence.</w:t>
      </w:r>
    </w:p>
    <w:p>
      <w:pPr>
        <w:spacing w:after="0" w:line="21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Goodwill was calculated based on the excess of the consideration transferred over net assets acquired. The goodwill recognized represents the assembled workforce, future research and development projects enabled by the platform that do not yet have sufficient substance to meet the definition of in-process research and development assets and expected synergies such as the integration of Recursion and Exscientia platforms. The goodwill is not deductible for tax purposes.</w:t>
      </w:r>
    </w:p>
    <w:p>
      <w:pPr>
        <w:spacing w:after="0" w:line="203"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Recursion’s Consolidated Statement of Operations for the year ended December 31, 2025 includes $35.3 million of revenue and $158.4 million of operating loss from Exscientia operations. The valuation of the assets acquired and liabilities assumed was finalized during the three months ended December 31, 2025.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250"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The following unaudited pro forma summary presents consolidated revenue and earnings of Recursion as if the Exscientia business combination had occurred on January 1, 2023</w:t>
      </w:r>
      <w:r>
        <w:rPr>
          <w:rFonts w:ascii="Arial" w:cs="Arial" w:eastAsia="Arial" w:hAnsi="Arial"/>
          <w:sz w:val="18"/>
          <w:szCs w:val="18"/>
          <w:color w:val="008080"/>
        </w:rPr>
        <w: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82,643</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72,504</w:t>
            </w:r>
          </w:p>
        </w:tc>
      </w:tr>
      <w:tr>
        <w:trPr>
          <w:trHeight w:val="239"/>
        </w:trPr>
        <w:tc>
          <w:tcPr>
            <w:tcW w:w="76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678,717</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548,716</w:t>
            </w:r>
          </w:p>
        </w:tc>
      </w:tr>
    </w:tbl>
    <w:p>
      <w:pPr>
        <w:spacing w:after="0" w:line="309"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 unaudited pro forma amounts have been calculated after converting the Exscientia financial information to U.S. GAAP, applying Recursion accounting policies, and applying the acquisition method of accounting at January 1, 2023.</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Recursion incurred approximately $20.5 million of transaction costs which are presented in general and administrative expenses in the statement of operations for the year ended December 31, 2024 and are reflected in the pro forma operating loss for the year ended December 31, 2023. Recursion did not have any material, nonrecurring pro forma adjustments directly attributable to the Exscientia business combination that are included in the pro forma information.</w:t>
      </w:r>
    </w:p>
    <w:p>
      <w:pPr>
        <w:spacing w:after="0" w:line="200" w:lineRule="exact"/>
        <w:rPr>
          <w:sz w:val="20"/>
          <w:szCs w:val="20"/>
          <w:color w:val="auto"/>
        </w:rPr>
      </w:pP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tab/>
        <w:t>Leases</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 has entered into various long-term real estate operating leases primarily related to office, research and development, operating activities and an equipment financing lease related to the supercomputer. The Company’s leases have remaining terms from under one year to seven years and some of those leases include options that provide Recursion with the ability to extend the lease term, generally for five years. The options are included in the lease term when it is reasonably certain that the option will be exercised.</w:t>
      </w:r>
    </w:p>
    <w:p>
      <w:pPr>
        <w:spacing w:after="0" w:line="2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year ended December 31, 2025, Recursion entered into lease modifications and terminations resulting in a decrease to the right-of-use asset and lease liability of $10.1 million. The modifications had no impact to the Consolidated Statements of Operations. This impact included the lease surrender of the Vienna facilities of Exscientia GmbH in March 2025, which resulted in a $5.2 million reduction to both the right-of-use asset and lease liability. In connection with this surrender, the Company also incurred a lease termination fee of $5.2 million, which was classified as “Other income (loss), net” on the Consolidated Statement of Operations. Additionally, the Company entered into a lease modification related to the Schrodinger leases to decrease the lease terms, which now ended during the second quarter of 2025. This resulted in a decrease to both the right-of-use asset and lease liability by $4.9 million. As a part of the lease modifications and termination, Recursion recorded leasehold impairments of $6.0 million.</w:t>
      </w:r>
    </w:p>
    <w:p>
      <w:pPr>
        <w:spacing w:after="0" w:line="212"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For the year ended December 31, 2024, Recursion entered into lease modifications resulting in a decrease to the right-of-use assets and lease liabilities of $3.1 million. The modifications had no impact to the Consolidated Statements of Operations. For the year ended December 31, 2024, Recursion entered into finance lease additions resulting in an increase to the right-of-use asset and lease liability of $30.3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lease cost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16,086</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12,078</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leased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1,744</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1,487</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r>
      <w:tr>
        <w:trPr>
          <w:trHeight w:val="23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48"/>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28,078</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10,399</w:t>
            </w:r>
          </w:p>
        </w:tc>
      </w:tr>
      <w:tr>
        <w:trPr>
          <w:trHeight w:val="20"/>
        </w:trPr>
        <w:tc>
          <w:tcPr>
            <w:tcW w:w="6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814"/>
        </w:trPr>
        <w:tc>
          <w:tcPr>
            <w:tcW w:w="598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were:</w:t>
            </w: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95"/>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December 31, 2025</w:t>
            </w: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 2024</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45,339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65,877</w:t>
            </w:r>
          </w:p>
        </w:tc>
      </w:tr>
      <w:tr>
        <w:trPr>
          <w:trHeight w:val="230"/>
        </w:trPr>
        <w:tc>
          <w:tcPr>
            <w:tcW w:w="5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Financing lease right-of-use assets</w:t>
            </w:r>
          </w:p>
        </w:tc>
        <w:tc>
          <w:tcPr>
            <w:tcW w:w="1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20,210</w:t>
            </w: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26,273</w:t>
            </w:r>
          </w:p>
        </w:tc>
      </w:tr>
      <w:tr>
        <w:trPr>
          <w:trHeight w:val="248"/>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lease right-of-use assets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65,549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92,150</w:t>
            </w:r>
          </w:p>
        </w:tc>
      </w:tr>
      <w:tr>
        <w:trPr>
          <w:trHeight w:val="20"/>
        </w:trPr>
        <w:tc>
          <w:tcPr>
            <w:tcW w:w="59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Financing lease liabilities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8,967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8,311</w:t>
            </w:r>
          </w:p>
        </w:tc>
      </w:tr>
      <w:tr>
        <w:trPr>
          <w:trHeight w:val="230"/>
        </w:trPr>
        <w:tc>
          <w:tcPr>
            <w:tcW w:w="5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Operating lease liabilities</w:t>
            </w:r>
          </w:p>
        </w:tc>
        <w:tc>
          <w:tcPr>
            <w:tcW w:w="1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12,663</w:t>
            </w: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13,795</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lease liabilities</w:t>
            </w:r>
          </w:p>
        </w:tc>
        <w:tc>
          <w:tcPr>
            <w:tcW w:w="1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21,630</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22,106</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Non-current liabilities</w:t>
            </w: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Financing lease liabilities, non-current</w:t>
            </w:r>
          </w:p>
        </w:tc>
        <w:tc>
          <w:tcPr>
            <w:tcW w:w="1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9,371</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18,338</w:t>
            </w:r>
          </w:p>
        </w:tc>
      </w:tr>
      <w:tr>
        <w:trPr>
          <w:trHeight w:val="230"/>
        </w:trPr>
        <w:tc>
          <w:tcPr>
            <w:tcW w:w="5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1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46,647</w:t>
            </w: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67,250</w:t>
            </w:r>
          </w:p>
        </w:tc>
      </w:tr>
      <w:tr>
        <w:trPr>
          <w:trHeight w:val="223"/>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non-current lease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56,018</w:t>
            </w:r>
          </w:p>
        </w:tc>
        <w:tc>
          <w:tcPr>
            <w:tcW w:w="3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85,588</w:t>
            </w:r>
          </w:p>
        </w:tc>
      </w:tr>
      <w:tr>
        <w:trPr>
          <w:trHeight w:val="22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lease liabilities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77,648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107,694</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were:</w:t>
      </w:r>
    </w:p>
    <w:p>
      <w:pPr>
        <w:spacing w:after="0" w:line="293"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Cash paid for amount included in the measurement of lease liabilities: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3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Operating cash flows from financing leases</w:t>
            </w: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1,744</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1,487</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flows from financing leases</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additions, modifications and terminations: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(10,084)</w:t>
            </w:r>
          </w:p>
        </w:tc>
        <w:tc>
          <w:tcPr>
            <w:tcW w:w="36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4,968</w:t>
            </w:r>
          </w:p>
        </w:tc>
      </w:tr>
      <w:tr>
        <w:trPr>
          <w:trHeight w:val="229"/>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30,315</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51"/>
        </w:trPr>
        <w:tc>
          <w:tcPr>
            <w:tcW w:w="7180" w:type="dxa"/>
            <w:vAlign w:val="bottom"/>
          </w:tcPr>
          <w:p>
            <w:pPr>
              <w:spacing w:after="0"/>
              <w:rPr>
                <w:sz w:val="20"/>
                <w:szCs w:val="20"/>
                <w:color w:val="auto"/>
              </w:rPr>
            </w:pPr>
            <w:r>
              <w:rPr>
                <w:rFonts w:ascii="Arial" w:cs="Arial" w:eastAsia="Arial" w:hAnsi="Arial"/>
                <w:sz w:val="18"/>
                <w:szCs w:val="18"/>
                <w:color w:val="auto"/>
              </w:rPr>
              <w:t>Lease term and discount rates were:</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5"/>
        </w:trPr>
        <w:tc>
          <w:tcPr>
            <w:tcW w:w="7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4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b w:val="1"/>
                <w:bCs w:val="1"/>
                <w:color w:val="auto"/>
                <w:w w:val="99"/>
              </w:rPr>
              <w:t>2025</w:t>
            </w: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Operating leases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5.3</w:t>
            </w:r>
          </w:p>
        </w:tc>
      </w:tr>
      <w:tr>
        <w:trPr>
          <w:trHeight w:val="230"/>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discount rate</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160" w:type="dxa"/>
            <w:vAlign w:val="bottom"/>
          </w:tcPr>
          <w:p>
            <w:pPr>
              <w:ind w:left="680"/>
              <w:spacing w:after="0"/>
              <w:rPr>
                <w:sz w:val="20"/>
                <w:szCs w:val="20"/>
                <w:color w:val="auto"/>
              </w:rPr>
            </w:pPr>
            <w:r>
              <w:rPr>
                <w:rFonts w:ascii="Arial" w:cs="Arial" w:eastAsia="Arial" w:hAnsi="Arial"/>
                <w:sz w:val="18"/>
                <w:szCs w:val="18"/>
                <w:color w:val="auto"/>
              </w:rPr>
              <w:t>2.6</w:t>
            </w:r>
          </w:p>
        </w:tc>
      </w:tr>
      <w:tr>
        <w:trPr>
          <w:trHeight w:val="229"/>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7.6 %</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9"/>
              </w:rPr>
              <w:t>7.6 %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14"/>
        </w:trPr>
        <w:tc>
          <w:tcPr>
            <w:tcW w:w="6820" w:type="dxa"/>
            <w:vAlign w:val="bottom"/>
          </w:tcPr>
          <w:p>
            <w:pPr>
              <w:spacing w:after="0"/>
              <w:rPr>
                <w:sz w:val="20"/>
                <w:szCs w:val="20"/>
                <w:color w:val="auto"/>
              </w:rPr>
            </w:pPr>
            <w:r>
              <w:rPr>
                <w:rFonts w:ascii="Arial" w:cs="Arial" w:eastAsia="Arial" w:hAnsi="Arial"/>
                <w:sz w:val="18"/>
                <w:szCs w:val="18"/>
                <w:color w:val="auto"/>
              </w:rPr>
              <w:t>Maturities of operating lease liabilities as of December 31, 2025 were:</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8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Operating leases</w:t>
            </w:r>
          </w:p>
        </w:tc>
        <w:tc>
          <w:tcPr>
            <w:tcW w:w="22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Finance leases</w:t>
            </w:r>
          </w:p>
        </w:tc>
        <w:tc>
          <w:tcPr>
            <w:tcW w:w="20" w:type="dxa"/>
            <w:vAlign w:val="bottom"/>
          </w:tcPr>
          <w:p>
            <w:pPr>
              <w:spacing w:after="0"/>
              <w:rPr>
                <w:sz w:val="24"/>
                <w:szCs w:val="24"/>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17,467</w:t>
            </w: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20" w:type="dxa"/>
            <w:vAlign w:val="bottom"/>
          </w:tcPr>
          <w:p>
            <w:pPr>
              <w:spacing w:after="0"/>
              <w:rPr>
                <w:sz w:val="19"/>
                <w:szCs w:val="19"/>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17,827</w:t>
            </w:r>
          </w:p>
        </w:tc>
        <w:tc>
          <w:tcPr>
            <w:tcW w:w="1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9,707</w:t>
            </w:r>
          </w:p>
        </w:tc>
        <w:tc>
          <w:tcPr>
            <w:tcW w:w="20" w:type="dxa"/>
            <w:vAlign w:val="bottom"/>
          </w:tcPr>
          <w:p>
            <w:pPr>
              <w:spacing w:after="0"/>
              <w:rPr>
                <w:sz w:val="19"/>
                <w:szCs w:val="19"/>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8,201</w:t>
            </w:r>
          </w:p>
        </w:tc>
        <w:tc>
          <w:tcPr>
            <w:tcW w:w="1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w:t>
            </w:r>
          </w:p>
        </w:tc>
        <w:tc>
          <w:tcPr>
            <w:tcW w:w="1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72,683</w:t>
            </w: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19,762</w:t>
            </w:r>
          </w:p>
        </w:tc>
        <w:tc>
          <w:tcPr>
            <w:tcW w:w="20" w:type="dxa"/>
            <w:vAlign w:val="bottom"/>
          </w:tcPr>
          <w:p>
            <w:pPr>
              <w:spacing w:after="0"/>
              <w:rPr>
                <w:sz w:val="19"/>
                <w:szCs w:val="19"/>
                <w:color w:val="auto"/>
              </w:rPr>
            </w:pPr>
          </w:p>
        </w:tc>
      </w:tr>
      <w:tr>
        <w:trPr>
          <w:trHeight w:val="229"/>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(13,373)</w:t>
            </w:r>
          </w:p>
        </w:tc>
        <w:tc>
          <w:tcPr>
            <w:tcW w:w="1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20" w:type="dxa"/>
            <w:vAlign w:val="bottom"/>
          </w:tcPr>
          <w:p>
            <w:pPr>
              <w:spacing w:after="0"/>
              <w:rPr>
                <w:sz w:val="19"/>
                <w:szCs w:val="19"/>
                <w:color w:val="auto"/>
              </w:rPr>
            </w:pPr>
          </w:p>
        </w:tc>
      </w:tr>
      <w:tr>
        <w:trPr>
          <w:trHeight w:val="248"/>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59,310</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18,338</w:t>
            </w:r>
          </w:p>
        </w:tc>
        <w:tc>
          <w:tcPr>
            <w:tcW w:w="20" w:type="dxa"/>
            <w:vAlign w:val="bottom"/>
          </w:tcPr>
          <w:p>
            <w:pPr>
              <w:spacing w:after="0"/>
              <w:rPr>
                <w:sz w:val="21"/>
                <w:szCs w:val="21"/>
                <w:color w:val="auto"/>
              </w:rPr>
            </w:pP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82"/>
        </w:trPr>
        <w:tc>
          <w:tcPr>
            <w:tcW w:w="6820" w:type="dxa"/>
            <w:vAlign w:val="bottom"/>
          </w:tcPr>
          <w:p>
            <w:pPr>
              <w:spacing w:after="0"/>
              <w:rPr>
                <w:sz w:val="20"/>
                <w:szCs w:val="20"/>
                <w:color w:val="auto"/>
              </w:rPr>
            </w:pPr>
            <w:r>
              <w:rPr>
                <w:rFonts w:ascii="Arial" w:cs="Arial" w:eastAsia="Arial" w:hAnsi="Arial"/>
                <w:sz w:val="18"/>
                <w:szCs w:val="18"/>
                <w:b w:val="1"/>
                <w:bCs w:val="1"/>
                <w:color w:val="auto"/>
              </w:rPr>
              <w:t>Note 6.  Goodwill and Intangible Assets</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682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1"/>
        </w:trPr>
        <w:tc>
          <w:tcPr>
            <w:tcW w:w="6820" w:type="dxa"/>
            <w:vAlign w:val="bottom"/>
          </w:tcPr>
          <w:p>
            <w:pPr>
              <w:spacing w:after="0"/>
              <w:rPr>
                <w:sz w:val="20"/>
                <w:szCs w:val="20"/>
                <w:color w:val="auto"/>
              </w:rPr>
            </w:pPr>
            <w:r>
              <w:rPr>
                <w:rFonts w:ascii="Arial" w:cs="Arial" w:eastAsia="Arial" w:hAnsi="Arial"/>
                <w:sz w:val="18"/>
                <w:szCs w:val="18"/>
                <w:color w:val="auto"/>
              </w:rPr>
              <w:t>The following table summarizes the changes in the carrying amount of goodwill:</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2023</w:t>
            </w:r>
          </w:p>
        </w:tc>
        <w:tc>
          <w:tcPr>
            <w:tcW w:w="2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52,056</w:t>
            </w:r>
          </w:p>
        </w:tc>
        <w:tc>
          <w:tcPr>
            <w:tcW w:w="20" w:type="dxa"/>
            <w:vAlign w:val="bottom"/>
            <w:shd w:val="clear" w:color="auto" w:fill="CCEEFF"/>
          </w:tcPr>
          <w:p>
            <w:pPr>
              <w:spacing w:after="0"/>
              <w:rPr>
                <w:sz w:val="20"/>
                <w:szCs w:val="20"/>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Additions from acquisitions</w:t>
            </w: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97,735</w:t>
            </w:r>
          </w:p>
        </w:tc>
        <w:tc>
          <w:tcPr>
            <w:tcW w:w="20" w:type="dxa"/>
            <w:vAlign w:val="bottom"/>
          </w:tcPr>
          <w:p>
            <w:pPr>
              <w:spacing w:after="0"/>
              <w:rPr>
                <w:sz w:val="19"/>
                <w:szCs w:val="19"/>
                <w:color w:val="auto"/>
              </w:rPr>
            </w:pPr>
          </w:p>
        </w:tc>
      </w:tr>
      <w:tr>
        <w:trPr>
          <w:trHeight w:val="230"/>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Balance as of December 31, 2024</w:t>
            </w: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148,873</w:t>
            </w:r>
          </w:p>
        </w:tc>
        <w:tc>
          <w:tcPr>
            <w:tcW w:w="20" w:type="dxa"/>
            <w:vAlign w:val="bottom"/>
          </w:tcPr>
          <w:p>
            <w:pPr>
              <w:spacing w:after="0"/>
              <w:rPr>
                <w:sz w:val="19"/>
                <w:szCs w:val="19"/>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from acquisitions</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20" w:type="dxa"/>
            <w:vAlign w:val="bottom"/>
            <w:shd w:val="clear" w:color="auto" w:fill="CCEEFF"/>
          </w:tcPr>
          <w:p>
            <w:pPr>
              <w:spacing w:after="0"/>
              <w:rPr>
                <w:sz w:val="19"/>
                <w:szCs w:val="19"/>
                <w:color w:val="auto"/>
              </w:rPr>
            </w:pPr>
          </w:p>
        </w:tc>
      </w:tr>
      <w:tr>
        <w:trPr>
          <w:trHeight w:val="230"/>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20" w:type="dxa"/>
            <w:vAlign w:val="bottom"/>
            <w:tcBorders>
              <w:bottom w:val="single" w:sz="8" w:color="auto"/>
            </w:tcBorders>
          </w:tcPr>
          <w:p>
            <w:pPr>
              <w:spacing w:after="0"/>
              <w:rPr>
                <w:sz w:val="19"/>
                <w:szCs w:val="19"/>
                <w:color w:val="auto"/>
              </w:rPr>
            </w:pPr>
          </w:p>
        </w:tc>
      </w:tr>
      <w:tr>
        <w:trPr>
          <w:trHeight w:val="248"/>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2025</w:t>
            </w:r>
          </w:p>
        </w:tc>
        <w:tc>
          <w:tcPr>
            <w:tcW w:w="26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162,158</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additions to goodwill related to the acquisition of Exscientia. See Note 4, “Acquisitions” for additional details. No goodwill impairment was recorded during the years ended December 31, 2025, 2024 and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2025</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40" w:type="dxa"/>
            <w:vAlign w:val="bottom"/>
          </w:tcPr>
          <w:p>
            <w:pPr>
              <w:jc w:val="right"/>
              <w:ind w:right="96"/>
              <w:spacing w:after="0" w:line="143"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180" w:type="dxa"/>
            <w:vAlign w:val="bottom"/>
          </w:tcPr>
          <w:p>
            <w:pPr>
              <w:jc w:val="right"/>
              <w:ind w:right="136"/>
              <w:spacing w:after="0" w:line="14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42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240" w:type="dxa"/>
            <w:vAlign w:val="bottom"/>
          </w:tcPr>
          <w:p>
            <w:pPr>
              <w:jc w:val="right"/>
              <w:ind w:right="96"/>
              <w:spacing w:after="0" w:line="143" w:lineRule="exact"/>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2"/>
                <w:szCs w:val="12"/>
                <w:color w:val="auto"/>
              </w:rPr>
            </w:pPr>
          </w:p>
        </w:tc>
        <w:tc>
          <w:tcPr>
            <w:tcW w:w="1300" w:type="dxa"/>
            <w:vAlign w:val="bottom"/>
          </w:tcPr>
          <w:p>
            <w:pPr>
              <w:jc w:val="center"/>
              <w:ind w:right="116"/>
              <w:spacing w:after="0" w:line="14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220" w:type="dxa"/>
            <w:vAlign w:val="bottom"/>
          </w:tcPr>
          <w:p>
            <w:pPr>
              <w:jc w:val="right"/>
              <w:ind w:right="216"/>
              <w:spacing w:after="0" w:line="14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9"/>
        </w:trPr>
        <w:tc>
          <w:tcPr>
            <w:tcW w:w="24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Definite-lived technology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236,497</w:t>
            </w: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(69,156)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167,341</w:t>
            </w:r>
          </w:p>
        </w:tc>
        <w:tc>
          <w:tcPr>
            <w:tcW w:w="2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224,362</w:t>
            </w:r>
          </w:p>
        </w:tc>
        <w:tc>
          <w:tcPr>
            <w:tcW w:w="2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(24,544)</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199,818</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Definite-lived licensed</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11,158</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(6,619)</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4,539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9,350</w:t>
            </w:r>
          </w:p>
        </w:tc>
        <w:tc>
          <w:tcPr>
            <w:tcW w:w="2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(2,088)</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Indefinite-lived intangible</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138,023</w:t>
            </w: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138,023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128,775</w:t>
            </w: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128,775</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385,678</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309,903</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362,487</w:t>
            </w:r>
          </w:p>
        </w:tc>
        <w:tc>
          <w:tcPr>
            <w:tcW w:w="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335,855</w:t>
            </w:r>
          </w:p>
        </w:tc>
        <w:tc>
          <w:tcPr>
            <w:tcW w:w="0" w:type="dxa"/>
            <w:vAlign w:val="bottom"/>
          </w:tcPr>
          <w:p>
            <w:pPr>
              <w:spacing w:after="0"/>
              <w:rPr>
                <w:sz w:val="1"/>
                <w:szCs w:val="1"/>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Amortization expense was $50.3 million, $18.8 million and $8.5 million during the years ended December 31, 2025, 2024 and 2023, respectively. Amortization expense was primarily included in “Research and Development” in the Consolidated Statements of Operations. Amortization expense for the definite-lived intangible assets will be recognized over approximately the next five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annual amortization expense for the definite-lived intangible assets recorded as of December 31, 2025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2027</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2028</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2029</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2030</w:t>
            </w:r>
          </w:p>
        </w:tc>
      </w:tr>
      <w:tr>
        <w:trPr>
          <w:trHeight w:val="223"/>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Estimated annual amortization expense</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30,333</w:t>
            </w:r>
          </w:p>
        </w:tc>
      </w:tr>
    </w:tbl>
    <w:p>
      <w:pPr>
        <w:spacing w:after="0" w:line="31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indefinite-lived intangible assets primarily represent in-process research and development (IPR&amp;D) intangibles acquired in business combinations. See Note 4, “Acquisitions” for additional details on the intangible assets acquired. No indefinite-lived intangible asset impairment charges were recorded during the years ended December 31, 2025, 2024 and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amounts it pays under its indemnification obligations. The Company had no liabilities recorded for these agreements as of December 31, 2025 and December 31, 2024, as no amounts were probable.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Agreements</w:t>
      </w:r>
    </w:p>
    <w:p>
      <w:pPr>
        <w:spacing w:after="0" w:line="250"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auto"/>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0"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w:t>
      </w:r>
    </w:p>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April 2024, a putative class action complaint was filed in the U.S. District Court for the District of New Jersey against Exscientia plc, Andrew Hopkins, Ben R. Taylor and David Nicholson (Campanile v. Exscientia plc, Case No. 1:24-cv-05692). In June 2024, a separate complaint was filed against the same defendants in the U.S. District Court for the District of New Jersey (Case 1:24-cv-07181). Both complaints allege that the defendants violated federal securities laws by, among other things, making materially false and misleading statements regarding Exscientia’s business, operations and prospects. The complaints seek unspecified compensatory damages, as well as an award of reasonable attorneys’ fees and other costs, on behalf of persons and/or entities which purchased Exscientia securities between March 2022 and February 2024. The cases were consolidated and plaintiffs filed an amended complaint on November 11, 2024 against Exscientia plc, Andrew Hopkins and David Nicholson, and the Company moved to dismiss on January 21, 2025. In October 2025, that motion to dismiss was granted and the District Court dismissed the plaintiff’s claims without prejudice; permitting leave to re-file the complaint within 30 days. No further complaint was filed as of that deadline and the Court dismissed the amended complaint with prejudice in December 2025.</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February 2021, the Company entered into a lease agreement for laboratory and office space (the Industry Lease) with Industry Office SLC, LLC (the landlord). In March 2023, the Company sent a letter to the landlord detailing numerous construction delays and irregularities, deficiencies and deviations from applicable structural drawings and/or non-conforming conditions with applicable building codes (collectively, the Claims). On June 23, 2023, the landlord filed a lawsuit against the Company (Industry Office SLC, LLC v. Recursion Pharmaceuticals, Inc., Case No. 230904627) amended in October 2023, in the Third District Court for Salt Lake County, State of Utah (the Court), alleging anticipatory repudiation, breach of contract and breach of the implied covenant of good faith and fair dealing and seeks monetary damages and attorney’s fees. As of December 31, 2025, the Company had no liability</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recorded for these events as an unfavorable outcome was not probable. In September 2023, the Company filed claims in the Court against the landlord alleging, among other things, breach of contract and fraudulent misrepresentation (the Counterclaims). In October 2023, the landlord filed an answer and denied the Company’s allegations asserted in the Counterclaims. The Company and the landlord are currently engaged in discovery. The Company is unable to estimate the possible amount or range of damages associated with the Counterclaims.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Pledged Assets</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 of </w:t>
      </w:r>
      <w:r>
        <w:rPr>
          <w:rFonts w:ascii="Arial" w:cs="Arial" w:eastAsia="Arial" w:hAnsi="Arial"/>
          <w:sz w:val="18"/>
          <w:szCs w:val="18"/>
          <w:color w:val="1E1E1E"/>
        </w:rPr>
        <w:t>December 31, 2025</w:t>
      </w:r>
      <w:r>
        <w:rPr>
          <w:rFonts w:ascii="Arial" w:cs="Arial" w:eastAsia="Arial" w:hAnsi="Arial"/>
          <w:sz w:val="18"/>
          <w:szCs w:val="18"/>
          <w:color w:val="auto"/>
        </w:rPr>
        <w:t xml:space="preserve">, assets pledged as collateral against finance leases totaled $16.6 million. Assets pledged as collateral are Lab Equipment reported in “Property and Equipment, net” on the Consolidated Balance Sheet. As of </w:t>
      </w:r>
      <w:r>
        <w:rPr>
          <w:rFonts w:ascii="Arial" w:cs="Arial" w:eastAsia="Arial" w:hAnsi="Arial"/>
          <w:sz w:val="18"/>
          <w:szCs w:val="18"/>
          <w:color w:val="1E1E1E"/>
        </w:rPr>
        <w:t>December 31, 2025</w:t>
      </w:r>
      <w:r>
        <w:rPr>
          <w:rFonts w:ascii="Arial" w:cs="Arial" w:eastAsia="Arial" w:hAnsi="Arial"/>
          <w:sz w:val="18"/>
          <w:szCs w:val="18"/>
          <w:color w:val="auto"/>
        </w:rPr>
        <w:t>, the liabilities associated with collateral pledged were solely comprised of a finance lease and had a carrying value of $18.3 million. The collateral pledged under the lease agreement may only be operated by the Company within the continental United States and must maintain a good title. The assets cannot be sold, disposed of or repledged by the Company.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25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December 31, 2025 and December 31, 2024, no dividends had been declared.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(Citi)</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February 2025, the Company entered into a Sales Agreement (the Citi Sales Agreement) with Citigroup Capital Markets Inc. (Citi) to provide for the offering, issuance and sale of up to an aggregate amount of $500.0 million of its Class A common stock from time to time in “at-the-market” (ATM) offerings (the Citi ATM Offering). The Citi ATM Offering was made under a prospectus supplement dated February 28, 2025 and related prospectus filed with the Securities and Exchange Commission pursuant to the Company’s automatically effective shelf registration statement on Form S-3 (Registration No. 333-284878).</w:t>
      </w:r>
    </w:p>
    <w:p>
      <w:pPr>
        <w:spacing w:after="0" w:line="20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For the year ended December 31, 2025, the Company sold 99.9 million shares and received net proceeds of $491.7 million under the agreement. As of December 31, 2025, no </w:t>
      </w:r>
      <w:r>
        <w:rPr>
          <w:rFonts w:ascii="Arial" w:cs="Arial" w:eastAsia="Arial" w:hAnsi="Arial"/>
          <w:sz w:val="18"/>
          <w:szCs w:val="18"/>
          <w:color w:val="1E1E1E"/>
        </w:rPr>
        <w:t>amount</w:t>
      </w:r>
      <w:r>
        <w:rPr>
          <w:rFonts w:ascii="Arial" w:cs="Arial" w:eastAsia="Arial" w:hAnsi="Arial"/>
          <w:sz w:val="18"/>
          <w:szCs w:val="18"/>
          <w:color w:val="auto"/>
        </w:rPr>
        <w:t xml:space="preserve"> remained available for future sales under the Sales Agreement as the offering was fully utilized during the year ended December 31, 2025.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(Jefferies)</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August 2023</w:t>
      </w:r>
      <w:r>
        <w:rPr>
          <w:rFonts w:ascii="Arial" w:cs="Arial" w:eastAsia="Arial" w:hAnsi="Arial"/>
          <w:sz w:val="18"/>
          <w:szCs w:val="18"/>
          <w:color w:val="auto"/>
        </w:rPr>
        <w:t>, the Company entered into an Open Market Sales Agreement (the “Jefferies Sales Agreement”) with Jefferies LLC ( “Jefferies”), to provide for the offering, issuance and sale of up to an aggregate amount of $300.0 million of its Class A common stock from time to time in ATM offerings. In February 2025, the Company terminated the Jefferies Sales Agreement. In total, the Company sold 26.8 million shares and received net proceeds of $199.1 million under the agreement through its termination. Of the total sales and net proceeds, the Company sold 4.9 million shares and received net proceeds of $36.9 million under the agreement in 2025, prior to its termination. The Company paid Jefferies a commission of up to 3% of the aggregate gross proceeds received from all sales of Class A common stock. The Jefferies ATM Offering was made under a prospectus supplement dated August 8, 2023 and related prospectus filed with the Securities and Exchange Commission pursuant to the Company’s automatically effective shelf registration statement on Form S-3ASR (Registration No. 333-264845).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2024, the Company closed its public offering of Class A common stock and issued 35.4 million shares at a price of $6.50 per share for net proceeds of approximately $216.4 million, after deducting transaction costs of $13.6 million. In connection with the public offering of Class A common stock, the Company entered into an underwriting agreement for the offering and sale of 30.8 million shares. The Company also granted the Underwriters a 30 day option from the date of the underwriting agreement to purchase up to an additional 4.6 million shares of Class A common Stock, which was exercised in full. The public offering was made pursuant to the Company's effective</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registration statement on Form S-3 (File No. 333-264845) and a related prospectus supplement and accompanying prospectus dated June 26,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Valence Acquisition Exchangeable Shares</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May 2023, in connection with the acquisition of Valence, the Company entered into an agreement to issue up to 5.9 million shares of Class A common stock (the “Exchangeable Shares”), that may be issued upon exchange, retraction or redemption of exchangeable shares of a subsidiary of Recursion. Each exchangeable share of the subsidiary of Recursion entitles the holder to exchange those shares on a one-for-one basis for Recursion’s Class A common stock. The shares are entitled to receive dividends economically equivalent to dividends declared by Recursion, are non-voting and are subject to customary adjustments for stock splits or other reorganizations. In addition, the Company may require all outstanding exchangeable shares to be exchanged into an equal number of Class A common stock upon the occurrence of certain events and at any time following the seventh anniversary of the closing of the Valence acquisition. The exchangeable shares are substantially the economic equivalent of the Class A shares and classified as common stock within the Company’s stockholders’ equity. The Company’s calculation of weighted-average shares outstanding includes the exchangeable shares. As of December 31, 2025, 5.0 million Exchangeable shares have been redeemed for Class A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Tempus agreement</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In November 2023, in connection with the Tempus Agreement, the Company agreed to prepare and file a registration statement (or a prospectus supplement to an effective registration statement on Form S-3ASR that will become automatically effective upon filing with the SEC pursuant to Rule 462(e)) with the SEC, for resale of the shares of Class A common stock issued or issuable under the Tempus Agreement. A prospectus supplement to a registration statement (File No. 333-264845) was subsequently filed in </w:t>
      </w:r>
      <w:r>
        <w:rPr>
          <w:rFonts w:ascii="Arial" w:cs="Arial" w:eastAsia="Arial" w:hAnsi="Arial"/>
          <w:sz w:val="18"/>
          <w:szCs w:val="18"/>
          <w:color w:val="1E1E1E"/>
        </w:rPr>
        <w:t>December 2023</w:t>
      </w:r>
      <w:r>
        <w:rPr>
          <w:rFonts w:ascii="Arial" w:cs="Arial" w:eastAsia="Arial" w:hAnsi="Arial"/>
          <w:sz w:val="18"/>
          <w:szCs w:val="18"/>
          <w:color w:val="auto"/>
        </w:rPr>
        <w:t xml:space="preserve"> to register shares issued to Tempus for the initial license fee under the Tempus Agreement for resale. In </w:t>
      </w:r>
      <w:r>
        <w:rPr>
          <w:rFonts w:ascii="Arial" w:cs="Arial" w:eastAsia="Arial" w:hAnsi="Arial"/>
          <w:sz w:val="18"/>
          <w:szCs w:val="18"/>
          <w:color w:val="1E1E1E"/>
        </w:rPr>
        <w:t>December 2024</w:t>
      </w:r>
      <w:r>
        <w:rPr>
          <w:rFonts w:ascii="Arial" w:cs="Arial" w:eastAsia="Arial" w:hAnsi="Arial"/>
          <w:sz w:val="18"/>
          <w:szCs w:val="18"/>
          <w:color w:val="auto"/>
        </w:rPr>
        <w:t xml:space="preserve">, a prospectus supplement to a registration statement (File No. 333-264845) was filed to register shares issued to Tempus in payment for the </w:t>
      </w:r>
      <w:r>
        <w:rPr>
          <w:rFonts w:ascii="Arial" w:cs="Arial" w:eastAsia="Arial" w:hAnsi="Arial"/>
          <w:sz w:val="18"/>
          <w:szCs w:val="18"/>
          <w:color w:val="1E1E1E"/>
        </w:rPr>
        <w:t>2024</w:t>
      </w:r>
      <w:r>
        <w:rPr>
          <w:rFonts w:ascii="Arial" w:cs="Arial" w:eastAsia="Arial" w:hAnsi="Arial"/>
          <w:sz w:val="18"/>
          <w:szCs w:val="18"/>
          <w:color w:val="auto"/>
        </w:rPr>
        <w:t xml:space="preserve"> annual fee. Such registration statement (File No. 333-264845) subsequently expired. A new registration statement (333-284878) was filed in </w:t>
      </w:r>
      <w:r>
        <w:rPr>
          <w:rFonts w:ascii="Arial" w:cs="Arial" w:eastAsia="Arial" w:hAnsi="Arial"/>
          <w:sz w:val="18"/>
          <w:szCs w:val="18"/>
          <w:color w:val="1E1E1E"/>
        </w:rPr>
        <w:t>February 2025</w:t>
      </w:r>
      <w:r>
        <w:rPr>
          <w:rFonts w:ascii="Arial" w:cs="Arial" w:eastAsia="Arial" w:hAnsi="Arial"/>
          <w:sz w:val="18"/>
          <w:szCs w:val="18"/>
          <w:color w:val="auto"/>
        </w:rPr>
        <w:t xml:space="preserve"> and a prospectus supplement covering all shares that have been issued under the Tempus Agreement and remained held by Tempus was filed in </w:t>
      </w:r>
      <w:r>
        <w:rPr>
          <w:rFonts w:ascii="Arial" w:cs="Arial" w:eastAsia="Arial" w:hAnsi="Arial"/>
          <w:sz w:val="18"/>
          <w:szCs w:val="18"/>
          <w:color w:val="1E1E1E"/>
        </w:rPr>
        <w:t>May 2025, and i</w:t>
      </w:r>
      <w:r>
        <w:rPr>
          <w:rFonts w:ascii="Arial" w:cs="Arial" w:eastAsia="Arial" w:hAnsi="Arial"/>
          <w:sz w:val="18"/>
          <w:szCs w:val="18"/>
          <w:color w:val="auto"/>
        </w:rPr>
        <w:t xml:space="preserve">n </w:t>
      </w:r>
      <w:r>
        <w:rPr>
          <w:rFonts w:ascii="Arial" w:cs="Arial" w:eastAsia="Arial" w:hAnsi="Arial"/>
          <w:sz w:val="18"/>
          <w:szCs w:val="18"/>
          <w:color w:val="1E1E1E"/>
        </w:rPr>
        <w:t>November 2025</w:t>
      </w:r>
      <w:r>
        <w:rPr>
          <w:rFonts w:ascii="Arial" w:cs="Arial" w:eastAsia="Arial" w:hAnsi="Arial"/>
          <w:sz w:val="18"/>
          <w:szCs w:val="18"/>
          <w:color w:val="auto"/>
        </w:rPr>
        <w:t xml:space="preserve">, a prospectus supplement was filed to register shares issued to Tempus in payment for the </w:t>
      </w:r>
      <w:r>
        <w:rPr>
          <w:rFonts w:ascii="Arial" w:cs="Arial" w:eastAsia="Arial" w:hAnsi="Arial"/>
          <w:sz w:val="18"/>
          <w:szCs w:val="18"/>
          <w:color w:val="1E1E1E"/>
        </w:rPr>
        <w:t>2025</w:t>
      </w:r>
      <w:r>
        <w:rPr>
          <w:rFonts w:ascii="Arial" w:cs="Arial" w:eastAsia="Arial" w:hAnsi="Arial"/>
          <w:sz w:val="18"/>
          <w:szCs w:val="18"/>
          <w:color w:val="auto"/>
        </w:rPr>
        <w:t xml:space="preserve"> annual fee.</w:t>
      </w:r>
    </w:p>
    <w:p>
      <w:pPr>
        <w:spacing w:after="0" w:line="21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After registration of any shares issued to Tempus under the Tempus Agreement, the Company has agreed to use commercially reasonable efforts to keep such registration statement effective until such date that all shares issued to Tempus covered by such registration statement have been sold or are able to be publicly sold by relying on Rule 144 of the Securities Act without registration.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November 2024, in connection with the acquisition of Exscientia, the Company entered into a Registration Agreement providing for the registration for resale of the shares of Class A common stock issued for Recursion stock options and RSUs under the assumed Exscientia plans and the Inducement awards. A registration statement on Form S-8 (File No. 333-283347) was filed to register the shares for resale by the holders. The registration statement must remain effective as long as such Recursion stock options and RSUs remain outstanding.</w:t>
      </w:r>
    </w:p>
    <w:p>
      <w:pPr>
        <w:spacing w:after="0" w:line="20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in connection with the acquisition of Valence, the Company entered into a Registration Agreement providing for the registration for resale of the shares of Class A common stock and Exchange Shares issued or issuable in such transaction. A registration statement on Form S-3ASR (File No. 333-272281) was filed to register the shares for resale by the holders. The registration statement must remain effective for a period of not less than three years.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B Common Shares Authorization</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2021</w:t>
      </w:r>
      <w:r>
        <w:rPr>
          <w:rFonts w:ascii="Arial" w:cs="Arial" w:eastAsia="Arial" w:hAnsi="Arial"/>
          <w:sz w:val="18"/>
          <w:szCs w:val="18"/>
          <w:color w:val="auto"/>
        </w:rPr>
        <w:t>,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Collaborative Development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January 2022, the Company and Sanofi entered into a collaboration agreement to develop an AI-driven pipeline of precision-engineered medicines. The research is focused on up to 15 novel small molecule candidates across oncology and immunology and utilizes the Company’s AI platform. The Company is leading small molecule drug design and lead optimization activities with Sanofi assuming responsibility for preclinical and clinical development, manufacturing and commercialization.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received a $100.0 million non-refundable upfront payment. In April 2025, Recursion received a $7.0 million payment related to the achievement of a milestone for one of the performance obligations. The Company has also received multiple other milestone payments related to this agreement totaling approximately $30.0 million. These related to the advancement of several of the discovery programs within the collaboration and the addition of an existing Company program into the collaboration. Recursion is eligible for additional milestone payments based on performance progress of the collaboration and tiered royalties ranging from high-single -digits to mid-teens. Recursion could earn a maximum of $555.0 million from all research milestones and $1.8 billion from all development and regulatory milestones.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2024, Recursion acquired Exscientia as part of an acquisition. See Note 4, “Acquisitions” for additional information. As such, the initial Recursion accounting analysis for this transaction was done as of the business combination date as if Recursion had originated the contract. This agreement represents a transaction with a customer and therefore is accounted for in accordance with ASC 606. Recursion has determined that it has at least eight performance obligations related to the small molecule projects. These performance obligations are for performing research and development services for Sanofi to design small molecules and perform lead optimization activities.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has determined the transaction price to be $ 152.6 million, for the initial performance obligations, comprised of the upfront payment, several milestones that have been achieved and estimated additional target exercises. The consideration did not include the $7.0 million variable consideration milestone until the milestone was achieved, which was during the second quarter of 2025. Recursion is now recognizing the milestone as part of the transaction price over the completion period for the related performance obligation. Recursion has fully constrained the amounts of remaining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transaction price was generally allocated to the performance obligations based on the estimated relative stand-alone selling price of each performance obligation as determined using an expected cost plus margin approach. The milestone fees were allocated to related performance obligation as the terms of the variable consideration related specifically to Recursion’s efforts to satisfy the related performance obligation.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number of projects to be performed, the number of substitutions related to those projects, length of time required, service hours performed by Company employees and materials costs. A significant change in these estimates could have a material effect on the timing and amount of revenue recognized in future periods. Recursion is unable to estimate the completion date of the performance obligations due to the current stage of work.</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the fourth quarter of 2025, Recursion updated its cost estimate for several performance obligations following the expiry of substitution rights related to certain projects. As a result of this update, the cost estimates for the associated performance obligations decreased, leading to an increase of $12.4 million in revenue recognized in the fourth quarter of 2025. Recursion accounted for this update as a change in estimate in the period of change, which included a cumulative-effect adjustment to revenue.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KGaA (Merck)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In September 2023, the Company and Merck entered into a collaboration agreement to discover novel small molecule drug candidates across oncology, neuroinflammation and immunology. The collaboration utilizes the Company’s AI platform and the Company is performing drug design and discovery while Merck will be assuming responsibility for the preclinical and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jc w:val="both"/>
        <w:ind w:right="280"/>
        <w:spacing w:after="0" w:line="258" w:lineRule="auto"/>
        <w:rPr>
          <w:sz w:val="20"/>
          <w:szCs w:val="20"/>
          <w:color w:val="auto"/>
        </w:rPr>
      </w:pPr>
      <w:r>
        <w:rPr>
          <w:rFonts w:ascii="Arial" w:cs="Arial" w:eastAsia="Arial" w:hAnsi="Arial"/>
          <w:sz w:val="18"/>
          <w:szCs w:val="18"/>
          <w:color w:val="auto"/>
        </w:rPr>
        <w:t>The Company received a $20.1 million non-refundable upfront payment. Recursion is eligible for additional milestone payments based on performance progress of the collaboration and tiered royalties from the mid-single-digits to low-double-digits. The Company could earn a maximum of $73.0 million for discovery, development and sales milestones per project.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2024, Recursion acquired Exscientia as part of an acquisition. See Note 4, “Acquisitions” for additional information. As such, the initial Recursion accounting analysis for this transaction was done as of the business combination date as if Recursion had originated the contract. This agreement represents a transaction with a customer and therefore is accounted for in accordance with ASC 606. Recursion has determined that it has three performance obligations related to each project in the partnership. These performance obligations are for performing research and development services for Merck to design small molecules and perform lead optimization activities.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has determined the transaction price to be $20.1 million, for the initial performance obligations, comprised of the upfront payment. Recursion will fully constrain the amounts of remaining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transaction price was allocated to the performance obligations based on the estimated relative stand-alone selling price of each performance obligation as determined using an expected cost plus margin approach.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number of projects to be performed, the number of substitutions related to those projects, length of time required, service hours performed by Company employees and materials costs. A significant change in these estimates could have a material effect on the timing and amount of revenue recognized in future periods. Recursion was unable to estimate the completion date of the performance obligations due to the current stage of work.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Genentech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 phenotypes in a given cellular context with the goal to discover and develop therapeutic small molecule programs in</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January 2022, Recursion received a $150.0 million non-refundable upfront payment from the Company’s collaboration with Roche. In September 2024, Recursion received a $30.0 million milestone payment ( “acceptance fee 1”), which was an acceptance fee related to the first accepted neuroscience Phenomap. In October 2025, Recursion received another $30.0 million milestone payment (“acceptance fee 2”), which was an acceptance fee related to the second accepted neuroscience Phenomap. Recursion is eligible for additional milestone payments based on performance progress of the collaboration. Each of the Phenomaps requested by Roche and created by Recursion may be subject to either an initiation fee, acceptance fee or both. Such fees could exceed $250.0 million for 16 accepted Phenomaps. In addition, for a period of time after Roche’s acceptance of certain Phenomaps, Roche will have the option to obtain, subject to payment of an exercise fee, rights to use outside the collaboration the raw images generated in the course of creating those Phenomaps. If Roche exercises its external use option for all 12 eligible Phenomaps, Roche’s associated exercise fee payments to Recursion could exceed $250.0 million. Under the collaboration, Roche may initiate up to 40 programs, each of which, if successfully developed and commercialized, could yield more than $300.0 million in development, commercialization and net revenue milestones for Recursion, as well as tiered royalties on net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agreement represents a transaction with a customer and therefore is accounted for in accordance with ASC 606. 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has determined the transaction price to be $210.0 million, comprised of the upfront payment and the acceptance fees. The consideration did not include the $30.0 million variable consideration for the first acceptance fee until the map was accepted, which was during the third quarter of 2024. As a result of Roche’s acceptance of the neuroscience Phenomap, Recursion is now recognizing the acceptance fee as part of the transaction price over the completion period of one of the neuroscience performance obligations. The consideration did not include the $30.0 million variable consideration for the second acceptance fee until the map was accepted, which was during the fourth quarter of 2025. As a result of Roche’s acceptance of the neuroscience Phenomap, Recursion is now recognizing the acceptance fee as part of the transaction price over the completion period of one of the neuroscience performance obligations. Recursion has fully constrained the remaining amounts of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transaction price was generally allocated to the performance obligations based on the estimated relative stand-alone selling price of each performance obligation as determined using an expected cost plus margin approach. The acceptance fees were each allocated to one of the neuroscience performance obligations as the terms of the variable consideration related specifically to Recursion’s efforts to satisfy these performance obligations.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length of time required, service hours performed by Company employees and materials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costs. A significant change in these estimates could have a material effect on the timing and amount of revenue recognized in future periods.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Recursion has estimated the completion of the performance obligations by 2027.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Revenue Disclosures</w:t>
      </w:r>
    </w:p>
    <w:p>
      <w:pPr>
        <w:spacing w:after="0" w:line="25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Revenue from two customers exceeded 10% of total revenue, and those two customers represented substantially all of Recursion’s operating revenue during the year ended December 31, 2025. For the year ended December 31, 2024 , revenue from one customer exceeded 10% of total revenues and that one customer represented primarily all of Recursion’s operating revenue. For the year ended December 31, 2023, revenue from two customers exceeded 10% of total revenues and those two customers represented primarily all of Recursion’s operating revenue.</w:t>
      </w:r>
    </w:p>
    <w:p>
      <w:pPr>
        <w:spacing w:after="0" w:line="20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Of the revenue recognized during the year ended December 31, 2025, $52.1 million was included in the unearned revenue balance as of December 31, 2024, and was related to the payments received by the Company for its collaborative development contracts. Of the revenue recognized during the year ended December 31, 2024, primarily all of it was included in the unearned revenue balance as of December 31, 2023. Revenue recognized during the year ended December 31, 2025 was from the upfront and variable consideration payments received from the related contracts, which decreased the aggregate unearned revenue recognized. As of December 31, 2025, the Company had $4.4 million of costs incurred to fulfill a contract on its Consolidated Balance Sheet within “Other Current Assets.”</w:t>
      </w:r>
    </w:p>
    <w:p>
      <w:pPr>
        <w:spacing w:after="0" w:line="20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Unearned revenue was classified as short-term and long-term on the Consolidated Balance Sheets based on the Company’s estimate of revenue that will be recognized during the next twelve months.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April 2021, the Board of Directors and the stockholders of the Company adopted the 2021 Equity Incentive Plan (the 2021 Plan). The Company may grant stock options, restricted stock units (RSUs), stock appreciation rights, restricted stock awards and other forms of stock-based compensation. As of December 31, 2025, 14.0 million shares of Class A common stock were available for grant in the 2021 plan. In 2024, the Board of Directors and the stockholders of the Company adopted the 2024 Inducement Equity Incentive Plan (the 2024 Plan) as part of the Exscientia acquisition. See Note 4, “Acquisitions” for additional information. As of December 31, 2025, 11.7 million shares of Class A common stock were available for grant in the 2024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classification of stock-based compensation expense for employees and non-employees within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61,646</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36,184</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21,992</w:t>
            </w:r>
          </w:p>
        </w:tc>
      </w:tr>
      <w:tr>
        <w:trPr>
          <w:trHeight w:val="230"/>
        </w:trPr>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42,651</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39,681</w:t>
            </w: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24,361</w:t>
            </w:r>
          </w:p>
        </w:tc>
      </w:tr>
      <w:tr>
        <w:trPr>
          <w:trHeight w:val="223"/>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110,018</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79,501</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51,679</w:t>
            </w:r>
          </w:p>
        </w:tc>
      </w:tr>
      <w:tr>
        <w:trPr>
          <w:trHeight w:val="20"/>
        </w:trPr>
        <w:tc>
          <w:tcPr>
            <w:tcW w:w="6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part of the Exscientia acquisition, Recursion issued replacement grants for the Exscientia legacy awards. Recursion recorded $8.5 million of additional one-time stock compensation expense during the year ended December 31, 2024. See Note 4, “Acquisitions” for additional information on the Exscientia acquisition.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Stock options are primarily granted to executive leaders at the Company, generally vest over four years and expire no later than 10 years from the date of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year ended December 31, 2025 was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7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jc w:val="center"/>
              <w:ind w:left="379"/>
              <w:spacing w:after="0" w:line="149" w:lineRule="exact"/>
              <w:rPr>
                <w:sz w:val="20"/>
                <w:szCs w:val="20"/>
                <w:color w:val="auto"/>
              </w:rPr>
            </w:pPr>
            <w:r>
              <w:rPr>
                <w:rFonts w:ascii="Arial" w:cs="Arial" w:eastAsia="Arial" w:hAnsi="Arial"/>
                <w:sz w:val="14"/>
                <w:szCs w:val="14"/>
                <w:b w:val="1"/>
                <w:bCs w:val="1"/>
                <w:color w:val="auto"/>
              </w:rPr>
              <w:t>Exercise</w:t>
            </w:r>
          </w:p>
        </w:tc>
        <w:tc>
          <w:tcPr>
            <w:tcW w:w="46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Contractual Life</w:t>
            </w:r>
          </w:p>
        </w:tc>
        <w:tc>
          <w:tcPr>
            <w:tcW w:w="260" w:type="dxa"/>
            <w:vAlign w:val="bottom"/>
          </w:tcPr>
          <w:p>
            <w:pPr>
              <w:spacing w:after="0"/>
              <w:rPr>
                <w:sz w:val="12"/>
                <w:szCs w:val="12"/>
                <w:color w:val="auto"/>
              </w:rPr>
            </w:pPr>
          </w:p>
        </w:tc>
        <w:tc>
          <w:tcPr>
            <w:tcW w:w="12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5"/>
        </w:trPr>
        <w:tc>
          <w:tcPr>
            <w:tcW w:w="432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rPr>
              <w:t>Price</w:t>
            </w:r>
          </w:p>
        </w:tc>
        <w:tc>
          <w:tcPr>
            <w:tcW w:w="4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2024</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21,941,495</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62,685</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3,510,673</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6.98</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(3,056,772)</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(5,079,675)</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26,874</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17,315,721</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Exercisable as of December 31, 2025</w:t>
            </w:r>
          </w:p>
        </w:tc>
        <w:tc>
          <w:tcPr>
            <w:tcW w:w="1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10,053,299</w:t>
            </w:r>
          </w:p>
        </w:tc>
        <w:tc>
          <w:tcPr>
            <w:tcW w:w="1100" w:type="dxa"/>
            <w:vAlign w:val="bottom"/>
            <w:tcBorders>
              <w:bottom w:val="single" w:sz="8" w:color="auto"/>
            </w:tcBorders>
          </w:tcPr>
          <w:p>
            <w:pPr>
              <w:jc w:val="right"/>
              <w:ind w:right="899"/>
              <w:spacing w:after="0" w:line="203"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6.53</w:t>
            </w:r>
          </w:p>
        </w:tc>
        <w:tc>
          <w:tcPr>
            <w:tcW w:w="2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10,431</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Exscientia acquisition, Recursion granted 5.8 million stock option awards related to the Exscientia legacy awards in 2024.</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fair value of options granted to employees is calculated on the grant date using the Black-Scholes option valuation model. The weighted-average grant-date fair values of stock options granted during the years ended December 31, 2025, 2024 and 2023 were $4.42, $5.64 and $5.64,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calculate the grant-date fair value of stock options:</w:t>
      </w:r>
    </w:p>
    <w:p>
      <w:pPr>
        <w:spacing w:after="0" w:line="293"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20" w:type="dxa"/>
            <w:vAlign w:val="bottom"/>
            <w:tcBorders>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8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6.2</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620" w:type="dxa"/>
            <w:vAlign w:val="bottom"/>
          </w:tcPr>
          <w:p>
            <w:pPr>
              <w:jc w:val="right"/>
              <w:ind w:right="1030"/>
              <w:spacing w:after="0"/>
              <w:rPr>
                <w:sz w:val="20"/>
                <w:szCs w:val="20"/>
                <w:color w:val="auto"/>
              </w:rPr>
            </w:pPr>
            <w:r>
              <w:rPr>
                <w:rFonts w:ascii="Arial" w:cs="Arial" w:eastAsia="Arial" w:hAnsi="Arial"/>
                <w:sz w:val="18"/>
                <w:szCs w:val="18"/>
                <w:color w:val="auto"/>
              </w:rPr>
              <w:t>65%</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65%</w:t>
            </w: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62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6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4.4%</w:t>
            </w: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bl>
    <w:p>
      <w:pPr>
        <w:spacing w:after="0" w:line="319"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As of December 31, 2025, $31.8 million of unrecognized compensation cost related to stock options is expected to be recognized as expense over approximately the next two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Equity awards granted to employees primarily consist of RSUs and generally vest over four years. The weighted-average grant-date fair value of RSUs generally is determined based on the number of units granted and the quoted price of Recursion’s common stock on the 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RSU activity during the year ended December 31,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22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Stock units</w:t>
            </w:r>
          </w:p>
        </w:tc>
        <w:tc>
          <w:tcPr>
            <w:tcW w:w="2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2024</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27,304,229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Granted</w:t>
            </w:r>
          </w:p>
        </w:tc>
        <w:tc>
          <w:tcPr>
            <w:tcW w:w="2240" w:type="dxa"/>
            <w:vAlign w:val="bottom"/>
          </w:tcPr>
          <w:p>
            <w:pPr>
              <w:jc w:val="right"/>
              <w:spacing w:after="0"/>
              <w:rPr>
                <w:sz w:val="20"/>
                <w:szCs w:val="20"/>
                <w:color w:val="auto"/>
              </w:rPr>
            </w:pPr>
            <w:r>
              <w:rPr>
                <w:rFonts w:ascii="Arial" w:cs="Arial" w:eastAsia="Arial" w:hAnsi="Arial"/>
                <w:sz w:val="18"/>
                <w:szCs w:val="18"/>
                <w:color w:val="auto"/>
              </w:rPr>
              <w:t>15,706,685</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(9,600,592)</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(5,920,397)</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2025</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27,489,925</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As part of the Exscientia acquisition, Recursion granted 1.6 million RSU awards related to the Exscientia legacy awards in 2024. Additionally, Recursion granted 8.0 million RSU awards as part of a retention program for Exscientia employees in 2024.</w:t>
      </w:r>
    </w:p>
    <w:p>
      <w:pPr>
        <w:spacing w:after="0" w:line="180" w:lineRule="exact"/>
        <w:rPr>
          <w:sz w:val="20"/>
          <w:szCs w:val="20"/>
          <w:color w:val="auto"/>
        </w:rPr>
      </w:pPr>
    </w:p>
    <w:p>
      <w:pPr>
        <w:ind w:right="40"/>
        <w:spacing w:after="0" w:line="318" w:lineRule="auto"/>
        <w:rPr>
          <w:sz w:val="20"/>
          <w:szCs w:val="20"/>
          <w:color w:val="auto"/>
        </w:rPr>
      </w:pPr>
      <w:r>
        <w:rPr>
          <w:rFonts w:ascii="Arial" w:cs="Arial" w:eastAsia="Arial" w:hAnsi="Arial"/>
          <w:sz w:val="17"/>
          <w:szCs w:val="17"/>
          <w:color w:val="auto"/>
        </w:rPr>
        <w:t>The fair market value of RSUs vested was $71.2 million during the year ended December 31, 2025. As of December 31, 2025, $ 167.6 million of unrecognized compensation cost related to RSUs is expected to be recognized as expense over approximately the next three years.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Company maintains defined contribution benefit plans for its eligible employees. The plans generally allow employees to make contributions up to a specified percentage of their compensation. The Company generally contributes between 4% to 5% of employee base salary, by matching 100% of the first 4% to 5% of annual base salary contributed by each employee. Employer expenses were $5.8 million, $5.3 million and $3.8 million during the years ended December 31, 2025, 2024 and 2023, respectively.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loss from continuing operations before income tax benefit is disaggregated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6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1"/>
                <w:szCs w:val="21"/>
                <w:color w:val="auto"/>
              </w:rPr>
            </w:pP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 before income tax benefit</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65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(537,644)</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(422,851)</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(314,372)</w:t>
            </w:r>
          </w:p>
        </w:tc>
        <w:tc>
          <w:tcPr>
            <w:tcW w:w="20" w:type="dxa"/>
            <w:vAlign w:val="bottom"/>
          </w:tcPr>
          <w:p>
            <w:pPr>
              <w:spacing w:after="0"/>
              <w:rPr>
                <w:sz w:val="21"/>
                <w:szCs w:val="21"/>
                <w:color w:val="auto"/>
              </w:rPr>
            </w:pPr>
          </w:p>
        </w:tc>
      </w:tr>
      <w:tr>
        <w:trPr>
          <w:trHeight w:val="256"/>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(107,251)</w:t>
            </w: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(41,937)</w:t>
            </w:r>
          </w:p>
        </w:tc>
        <w:tc>
          <w:tcPr>
            <w:tcW w:w="4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20" w:type="dxa"/>
            <w:vAlign w:val="bottom"/>
          </w:tcPr>
          <w:p>
            <w:pPr>
              <w:spacing w:after="0"/>
              <w:rPr>
                <w:sz w:val="22"/>
                <w:szCs w:val="22"/>
                <w:color w:val="auto"/>
              </w:rPr>
            </w:pPr>
          </w:p>
        </w:tc>
      </w:tr>
      <w:tr>
        <w:trPr>
          <w:trHeight w:val="25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loss from continuing operations before income tax benefit</w:t>
            </w: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(644,895)</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(464,788)</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(332,128)</w:t>
            </w:r>
          </w:p>
        </w:tc>
        <w:tc>
          <w:tcPr>
            <w:tcW w:w="20" w:type="dxa"/>
            <w:vAlign w:val="bottom"/>
          </w:tcPr>
          <w:p>
            <w:pPr>
              <w:spacing w:after="0"/>
              <w:rPr>
                <w:sz w:val="21"/>
                <w:szCs w:val="21"/>
                <w:color w:val="auto"/>
              </w:rPr>
            </w:pPr>
          </w:p>
        </w:tc>
      </w:tr>
      <w:tr>
        <w:trPr>
          <w:trHeight w:val="25"/>
        </w:trPr>
        <w:tc>
          <w:tcPr>
            <w:tcW w:w="6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551"/>
        </w:trPr>
        <w:tc>
          <w:tcPr>
            <w:tcW w:w="6560" w:type="dxa"/>
            <w:vAlign w:val="bottom"/>
          </w:tcPr>
          <w:p>
            <w:pPr>
              <w:spacing w:after="0"/>
              <w:rPr>
                <w:sz w:val="20"/>
                <w:szCs w:val="20"/>
                <w:color w:val="auto"/>
              </w:rPr>
            </w:pPr>
            <w:r>
              <w:rPr>
                <w:rFonts w:ascii="Arial" w:cs="Arial" w:eastAsia="Arial" w:hAnsi="Arial"/>
                <w:sz w:val="18"/>
                <w:szCs w:val="18"/>
                <w:color w:val="auto"/>
              </w:rPr>
              <w:t>The provision for income taxes consisted of the following components: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6"/>
        </w:trPr>
        <w:tc>
          <w:tcPr>
            <w:tcW w:w="6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49"/>
        </w:trPr>
        <w:tc>
          <w:tcPr>
            <w:tcW w:w="6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auto"/>
            </w:tcBorders>
          </w:tcPr>
          <w:p>
            <w:pPr>
              <w:spacing w:after="0"/>
              <w:rPr>
                <w:sz w:val="21"/>
                <w:szCs w:val="21"/>
                <w:color w:val="auto"/>
              </w:rPr>
            </w:pP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52"/>
        </w:trPr>
        <w:tc>
          <w:tcPr>
            <w:tcW w:w="6560" w:type="dxa"/>
            <w:vAlign w:val="bottom"/>
          </w:tcPr>
          <w:p>
            <w:pPr>
              <w:ind w:left="20"/>
              <w:spacing w:after="0"/>
              <w:rPr>
                <w:sz w:val="20"/>
                <w:szCs w:val="20"/>
                <w:color w:val="auto"/>
              </w:rPr>
            </w:pPr>
            <w:r>
              <w:rPr>
                <w:rFonts w:ascii="Arial" w:cs="Arial" w:eastAsia="Arial" w:hAnsi="Arial"/>
                <w:sz w:val="18"/>
                <w:szCs w:val="18"/>
                <w:color w:val="auto"/>
              </w:rPr>
              <w:t>Federal</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6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r>
      <w:tr>
        <w:trPr>
          <w:trHeight w:val="252"/>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r>
      <w:tr>
        <w:trPr>
          <w:trHeight w:val="250"/>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tax benefit (expense)</w:t>
            </w:r>
          </w:p>
        </w:tc>
        <w:tc>
          <w:tcPr>
            <w:tcW w:w="3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r>
      <w:tr>
        <w:trPr>
          <w:trHeight w:val="254"/>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127,351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80,110</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82,707</w:t>
            </w:r>
          </w:p>
        </w:tc>
        <w:tc>
          <w:tcPr>
            <w:tcW w:w="20" w:type="dxa"/>
            <w:vAlign w:val="bottom"/>
            <w:shd w:val="clear" w:color="auto" w:fill="CCEEFF"/>
          </w:tcPr>
          <w:p>
            <w:pPr>
              <w:spacing w:after="0"/>
              <w:rPr>
                <w:sz w:val="22"/>
                <w:szCs w:val="22"/>
                <w:color w:val="auto"/>
              </w:rPr>
            </w:pPr>
          </w:p>
        </w:tc>
      </w:tr>
      <w:tr>
        <w:trPr>
          <w:trHeight w:val="252"/>
        </w:trPr>
        <w:tc>
          <w:tcPr>
            <w:tcW w:w="6560" w:type="dxa"/>
            <w:vAlign w:val="bottom"/>
          </w:tcPr>
          <w:p>
            <w:pPr>
              <w:ind w:left="20"/>
              <w:spacing w:after="0"/>
              <w:rPr>
                <w:sz w:val="20"/>
                <w:szCs w:val="20"/>
                <w:color w:val="auto"/>
              </w:rPr>
            </w:pPr>
            <w:r>
              <w:rPr>
                <w:rFonts w:ascii="Arial" w:cs="Arial" w:eastAsia="Arial" w:hAnsi="Arial"/>
                <w:sz w:val="18"/>
                <w:szCs w:val="18"/>
                <w:color w:val="auto"/>
              </w:rPr>
              <w:t>State</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10,705</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11,918</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54,634</w:t>
            </w:r>
          </w:p>
        </w:tc>
        <w:tc>
          <w:tcPr>
            <w:tcW w:w="20" w:type="dxa"/>
            <w:vAlign w:val="bottom"/>
          </w:tcPr>
          <w:p>
            <w:pPr>
              <w:spacing w:after="0"/>
              <w:rPr>
                <w:sz w:val="21"/>
                <w:szCs w:val="21"/>
                <w:color w:val="auto"/>
              </w:rPr>
            </w:pPr>
          </w:p>
        </w:tc>
      </w:tr>
      <w:tr>
        <w:trPr>
          <w:trHeight w:val="26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55,686</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4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20" w:type="dxa"/>
            <w:vAlign w:val="bottom"/>
            <w:shd w:val="clear" w:color="auto" w:fill="CCEEFF"/>
          </w:tcPr>
          <w:p>
            <w:pPr>
              <w:spacing w:after="0"/>
              <w:rPr>
                <w:sz w:val="22"/>
                <w:szCs w:val="22"/>
                <w:color w:val="auto"/>
              </w:rPr>
            </w:pPr>
          </w:p>
        </w:tc>
      </w:tr>
      <w:tr>
        <w:trPr>
          <w:trHeight w:val="252"/>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(193,374)</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(100,318)</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(137,843)</w:t>
            </w:r>
          </w:p>
        </w:tc>
        <w:tc>
          <w:tcPr>
            <w:tcW w:w="20" w:type="dxa"/>
            <w:vAlign w:val="bottom"/>
            <w:tcBorders>
              <w:bottom w:val="single" w:sz="8" w:color="auto"/>
            </w:tcBorders>
          </w:tcPr>
          <w:p>
            <w:pPr>
              <w:spacing w:after="0"/>
              <w:rPr>
                <w:sz w:val="21"/>
                <w:szCs w:val="21"/>
                <w:color w:val="auto"/>
              </w:rPr>
            </w:pPr>
          </w:p>
        </w:tc>
      </w:tr>
      <w:tr>
        <w:trPr>
          <w:trHeight w:val="250"/>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deferred benefit</w:t>
            </w:r>
          </w:p>
        </w:tc>
        <w:tc>
          <w:tcPr>
            <w:tcW w:w="3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20" w:type="dxa"/>
            <w:vAlign w:val="bottom"/>
            <w:tcBorders>
              <w:bottom w:val="single" w:sz="8" w:color="auto"/>
            </w:tcBorders>
            <w:shd w:val="clear" w:color="auto" w:fill="CCEEFF"/>
          </w:tcPr>
          <w:p>
            <w:pPr>
              <w:spacing w:after="0"/>
              <w:rPr>
                <w:sz w:val="21"/>
                <w:szCs w:val="21"/>
                <w:color w:val="auto"/>
              </w:rPr>
            </w:pPr>
          </w:p>
        </w:tc>
      </w:tr>
      <w:tr>
        <w:trPr>
          <w:trHeight w:val="25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benefit</w:t>
            </w:r>
          </w:p>
        </w:tc>
        <w:tc>
          <w:tcPr>
            <w:tcW w:w="3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20" w:type="dxa"/>
            <w:vAlign w:val="bottom"/>
            <w:tcBorders>
              <w:bottom w:val="single" w:sz="8" w:color="auto"/>
            </w:tcBorders>
          </w:tcPr>
          <w:p>
            <w:pPr>
              <w:spacing w:after="0"/>
              <w:rPr>
                <w:sz w:val="21"/>
                <w:szCs w:val="21"/>
                <w:color w:val="auto"/>
              </w:rPr>
            </w:pPr>
          </w:p>
        </w:tc>
      </w:tr>
      <w:tr>
        <w:trPr>
          <w:trHeight w:val="25"/>
        </w:trPr>
        <w:tc>
          <w:tcPr>
            <w:tcW w:w="6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benefit for income taxes results in effective rates that differ from the statutory rates. The following is a reconciliation of income tax benefit computed at the statutory federal income tax rate to the total tax benefit computed at the effective tax rate: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17780</wp:posOffset>
            </wp:positionV>
            <wp:extent cx="239141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 thousands)</w:t>
            </w:r>
          </w:p>
        </w:tc>
        <w:tc>
          <w:tcPr>
            <w:tcW w:w="30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Percent</w:t>
            </w: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Amount</w:t>
            </w:r>
          </w:p>
        </w:tc>
      </w:tr>
      <w:tr>
        <w:trPr>
          <w:trHeight w:val="251"/>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federal statutory tax rate</w:t>
            </w:r>
          </w:p>
        </w:tc>
        <w:tc>
          <w:tcPr>
            <w:tcW w:w="3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21.0 % $</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135,428</w:t>
            </w:r>
          </w:p>
        </w:tc>
      </w:tr>
      <w:tr>
        <w:trPr>
          <w:trHeight w:val="257"/>
        </w:trPr>
        <w:tc>
          <w:tcPr>
            <w:tcW w:w="6760" w:type="dxa"/>
            <w:vAlign w:val="bottom"/>
          </w:tcPr>
          <w:p>
            <w:pPr>
              <w:ind w:left="20"/>
              <w:spacing w:after="0" w:line="256" w:lineRule="exact"/>
              <w:rPr>
                <w:sz w:val="20"/>
                <w:szCs w:val="20"/>
                <w:color w:val="auto"/>
              </w:rPr>
            </w:pPr>
            <w:r>
              <w:rPr>
                <w:rFonts w:ascii="Arial" w:cs="Arial" w:eastAsia="Arial" w:hAnsi="Arial"/>
                <w:sz w:val="18"/>
                <w:szCs w:val="18"/>
                <w:b w:val="1"/>
                <w:bCs w:val="1"/>
                <w:color w:val="auto"/>
              </w:rPr>
              <w:t>State and local income taxes, net of federal income tax effects</w:t>
            </w:r>
            <w:r>
              <w:rPr>
                <w:rFonts w:ascii="Arial" w:cs="Arial" w:eastAsia="Arial" w:hAnsi="Arial"/>
                <w:sz w:val="23"/>
                <w:szCs w:val="23"/>
                <w:b w:val="1"/>
                <w:bCs w:val="1"/>
                <w:color w:val="auto"/>
                <w:vertAlign w:val="superscript"/>
              </w:rPr>
              <w:t>A</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0.3 %</w:t>
            </w:r>
          </w:p>
        </w:tc>
        <w:tc>
          <w:tcPr>
            <w:tcW w:w="14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5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tax effects</w:t>
            </w:r>
          </w:p>
        </w:tc>
        <w:tc>
          <w:tcPr>
            <w:tcW w:w="30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2"/>
        </w:trPr>
        <w:tc>
          <w:tcPr>
            <w:tcW w:w="6760" w:type="dxa"/>
            <w:vAlign w:val="bottom"/>
          </w:tcPr>
          <w:p>
            <w:pPr>
              <w:ind w:left="140"/>
              <w:spacing w:after="0"/>
              <w:rPr>
                <w:sz w:val="20"/>
                <w:szCs w:val="20"/>
                <w:color w:val="auto"/>
              </w:rPr>
            </w:pPr>
            <w:r>
              <w:rPr>
                <w:rFonts w:ascii="Arial" w:cs="Arial" w:eastAsia="Arial" w:hAnsi="Arial"/>
                <w:sz w:val="18"/>
                <w:szCs w:val="18"/>
                <w:color w:val="auto"/>
              </w:rPr>
              <w:t>UK</w:t>
            </w:r>
          </w:p>
        </w:tc>
        <w:tc>
          <w:tcPr>
            <w:tcW w:w="30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1"/>
        </w:trPr>
        <w:tc>
          <w:tcPr>
            <w:tcW w:w="6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valuation allowance</w:t>
            </w:r>
          </w:p>
        </w:tc>
        <w:tc>
          <w:tcPr>
            <w:tcW w:w="3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(50,648)</w:t>
            </w:r>
          </w:p>
        </w:tc>
      </w:tr>
      <w:tr>
        <w:trPr>
          <w:trHeight w:val="252"/>
        </w:trPr>
        <w:tc>
          <w:tcPr>
            <w:tcW w:w="6760" w:type="dxa"/>
            <w:vAlign w:val="bottom"/>
          </w:tcPr>
          <w:p>
            <w:pPr>
              <w:ind w:left="240"/>
              <w:spacing w:after="0"/>
              <w:rPr>
                <w:sz w:val="20"/>
                <w:szCs w:val="20"/>
                <w:color w:val="auto"/>
              </w:rPr>
            </w:pPr>
            <w:r>
              <w:rPr>
                <w:rFonts w:ascii="Arial" w:cs="Arial" w:eastAsia="Arial" w:hAnsi="Arial"/>
                <w:sz w:val="18"/>
                <w:szCs w:val="18"/>
                <w:color w:val="auto"/>
              </w:rPr>
              <w:t>Gain on Exscientia GmbH sale</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1.2 %</w:t>
            </w:r>
          </w:p>
        </w:tc>
        <w:tc>
          <w:tcPr>
            <w:tcW w:w="1460" w:type="dxa"/>
            <w:vAlign w:val="bottom"/>
          </w:tcPr>
          <w:p>
            <w:pPr>
              <w:jc w:val="right"/>
              <w:spacing w:after="0"/>
              <w:rPr>
                <w:sz w:val="20"/>
                <w:szCs w:val="20"/>
                <w:color w:val="auto"/>
              </w:rPr>
            </w:pPr>
            <w:r>
              <w:rPr>
                <w:rFonts w:ascii="Arial" w:cs="Arial" w:eastAsia="Arial" w:hAnsi="Arial"/>
                <w:sz w:val="18"/>
                <w:szCs w:val="18"/>
                <w:color w:val="auto"/>
              </w:rPr>
              <w:t>7,593</w:t>
            </w:r>
          </w:p>
        </w:tc>
      </w:tr>
      <w:tr>
        <w:trPr>
          <w:trHeight w:val="261"/>
        </w:trPr>
        <w:tc>
          <w:tcPr>
            <w:tcW w:w="6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Statutory tax rate difference between UK and US</w:t>
            </w:r>
          </w:p>
        </w:tc>
        <w:tc>
          <w:tcPr>
            <w:tcW w:w="3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1.0 %</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r>
      <w:tr>
        <w:trPr>
          <w:trHeight w:val="252"/>
        </w:trPr>
        <w:tc>
          <w:tcPr>
            <w:tcW w:w="676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1.0 %</w:t>
            </w:r>
          </w:p>
        </w:tc>
        <w:tc>
          <w:tcPr>
            <w:tcW w:w="1460" w:type="dxa"/>
            <w:vAlign w:val="bottom"/>
          </w:tcPr>
          <w:p>
            <w:pPr>
              <w:jc w:val="right"/>
              <w:spacing w:after="0"/>
              <w:rPr>
                <w:sz w:val="20"/>
                <w:szCs w:val="20"/>
                <w:color w:val="auto"/>
              </w:rPr>
            </w:pPr>
            <w:r>
              <w:rPr>
                <w:rFonts w:ascii="Arial" w:cs="Arial" w:eastAsia="Arial" w:hAnsi="Arial"/>
                <w:sz w:val="18"/>
                <w:szCs w:val="18"/>
                <w:color w:val="auto"/>
              </w:rPr>
              <w:t>6,730</w:t>
            </w:r>
          </w:p>
        </w:tc>
      </w:tr>
      <w:tr>
        <w:trPr>
          <w:trHeight w:val="261"/>
        </w:trPr>
        <w:tc>
          <w:tcPr>
            <w:tcW w:w="6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1.2 %</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w:t>
            </w:r>
          </w:p>
        </w:tc>
      </w:tr>
      <w:tr>
        <w:trPr>
          <w:trHeight w:val="252"/>
        </w:trPr>
        <w:tc>
          <w:tcPr>
            <w:tcW w:w="6760" w:type="dxa"/>
            <w:vAlign w:val="bottom"/>
          </w:tcPr>
          <w:p>
            <w:pPr>
              <w:ind w:left="140"/>
              <w:spacing w:after="0"/>
              <w:rPr>
                <w:sz w:val="20"/>
                <w:szCs w:val="20"/>
                <w:color w:val="auto"/>
              </w:rPr>
            </w:pPr>
            <w:r>
              <w:rPr>
                <w:rFonts w:ascii="Arial" w:cs="Arial" w:eastAsia="Arial" w:hAnsi="Arial"/>
                <w:sz w:val="18"/>
                <w:szCs w:val="18"/>
                <w:color w:val="auto"/>
              </w:rPr>
              <w:t>Austria</w:t>
            </w:r>
          </w:p>
        </w:tc>
        <w:tc>
          <w:tcPr>
            <w:tcW w:w="30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1"/>
        </w:trPr>
        <w:tc>
          <w:tcPr>
            <w:tcW w:w="6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Exscientia GmbH sale</w:t>
            </w:r>
          </w:p>
        </w:tc>
        <w:tc>
          <w:tcPr>
            <w:tcW w:w="3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w:t>
            </w:r>
          </w:p>
        </w:tc>
      </w:tr>
      <w:tr>
        <w:trPr>
          <w:trHeight w:val="252"/>
        </w:trPr>
        <w:tc>
          <w:tcPr>
            <w:tcW w:w="6760" w:type="dxa"/>
            <w:vAlign w:val="bottom"/>
          </w:tcPr>
          <w:p>
            <w:pPr>
              <w:ind w:left="140"/>
              <w:spacing w:after="0"/>
              <w:rPr>
                <w:sz w:val="20"/>
                <w:szCs w:val="20"/>
                <w:color w:val="auto"/>
              </w:rPr>
            </w:pPr>
            <w:r>
              <w:rPr>
                <w:rFonts w:ascii="Arial" w:cs="Arial" w:eastAsia="Arial" w:hAnsi="Arial"/>
                <w:sz w:val="18"/>
                <w:szCs w:val="18"/>
                <w:color w:val="auto"/>
              </w:rPr>
              <w:t>Other</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0.0 %</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1"/>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Nontaxable or nondeductible items</w:t>
            </w:r>
          </w:p>
        </w:tc>
        <w:tc>
          <w:tcPr>
            <w:tcW w:w="30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2"/>
        </w:trPr>
        <w:tc>
          <w:tcPr>
            <w:tcW w:w="676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1460" w:type="dxa"/>
            <w:vAlign w:val="bottom"/>
          </w:tcPr>
          <w:p>
            <w:pPr>
              <w:jc w:val="right"/>
              <w:spacing w:after="0"/>
              <w:rPr>
                <w:sz w:val="20"/>
                <w:szCs w:val="20"/>
                <w:color w:val="auto"/>
              </w:rPr>
            </w:pPr>
            <w:r>
              <w:rPr>
                <w:rFonts w:ascii="Arial" w:cs="Arial" w:eastAsia="Arial" w:hAnsi="Arial"/>
                <w:sz w:val="18"/>
                <w:szCs w:val="18"/>
                <w:color w:val="auto"/>
              </w:rPr>
              <w:t>(7,847)</w:t>
            </w:r>
          </w:p>
        </w:tc>
      </w:tr>
      <w:tr>
        <w:trPr>
          <w:trHeight w:val="261"/>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56"/>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Effect of cross-border tax laws</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(0.9)%</w:t>
            </w:r>
          </w:p>
        </w:tc>
        <w:tc>
          <w:tcPr>
            <w:tcW w:w="1460" w:type="dxa"/>
            <w:vAlign w:val="bottom"/>
          </w:tcPr>
          <w:p>
            <w:pPr>
              <w:jc w:val="right"/>
              <w:spacing w:after="0"/>
              <w:rPr>
                <w:sz w:val="20"/>
                <w:szCs w:val="20"/>
                <w:color w:val="auto"/>
              </w:rPr>
            </w:pPr>
            <w:r>
              <w:rPr>
                <w:rFonts w:ascii="Arial" w:cs="Arial" w:eastAsia="Arial" w:hAnsi="Arial"/>
                <w:sz w:val="18"/>
                <w:szCs w:val="18"/>
                <w:color w:val="auto"/>
              </w:rPr>
              <w:t>(6,104)</w:t>
            </w:r>
          </w:p>
        </w:tc>
      </w:tr>
      <w:tr>
        <w:trPr>
          <w:trHeight w:val="25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 credits</w:t>
            </w:r>
          </w:p>
        </w:tc>
        <w:tc>
          <w:tcPr>
            <w:tcW w:w="30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2"/>
        </w:trPr>
        <w:tc>
          <w:tcPr>
            <w:tcW w:w="6760" w:type="dxa"/>
            <w:vAlign w:val="bottom"/>
          </w:tcPr>
          <w:p>
            <w:pPr>
              <w:ind w:left="140"/>
              <w:spacing w:after="0"/>
              <w:rPr>
                <w:sz w:val="20"/>
                <w:szCs w:val="20"/>
                <w:color w:val="auto"/>
              </w:rPr>
            </w:pPr>
            <w:r>
              <w:rPr>
                <w:rFonts w:ascii="Arial" w:cs="Arial" w:eastAsia="Arial" w:hAnsi="Arial"/>
                <w:sz w:val="18"/>
                <w:szCs w:val="18"/>
                <w:color w:val="auto"/>
              </w:rPr>
              <w:t>R&amp;D credit - current year generation</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3.9 %</w:t>
            </w:r>
          </w:p>
        </w:tc>
        <w:tc>
          <w:tcPr>
            <w:tcW w:w="1460" w:type="dxa"/>
            <w:vAlign w:val="bottom"/>
          </w:tcPr>
          <w:p>
            <w:pPr>
              <w:jc w:val="right"/>
              <w:spacing w:after="0"/>
              <w:rPr>
                <w:sz w:val="20"/>
                <w:szCs w:val="20"/>
                <w:color w:val="auto"/>
              </w:rPr>
            </w:pPr>
            <w:r>
              <w:rPr>
                <w:rFonts w:ascii="Arial" w:cs="Arial" w:eastAsia="Arial" w:hAnsi="Arial"/>
                <w:sz w:val="18"/>
                <w:szCs w:val="18"/>
                <w:color w:val="auto"/>
              </w:rPr>
              <w:t>25,219</w:t>
            </w:r>
          </w:p>
        </w:tc>
      </w:tr>
      <w:tr>
        <w:trPr>
          <w:trHeight w:val="261"/>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Orphan drug credit - current year generation</w:t>
            </w:r>
          </w:p>
        </w:tc>
        <w:tc>
          <w:tcPr>
            <w:tcW w:w="3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3.2 %</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r>
      <w:tr>
        <w:trPr>
          <w:trHeight w:val="256"/>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Change in valuation allowance</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(19.8)%</w:t>
            </w:r>
          </w:p>
        </w:tc>
        <w:tc>
          <w:tcPr>
            <w:tcW w:w="1460" w:type="dxa"/>
            <w:vAlign w:val="bottom"/>
          </w:tcPr>
          <w:p>
            <w:pPr>
              <w:jc w:val="right"/>
              <w:spacing w:after="0"/>
              <w:rPr>
                <w:sz w:val="20"/>
                <w:szCs w:val="20"/>
                <w:color w:val="auto"/>
              </w:rPr>
            </w:pPr>
            <w:r>
              <w:rPr>
                <w:rFonts w:ascii="Arial" w:cs="Arial" w:eastAsia="Arial" w:hAnsi="Arial"/>
                <w:sz w:val="18"/>
                <w:szCs w:val="18"/>
                <w:color w:val="auto"/>
              </w:rPr>
              <w:t>(127,401)</w:t>
            </w:r>
          </w:p>
        </w:tc>
      </w:tr>
      <w:tr>
        <w:trPr>
          <w:trHeight w:val="25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Changes in unrecognized tax benefits</w:t>
            </w:r>
          </w:p>
        </w:tc>
        <w:tc>
          <w:tcPr>
            <w:tcW w:w="3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r>
      <w:tr>
        <w:trPr>
          <w:trHeight w:val="256"/>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adjustments</w:t>
            </w:r>
          </w:p>
        </w:tc>
        <w:tc>
          <w:tcPr>
            <w:tcW w:w="3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r>
      <w:tr>
        <w:trPr>
          <w:trHeight w:val="275"/>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Effective tax rate</w:t>
            </w:r>
          </w:p>
        </w:tc>
        <w:tc>
          <w:tcPr>
            <w:tcW w:w="3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0.2 % $</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 </w:t>
      </w:r>
      <w:r>
        <w:rPr>
          <w:rFonts w:ascii="Arial" w:cs="Arial" w:eastAsia="Arial" w:hAnsi="Arial"/>
          <w:sz w:val="14"/>
          <w:szCs w:val="14"/>
          <w:color w:val="auto"/>
        </w:rPr>
        <w:t>State taxes in California and Utah made up the majority (greater than 50%)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deferred tax assets and liabilities were as follows:</w:t>
      </w:r>
    </w:p>
    <w:p>
      <w:pPr>
        <w:spacing w:after="0" w:line="63"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26035</wp:posOffset>
            </wp:positionV>
            <wp:extent cx="19545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27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7"/>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2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445,440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274,421</w:t>
            </w:r>
          </w:p>
        </w:tc>
      </w:tr>
      <w:tr>
        <w:trPr>
          <w:trHeight w:val="252"/>
        </w:trPr>
        <w:tc>
          <w:tcPr>
            <w:tcW w:w="5740" w:type="dxa"/>
            <w:vAlign w:val="bottom"/>
          </w:tcPr>
          <w:p>
            <w:pPr>
              <w:ind w:left="20"/>
              <w:spacing w:after="0"/>
              <w:rPr>
                <w:sz w:val="20"/>
                <w:szCs w:val="20"/>
                <w:color w:val="auto"/>
              </w:rPr>
            </w:pPr>
            <w:r>
              <w:rPr>
                <w:rFonts w:ascii="Arial" w:cs="Arial" w:eastAsia="Arial" w:hAnsi="Arial"/>
                <w:sz w:val="18"/>
                <w:szCs w:val="18"/>
                <w:color w:val="auto"/>
              </w:rPr>
              <w:t>Research and development capitalization</w:t>
            </w:r>
          </w:p>
        </w:tc>
        <w:tc>
          <w:tcPr>
            <w:tcW w:w="2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118,160</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134,363</w:t>
            </w:r>
          </w:p>
        </w:tc>
      </w:tr>
      <w:tr>
        <w:trPr>
          <w:trHeight w:val="26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 carryforwards</w:t>
            </w:r>
          </w:p>
        </w:tc>
        <w:tc>
          <w:tcPr>
            <w:tcW w:w="27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117,738</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68,811</w:t>
            </w:r>
          </w:p>
        </w:tc>
      </w:tr>
      <w:tr>
        <w:trPr>
          <w:trHeight w:val="252"/>
        </w:trPr>
        <w:tc>
          <w:tcPr>
            <w:tcW w:w="574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2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6,020</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19,219</w:t>
            </w:r>
          </w:p>
        </w:tc>
      </w:tr>
      <w:tr>
        <w:trPr>
          <w:trHeight w:val="26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7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23,510</w:t>
            </w:r>
          </w:p>
        </w:tc>
      </w:tr>
      <w:tr>
        <w:trPr>
          <w:trHeight w:val="252"/>
        </w:trPr>
        <w:tc>
          <w:tcPr>
            <w:tcW w:w="5740" w:type="dxa"/>
            <w:vAlign w:val="bottom"/>
          </w:tcPr>
          <w:p>
            <w:pPr>
              <w:ind w:left="20"/>
              <w:spacing w:after="0"/>
              <w:rPr>
                <w:sz w:val="20"/>
                <w:szCs w:val="20"/>
                <w:color w:val="auto"/>
              </w:rPr>
            </w:pPr>
            <w:r>
              <w:rPr>
                <w:rFonts w:ascii="Arial" w:cs="Arial" w:eastAsia="Arial" w:hAnsi="Arial"/>
                <w:sz w:val="18"/>
                <w:szCs w:val="18"/>
                <w:color w:val="auto"/>
              </w:rPr>
              <w:t>Reserves and accruals</w:t>
            </w:r>
          </w:p>
        </w:tc>
        <w:tc>
          <w:tcPr>
            <w:tcW w:w="2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4,093</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5,133</w:t>
            </w:r>
          </w:p>
        </w:tc>
      </w:tr>
      <w:tr>
        <w:trPr>
          <w:trHeight w:val="26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7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w:t>
            </w:r>
          </w:p>
        </w:tc>
      </w:tr>
      <w:tr>
        <w:trPr>
          <w:trHeight w:val="25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r>
      <w:tr>
        <w:trPr>
          <w:trHeight w:val="255"/>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tax assets</w:t>
            </w:r>
          </w:p>
        </w:tc>
        <w:tc>
          <w:tcPr>
            <w:tcW w:w="27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719,596</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541,362</w:t>
            </w:r>
          </w:p>
        </w:tc>
      </w:tr>
      <w:tr>
        <w:trPr>
          <w:trHeight w:val="25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Valuation allowance</w:t>
            </w:r>
          </w:p>
        </w:tc>
        <w:tc>
          <w:tcPr>
            <w:tcW w:w="27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(665,371)</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(466,147)</w:t>
            </w:r>
          </w:p>
        </w:tc>
      </w:tr>
      <w:tr>
        <w:trPr>
          <w:trHeight w:val="250"/>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27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54,225</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75,215</w:t>
            </w:r>
          </w:p>
        </w:tc>
      </w:tr>
      <w:tr>
        <w:trPr>
          <w:trHeight w:val="254"/>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7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7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(19,183)</w:t>
            </w:r>
          </w:p>
        </w:tc>
      </w:tr>
      <w:tr>
        <w:trPr>
          <w:trHeight w:val="252"/>
        </w:trPr>
        <w:tc>
          <w:tcPr>
            <w:tcW w:w="5740" w:type="dxa"/>
            <w:vAlign w:val="bottom"/>
          </w:tcPr>
          <w:p>
            <w:pPr>
              <w:ind w:left="20"/>
              <w:spacing w:after="0"/>
              <w:rPr>
                <w:sz w:val="20"/>
                <w:szCs w:val="20"/>
                <w:color w:val="auto"/>
              </w:rPr>
            </w:pPr>
            <w:r>
              <w:rPr>
                <w:rFonts w:ascii="Arial" w:cs="Arial" w:eastAsia="Arial" w:hAnsi="Arial"/>
                <w:sz w:val="18"/>
                <w:szCs w:val="18"/>
                <w:color w:val="auto"/>
              </w:rPr>
              <w:t>Definite lived intangibles</w:t>
            </w:r>
          </w:p>
        </w:tc>
        <w:tc>
          <w:tcPr>
            <w:tcW w:w="2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(56,303)</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(67,140)</w:t>
            </w:r>
          </w:p>
        </w:tc>
      </w:tr>
      <w:tr>
        <w:trPr>
          <w:trHeight w:val="26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Depreciable assets</w:t>
            </w:r>
          </w:p>
        </w:tc>
        <w:tc>
          <w:tcPr>
            <w:tcW w:w="27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r>
      <w:tr>
        <w:trPr>
          <w:trHeight w:val="25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tax liabilities</w:t>
            </w:r>
          </w:p>
        </w:tc>
        <w:tc>
          <w:tcPr>
            <w:tcW w:w="27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(77,480)</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(91,681)</w:t>
            </w:r>
          </w:p>
        </w:tc>
      </w:tr>
      <w:tr>
        <w:trPr>
          <w:trHeight w:val="275"/>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2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(23,255)</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w:t>
            </w:r>
          </w:p>
        </w:tc>
      </w:tr>
      <w:tr>
        <w:trPr>
          <w:trHeight w:val="20"/>
        </w:trPr>
        <w:tc>
          <w:tcPr>
            <w:tcW w:w="574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the following income taxes (net of refunds received) during the year:</w:t>
      </w:r>
    </w:p>
    <w:p>
      <w:pPr>
        <w:spacing w:after="0" w:line="63"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26035</wp:posOffset>
            </wp:positionV>
            <wp:extent cx="19545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auto"/>
            </w:tcBorders>
          </w:tcPr>
          <w:p>
            <w:pPr>
              <w:spacing w:after="0"/>
              <w:rPr>
                <w:sz w:val="21"/>
                <w:szCs w:val="21"/>
                <w:color w:val="auto"/>
              </w:rPr>
            </w:pPr>
          </w:p>
        </w:tc>
      </w:tr>
      <w:tr>
        <w:trPr>
          <w:trHeight w:val="246"/>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50"/>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taxes paid (net of refunds received)</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
        </w:trPr>
        <w:tc>
          <w:tcPr>
            <w:tcW w:w="8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83"/>
        </w:trPr>
        <w:tc>
          <w:tcPr>
            <w:tcW w:w="8120" w:type="dxa"/>
            <w:vAlign w:val="bottom"/>
          </w:tcPr>
          <w:p>
            <w:pPr>
              <w:spacing w:after="0"/>
              <w:rPr>
                <w:sz w:val="20"/>
                <w:szCs w:val="20"/>
                <w:color w:val="auto"/>
              </w:rPr>
            </w:pPr>
            <w:r>
              <w:rPr>
                <w:rFonts w:ascii="Arial" w:cs="Arial" w:eastAsia="Arial" w:hAnsi="Arial"/>
                <w:sz w:val="18"/>
                <w:szCs w:val="18"/>
                <w:color w:val="auto"/>
              </w:rPr>
              <w:t>Reserves for uncertain tax positions against the credit carryforwards were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4"/>
          </w:tcPr>
          <w:p>
            <w:pPr>
              <w:ind w:left="60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8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21"/>
                <w:szCs w:val="21"/>
                <w:color w:val="auto"/>
              </w:rPr>
            </w:pPr>
          </w:p>
        </w:tc>
      </w:tr>
      <w:tr>
        <w:trPr>
          <w:trHeight w:val="251"/>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20" w:type="dxa"/>
            <w:vAlign w:val="bottom"/>
          </w:tcPr>
          <w:p>
            <w:pPr>
              <w:spacing w:after="0"/>
              <w:rPr>
                <w:sz w:val="21"/>
                <w:szCs w:val="21"/>
                <w:color w:val="auto"/>
              </w:rPr>
            </w:pPr>
          </w:p>
        </w:tc>
      </w:tr>
      <w:tr>
        <w:trPr>
          <w:trHeight w:val="252"/>
        </w:trPr>
        <w:tc>
          <w:tcPr>
            <w:tcW w:w="8120" w:type="dxa"/>
            <w:vAlign w:val="bottom"/>
          </w:tcPr>
          <w:p>
            <w:pPr>
              <w:ind w:left="20"/>
              <w:spacing w:after="0"/>
              <w:rPr>
                <w:sz w:val="20"/>
                <w:szCs w:val="20"/>
                <w:color w:val="auto"/>
              </w:rPr>
            </w:pPr>
            <w:r>
              <w:rPr>
                <w:rFonts w:ascii="Arial" w:cs="Arial" w:eastAsia="Arial" w:hAnsi="Arial"/>
                <w:sz w:val="18"/>
                <w:szCs w:val="18"/>
                <w:color w:val="auto"/>
              </w:rPr>
              <w:t>Increases for positions taken in current year</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3,306</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1,535</w:t>
            </w:r>
          </w:p>
        </w:tc>
        <w:tc>
          <w:tcPr>
            <w:tcW w:w="20" w:type="dxa"/>
            <w:vAlign w:val="bottom"/>
          </w:tcPr>
          <w:p>
            <w:pPr>
              <w:spacing w:after="0"/>
              <w:rPr>
                <w:sz w:val="21"/>
                <w:szCs w:val="21"/>
                <w:color w:val="auto"/>
              </w:rPr>
            </w:pPr>
          </w:p>
        </w:tc>
      </w:tr>
      <w:tr>
        <w:trPr>
          <w:trHeight w:val="257"/>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Increase (decrease) for positions taken in prior year</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2"/>
                <w:szCs w:val="22"/>
                <w:color w:val="auto"/>
              </w:rPr>
            </w:pPr>
          </w:p>
        </w:tc>
      </w:tr>
      <w:tr>
        <w:trPr>
          <w:trHeight w:val="250"/>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the end of the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11,803</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6,749</w:t>
            </w:r>
          </w:p>
        </w:tc>
        <w:tc>
          <w:tcPr>
            <w:tcW w:w="20" w:type="dxa"/>
            <w:vAlign w:val="bottom"/>
          </w:tcPr>
          <w:p>
            <w:pPr>
              <w:spacing w:after="0"/>
              <w:rPr>
                <w:sz w:val="21"/>
                <w:szCs w:val="21"/>
                <w:color w:val="auto"/>
              </w:rPr>
            </w:pPr>
          </w:p>
        </w:tc>
      </w:tr>
      <w:tr>
        <w:trPr>
          <w:trHeight w:val="25"/>
        </w:trPr>
        <w:tc>
          <w:tcPr>
            <w:tcW w:w="8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30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As of December 31, 2025, the Company had federal NOL carryforwards of $1.1 billion available to reduce taxable income, of which $16.3 million expire beginning with 2037 and $1.1 billion do not expire. The Company had state NOL carryforwards of $894.4 million available to reduce future state taxable income, of which $472.8 million expire beginning with 2031 and $421.6 million that begin to expire in 2032.The Company had foreign NOL carryforwards of $174.8 million available to reduce future foreign taxable income, of which $20.6 million expire beginning with 2032 and $154.3 million that do not expire.</w:t>
      </w:r>
    </w:p>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2025, the Company also had federal and state research and development credit carryforwards of $60.3 million and $16.7 million respectively. As of December 31, 2024, the Company also had federal and state research and development credit carryforwards of $35.1 million and $10.2 million respectively. The Company also had federal Orphan Drug credits of $45.5 million and $24.7 million as of December 31, 2025 and December 31, 2024, respectively, which will begin expiring in 2036. The Company had reserves for uncertain tax positions against these credit carryforwards of $11.8 million and $6.7 million as of December 31, 2025 and December 31, 2024,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files income tax returns in the United States (federal and various state jurisdictions), Canada, and the United Kingdom. The Company is subject to examination by taxing authorities in these jurisdictions. In the normal course of business, the Company may be subject to audits by tax authorities regarding the timing and amount of taxable income and deductions and the allocation of income among jurisdictions. The Company is not currently under examination in any of these jurisdictions. The Company is subject to income tax examinations on all federal returns since the 2016 tax return.</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Significant judgment is required in determining the Company’s provision for income taxes, recording valuation allowances against deferred tax assets and evaluating the Company’s uncertain tax positions. Due to net losses since inception and the uncertainty of realizing certain deferred tax assets, the Company records valuation allowances when it is not more-likely-than-not that such deferred tax assets will be realized. Exscientia, Inc., a separate filing wholly owned subsidiary, is a tax paying entity with no history of cumulative losses. Therefore, no valuation allowance has been placed on this entity as of December 31, 2025. If, in a future period, the Company concludes it is more-likely-than-not that additional deferred tax assets will be realized, the Company may release all, or a portion of, the valuation allowance, which would increase net deferred tax assets (or reduce net deferred tax liabilities) and decrease income tax expense in the period such release is recorded. As of December 31, 2025 and 2024, the Company’s valuation allowance was $665.4 million and $466.1 million, respectively, which increased by approximately $199.2 million and $161.5 million during the years ended December 31, 2025 and 2024, respectively.</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operating losses (NOLs) and tax credit carry-forwards are subject to review and possible adjustment by the Internal Revenue Service (“IRS”) and may become subject to annual limitation due to ownership changes that occur under Section 382 of the Internal Revenue Code, as amended and similar state provisions.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As of December 31, 2025, the Company conducted a Section 382 study through January 31, 2025 and concluded that a deemed ownership change occurred on September 25, 2017. As a result, the Company’s ability to utilize its NOLs and other tax attributes may be limited. The Company will continue to monitor ownership changes for any potential future limitations on its tax attributes.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OECD released a framework, referred to as Pillar Two, to implement a global minimum corporate tax rate of 15% on certain multinational enterprises. Certain countries have enacted legislation to adopt the Pillar Two framework while several countries are considering or still announcing changes to their tax laws to implement the minimum tax directive. While we do not currently expect Pillar Two to have a material impact on our effective tax rate, our analysis will continue as the OECD continues to release additional guidance and countries implement legislation.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w:t>
      </w:r>
    </w:p>
    <w:p>
      <w:pPr>
        <w:spacing w:after="0" w:line="2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the years ended December 31, 2025, 2024 and 2023, Recursion calculated net loss per share of Class A, Class B and Exchangeable common stock.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For the years ended December 31, 2025, 2024 and 2023, the Company reported a net loss and therefore basic and diluted loss per share were the same.</w:t>
      </w:r>
    </w:p>
    <w:p>
      <w:pPr>
        <w:spacing w:after="0" w:line="2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rights, including the liquidation and dividend rights, of the holders of the Company’s Class A, Class B and the Exchangeable common stock are identical, except with respect to voting. As a result, the undistributed earnings for each period are allocated based on the contractual participation rights of the Class A, Class B common stock and the Exchangeable common stock as if the earnings for the period had been distributed. As the liquidation and dividend rights are identical, the undistributed earnings are allocated on a proportionate basis and the resulting amount per share for Class A, Class B and Exchangeable common stock was the same during the years ended December 31, 2025, 2024 and 2023.</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tables set forth the computation of basic and diluted net loss per share of Class A, Class B and Exchangeable common stock during 2025, 2024 and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0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200" w:type="dxa"/>
            <w:vAlign w:val="bottom"/>
          </w:tcPr>
          <w:p>
            <w:pPr>
              <w:spacing w:after="0"/>
              <w:rPr>
                <w:sz w:val="21"/>
                <w:szCs w:val="21"/>
                <w:color w:val="auto"/>
              </w:rPr>
            </w:pPr>
          </w:p>
        </w:tc>
      </w:tr>
      <w:tr>
        <w:trPr>
          <w:trHeight w:val="285"/>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(in thousands, </w:t>
            </w:r>
            <w:r>
              <w:rPr>
                <w:rFonts w:ascii="Arial" w:cs="Arial" w:eastAsia="Arial" w:hAnsi="Arial"/>
                <w:sz w:val="14"/>
                <w:szCs w:val="14"/>
                <w:b w:val="1"/>
                <w:bCs w:val="1"/>
                <w:color w:val="1E1E1E"/>
              </w:rPr>
              <w:t>except share amounts</w:t>
            </w:r>
            <w:r>
              <w:rPr>
                <w:rFonts w:ascii="Arial" w:cs="Arial" w:eastAsia="Arial" w:hAnsi="Arial"/>
                <w:sz w:val="14"/>
                <w:szCs w:val="14"/>
                <w:b w:val="1"/>
                <w:bCs w:val="1"/>
                <w:color w:val="auto"/>
              </w:rPr>
              <w:t>)</w:t>
            </w:r>
          </w:p>
        </w:tc>
        <w:tc>
          <w:tcPr>
            <w:tcW w:w="1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5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(644,759)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(463,661)</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(328,066)</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5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1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447,446,109</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274,207,146</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207,853,702</w:t>
            </w: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1E1E1E"/>
        </w:rPr>
        <w:t>The Company excluded the following potential common shares from the computation of diluted net loss per share for the periods indicated because including them would have had an anti-dilutive effect: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400" w:type="dxa"/>
            <w:vAlign w:val="bottom"/>
          </w:tcPr>
          <w:p>
            <w:pPr>
              <w:spacing w:after="0"/>
              <w:rPr>
                <w:sz w:val="21"/>
                <w:szCs w:val="21"/>
                <w:color w:val="auto"/>
              </w:rPr>
            </w:pPr>
          </w:p>
        </w:tc>
        <w:tc>
          <w:tcPr>
            <w:tcW w:w="44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Years ended December 31,</w:t>
            </w:r>
          </w:p>
        </w:tc>
        <w:tc>
          <w:tcPr>
            <w:tcW w:w="1360" w:type="dxa"/>
            <w:vAlign w:val="bottom"/>
          </w:tcPr>
          <w:p>
            <w:pPr>
              <w:spacing w:after="0"/>
              <w:rPr>
                <w:sz w:val="21"/>
                <w:szCs w:val="21"/>
                <w:color w:val="auto"/>
              </w:rPr>
            </w:pPr>
          </w:p>
        </w:tc>
      </w:tr>
      <w:tr>
        <w:trPr>
          <w:trHeight w:val="245"/>
        </w:trPr>
        <w:tc>
          <w:tcPr>
            <w:tcW w:w="54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2025</w:t>
            </w:r>
          </w:p>
        </w:tc>
        <w:tc>
          <w:tcPr>
            <w:tcW w:w="196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2024</w:t>
            </w: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2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8,143,319</w:t>
            </w:r>
          </w:p>
        </w:tc>
        <w:tc>
          <w:tcPr>
            <w:tcW w:w="19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9,021,895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9,848,141</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Tempus agreement</w:t>
            </w:r>
          </w:p>
        </w:tc>
        <w:tc>
          <w:tcPr>
            <w:tcW w:w="2520" w:type="dxa"/>
            <w:vAlign w:val="bottom"/>
          </w:tcPr>
          <w:p>
            <w:pPr>
              <w:jc w:val="right"/>
              <w:ind w:right="310"/>
              <w:spacing w:after="0"/>
              <w:rPr>
                <w:sz w:val="20"/>
                <w:szCs w:val="20"/>
                <w:color w:val="auto"/>
              </w:rPr>
            </w:pPr>
            <w:r>
              <w:rPr>
                <w:rFonts w:ascii="Arial" w:cs="Arial" w:eastAsia="Arial" w:hAnsi="Arial"/>
                <w:sz w:val="18"/>
                <w:szCs w:val="18"/>
                <w:color w:val="auto"/>
              </w:rPr>
              <w:t>6,350,736</w:t>
            </w:r>
          </w:p>
        </w:tc>
        <w:tc>
          <w:tcPr>
            <w:tcW w:w="1960" w:type="dxa"/>
            <w:vAlign w:val="bottom"/>
          </w:tcPr>
          <w:p>
            <w:pPr>
              <w:jc w:val="right"/>
              <w:ind w:right="450"/>
              <w:spacing w:after="0"/>
              <w:rPr>
                <w:sz w:val="20"/>
                <w:szCs w:val="20"/>
                <w:color w:val="auto"/>
              </w:rPr>
            </w:pPr>
            <w:r>
              <w:rPr>
                <w:rFonts w:ascii="Arial" w:cs="Arial" w:eastAsia="Arial" w:hAnsi="Arial"/>
                <w:sz w:val="18"/>
                <w:szCs w:val="18"/>
                <w:color w:val="auto"/>
              </w:rPr>
              <w:t>7,802,744</w:t>
            </w:r>
          </w:p>
        </w:tc>
        <w:tc>
          <w:tcPr>
            <w:tcW w:w="1360" w:type="dxa"/>
            <w:vAlign w:val="bottom"/>
          </w:tcPr>
          <w:p>
            <w:pPr>
              <w:jc w:val="right"/>
              <w:spacing w:after="0"/>
              <w:rPr>
                <w:sz w:val="20"/>
                <w:szCs w:val="20"/>
                <w:color w:val="auto"/>
              </w:rPr>
            </w:pPr>
            <w:r>
              <w:rPr>
                <w:rFonts w:ascii="Arial" w:cs="Arial" w:eastAsia="Arial" w:hAnsi="Arial"/>
                <w:sz w:val="18"/>
                <w:szCs w:val="18"/>
                <w:color w:val="auto"/>
              </w:rPr>
              <w:t>1,073,834</w:t>
            </w:r>
          </w:p>
        </w:tc>
      </w:tr>
      <w:tr>
        <w:trPr>
          <w:trHeight w:val="229"/>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Contingent stock relating to RE Ventures I transaction</w:t>
            </w:r>
          </w:p>
        </w:tc>
        <w:tc>
          <w:tcPr>
            <w:tcW w:w="2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315,225</w:t>
            </w:r>
          </w:p>
        </w:tc>
        <w:tc>
          <w:tcPr>
            <w:tcW w:w="19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14,809,280</w:t>
            </w:r>
          </w:p>
        </w:tc>
        <w:tc>
          <w:tcPr>
            <w:tcW w:w="1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16,824,639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10,921,975</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252" w:lineRule="exact"/>
        <w:rPr>
          <w:sz w:val="20"/>
          <w:szCs w:val="20"/>
          <w:color w:val="auto"/>
        </w:rPr>
      </w:pPr>
    </w:p>
    <w:p>
      <w:pPr>
        <w:ind w:left="660" w:right="320" w:hanging="328"/>
        <w:spacing w:after="0" w:line="260"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1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December 31, 2025</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3</w:t>
            </w:r>
          </w:p>
        </w:tc>
      </w:tr>
      <w:tr>
        <w:trPr>
          <w:trHeight w:val="231"/>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9"/>
        </w:trPr>
        <w:tc>
          <w:tcPr>
            <w:tcW w:w="3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
        </w:trPr>
        <w:tc>
          <w:tcPr>
            <w:tcW w:w="3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7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6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670,667</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670,667</w:t>
            </w:r>
          </w:p>
        </w:tc>
        <w:tc>
          <w:tcPr>
            <w:tcW w:w="280" w:type="dxa"/>
            <w:vAlign w:val="bottom"/>
          </w:tcPr>
          <w:p>
            <w:pPr>
              <w:spacing w:after="0"/>
              <w:rPr>
                <w:sz w:val="19"/>
                <w:szCs w:val="19"/>
                <w:color w:val="auto"/>
              </w:rPr>
            </w:pPr>
          </w:p>
        </w:tc>
        <w:tc>
          <w:tcPr>
            <w:tcW w:w="1300" w:type="dxa"/>
            <w:vAlign w:val="bottom"/>
          </w:tcPr>
          <w:p>
            <w:pPr>
              <w:ind w:left="800"/>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0"/>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64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753,921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753,921</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1"/>
        </w:trPr>
        <w:tc>
          <w:tcPr>
            <w:tcW w:w="37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0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December 31, 2024</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3</w:t>
            </w:r>
          </w:p>
        </w:tc>
      </w:tr>
      <w:tr>
        <w:trPr>
          <w:trHeight w:val="218"/>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5"/>
        </w:trPr>
        <w:tc>
          <w:tcPr>
            <w:tcW w:w="3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198,050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198,050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7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6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235,812</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235,812</w:t>
            </w:r>
          </w:p>
        </w:tc>
        <w:tc>
          <w:tcPr>
            <w:tcW w:w="280" w:type="dxa"/>
            <w:vAlign w:val="bottom"/>
          </w:tcPr>
          <w:p>
            <w:pPr>
              <w:spacing w:after="0"/>
              <w:rPr>
                <w:sz w:val="19"/>
                <w:szCs w:val="19"/>
                <w:color w:val="auto"/>
              </w:rPr>
            </w:pPr>
          </w:p>
        </w:tc>
        <w:tc>
          <w:tcPr>
            <w:tcW w:w="1300" w:type="dxa"/>
            <w:vAlign w:val="bottom"/>
          </w:tcPr>
          <w:p>
            <w:pPr>
              <w:ind w:left="800"/>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Bank deposits</w:t>
            </w:r>
          </w:p>
        </w:tc>
        <w:tc>
          <w:tcPr>
            <w:tcW w:w="16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160,487</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160,487</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w:t>
            </w:r>
          </w:p>
        </w:tc>
        <w:tc>
          <w:tcPr>
            <w:tcW w:w="16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48"/>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603,024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603,024</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to the financial instruments that are recognized at fair value on the Consolidated Balance Sheet, the Company has certain financial instruments that are recognized at amortized cost or some basis other than fair value. The carrying amount of these instruments are considered to be representative of their approximate fair values.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financial instruments that are not measured at fair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4"/>
          </w:tcPr>
          <w:p>
            <w:pPr>
              <w:ind w:left="1300"/>
              <w:spacing w:after="0"/>
              <w:rPr>
                <w:sz w:val="20"/>
                <w:szCs w:val="20"/>
                <w:color w:val="auto"/>
              </w:rPr>
            </w:pPr>
            <w:r>
              <w:rPr>
                <w:rFonts w:ascii="Arial" w:cs="Arial" w:eastAsia="Arial" w:hAnsi="Arial"/>
                <w:sz w:val="16"/>
                <w:szCs w:val="16"/>
                <w:b w:val="1"/>
                <w:bCs w:val="1"/>
                <w:color w:val="auto"/>
              </w:rPr>
              <w:t>Book values</w:t>
            </w:r>
          </w:p>
        </w:tc>
        <w:tc>
          <w:tcPr>
            <w:tcW w:w="200" w:type="dxa"/>
            <w:vAlign w:val="bottom"/>
          </w:tcPr>
          <w:p>
            <w:pPr>
              <w:spacing w:after="0"/>
              <w:rPr>
                <w:sz w:val="18"/>
                <w:szCs w:val="18"/>
                <w:color w:val="auto"/>
              </w:rPr>
            </w:pPr>
          </w:p>
        </w:tc>
        <w:tc>
          <w:tcPr>
            <w:tcW w:w="3760" w:type="dxa"/>
            <w:vAlign w:val="bottom"/>
            <w:gridSpan w:val="3"/>
          </w:tcPr>
          <w:p>
            <w:pPr>
              <w:jc w:val="right"/>
              <w:ind w:right="1472"/>
              <w:spacing w:after="0"/>
              <w:rPr>
                <w:sz w:val="20"/>
                <w:szCs w:val="20"/>
                <w:color w:val="auto"/>
              </w:rPr>
            </w:pPr>
            <w:r>
              <w:rPr>
                <w:rFonts w:ascii="Arial" w:cs="Arial" w:eastAsia="Arial" w:hAnsi="Arial"/>
                <w:sz w:val="16"/>
                <w:szCs w:val="16"/>
                <w:b w:val="1"/>
                <w:bCs w:val="1"/>
                <w:color w:val="auto"/>
              </w:rPr>
              <w:t>Fair values</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December 31, 2025</w:t>
            </w:r>
          </w:p>
        </w:tc>
        <w:tc>
          <w:tcPr>
            <w:tcW w:w="2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2024</w:t>
            </w:r>
          </w:p>
        </w:tc>
        <w:tc>
          <w:tcPr>
            <w:tcW w:w="2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December 31, 2025</w:t>
            </w: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Notes payable and financing lease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26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current</w:t>
            </w:r>
          </w:p>
        </w:tc>
        <w:tc>
          <w:tcPr>
            <w:tcW w:w="180" w:type="dxa"/>
            <w:vAlign w:val="bottom"/>
            <w:vMerge w:val="continue"/>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Notes payable and financing lease</w:t>
            </w:r>
          </w:p>
        </w:tc>
        <w:tc>
          <w:tcPr>
            <w:tcW w:w="18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9,564</w:t>
            </w:r>
          </w:p>
        </w:tc>
        <w:tc>
          <w:tcPr>
            <w:tcW w:w="2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19,022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9,564</w:t>
            </w:r>
          </w:p>
        </w:tc>
        <w:tc>
          <w:tcPr>
            <w:tcW w:w="22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19,022</w:t>
            </w:r>
          </w:p>
        </w:tc>
        <w:tc>
          <w:tcPr>
            <w:tcW w:w="0" w:type="dxa"/>
            <w:vAlign w:val="bottom"/>
          </w:tcPr>
          <w:p>
            <w:pPr>
              <w:spacing w:after="0"/>
              <w:rPr>
                <w:sz w:val="1"/>
                <w:szCs w:val="1"/>
                <w:color w:val="auto"/>
              </w:rPr>
            </w:pPr>
          </w:p>
        </w:tc>
      </w:tr>
      <w:tr>
        <w:trPr>
          <w:trHeight w:val="24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 non-current</w:t>
            </w: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2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loss</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Recursion operates as a single operating segment that is managed on a consolidated basis. The Company’s chief operating decision maker is its Chief Executive Officer. The Company’s chief operating decision maker uses segment net loss to evaluate the performance of its segment, analyze financial trends, compare the budget to the actual operating results, and make resource allocation decisions. Segment net loss represents the Company’s consolidated net loss. All corporate costs, global function support costs, overhead costs and other shared costs are included within this segment. Other segment items primarily include general and administrative expenses including facilities, information technology, professional fees (including auditing, tax and legal) and insurance.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Recursion’s segment net loss:</w:t>
      </w:r>
    </w:p>
    <w:p>
      <w:pPr>
        <w:spacing w:after="0" w:line="29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Years ended December 31,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r>
      <w:tr>
        <w:trPr>
          <w:trHeight w:val="25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44,575</w:t>
            </w:r>
          </w:p>
        </w:tc>
      </w:tr>
      <w:tr>
        <w:trPr>
          <w:trHeight w:val="270"/>
        </w:trPr>
        <w:tc>
          <w:tcPr>
            <w:tcW w:w="7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Significant segment expenses</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8"/>
        </w:trPr>
        <w:tc>
          <w:tcPr>
            <w:tcW w:w="7440" w:type="dxa"/>
            <w:vAlign w:val="bottom"/>
          </w:tcPr>
          <w:p>
            <w:pPr>
              <w:ind w:left="20"/>
              <w:spacing w:after="0"/>
              <w:rPr>
                <w:sz w:val="20"/>
                <w:szCs w:val="20"/>
                <w:color w:val="auto"/>
              </w:rPr>
            </w:pPr>
            <w:r>
              <w:rPr>
                <w:rFonts w:ascii="Arial" w:cs="Arial" w:eastAsia="Arial" w:hAnsi="Arial"/>
                <w:sz w:val="18"/>
                <w:szCs w:val="18"/>
                <w:color w:val="auto"/>
              </w:rPr>
              <w:t>Salaries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303,478</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242,795</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183,643</w:t>
            </w:r>
          </w:p>
        </w:tc>
      </w:tr>
      <w:tr>
        <w:trPr>
          <w:trHeight w:val="26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Consumables</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102,905</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77,543</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65,688</w:t>
            </w:r>
          </w:p>
        </w:tc>
      </w:tr>
      <w:tr>
        <w:trPr>
          <w:trHeight w:val="248"/>
        </w:trPr>
        <w:tc>
          <w:tcPr>
            <w:tcW w:w="7440" w:type="dxa"/>
            <w:vAlign w:val="bottom"/>
          </w:tcPr>
          <w:p>
            <w:pPr>
              <w:ind w:left="20"/>
              <w:spacing w:after="0"/>
              <w:rPr>
                <w:sz w:val="20"/>
                <w:szCs w:val="20"/>
                <w:color w:val="auto"/>
              </w:rPr>
            </w:pPr>
            <w:r>
              <w:rPr>
                <w:rFonts w:ascii="Arial" w:cs="Arial" w:eastAsia="Arial" w:hAnsi="Arial"/>
                <w:sz w:val="18"/>
                <w:szCs w:val="18"/>
                <w:color w:val="auto"/>
              </w:rPr>
              <w:t>Platform</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49,209</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15,876</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6,353</w:t>
            </w:r>
          </w:p>
        </w:tc>
      </w:tr>
      <w:tr>
        <w:trPr>
          <w:trHeight w:val="26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Discovery</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68,193</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30,480</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19,231</w:t>
            </w:r>
          </w:p>
        </w:tc>
      </w:tr>
      <w:tr>
        <w:trPr>
          <w:trHeight w:val="248"/>
        </w:trPr>
        <w:tc>
          <w:tcPr>
            <w:tcW w:w="7440" w:type="dxa"/>
            <w:vAlign w:val="bottom"/>
          </w:tcPr>
          <w:p>
            <w:pPr>
              <w:ind w:left="20"/>
              <w:spacing w:after="0"/>
              <w:rPr>
                <w:sz w:val="20"/>
                <w:szCs w:val="20"/>
                <w:color w:val="auto"/>
              </w:rPr>
            </w:pPr>
            <w:r>
              <w:rPr>
                <w:rFonts w:ascii="Arial" w:cs="Arial" w:eastAsia="Arial" w:hAnsi="Arial"/>
                <w:sz w:val="18"/>
                <w:szCs w:val="18"/>
                <w:color w:val="auto"/>
              </w:rPr>
              <w:t>Clinical development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46,383</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43,713</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39,881</w:t>
            </w:r>
          </w:p>
        </w:tc>
      </w:tr>
      <w:tr>
        <w:trPr>
          <w:trHeight w:val="26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36,494</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24,402</w:t>
            </w:r>
          </w:p>
        </w:tc>
      </w:tr>
      <w:tr>
        <w:trPr>
          <w:trHeight w:val="250"/>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segment items</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68,944</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90,942</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55,437</w:t>
            </w:r>
          </w:p>
        </w:tc>
      </w:tr>
      <w:tr>
        <w:trPr>
          <w:trHeight w:val="25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648,132</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479,004</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350,060</w:t>
            </w:r>
          </w:p>
        </w:tc>
      </w:tr>
      <w:tr>
        <w:trPr>
          <w:trHeight w:val="257"/>
        </w:trPr>
        <w:tc>
          <w:tcPr>
            <w:tcW w:w="744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3,237</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14,216</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17,932</w:t>
            </w:r>
          </w:p>
        </w:tc>
      </w:tr>
      <w:tr>
        <w:trPr>
          <w:trHeight w:val="250"/>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r>
      <w:tr>
        <w:trPr>
          <w:trHeight w:val="252"/>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segment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644,759</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463,661</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328,066</w:t>
            </w: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2"/>
        </w:trPr>
        <w:tc>
          <w:tcPr>
            <w:tcW w:w="7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2"/>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Supplemental asset information</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5"/>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expenditures for additions to long-lived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14,393</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Segment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Recursion’s revenues are attributed to the following geographic areas based on the location the services are performed:</w:t>
      </w:r>
    </w:p>
    <w:p>
      <w:pPr>
        <w:spacing w:after="0" w:line="50"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39,344</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43,806</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35,337</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1,135</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23"/>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74,681</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58,839</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44,575</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Recursion’s long-lived assets are attributed to the following geographic areas based on their location:</w:t>
      </w:r>
    </w:p>
    <w:p>
      <w:pPr>
        <w:spacing w:after="0" w:line="29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Years ended December 31,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r>
      <w:tr>
        <w:trPr>
          <w:trHeight w:val="25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84,056</w:t>
            </w:r>
          </w:p>
        </w:tc>
      </w:tr>
      <w:tr>
        <w:trPr>
          <w:trHeight w:val="256"/>
        </w:trPr>
        <w:tc>
          <w:tcPr>
            <w:tcW w:w="744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40,488</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56,332</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r>
      <w:tr>
        <w:trPr>
          <w:trHeight w:val="256"/>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141,063</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86,510</w:t>
            </w:r>
          </w:p>
        </w:tc>
      </w:tr>
    </w:tbl>
    <w:p>
      <w:pPr>
        <w:spacing w:after="0" w:line="305"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The above long-lived assets table excludes balances relating to ROU assets of $65.5 million and $92.1 million for 2025 and 2024, respectively. The balances for 2025 and 2024 primarily related to the United States and United Kingdom.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Recursion generates revenue primarily from a single service, research and development services, therefore, the Company does not report additional information on revenue from external customers.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February 2026, the Company entered into a Sales Agreement (the “TD Cowen Sales Agreement”) with TD Securities (USA), LLC (the “TD Cowen Sales Agent”), to provide for the offering, issuance and sale of up to an aggregate amount of $300.0 million of its Class A common stock from time to time in “at-the-market” offerings (the TD Cowen ATM Offering). Recursion has not yet sold any shares and is not required to sell additional shares under the TD Cowen Sales Agreement. The Company pays the TD Cowen Sales Agent a commission of less than</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3.0% of the aggregate gross proceeds received from all sales of Class A common stock less certain agreed credits and reimbursements. The TD Cowen Sales Agreement continues until the earlier of selling all shares available under the TD Cowen Sales Agreement or terminated by written notice from either of the parties.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(the Exchange Act)) designed to provide reasonable assurance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Our management, with the participation of our Chief Executive Officer and Chief Financial Officer, has evaluated the effectiveness of our disclosure controls and procedures as of the end of the period covered by this report. Based on that evaluation, our Chief Executive Officer and Chief Financial Officer have concluded that as of December 31, 2025, our disclosure controls and procedures were not effective due to the material weaknesses described below.</w:t>
      </w:r>
    </w:p>
    <w:p>
      <w:pPr>
        <w:spacing w:after="0" w:line="208"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20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Management performed an assessment of the effectiveness of the Company’s internal control over financial reporting as of December 31, 2025. In performing this assessment, management used the criteria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Based on its assessment, management concluded that the Company’s internal control over financial reporting was not effective as of December 31, 2025 due to the material weaknesses described below.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10" w:lineRule="exact"/>
        <w:rPr>
          <w:sz w:val="20"/>
          <w:szCs w:val="20"/>
          <w:color w:val="auto"/>
        </w:rPr>
      </w:pPr>
    </w:p>
    <w:p>
      <w:pPr>
        <w:jc w:val="both"/>
        <w:ind w:left="660" w:right="40" w:hanging="328"/>
        <w:spacing w:after="0" w:line="268"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did not design and maintain effective process and controls at the Exscientia business, including with respect to consistent review procedures within the financial statement close process, to appropriately analyze, record and disclose accounting matters timely and accurately while maintaining appropriate segregation of duties; and</w:t>
      </w:r>
    </w:p>
    <w:p>
      <w:pPr>
        <w:spacing w:after="0" w:line="197"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did not design and maintain effective information technology general controls at the Exscientia business for information systems that are significant to the preparation of our financial statements, including controls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140"/>
        <w:spacing w:after="0" w:line="287" w:lineRule="auto"/>
        <w:rPr>
          <w:sz w:val="20"/>
          <w:szCs w:val="20"/>
          <w:color w:val="auto"/>
        </w:rPr>
      </w:pPr>
      <w:r>
        <w:rPr>
          <w:rFonts w:ascii="Arial" w:cs="Arial" w:eastAsia="Arial" w:hAnsi="Arial"/>
          <w:sz w:val="18"/>
          <w:szCs w:val="18"/>
          <w:color w:val="auto"/>
        </w:rPr>
        <w:t>to verify that conflicting duties were appropriately segregated within such systems, in addition to controls over change management and program development</w:t>
      </w:r>
    </w:p>
    <w:p>
      <w:pPr>
        <w:spacing w:after="0" w:line="18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material weakness related to the ineffective process and controls resulted in an immaterial misstatement to unearned revenue and unearned revenue, non-current in our consolidated financial statements as of and for the year ended December 31, 2024. Additionally,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20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2025 has been audited by PricewaterhouseCoopers LLP, an independent registered public accounting firm, as stated in their report which is included in Part II Item 8 of this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Remediation Efforts for Unremediated Material Weaknesses</w:t>
      </w:r>
    </w:p>
    <w:p>
      <w:pPr>
        <w:spacing w:after="0" w:line="25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following remediation actions have been taken in the Exscientia acquired business as of December 31, 2025 related to the material weaknesses described above:</w:t>
      </w:r>
    </w:p>
    <w:p>
      <w:pPr>
        <w:spacing w:after="0" w:line="180" w:lineRule="exact"/>
        <w:rPr>
          <w:sz w:val="20"/>
          <w:szCs w:val="20"/>
          <w:color w:val="auto"/>
        </w:rPr>
      </w:pPr>
    </w:p>
    <w:p>
      <w:pPr>
        <w:jc w:val="both"/>
        <w:ind w:left="660" w:right="700" w:hanging="328"/>
        <w:spacing w:after="0" w:line="25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have designed and implemented certain information technology general controls and are in the process of implementing additional information technology general controls within the Exscientia business, including controls over the maintenance of appropriate segregation of duties, controls over change management and controls over program development, and</w:t>
      </w:r>
    </w:p>
    <w:p>
      <w:pPr>
        <w:spacing w:after="0" w:line="1" w:lineRule="exact"/>
        <w:rPr>
          <w:rFonts w:ascii="Arial" w:cs="Arial" w:eastAsia="Arial" w:hAnsi="Arial"/>
          <w:sz w:val="18"/>
          <w:szCs w:val="18"/>
          <w:color w:val="auto"/>
        </w:rPr>
      </w:pPr>
    </w:p>
    <w:p>
      <w:pPr>
        <w:ind w:left="660" w:right="360" w:hanging="328"/>
        <w:spacing w:after="0" w:line="296" w:lineRule="auto"/>
        <w:tabs>
          <w:tab w:leader="none" w:pos="6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We have designed and implemented certain processes and controls to appropriately analyze, record and disclose accounting matters timely and accurately while maintaining appropriate segregation of duties and are in the process of implementing others.</w:t>
      </w:r>
    </w:p>
    <w:p>
      <w:pPr>
        <w:spacing w:after="0" w:line="17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 connection with the remediation actions described above, we are in the process of integrating Exscientia’s operations into our overall system of internal control over financial reporting.</w:t>
      </w:r>
    </w:p>
    <w:p>
      <w:pPr>
        <w:spacing w:after="0" w:line="180"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We believe the above actions will be effective in remediating the material weaknesses described above. However, the material weaknesses cannot be considered remediated until remediated controls operate for a sufficient period of time and management has concluded, through testing, that these controls are operating effectively.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Previously Reported Material Weakness relating to Revenue</w:t>
      </w:r>
    </w:p>
    <w:p>
      <w:pPr>
        <w:spacing w:after="0" w:line="25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For the year ended December 31, 2024, our disclosure controls and procedures and internal control over financial reporting were ineffective due to the material weakness in internal control over financial reporting disclosed in Part II, Item 9A of our Annual Report on Form 10-K for the year ended December 31, 2024. The Company did not design and maintain effective controls over the estimated costs and time to completion and controls to validate the completeness and accuracy of data used to calculate revenue and unearned revenue related to its license agreement.</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the year ended December 31, 2025, the Company undertook actions to remediate the material weakness in internal control over financial reporting including the following actions:</w:t>
      </w:r>
    </w:p>
    <w:p>
      <w:pPr>
        <w:spacing w:after="0" w:line="181" w:lineRule="exact"/>
        <w:rPr>
          <w:sz w:val="20"/>
          <w:szCs w:val="20"/>
          <w:color w:val="auto"/>
        </w:rPr>
      </w:pPr>
    </w:p>
    <w:p>
      <w:pPr>
        <w:ind w:left="660" w:right="260" w:hanging="328"/>
        <w:spacing w:after="0" w:line="245"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Improvement of documentation procedures regarding specific inquiries related to the cost model used for revenue recognition and the resulting responses;</w:t>
      </w:r>
    </w:p>
    <w:p>
      <w:pPr>
        <w:ind w:left="660" w:hanging="328"/>
        <w:spacing w:after="0" w:line="23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Improvement of documentation for the review of changes in the cost model due to responses from inquiries;</w:t>
      </w:r>
    </w:p>
    <w:p>
      <w:pPr>
        <w:ind w:left="660" w:hanging="328"/>
        <w:spacing w:after="0" w:line="23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Provided additional documentation for internal reports to validate and support completeness and accuracy of reports; and</w:t>
      </w: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Improvement of documentation of these processes was done with the input of our third-party consultants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completed its testing of these remediated processes, procedures and controls and based on management’s assessment of</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effectiveness of our internal control over financial reporting as of December 31, 2025, our management concluded that, as of the end of the period covered by this report, we had remediated this material weakness.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months ended December 31, 2025, management was in the process of integrating the internal controls of the acquired business (Exscientia) into Recursion's existing operations as part of the planned integration activities. There were no other changes in our internal control over financial reporting (as defined in Rules 13a-15(f) and 15d-15(f) under the Exchange Act) that occurred during the three months ended December 31, 2025 that materially affected, or are reasonably likely to materially affect, our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February 25, 2026, Recursion entered into a Sales Agreement (the “TD Cowen Sales Agreement”) with TD Securities (USA), LLC (the “TD Cowen Sales Agent”), pursuant to which the Company may, from time to time, sell up to an aggregate amount of $300.0 million of our Class A common stock through the TD Cowen Sales Agent in an “at-the-market” offering (the “TD Cowen ATM Offering”). The Company is not required to sell shares under the TD Cowen Sales Agreement. Recursion will pay the TD Cowen Sales Agent a commission of less than 3% of the aggregate gross proceeds Recursion receive from all sales of our Class A common stock under the TD Cowen Sales Agreement. We have agreed to reimburse TD Cowen for the fees and disbursements of its counsel, payable upon execution of the sales agreement, in an amount not to exceed $100,000, in addition to certain ongoing disbursements of its legal counsel. The TD Cowen Sales Agreement continues until the earlier of selling all shares available under the TD Cowen Sales Agreement or terminated by written notice from either of the parties. No sales have been made under the TD Cowen Sales Agreement.</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TD Cowen ATM Offering is being made under a prospectus supplement dated February 25, 2026, and related prospectus to be filed with the Securities and Exchange Commission pursuant to our automatically effective shelf registration statement on Form S-3ASR (Registration No. 333-284878).</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copy of the TD Cowen Sales Agreement is attached as Exhibit 10.35 to this Annual Report on Form 10-K. The foregoing description of the TD Cowen Sales Agreement does not purport to be complete and is qualified in its entirety by reference to Exhibit 10.35. A copy of the opinion of Wilson Sonsini Goodrich &amp; Rosati, P.C. relating to the validity of the securities issued in the TD Cowen ATM Offering is filed as Exhibit 5.1 to this Annual Report on Form 10-K. See Note 16, “Subsequent Events” to the Condensed Consolidated Financial Statements for additional details.</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December 18, 2025, Robert Hershberg, Vice Chair and Lead Independent Director, adopted a Rule 10b5-1 trading arrangement that is intended to satisfy the affirmative defense of Rule 10b5-1(c) for the sale of up to 525,000 shares of the Company’s Class A common stock, a majority of which will not execute absent a significant increase in the market price of the Company’s Class A common stock. The plan is effective until March 19, 2027.</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8" w:name="page199"/>
    <w:bookmarkEnd w:id="198"/>
    <w:p>
      <w:pPr>
        <w:ind w:left="528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2026 Annual Meeting of Stockholders, which Recursion intends to file with the Securities and Exchange Commission within 120 days of the end of our fiscal year.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2026 Annual Meeting of Stockholders, which Recursion intends to file with the Securities and Exchange Commission within 120 days of the end of our fiscal year.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2026 Annual Meeting of Stockholders, which Recursion intends to file with the Securities and Exchange Commission within 120 days of the end of our fiscal year pursuant.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2026 Annual Meeting of Stockholders, which Recursion intends to file with the Securities and Exchange Commission within 120 days of the end of our fiscal year.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public accounting firm is PricewaterhouseCoopers LLP, Washington, PCAOB Auditor ID 000238.</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2026 Annual Meeting of Stockholders, which Recursion intends to file with the Securities and Exchange Commission within 120 days of the end of our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15. Exhibits and Financial Statement Schedules.</w:t>
      </w:r>
    </w:p>
    <w:p>
      <w:pPr>
        <w:spacing w:after="0" w:line="234" w:lineRule="exact"/>
        <w:rPr>
          <w:sz w:val="20"/>
          <w:szCs w:val="20"/>
          <w:color w:val="auto"/>
        </w:rPr>
      </w:pPr>
    </w:p>
    <w:p>
      <w:pPr>
        <w:ind w:left="280" w:hanging="272"/>
        <w:spacing w:after="0"/>
        <w:tabs>
          <w:tab w:leader="none" w:pos="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Documents filed as part of this Form 10-K.</w:t>
      </w:r>
    </w:p>
    <w:p>
      <w:pPr>
        <w:spacing w:after="0" w:line="252" w:lineRule="exact"/>
        <w:rPr>
          <w:rFonts w:ascii="Arial" w:cs="Arial" w:eastAsia="Arial" w:hAnsi="Arial"/>
          <w:sz w:val="18"/>
          <w:szCs w:val="18"/>
          <w:color w:val="auto"/>
        </w:rPr>
      </w:pPr>
    </w:p>
    <w:p>
      <w:pPr>
        <w:ind w:left="600" w:hanging="268"/>
        <w:spacing w:after="0"/>
        <w:tabs>
          <w:tab w:leader="none" w:pos="6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Financial Statements: See Item 8, “Financial Statements and Supplementary Data” for a list of financial statements.</w:t>
      </w:r>
    </w:p>
    <w:p>
      <w:pPr>
        <w:spacing w:after="0" w:line="252" w:lineRule="exact"/>
        <w:rPr>
          <w:rFonts w:ascii="Arial" w:cs="Arial" w:eastAsia="Arial" w:hAnsi="Arial"/>
          <w:sz w:val="18"/>
          <w:szCs w:val="18"/>
          <w:color w:val="auto"/>
        </w:rPr>
      </w:pPr>
    </w:p>
    <w:p>
      <w:pPr>
        <w:ind w:left="340" w:right="580" w:hanging="8"/>
        <w:spacing w:after="0" w:line="287" w:lineRule="auto"/>
        <w:tabs>
          <w:tab w:leader="none" w:pos="61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Financial Statement Schedules: All schedules omitted are inapplicable or the information required is shown in the consolidated financial statements or notes thereto.</w:t>
      </w:r>
    </w:p>
    <w:p>
      <w:pPr>
        <w:spacing w:after="0" w:line="179" w:lineRule="exact"/>
        <w:rPr>
          <w:rFonts w:ascii="Arial" w:cs="Arial" w:eastAsia="Arial" w:hAnsi="Arial"/>
          <w:sz w:val="18"/>
          <w:szCs w:val="18"/>
          <w:color w:val="auto"/>
        </w:rPr>
      </w:pPr>
    </w:p>
    <w:p>
      <w:pPr>
        <w:ind w:left="600" w:hanging="268"/>
        <w:spacing w:after="0"/>
        <w:tabs>
          <w:tab w:leader="none" w:pos="6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Exhibits Required by Item 601 of Regulation S-K: The information called for by this paragraph is set forth in Item 15(b) below.</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104"/>
        </w:numPr>
        <w:rPr>
          <w:rFonts w:ascii="Arial" w:cs="Arial" w:eastAsia="Arial" w:hAnsi="Arial"/>
          <w:sz w:val="18"/>
          <w:szCs w:val="18"/>
          <w:color w:val="1E1E1E"/>
        </w:rPr>
      </w:pPr>
      <w:r>
        <w:rPr>
          <w:rFonts w:ascii="Arial" w:cs="Arial" w:eastAsia="Arial" w:hAnsi="Arial"/>
          <w:sz w:val="18"/>
          <w:szCs w:val="18"/>
          <w:color w:val="1E1E1E"/>
        </w:rPr>
        <w:t>Exhibit Index:</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Incorporated by Reference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6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44"/>
        </w:trPr>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80" w:type="dxa"/>
            <w:vAlign w:val="bottom"/>
            <w:gridSpan w:val="22"/>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1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720" w:type="dxa"/>
            <w:vAlign w:val="bottom"/>
            <w:vMerge w:val="continue"/>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2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6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4780" w:type="dxa"/>
            <w:vAlign w:val="bottom"/>
            <w:gridSpan w:val="32"/>
          </w:tcPr>
          <w:p>
            <w:pPr>
              <w:spacing w:after="0" w:line="169" w:lineRule="exact"/>
              <w:rPr>
                <w:rFonts w:ascii="Arial" w:cs="Arial" w:eastAsia="Arial" w:hAnsi="Arial"/>
                <w:sz w:val="16"/>
                <w:szCs w:val="16"/>
                <w:color w:val="0000FF"/>
              </w:rPr>
            </w:pPr>
            <w:hyperlink r:id="rId278">
              <w:r>
                <w:rPr>
                  <w:rFonts w:ascii="Arial" w:cs="Arial" w:eastAsia="Arial" w:hAnsi="Arial"/>
                  <w:sz w:val="16"/>
                  <w:szCs w:val="16"/>
                  <w:color w:val="0000FF"/>
                </w:rPr>
                <w:t>Transaction Agreement by and between Recursion</w:t>
              </w:r>
            </w:hyperlink>
          </w:p>
        </w:tc>
        <w:tc>
          <w:tcPr>
            <w:tcW w:w="880" w:type="dxa"/>
            <w:vAlign w:val="bottom"/>
          </w:tcPr>
          <w:p>
            <w:pPr>
              <w:jc w:val="center"/>
              <w:spacing w:after="0" w:line="169" w:lineRule="exact"/>
              <w:rPr>
                <w:sz w:val="20"/>
                <w:szCs w:val="20"/>
                <w:color w:val="auto"/>
              </w:rPr>
            </w:pPr>
            <w:r>
              <w:rPr>
                <w:rFonts w:ascii="Arial" w:cs="Arial" w:eastAsia="Arial" w:hAnsi="Arial"/>
                <w:sz w:val="16"/>
                <w:szCs w:val="16"/>
                <w:color w:val="auto"/>
                <w:w w:val="96"/>
              </w:rPr>
              <w:t>8-K</w:t>
            </w:r>
          </w:p>
        </w:tc>
        <w:tc>
          <w:tcPr>
            <w:tcW w:w="1180" w:type="dxa"/>
            <w:vAlign w:val="bottom"/>
          </w:tcPr>
          <w:p>
            <w:pPr>
              <w:jc w:val="center"/>
              <w:spacing w:after="0" w:line="169" w:lineRule="exact"/>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August 8, 2024</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364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78">
              <w:r>
                <w:rPr>
                  <w:rFonts w:ascii="Arial" w:cs="Arial" w:eastAsia="Arial" w:hAnsi="Arial"/>
                  <w:sz w:val="16"/>
                  <w:szCs w:val="16"/>
                  <w:color w:val="0000FF"/>
                </w:rPr>
                <w:t>Pharmaceuticals, Inc. and Exscientia plc dated as</w:t>
              </w:r>
            </w:hyperlink>
          </w:p>
        </w:tc>
        <w:tc>
          <w:tcPr>
            <w:tcW w:w="1140" w:type="dxa"/>
            <w:vAlign w:val="bottom"/>
            <w:gridSpan w:val="18"/>
          </w:tcPr>
          <w:p>
            <w:pPr>
              <w:spacing w:after="0" w:line="142" w:lineRule="exact"/>
              <w:rPr>
                <w:rFonts w:ascii="Arial" w:cs="Arial" w:eastAsia="Arial" w:hAnsi="Arial"/>
                <w:sz w:val="16"/>
                <w:szCs w:val="16"/>
                <w:color w:val="0000FF"/>
              </w:rPr>
            </w:pPr>
            <w:hyperlink r:id="rId278">
              <w:r>
                <w:rPr>
                  <w:rFonts w:ascii="Arial" w:cs="Arial" w:eastAsia="Arial" w:hAnsi="Arial"/>
                  <w:sz w:val="16"/>
                  <w:szCs w:val="16"/>
                  <w:color w:val="0000FF"/>
                </w:rPr>
                <w:t>of August 8,</w:t>
              </w:r>
            </w:hyperlink>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r:id="rId278">
              <w:r>
                <w:rPr>
                  <w:rFonts w:ascii="Arial" w:cs="Arial" w:eastAsia="Arial" w:hAnsi="Arial"/>
                  <w:sz w:val="16"/>
                  <w:szCs w:val="16"/>
                  <w:color w:val="0000FF"/>
                  <w:w w:val="99"/>
                </w:rPr>
                <w:t>2024.</w:t>
              </w:r>
            </w:hyperlink>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2.2</w:t>
            </w:r>
          </w:p>
        </w:tc>
        <w:tc>
          <w:tcPr>
            <w:tcW w:w="4780" w:type="dxa"/>
            <w:vAlign w:val="bottom"/>
            <w:gridSpan w:val="32"/>
          </w:tcPr>
          <w:p>
            <w:pPr>
              <w:spacing w:after="0"/>
              <w:rPr>
                <w:rFonts w:ascii="Arial" w:cs="Arial" w:eastAsia="Arial" w:hAnsi="Arial"/>
                <w:sz w:val="16"/>
                <w:szCs w:val="16"/>
                <w:color w:val="0000FF"/>
              </w:rPr>
            </w:pPr>
            <w:hyperlink r:id="rId279">
              <w:r>
                <w:rPr>
                  <w:rFonts w:ascii="Arial" w:cs="Arial" w:eastAsia="Arial" w:hAnsi="Arial"/>
                  <w:sz w:val="16"/>
                  <w:szCs w:val="16"/>
                  <w:color w:val="0000FF"/>
                </w:rPr>
                <w:t>First Amendment to Transaction Agreement by and between</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18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8"/>
              </w:rPr>
              <w:t>2.1</w:t>
            </w:r>
          </w:p>
        </w:tc>
        <w:tc>
          <w:tcPr>
            <w:tcW w:w="1660" w:type="dxa"/>
            <w:vAlign w:val="bottom"/>
          </w:tcPr>
          <w:p>
            <w:pPr>
              <w:jc w:val="center"/>
              <w:spacing w:after="0"/>
              <w:rPr>
                <w:sz w:val="20"/>
                <w:szCs w:val="20"/>
                <w:color w:val="auto"/>
              </w:rPr>
            </w:pPr>
            <w:r>
              <w:rPr>
                <w:rFonts w:ascii="Arial" w:cs="Arial" w:eastAsia="Arial" w:hAnsi="Arial"/>
                <w:sz w:val="16"/>
                <w:szCs w:val="16"/>
                <w:color w:val="auto"/>
              </w:rPr>
              <w:t>November 6, 2024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32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79">
              <w:r>
                <w:rPr>
                  <w:rFonts w:ascii="Arial" w:cs="Arial" w:eastAsia="Arial" w:hAnsi="Arial"/>
                  <w:sz w:val="16"/>
                  <w:szCs w:val="16"/>
                  <w:color w:val="0000FF"/>
                </w:rPr>
                <w:t>Recursion Pharmaceuticals, Inc. and Exscientia plc dated as</w:t>
              </w:r>
            </w:hyperlink>
          </w:p>
        </w:tc>
        <w:tc>
          <w:tcPr>
            <w:tcW w:w="460" w:type="dxa"/>
            <w:vAlign w:val="bottom"/>
            <w:gridSpan w:val="15"/>
          </w:tcPr>
          <w:p>
            <w:pPr>
              <w:ind w:left="60"/>
              <w:spacing w:after="0" w:line="142" w:lineRule="exact"/>
              <w:rPr>
                <w:rFonts w:ascii="Arial" w:cs="Arial" w:eastAsia="Arial" w:hAnsi="Arial"/>
                <w:sz w:val="16"/>
                <w:szCs w:val="16"/>
                <w:color w:val="0000FF"/>
              </w:rPr>
            </w:pPr>
            <w:hyperlink r:id="rId279">
              <w:r>
                <w:rPr>
                  <w:rFonts w:ascii="Arial" w:cs="Arial" w:eastAsia="Arial" w:hAnsi="Arial"/>
                  <w:sz w:val="16"/>
                  <w:szCs w:val="16"/>
                  <w:color w:val="0000FF"/>
                </w:rPr>
                <w:t>of</w:t>
              </w:r>
            </w:hyperlink>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5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79">
              <w:r>
                <w:rPr>
                  <w:rFonts w:ascii="Arial" w:cs="Arial" w:eastAsia="Arial" w:hAnsi="Arial"/>
                  <w:sz w:val="16"/>
                  <w:szCs w:val="16"/>
                  <w:color w:val="0000FF"/>
                </w:rPr>
                <w:t>November 5,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4780" w:type="dxa"/>
            <w:vAlign w:val="bottom"/>
            <w:gridSpan w:val="32"/>
          </w:tcPr>
          <w:p>
            <w:pPr>
              <w:spacing w:after="0"/>
              <w:rPr>
                <w:rFonts w:ascii="Arial" w:cs="Arial" w:eastAsia="Arial" w:hAnsi="Arial"/>
                <w:sz w:val="16"/>
                <w:szCs w:val="16"/>
                <w:color w:val="0000FF"/>
              </w:rPr>
            </w:pPr>
            <w:hyperlink r:id="rId280">
              <w:r>
                <w:rPr>
                  <w:rFonts w:ascii="Arial" w:cs="Arial" w:eastAsia="Arial" w:hAnsi="Arial"/>
                  <w:sz w:val="16"/>
                  <w:szCs w:val="16"/>
                  <w:color w:val="0000FF"/>
                </w:rPr>
                <w:t>Amended and Restated Certificate of Incorporation of Recursion</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18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660" w:type="dxa"/>
            <w:vAlign w:val="bottom"/>
          </w:tcPr>
          <w:p>
            <w:pPr>
              <w:jc w:val="center"/>
              <w:spacing w:after="0"/>
              <w:rPr>
                <w:sz w:val="20"/>
                <w:szCs w:val="20"/>
                <w:color w:val="auto"/>
              </w:rPr>
            </w:pPr>
            <w:r>
              <w:rPr>
                <w:rFonts w:ascii="Arial" w:cs="Arial" w:eastAsia="Arial" w:hAnsi="Arial"/>
                <w:sz w:val="16"/>
                <w:szCs w:val="16"/>
                <w:color w:val="auto"/>
              </w:rPr>
              <w:t>April 21, 2021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5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280">
              <w:r>
                <w:rPr>
                  <w:rFonts w:ascii="Arial" w:cs="Arial" w:eastAsia="Arial" w:hAnsi="Arial"/>
                  <w:sz w:val="16"/>
                  <w:szCs w:val="16"/>
                  <w:color w:val="0000FF"/>
                </w:rPr>
                <w:t>Pharmaceuticals, Inc.</w:t>
              </w:r>
            </w:hyperlink>
          </w:p>
        </w:tc>
        <w:tc>
          <w:tcPr>
            <w:tcW w:w="308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780" w:type="dxa"/>
            <w:vAlign w:val="bottom"/>
            <w:gridSpan w:val="32"/>
          </w:tcPr>
          <w:p>
            <w:pPr>
              <w:spacing w:after="0"/>
              <w:rPr>
                <w:rFonts w:ascii="Arial" w:cs="Arial" w:eastAsia="Arial" w:hAnsi="Arial"/>
                <w:sz w:val="16"/>
                <w:szCs w:val="16"/>
                <w:color w:val="0000FF"/>
              </w:rPr>
            </w:pPr>
            <w:hyperlink r:id="rId281">
              <w:r>
                <w:rPr>
                  <w:rFonts w:ascii="Arial" w:cs="Arial" w:eastAsia="Arial" w:hAnsi="Arial"/>
                  <w:sz w:val="16"/>
                  <w:szCs w:val="16"/>
                  <w:color w:val="0000FF"/>
                </w:rPr>
                <w:t>Amended and Restated Bylaws of Recursion Pharmaceuticals,</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18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660" w:type="dxa"/>
            <w:vAlign w:val="bottom"/>
          </w:tcPr>
          <w:p>
            <w:pPr>
              <w:jc w:val="center"/>
              <w:spacing w:after="0"/>
              <w:rPr>
                <w:sz w:val="20"/>
                <w:szCs w:val="20"/>
                <w:color w:val="auto"/>
              </w:rPr>
            </w:pPr>
            <w:r>
              <w:rPr>
                <w:rFonts w:ascii="Arial" w:cs="Arial" w:eastAsia="Arial" w:hAnsi="Arial"/>
                <w:sz w:val="16"/>
                <w:szCs w:val="16"/>
                <w:color w:val="auto"/>
              </w:rPr>
              <w:t>January 31, 2024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5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81">
              <w:r>
                <w:rPr>
                  <w:rFonts w:ascii="Arial" w:cs="Arial" w:eastAsia="Arial" w:hAnsi="Arial"/>
                  <w:sz w:val="16"/>
                  <w:szCs w:val="16"/>
                  <w:color w:val="0000FF"/>
                </w:rPr>
                <w:t>Inc.</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440" w:type="dxa"/>
            <w:vAlign w:val="bottom"/>
            <w:tcBorders>
              <w:bottom w:val="single" w:sz="8" w:color="0000FF"/>
            </w:tcBorders>
            <w:gridSpan w:val="18"/>
          </w:tcPr>
          <w:p>
            <w:pPr>
              <w:spacing w:after="0"/>
              <w:rPr>
                <w:rFonts w:ascii="Arial" w:cs="Arial" w:eastAsia="Arial" w:hAnsi="Arial"/>
                <w:sz w:val="16"/>
                <w:szCs w:val="16"/>
                <w:color w:val="0000FF"/>
              </w:rPr>
            </w:pPr>
            <w:hyperlink r:id="rId282">
              <w:r>
                <w:rPr>
                  <w:rFonts w:ascii="Arial" w:cs="Arial" w:eastAsia="Arial" w:hAnsi="Arial"/>
                  <w:sz w:val="16"/>
                  <w:szCs w:val="16"/>
                  <w:color w:val="0000FF"/>
                </w:rPr>
                <w:t>Specimen Class A common stock certificate of the Registrant.</w:t>
              </w:r>
            </w:hyperlink>
          </w:p>
        </w:tc>
        <w:tc>
          <w:tcPr>
            <w:tcW w:w="340" w:type="dxa"/>
            <w:vAlign w:val="bottom"/>
            <w:gridSpan w:val="14"/>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66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80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rPr>
              <w:t>Description of Securities.</w:t>
            </w:r>
          </w:p>
        </w:tc>
        <w:tc>
          <w:tcPr>
            <w:tcW w:w="2980" w:type="dxa"/>
            <w:vAlign w:val="bottom"/>
            <w:gridSpan w:val="22"/>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4440" w:type="dxa"/>
            <w:vAlign w:val="bottom"/>
            <w:tcBorders>
              <w:bottom w:val="single" w:sz="8" w:color="0000FF"/>
            </w:tcBorders>
            <w:gridSpan w:val="18"/>
          </w:tcPr>
          <w:p>
            <w:pPr>
              <w:spacing w:after="0"/>
              <w:rPr>
                <w:rFonts w:ascii="Arial" w:cs="Arial" w:eastAsia="Arial" w:hAnsi="Arial"/>
                <w:sz w:val="16"/>
                <w:szCs w:val="16"/>
                <w:color w:val="0000FF"/>
              </w:rPr>
            </w:pPr>
            <w:hyperlink r:id="rId283">
              <w:r>
                <w:rPr>
                  <w:rFonts w:ascii="Arial" w:cs="Arial" w:eastAsia="Arial" w:hAnsi="Arial"/>
                  <w:sz w:val="16"/>
                  <w:szCs w:val="16"/>
                  <w:color w:val="0000FF"/>
                </w:rPr>
                <w:t>Exchangeable Share Support Agreement, dated May 8, 2023.</w:t>
              </w:r>
            </w:hyperlink>
          </w:p>
        </w:tc>
        <w:tc>
          <w:tcPr>
            <w:tcW w:w="340" w:type="dxa"/>
            <w:vAlign w:val="bottom"/>
            <w:gridSpan w:val="14"/>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S-3ASR</w:t>
            </w:r>
          </w:p>
        </w:tc>
        <w:tc>
          <w:tcPr>
            <w:tcW w:w="118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7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66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4780" w:type="dxa"/>
            <w:vAlign w:val="bottom"/>
            <w:gridSpan w:val="32"/>
          </w:tcPr>
          <w:p>
            <w:pPr>
              <w:spacing w:after="0"/>
              <w:rPr>
                <w:rFonts w:ascii="Arial" w:cs="Arial" w:eastAsia="Arial" w:hAnsi="Arial"/>
                <w:sz w:val="16"/>
                <w:szCs w:val="16"/>
                <w:color w:val="0000FF"/>
              </w:rPr>
            </w:pPr>
            <w:hyperlink r:id="rId284">
              <w:r>
                <w:rPr>
                  <w:rFonts w:ascii="Arial" w:cs="Arial" w:eastAsia="Arial" w:hAnsi="Arial"/>
                  <w:sz w:val="16"/>
                  <w:szCs w:val="16"/>
                  <w:color w:val="0000FF"/>
                </w:rPr>
                <w:t>Registration Rights Agreement, dated October 24, 2022, by and</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18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660" w:type="dxa"/>
            <w:vAlign w:val="bottom"/>
          </w:tcPr>
          <w:p>
            <w:pPr>
              <w:jc w:val="center"/>
              <w:spacing w:after="0"/>
              <w:rPr>
                <w:sz w:val="20"/>
                <w:szCs w:val="20"/>
                <w:color w:val="auto"/>
              </w:rPr>
            </w:pPr>
            <w:r>
              <w:rPr>
                <w:rFonts w:ascii="Arial" w:cs="Arial" w:eastAsia="Arial" w:hAnsi="Arial"/>
                <w:sz w:val="16"/>
                <w:szCs w:val="16"/>
                <w:color w:val="auto"/>
                <w:w w:val="99"/>
              </w:rPr>
              <w:t>Oct. 25, 2022</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6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84">
              <w:r>
                <w:rPr>
                  <w:rFonts w:ascii="Arial" w:cs="Arial" w:eastAsia="Arial" w:hAnsi="Arial"/>
                  <w:sz w:val="16"/>
                  <w:szCs w:val="16"/>
                  <w:color w:val="0000FF"/>
                </w:rPr>
                <w:t>among the Company and the Purchasers.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4780" w:type="dxa"/>
            <w:vAlign w:val="bottom"/>
            <w:gridSpan w:val="32"/>
          </w:tcPr>
          <w:p>
            <w:pPr>
              <w:spacing w:after="0"/>
              <w:rPr>
                <w:rFonts w:ascii="Arial" w:cs="Arial" w:eastAsia="Arial" w:hAnsi="Arial"/>
                <w:sz w:val="16"/>
                <w:szCs w:val="16"/>
                <w:color w:val="0000FF"/>
              </w:rPr>
            </w:pPr>
            <w:hyperlink r:id="rId285">
              <w:r>
                <w:rPr>
                  <w:rFonts w:ascii="Arial" w:cs="Arial" w:eastAsia="Arial" w:hAnsi="Arial"/>
                  <w:sz w:val="16"/>
                  <w:szCs w:val="16"/>
                  <w:color w:val="0000FF"/>
                </w:rPr>
                <w:t>Registration Agreement, dated May 16, 2023, by and among the</w:t>
              </w:r>
            </w:hyperlink>
          </w:p>
        </w:tc>
        <w:tc>
          <w:tcPr>
            <w:tcW w:w="880" w:type="dxa"/>
            <w:vAlign w:val="bottom"/>
          </w:tcPr>
          <w:p>
            <w:pPr>
              <w:jc w:val="center"/>
              <w:spacing w:after="0"/>
              <w:rPr>
                <w:sz w:val="20"/>
                <w:szCs w:val="20"/>
                <w:color w:val="auto"/>
              </w:rPr>
            </w:pPr>
            <w:r>
              <w:rPr>
                <w:rFonts w:ascii="Arial" w:cs="Arial" w:eastAsia="Arial" w:hAnsi="Arial"/>
                <w:sz w:val="16"/>
                <w:szCs w:val="16"/>
                <w:color w:val="auto"/>
              </w:rPr>
              <w:t>S-3ASR</w:t>
            </w:r>
          </w:p>
        </w:tc>
        <w:tc>
          <w:tcPr>
            <w:tcW w:w="118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72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66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6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85">
              <w:r>
                <w:rPr>
                  <w:rFonts w:ascii="Arial" w:cs="Arial" w:eastAsia="Arial" w:hAnsi="Arial"/>
                  <w:sz w:val="16"/>
                  <w:szCs w:val="16"/>
                  <w:color w:val="0000FF"/>
                </w:rPr>
                <w:t>Registrant, Valence Discovery, Inc., and certain shareholders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6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9"/>
              </w:rPr>
            </w:pPr>
            <w:hyperlink r:id="rId285">
              <w:r>
                <w:rPr>
                  <w:rFonts w:ascii="Arial" w:cs="Arial" w:eastAsia="Arial" w:hAnsi="Arial"/>
                  <w:sz w:val="16"/>
                  <w:szCs w:val="16"/>
                  <w:color w:val="0000FF"/>
                  <w:w w:val="99"/>
                </w:rPr>
                <w:t>Valence Discovery, Inc.</w:t>
              </w:r>
            </w:hyperlink>
          </w:p>
        </w:tc>
        <w:tc>
          <w:tcPr>
            <w:tcW w:w="290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4780" w:type="dxa"/>
            <w:vAlign w:val="bottom"/>
            <w:gridSpan w:val="32"/>
          </w:tcPr>
          <w:p>
            <w:pPr>
              <w:spacing w:after="0"/>
              <w:rPr>
                <w:rFonts w:ascii="Arial" w:cs="Arial" w:eastAsia="Arial" w:hAnsi="Arial"/>
                <w:sz w:val="16"/>
                <w:szCs w:val="16"/>
                <w:color w:val="0000FF"/>
              </w:rPr>
            </w:pPr>
            <w:hyperlink r:id="rId286">
              <w:r>
                <w:rPr>
                  <w:rFonts w:ascii="Arial" w:cs="Arial" w:eastAsia="Arial" w:hAnsi="Arial"/>
                  <w:sz w:val="16"/>
                  <w:szCs w:val="16"/>
                  <w:color w:val="0000FF"/>
                </w:rPr>
                <w:t>Registration Agreement, dated May 25, 2023, by and among the</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18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660" w:type="dxa"/>
            <w:vAlign w:val="bottom"/>
          </w:tcPr>
          <w:p>
            <w:pPr>
              <w:jc w:val="center"/>
              <w:spacing w:after="0"/>
              <w:rPr>
                <w:sz w:val="20"/>
                <w:szCs w:val="20"/>
                <w:color w:val="auto"/>
              </w:rPr>
            </w:pPr>
            <w:r>
              <w:rPr>
                <w:rFonts w:ascii="Arial" w:cs="Arial" w:eastAsia="Arial" w:hAnsi="Arial"/>
                <w:sz w:val="16"/>
                <w:szCs w:val="16"/>
                <w:color w:val="auto"/>
              </w:rPr>
              <w:t>June 9, 2023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6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86">
              <w:r>
                <w:rPr>
                  <w:rFonts w:ascii="Arial" w:cs="Arial" w:eastAsia="Arial" w:hAnsi="Arial"/>
                  <w:sz w:val="16"/>
                  <w:szCs w:val="16"/>
                  <w:color w:val="0000FF"/>
                </w:rPr>
                <w:t>Registrant, Recursion Canada Inc., and certain shareholders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8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86">
              <w:r>
                <w:rPr>
                  <w:rFonts w:ascii="Arial" w:cs="Arial" w:eastAsia="Arial" w:hAnsi="Arial"/>
                  <w:sz w:val="16"/>
                  <w:szCs w:val="16"/>
                  <w:color w:val="0000FF"/>
                </w:rPr>
                <w:t>Cyclica Inc.</w:t>
              </w:r>
            </w:hyperlink>
          </w:p>
        </w:tc>
        <w:tc>
          <w:tcPr>
            <w:tcW w:w="3720" w:type="dxa"/>
            <w:vAlign w:val="bottom"/>
            <w:tcBorders>
              <w:top w:val="single" w:sz="8" w:color="0000FF"/>
            </w:tcBorders>
            <w:gridSpan w:val="18"/>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4.7</w:t>
            </w:r>
          </w:p>
        </w:tc>
        <w:tc>
          <w:tcPr>
            <w:tcW w:w="4780" w:type="dxa"/>
            <w:vAlign w:val="bottom"/>
            <w:gridSpan w:val="32"/>
          </w:tcPr>
          <w:p>
            <w:pPr>
              <w:spacing w:after="0"/>
              <w:rPr>
                <w:rFonts w:ascii="Arial" w:cs="Arial" w:eastAsia="Arial" w:hAnsi="Arial"/>
                <w:sz w:val="16"/>
                <w:szCs w:val="16"/>
                <w:color w:val="0000FF"/>
              </w:rPr>
            </w:pPr>
            <w:hyperlink r:id="rId287">
              <w:r>
                <w:rPr>
                  <w:rFonts w:ascii="Arial" w:cs="Arial" w:eastAsia="Arial" w:hAnsi="Arial"/>
                  <w:sz w:val="16"/>
                  <w:szCs w:val="16"/>
                  <w:color w:val="0000FF"/>
                </w:rPr>
                <w:t>Registration Rights Agreement, dated July 11, 2023, by and</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18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660" w:type="dxa"/>
            <w:vAlign w:val="bottom"/>
          </w:tcPr>
          <w:p>
            <w:pPr>
              <w:jc w:val="center"/>
              <w:spacing w:after="0"/>
              <w:rPr>
                <w:sz w:val="20"/>
                <w:szCs w:val="20"/>
                <w:color w:val="auto"/>
              </w:rPr>
            </w:pPr>
            <w:r>
              <w:rPr>
                <w:rFonts w:ascii="Arial" w:cs="Arial" w:eastAsia="Arial" w:hAnsi="Arial"/>
                <w:sz w:val="16"/>
                <w:szCs w:val="16"/>
                <w:color w:val="auto"/>
              </w:rPr>
              <w:t>July 12, 2023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87">
              <w:r>
                <w:rPr>
                  <w:rFonts w:ascii="Arial" w:cs="Arial" w:eastAsia="Arial" w:hAnsi="Arial"/>
                  <w:sz w:val="16"/>
                  <w:szCs w:val="16"/>
                  <w:color w:val="0000FF"/>
                </w:rPr>
                <w:t>among the Registrant and NVIDIA.</w:t>
              </w:r>
            </w:hyperlink>
          </w:p>
        </w:tc>
        <w:tc>
          <w:tcPr>
            <w:tcW w:w="1780" w:type="dxa"/>
            <w:vAlign w:val="bottom"/>
            <w:tcBorders>
              <w:top w:val="single" w:sz="8" w:color="0000FF"/>
            </w:tcBorders>
            <w:gridSpan w:val="5"/>
          </w:tcPr>
          <w:p>
            <w:pPr>
              <w:spacing w:after="0"/>
              <w:rPr>
                <w:sz w:val="12"/>
                <w:szCs w:val="12"/>
                <w:color w:val="auto"/>
              </w:rPr>
            </w:pPr>
          </w:p>
        </w:tc>
        <w:tc>
          <w:tcPr>
            <w:tcW w:w="20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6"/>
              </w:rPr>
              <w:t>4.8#</w:t>
            </w:r>
          </w:p>
        </w:tc>
        <w:tc>
          <w:tcPr>
            <w:tcW w:w="4780" w:type="dxa"/>
            <w:vAlign w:val="bottom"/>
            <w:gridSpan w:val="32"/>
          </w:tcPr>
          <w:p>
            <w:pPr>
              <w:spacing w:after="0"/>
              <w:rPr>
                <w:rFonts w:ascii="Arial" w:cs="Arial" w:eastAsia="Arial" w:hAnsi="Arial"/>
                <w:sz w:val="16"/>
                <w:szCs w:val="16"/>
                <w:color w:val="0000FF"/>
              </w:rPr>
            </w:pPr>
            <w:hyperlink r:id="rId288">
              <w:r>
                <w:rPr>
                  <w:rFonts w:ascii="Arial" w:cs="Arial" w:eastAsia="Arial" w:hAnsi="Arial"/>
                  <w:sz w:val="16"/>
                  <w:szCs w:val="16"/>
                  <w:color w:val="0000FF"/>
                </w:rPr>
                <w:t>Global Access Commitments Agreement between the Registrant</w:t>
              </w:r>
            </w:hyperlink>
          </w:p>
        </w:tc>
        <w:tc>
          <w:tcPr>
            <w:tcW w:w="880" w:type="dxa"/>
            <w:vAlign w:val="bottom"/>
          </w:tcPr>
          <w:p>
            <w:pPr>
              <w:jc w:val="center"/>
              <w:spacing w:after="0"/>
              <w:rPr>
                <w:sz w:val="20"/>
                <w:szCs w:val="20"/>
                <w:color w:val="auto"/>
              </w:rPr>
            </w:pPr>
            <w:r>
              <w:rPr>
                <w:rFonts w:ascii="Arial" w:cs="Arial" w:eastAsia="Arial" w:hAnsi="Arial"/>
                <w:sz w:val="16"/>
                <w:szCs w:val="16"/>
                <w:color w:val="auto"/>
              </w:rPr>
              <w:t>10-K</w:t>
            </w:r>
          </w:p>
        </w:tc>
        <w:tc>
          <w:tcPr>
            <w:tcW w:w="118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8"/>
              </w:rPr>
              <w:t>4.8</w:t>
            </w:r>
          </w:p>
        </w:tc>
        <w:tc>
          <w:tcPr>
            <w:tcW w:w="1660" w:type="dxa"/>
            <w:vAlign w:val="bottom"/>
          </w:tcPr>
          <w:p>
            <w:pPr>
              <w:jc w:val="center"/>
              <w:spacing w:after="0"/>
              <w:rPr>
                <w:sz w:val="20"/>
                <w:szCs w:val="20"/>
                <w:color w:val="auto"/>
              </w:rPr>
            </w:pPr>
            <w:r>
              <w:rPr>
                <w:rFonts w:ascii="Arial" w:cs="Arial" w:eastAsia="Arial" w:hAnsi="Arial"/>
                <w:sz w:val="16"/>
                <w:szCs w:val="16"/>
                <w:color w:val="auto"/>
              </w:rPr>
              <w:t>February 28, 2025</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6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88">
              <w:r>
                <w:rPr>
                  <w:rFonts w:ascii="Arial" w:cs="Arial" w:eastAsia="Arial" w:hAnsi="Arial"/>
                  <w:sz w:val="16"/>
                  <w:szCs w:val="16"/>
                  <w:color w:val="0000FF"/>
                </w:rPr>
                <w:t>and the Bill &amp; Melinda Gates Foundation.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8"/>
              </w:rPr>
              <w:t>5.1</w:t>
            </w:r>
          </w:p>
        </w:tc>
        <w:tc>
          <w:tcPr>
            <w:tcW w:w="4780" w:type="dxa"/>
            <w:vAlign w:val="bottom"/>
            <w:gridSpan w:val="32"/>
          </w:tcPr>
          <w:p>
            <w:pPr>
              <w:spacing w:after="0"/>
              <w:rPr>
                <w:sz w:val="20"/>
                <w:szCs w:val="20"/>
                <w:color w:val="auto"/>
              </w:rPr>
            </w:pPr>
            <w:r>
              <w:rPr>
                <w:rFonts w:ascii="Arial" w:cs="Arial" w:eastAsia="Arial" w:hAnsi="Arial"/>
                <w:sz w:val="16"/>
                <w:szCs w:val="16"/>
                <w:color w:val="0000FF"/>
              </w:rPr>
              <w:t>Opinion of Wilson Sonsini Goodrich &amp; Rosati, Professional</w:t>
            </w: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90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w w:val="99"/>
              </w:rPr>
              <w:t>Corporation.</w:t>
            </w:r>
          </w:p>
        </w:tc>
        <w:tc>
          <w:tcPr>
            <w:tcW w:w="3300" w:type="dxa"/>
            <w:vAlign w:val="bottom"/>
            <w:tcBorders>
              <w:top w:val="single" w:sz="8" w:color="0000FF"/>
            </w:tcBorders>
            <w:gridSpan w:val="9"/>
          </w:tcPr>
          <w:p>
            <w:pPr>
              <w:spacing w:after="0"/>
              <w:rPr>
                <w:sz w:val="12"/>
                <w:szCs w:val="12"/>
                <w:color w:val="auto"/>
              </w:rPr>
            </w:pPr>
          </w:p>
        </w:tc>
        <w:tc>
          <w:tcPr>
            <w:tcW w:w="2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4780" w:type="dxa"/>
            <w:vAlign w:val="bottom"/>
            <w:gridSpan w:val="32"/>
          </w:tcPr>
          <w:p>
            <w:pPr>
              <w:spacing w:after="0"/>
              <w:rPr>
                <w:rFonts w:ascii="Arial" w:cs="Arial" w:eastAsia="Arial" w:hAnsi="Arial"/>
                <w:sz w:val="16"/>
                <w:szCs w:val="16"/>
                <w:color w:val="0000FF"/>
              </w:rPr>
            </w:pPr>
            <w:hyperlink r:id="rId289">
              <w:r>
                <w:rPr>
                  <w:rFonts w:ascii="Arial" w:cs="Arial" w:eastAsia="Arial" w:hAnsi="Arial"/>
                  <w:sz w:val="16"/>
                  <w:szCs w:val="16"/>
                  <w:color w:val="0000FF"/>
                </w:rPr>
                <w:t>Form of Indemnification Agreement between the Registrant and</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66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6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89">
              <w:r>
                <w:rPr>
                  <w:rFonts w:ascii="Arial" w:cs="Arial" w:eastAsia="Arial" w:hAnsi="Arial"/>
                  <w:sz w:val="16"/>
                  <w:szCs w:val="16"/>
                  <w:color w:val="0000FF"/>
                </w:rPr>
                <w:t>each of its directors and executive officers.</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40" w:type="dxa"/>
            <w:vAlign w:val="bottom"/>
            <w:gridSpan w:val="9"/>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rPr>
              <w:t>10.2+</w:t>
            </w:r>
          </w:p>
        </w:tc>
        <w:tc>
          <w:tcPr>
            <w:tcW w:w="4780" w:type="dxa"/>
            <w:vAlign w:val="bottom"/>
            <w:gridSpan w:val="32"/>
          </w:tcPr>
          <w:p>
            <w:pPr>
              <w:spacing w:after="0"/>
              <w:rPr>
                <w:rFonts w:ascii="Arial" w:cs="Arial" w:eastAsia="Arial" w:hAnsi="Arial"/>
                <w:sz w:val="16"/>
                <w:szCs w:val="16"/>
                <w:color w:val="0000FF"/>
              </w:rPr>
            </w:pPr>
            <w:hyperlink r:id="rId290">
              <w:r>
                <w:rPr>
                  <w:rFonts w:ascii="Arial" w:cs="Arial" w:eastAsia="Arial" w:hAnsi="Arial"/>
                  <w:sz w:val="16"/>
                  <w:szCs w:val="16"/>
                  <w:color w:val="0000FF"/>
                </w:rPr>
                <w:t>2016 Equity Incentive Plan, as amended, and forms of agreement</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66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7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90">
              <w:r>
                <w:rPr>
                  <w:rFonts w:ascii="Arial" w:cs="Arial" w:eastAsia="Arial" w:hAnsi="Arial"/>
                  <w:sz w:val="16"/>
                  <w:szCs w:val="16"/>
                  <w:color w:val="0000FF"/>
                </w:rPr>
                <w:t>thereunder.</w:t>
              </w:r>
            </w:hyperlink>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60" w:type="dxa"/>
            <w:vAlign w:val="bottom"/>
            <w:gridSpan w:val="1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rPr>
              <w:t>10.3+</w:t>
            </w:r>
          </w:p>
        </w:tc>
        <w:tc>
          <w:tcPr>
            <w:tcW w:w="4700" w:type="dxa"/>
            <w:vAlign w:val="bottom"/>
            <w:tcBorders>
              <w:bottom w:val="single" w:sz="8" w:color="0000FF"/>
            </w:tcBorders>
            <w:gridSpan w:val="30"/>
          </w:tcPr>
          <w:p>
            <w:pPr>
              <w:spacing w:after="0"/>
              <w:rPr>
                <w:rFonts w:ascii="Arial" w:cs="Arial" w:eastAsia="Arial" w:hAnsi="Arial"/>
                <w:sz w:val="16"/>
                <w:szCs w:val="16"/>
                <w:color w:val="0000FF"/>
              </w:rPr>
            </w:pPr>
            <w:hyperlink r:id="rId291">
              <w:r>
                <w:rPr>
                  <w:rFonts w:ascii="Arial" w:cs="Arial" w:eastAsia="Arial" w:hAnsi="Arial"/>
                  <w:sz w:val="16"/>
                  <w:szCs w:val="16"/>
                  <w:color w:val="0000FF"/>
                </w:rPr>
                <w:t>2021 Equity Incentive Plan and forms of agreements thereunder.</w:t>
              </w:r>
            </w:hyperlink>
          </w:p>
        </w:tc>
        <w:tc>
          <w:tcPr>
            <w:tcW w:w="80" w:type="dxa"/>
            <w:vAlign w:val="bottom"/>
            <w:gridSpan w:val="2"/>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10-K</w:t>
            </w:r>
          </w:p>
        </w:tc>
        <w:tc>
          <w:tcPr>
            <w:tcW w:w="118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1660" w:type="dxa"/>
            <w:vAlign w:val="bottom"/>
          </w:tcPr>
          <w:p>
            <w:pPr>
              <w:jc w:val="center"/>
              <w:spacing w:after="0"/>
              <w:rPr>
                <w:sz w:val="20"/>
                <w:szCs w:val="20"/>
                <w:color w:val="auto"/>
              </w:rPr>
            </w:pPr>
            <w:r>
              <w:rPr>
                <w:rFonts w:ascii="Arial" w:cs="Arial" w:eastAsia="Arial" w:hAnsi="Arial"/>
                <w:sz w:val="16"/>
                <w:szCs w:val="16"/>
                <w:color w:val="auto"/>
              </w:rPr>
              <w:t>February 27, 2023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rPr>
              <w:t>10.4+</w:t>
            </w:r>
          </w:p>
        </w:tc>
        <w:tc>
          <w:tcPr>
            <w:tcW w:w="4780" w:type="dxa"/>
            <w:vAlign w:val="bottom"/>
            <w:gridSpan w:val="32"/>
          </w:tcPr>
          <w:p>
            <w:pPr>
              <w:spacing w:after="0"/>
              <w:rPr>
                <w:rFonts w:ascii="Arial" w:cs="Arial" w:eastAsia="Arial" w:hAnsi="Arial"/>
                <w:sz w:val="16"/>
                <w:szCs w:val="16"/>
                <w:color w:val="0000FF"/>
              </w:rPr>
            </w:pPr>
            <w:hyperlink r:id="rId292">
              <w:r>
                <w:rPr>
                  <w:rFonts w:ascii="Arial" w:cs="Arial" w:eastAsia="Arial" w:hAnsi="Arial"/>
                  <w:sz w:val="16"/>
                  <w:szCs w:val="16"/>
                  <w:color w:val="0000FF"/>
                </w:rPr>
                <w:t>2021 Employee Stock Purchase Plan and forms of agreements</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2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166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5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92">
              <w:r>
                <w:rPr>
                  <w:rFonts w:ascii="Arial" w:cs="Arial" w:eastAsia="Arial" w:hAnsi="Arial"/>
                  <w:sz w:val="16"/>
                  <w:szCs w:val="16"/>
                  <w:color w:val="0000FF"/>
                </w:rPr>
                <w:t>thereunder.</w:t>
              </w:r>
            </w:hyperlink>
          </w:p>
        </w:tc>
        <w:tc>
          <w:tcPr>
            <w:tcW w:w="240" w:type="dxa"/>
            <w:vAlign w:val="bottom"/>
            <w:gridSpan w:val="10"/>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60" w:type="dxa"/>
            <w:vAlign w:val="bottom"/>
            <w:gridSpan w:val="15"/>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rPr>
              <w:t>10.5+</w:t>
            </w:r>
          </w:p>
        </w:tc>
        <w:tc>
          <w:tcPr>
            <w:tcW w:w="4780" w:type="dxa"/>
            <w:vAlign w:val="bottom"/>
            <w:gridSpan w:val="32"/>
          </w:tcPr>
          <w:p>
            <w:pPr>
              <w:spacing w:after="0"/>
              <w:rPr>
                <w:rFonts w:ascii="Arial" w:cs="Arial" w:eastAsia="Arial" w:hAnsi="Arial"/>
                <w:sz w:val="16"/>
                <w:szCs w:val="16"/>
                <w:color w:val="0000FF"/>
              </w:rPr>
            </w:pPr>
            <w:hyperlink r:id="rId293">
              <w:r>
                <w:rPr>
                  <w:rFonts w:ascii="Arial" w:cs="Arial" w:eastAsia="Arial" w:hAnsi="Arial"/>
                  <w:sz w:val="16"/>
                  <w:szCs w:val="16"/>
                  <w:color w:val="0000FF"/>
                </w:rPr>
                <w:t>2024 Inducement Equity Incentive Plan and forms of agreement</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6"/>
              </w:rPr>
              <w:t>S-8</w:t>
            </w:r>
          </w:p>
        </w:tc>
        <w:tc>
          <w:tcPr>
            <w:tcW w:w="1180" w:type="dxa"/>
            <w:vAlign w:val="bottom"/>
          </w:tcPr>
          <w:p>
            <w:pPr>
              <w:jc w:val="center"/>
              <w:spacing w:after="0"/>
              <w:rPr>
                <w:sz w:val="20"/>
                <w:szCs w:val="20"/>
                <w:color w:val="auto"/>
              </w:rPr>
            </w:pPr>
            <w:r>
              <w:rPr>
                <w:rFonts w:ascii="Arial" w:cs="Arial" w:eastAsia="Arial" w:hAnsi="Arial"/>
                <w:sz w:val="16"/>
                <w:szCs w:val="16"/>
                <w:color w:val="auto"/>
              </w:rPr>
              <w:t>333-283347</w:t>
            </w:r>
          </w:p>
        </w:tc>
        <w:tc>
          <w:tcPr>
            <w:tcW w:w="72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1660" w:type="dxa"/>
            <w:vAlign w:val="bottom"/>
          </w:tcPr>
          <w:p>
            <w:pPr>
              <w:jc w:val="center"/>
              <w:spacing w:after="0"/>
              <w:rPr>
                <w:sz w:val="20"/>
                <w:szCs w:val="20"/>
                <w:color w:val="auto"/>
              </w:rPr>
            </w:pPr>
            <w:r>
              <w:rPr>
                <w:rFonts w:ascii="Arial" w:cs="Arial" w:eastAsia="Arial" w:hAnsi="Arial"/>
                <w:sz w:val="16"/>
                <w:szCs w:val="16"/>
                <w:color w:val="auto"/>
              </w:rPr>
              <w:t>November 20, 2024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6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93">
              <w:r>
                <w:rPr>
                  <w:rFonts w:ascii="Arial" w:cs="Arial" w:eastAsia="Arial" w:hAnsi="Arial"/>
                  <w:sz w:val="16"/>
                  <w:szCs w:val="16"/>
                  <w:color w:val="0000FF"/>
                </w:rPr>
                <w:t>thereunder.</w:t>
              </w:r>
            </w:hyperlink>
          </w:p>
        </w:tc>
        <w:tc>
          <w:tcPr>
            <w:tcW w:w="160" w:type="dxa"/>
            <w:vAlign w:val="bottom"/>
            <w:gridSpan w:val="6"/>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60" w:type="dxa"/>
            <w:vAlign w:val="bottom"/>
            <w:gridSpan w:val="15"/>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6"/>
                <w:szCs w:val="16"/>
                <w:color w:val="auto"/>
              </w:rPr>
              <w:t>10.6+</w:t>
            </w:r>
          </w:p>
        </w:tc>
        <w:tc>
          <w:tcPr>
            <w:tcW w:w="4780" w:type="dxa"/>
            <w:vAlign w:val="bottom"/>
            <w:gridSpan w:val="32"/>
          </w:tcPr>
          <w:p>
            <w:pPr>
              <w:spacing w:after="0"/>
              <w:rPr>
                <w:rFonts w:ascii="Arial" w:cs="Arial" w:eastAsia="Arial" w:hAnsi="Arial"/>
                <w:sz w:val="16"/>
                <w:szCs w:val="16"/>
                <w:color w:val="0000FF"/>
              </w:rPr>
            </w:pPr>
            <w:hyperlink r:id="rId294">
              <w:r>
                <w:rPr>
                  <w:rFonts w:ascii="Arial" w:cs="Arial" w:eastAsia="Arial" w:hAnsi="Arial"/>
                  <w:sz w:val="16"/>
                  <w:szCs w:val="16"/>
                  <w:color w:val="0000FF"/>
                </w:rPr>
                <w:t>The Exscientia Unapproved Share Option Plan with RSU Sub-</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6"/>
              </w:rPr>
              <w:t>S-8</w:t>
            </w:r>
          </w:p>
        </w:tc>
        <w:tc>
          <w:tcPr>
            <w:tcW w:w="1180" w:type="dxa"/>
            <w:vAlign w:val="bottom"/>
          </w:tcPr>
          <w:p>
            <w:pPr>
              <w:jc w:val="center"/>
              <w:spacing w:after="0"/>
              <w:rPr>
                <w:sz w:val="20"/>
                <w:szCs w:val="20"/>
                <w:color w:val="auto"/>
              </w:rPr>
            </w:pPr>
            <w:r>
              <w:rPr>
                <w:rFonts w:ascii="Arial" w:cs="Arial" w:eastAsia="Arial" w:hAnsi="Arial"/>
                <w:sz w:val="16"/>
                <w:szCs w:val="16"/>
                <w:color w:val="auto"/>
              </w:rPr>
              <w:t>333-283347</w:t>
            </w:r>
          </w:p>
        </w:tc>
        <w:tc>
          <w:tcPr>
            <w:tcW w:w="72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660" w:type="dxa"/>
            <w:vAlign w:val="bottom"/>
          </w:tcPr>
          <w:p>
            <w:pPr>
              <w:jc w:val="center"/>
              <w:spacing w:after="0"/>
              <w:rPr>
                <w:sz w:val="20"/>
                <w:szCs w:val="20"/>
                <w:color w:val="auto"/>
              </w:rPr>
            </w:pPr>
            <w:r>
              <w:rPr>
                <w:rFonts w:ascii="Arial" w:cs="Arial" w:eastAsia="Arial" w:hAnsi="Arial"/>
                <w:sz w:val="16"/>
                <w:szCs w:val="16"/>
                <w:color w:val="auto"/>
              </w:rPr>
              <w:t>November 20, 2024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4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94">
              <w:r>
                <w:rPr>
                  <w:rFonts w:ascii="Arial" w:cs="Arial" w:eastAsia="Arial" w:hAnsi="Arial"/>
                  <w:sz w:val="16"/>
                  <w:szCs w:val="16"/>
                  <w:color w:val="0000FF"/>
                </w:rPr>
                <w:t>Plan.</w:t>
              </w:r>
            </w:hyperlink>
          </w:p>
        </w:tc>
        <w:tc>
          <w:tcPr>
            <w:tcW w:w="300" w:type="dxa"/>
            <w:vAlign w:val="bottom"/>
            <w:gridSpan w:val="13"/>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4"/>
        </w:trPr>
        <w:tc>
          <w:tcPr>
            <w:tcW w:w="1020" w:type="dxa"/>
            <w:vAlign w:val="bottom"/>
            <w:tcBorders>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0" w:name="page201"/>
    <w:bookmarkEnd w:id="200"/>
    <w:p>
      <w:pPr>
        <w:ind w:left="800" w:right="320" w:hanging="722"/>
        <w:spacing w:after="0" w:line="246"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10.7+</w:t>
      </w:r>
      <w:r>
        <w:rPr>
          <w:sz w:val="20"/>
          <w:szCs w:val="20"/>
          <w:color w:val="auto"/>
        </w:rPr>
        <w:tab/>
      </w:r>
      <w:hyperlink r:id="rId297">
        <w:r>
          <w:rPr>
            <w:rFonts w:ascii="Arial" w:cs="Arial" w:eastAsia="Arial" w:hAnsi="Arial"/>
            <w:sz w:val="16"/>
            <w:szCs w:val="16"/>
            <w:u w:val="single" w:color="auto"/>
            <w:color w:val="0000FF"/>
          </w:rPr>
          <w:t>Exscientia plc 2021 Equity Incentive Plan with Non-Employee</w:t>
        </w:r>
      </w:hyperlink>
      <w:r>
        <w:rPr>
          <w:rFonts w:ascii="Arial" w:cs="Arial" w:eastAsia="Arial" w:hAnsi="Arial"/>
          <w:sz w:val="16"/>
          <w:szCs w:val="16"/>
          <w:u w:val="single" w:color="auto"/>
          <w:color w:val="0000FF"/>
        </w:rPr>
        <w:t xml:space="preserve"> </w:t>
      </w:r>
      <w:hyperlink r:id="rId297">
        <w:r>
          <w:rPr>
            <w:rFonts w:ascii="Arial" w:cs="Arial" w:eastAsia="Arial" w:hAnsi="Arial"/>
            <w:sz w:val="16"/>
            <w:szCs w:val="16"/>
            <w:u w:val="single" w:color="auto"/>
            <w:color w:val="0000FF"/>
          </w:rPr>
          <w:t>Sub-Plan and CSOP Sub-Plan.</w:t>
        </w:r>
      </w:hyperlink>
    </w:p>
    <w:p>
      <w:pPr>
        <w:spacing w:after="0" w:line="1" w:lineRule="exact"/>
        <w:rPr>
          <w:sz w:val="20"/>
          <w:szCs w:val="20"/>
          <w:color w:val="auto"/>
        </w:rPr>
      </w:pPr>
    </w:p>
    <w:p>
      <w:pPr>
        <w:ind w:left="1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10.8</w:t>
      </w:r>
      <w:r>
        <w:rPr>
          <w:sz w:val="20"/>
          <w:szCs w:val="20"/>
          <w:color w:val="auto"/>
        </w:rPr>
        <w:tab/>
      </w:r>
      <w:hyperlink r:id="rId298">
        <w:r>
          <w:rPr>
            <w:rFonts w:ascii="Arial" w:cs="Arial" w:eastAsia="Arial" w:hAnsi="Arial"/>
            <w:sz w:val="16"/>
            <w:szCs w:val="16"/>
            <w:u w:val="single" w:color="auto"/>
            <w:color w:val="0000FF"/>
          </w:rPr>
          <w:t>Cyclica Inc. Second Amended and Restated Stock Option Plan.</w:t>
        </w:r>
      </w:hyperlink>
    </w:p>
    <w:p>
      <w:pPr>
        <w:spacing w:after="0" w:line="32" w:lineRule="exact"/>
        <w:rPr>
          <w:sz w:val="20"/>
          <w:szCs w:val="20"/>
          <w:color w:val="auto"/>
        </w:rPr>
      </w:pPr>
    </w:p>
    <w:p>
      <w:pPr>
        <w:ind w:left="800" w:right="20" w:hanging="674"/>
        <w:spacing w:after="0" w:line="246"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10.9</w:t>
      </w:r>
      <w:r>
        <w:rPr>
          <w:sz w:val="20"/>
          <w:szCs w:val="20"/>
          <w:color w:val="auto"/>
        </w:rPr>
        <w:tab/>
      </w:r>
      <w:hyperlink r:id="rId299">
        <w:r>
          <w:rPr>
            <w:rFonts w:ascii="Arial" w:cs="Arial" w:eastAsia="Arial" w:hAnsi="Arial"/>
            <w:sz w:val="16"/>
            <w:szCs w:val="16"/>
            <w:u w:val="single" w:color="auto"/>
            <w:color w:val="0000FF"/>
          </w:rPr>
          <w:t>Valence Discovery Inc. Stock Option Plan dated April 17, 2018 as</w:t>
        </w:r>
      </w:hyperlink>
      <w:r>
        <w:rPr>
          <w:rFonts w:ascii="Arial" w:cs="Arial" w:eastAsia="Arial" w:hAnsi="Arial"/>
          <w:sz w:val="16"/>
          <w:szCs w:val="16"/>
          <w:u w:val="single" w:color="auto"/>
          <w:color w:val="0000FF"/>
        </w:rPr>
        <w:t xml:space="preserve"> </w:t>
      </w:r>
      <w:hyperlink r:id="rId299">
        <w:r>
          <w:rPr>
            <w:rFonts w:ascii="Arial" w:cs="Arial" w:eastAsia="Arial" w:hAnsi="Arial"/>
            <w:sz w:val="16"/>
            <w:szCs w:val="16"/>
            <w:u w:val="single" w:color="auto"/>
            <w:color w:val="0000FF"/>
          </w:rPr>
          <w:t>amended and restated on November 16, 2021.</w:t>
        </w:r>
      </w:hyperlink>
    </w:p>
    <w:p>
      <w:pPr>
        <w:spacing w:after="0" w:line="1" w:lineRule="exact"/>
        <w:rPr>
          <w:sz w:val="20"/>
          <w:szCs w:val="20"/>
          <w:color w:val="auto"/>
        </w:rPr>
      </w:pPr>
    </w:p>
    <w:p>
      <w:pPr>
        <w:ind w:left="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10.10+</w:t>
      </w:r>
      <w:r>
        <w:rPr>
          <w:sz w:val="20"/>
          <w:szCs w:val="20"/>
          <w:color w:val="auto"/>
        </w:rPr>
        <w:tab/>
      </w:r>
      <w:hyperlink r:id="rId300">
        <w:r>
          <w:rPr>
            <w:rFonts w:ascii="Arial" w:cs="Arial" w:eastAsia="Arial" w:hAnsi="Arial"/>
            <w:sz w:val="16"/>
            <w:szCs w:val="16"/>
            <w:u w:val="single" w:color="auto"/>
            <w:color w:val="0000FF"/>
          </w:rPr>
          <w:t>Executive Incentive Compensation Plan.</w:t>
        </w:r>
      </w:hyperlink>
    </w:p>
    <w:p>
      <w:pPr>
        <w:spacing w:after="0" w:line="32" w:lineRule="exact"/>
        <w:rPr>
          <w:sz w:val="20"/>
          <w:szCs w:val="20"/>
          <w:color w:val="auto"/>
        </w:rPr>
      </w:pPr>
    </w:p>
    <w:p>
      <w:pPr>
        <w:ind w:left="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10.11+</w:t>
      </w:r>
      <w:r>
        <w:rPr>
          <w:sz w:val="20"/>
          <w:szCs w:val="20"/>
          <w:color w:val="auto"/>
        </w:rPr>
        <w:tab/>
      </w:r>
      <w:hyperlink r:id="rId301">
        <w:r>
          <w:rPr>
            <w:rFonts w:ascii="Arial" w:cs="Arial" w:eastAsia="Arial" w:hAnsi="Arial"/>
            <w:sz w:val="16"/>
            <w:szCs w:val="16"/>
            <w:u w:val="single" w:color="auto"/>
            <w:color w:val="0000FF"/>
          </w:rPr>
          <w:t>CEO Change in Control and Severance Policy</w:t>
        </w:r>
      </w:hyperlink>
    </w:p>
    <w:p>
      <w:pPr>
        <w:spacing w:after="0" w:line="32" w:lineRule="exact"/>
        <w:rPr>
          <w:sz w:val="20"/>
          <w:szCs w:val="20"/>
          <w:color w:val="auto"/>
        </w:rPr>
      </w:pPr>
    </w:p>
    <w:p>
      <w:pPr>
        <w:ind w:left="800" w:right="60" w:hanging="766"/>
        <w:spacing w:after="0" w:line="246"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10.12+</w:t>
      </w:r>
      <w:r>
        <w:rPr>
          <w:sz w:val="20"/>
          <w:szCs w:val="20"/>
          <w:color w:val="auto"/>
        </w:rPr>
        <w:tab/>
      </w:r>
      <w:hyperlink r:id="rId302">
        <w:r>
          <w:rPr>
            <w:rFonts w:ascii="Arial" w:cs="Arial" w:eastAsia="Arial" w:hAnsi="Arial"/>
            <w:sz w:val="16"/>
            <w:szCs w:val="16"/>
            <w:u w:val="single" w:color="auto"/>
            <w:color w:val="0000FF"/>
          </w:rPr>
          <w:t>Executive Change in Control and Severance Plan (for executives</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other than the CEO).</w:t>
        </w:r>
      </w:hyperlink>
    </w:p>
    <w:p>
      <w:pPr>
        <w:spacing w:after="0" w:line="1"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6"/>
          <w:szCs w:val="16"/>
          <w:u w:val="single" w:color="auto"/>
          <w:color w:val="0000FF"/>
        </w:rPr>
        <w:t>Outside Director Compensation Policy.</w:t>
      </w:r>
    </w:p>
    <w:p>
      <w:pPr>
        <w:spacing w:after="0" w:line="32" w:lineRule="exact"/>
        <w:rPr>
          <w:sz w:val="20"/>
          <w:szCs w:val="20"/>
          <w:color w:val="auto"/>
        </w:rPr>
      </w:pPr>
    </w:p>
    <w:p>
      <w:pPr>
        <w:ind w:left="800" w:right="500" w:hanging="766"/>
        <w:spacing w:after="0" w:line="246" w:lineRule="auto"/>
        <w:tabs>
          <w:tab w:leader="none" w:pos="780"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6"/>
          <w:szCs w:val="16"/>
          <w:u w:val="single" w:color="auto"/>
          <w:color w:val="0000FF"/>
        </w:rPr>
        <w:t>Advisory Agreement dated November 4, 2025 between the Registrant and Christopher Gibson, Ph.D.</w:t>
      </w:r>
    </w:p>
    <w:p>
      <w:pPr>
        <w:spacing w:after="0" w:line="1" w:lineRule="exact"/>
        <w:rPr>
          <w:sz w:val="20"/>
          <w:szCs w:val="20"/>
          <w:color w:val="auto"/>
        </w:rPr>
      </w:pPr>
    </w:p>
    <w:p>
      <w:pPr>
        <w:ind w:left="800" w:right="360" w:hanging="766"/>
        <w:spacing w:after="0" w:line="246"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10.15+</w:t>
      </w:r>
      <w:r>
        <w:rPr>
          <w:sz w:val="20"/>
          <w:szCs w:val="20"/>
          <w:color w:val="auto"/>
        </w:rPr>
        <w:tab/>
      </w:r>
      <w:hyperlink r:id="rId303">
        <w:r>
          <w:rPr>
            <w:rFonts w:ascii="Arial" w:cs="Arial" w:eastAsia="Arial" w:hAnsi="Arial"/>
            <w:sz w:val="16"/>
            <w:szCs w:val="16"/>
            <w:u w:val="single" w:color="auto"/>
            <w:color w:val="0000FF"/>
          </w:rPr>
          <w:t>Confirmatory Employment Letter between the Registrant and</w:t>
        </w:r>
      </w:hyperlink>
      <w:r>
        <w:rPr>
          <w:rFonts w:ascii="Arial" w:cs="Arial" w:eastAsia="Arial" w:hAnsi="Arial"/>
          <w:sz w:val="16"/>
          <w:szCs w:val="16"/>
          <w:u w:val="single" w:color="auto"/>
          <w:color w:val="0000FF"/>
        </w:rPr>
        <w:t xml:space="preserve"> </w:t>
      </w:r>
      <w:hyperlink r:id="rId303">
        <w:r>
          <w:rPr>
            <w:rFonts w:ascii="Arial" w:cs="Arial" w:eastAsia="Arial" w:hAnsi="Arial"/>
            <w:sz w:val="16"/>
            <w:szCs w:val="16"/>
            <w:u w:val="single" w:color="auto"/>
            <w:color w:val="0000FF"/>
          </w:rPr>
          <w:t>Christopher Gibson, Ph.D.</w:t>
        </w:r>
      </w:hyperlink>
    </w:p>
    <w:p>
      <w:pPr>
        <w:spacing w:after="0" w:line="1" w:lineRule="exact"/>
        <w:rPr>
          <w:sz w:val="20"/>
          <w:szCs w:val="20"/>
          <w:color w:val="auto"/>
        </w:rPr>
      </w:pPr>
    </w:p>
    <w:p>
      <w:pPr>
        <w:ind w:left="800" w:right="120" w:hanging="766"/>
        <w:spacing w:after="0" w:line="246" w:lineRule="auto"/>
        <w:tabs>
          <w:tab w:leader="none" w:pos="78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6"/>
          <w:szCs w:val="16"/>
          <w:u w:val="single" w:color="auto"/>
          <w:color w:val="0000FF"/>
        </w:rPr>
        <w:t>Employment Offer Letter, dated November 5, 2025, between the Registrant and Dr. Najat Khan, Ph.D.</w:t>
      </w:r>
    </w:p>
    <w:p>
      <w:pPr>
        <w:spacing w:after="0" w:line="1" w:lineRule="exact"/>
        <w:rPr>
          <w:sz w:val="20"/>
          <w:szCs w:val="20"/>
          <w:color w:val="auto"/>
        </w:rPr>
      </w:pPr>
    </w:p>
    <w:p>
      <w:pPr>
        <w:ind w:left="800" w:right="580" w:hanging="766"/>
        <w:spacing w:after="0" w:line="246"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10.17+</w:t>
      </w:r>
      <w:r>
        <w:rPr>
          <w:sz w:val="20"/>
          <w:szCs w:val="20"/>
          <w:color w:val="auto"/>
        </w:rPr>
        <w:tab/>
      </w:r>
      <w:hyperlink r:id="rId304">
        <w:r>
          <w:rPr>
            <w:rFonts w:ascii="Arial" w:cs="Arial" w:eastAsia="Arial" w:hAnsi="Arial"/>
            <w:sz w:val="16"/>
            <w:szCs w:val="16"/>
            <w:u w:val="single" w:color="auto"/>
            <w:color w:val="0000FF"/>
          </w:rPr>
          <w:t>Employment Offer Letter, dated July 1, 2024, between the</w:t>
        </w:r>
      </w:hyperlink>
      <w:r>
        <w:rPr>
          <w:rFonts w:ascii="Arial" w:cs="Arial" w:eastAsia="Arial" w:hAnsi="Arial"/>
          <w:sz w:val="16"/>
          <w:szCs w:val="16"/>
          <w:u w:val="single" w:color="auto"/>
          <w:color w:val="0000FF"/>
        </w:rPr>
        <w:t xml:space="preserve"> </w:t>
      </w:r>
      <w:hyperlink r:id="rId304">
        <w:r>
          <w:rPr>
            <w:rFonts w:ascii="Arial" w:cs="Arial" w:eastAsia="Arial" w:hAnsi="Arial"/>
            <w:sz w:val="16"/>
            <w:szCs w:val="16"/>
            <w:u w:val="single" w:color="auto"/>
            <w:color w:val="0000FF"/>
          </w:rPr>
          <w:t>Registrant and Dr. Najat Khan, Ph.D.</w:t>
        </w:r>
      </w:hyperlink>
    </w:p>
    <w:p>
      <w:pPr>
        <w:spacing w:after="0" w:line="1" w:lineRule="exact"/>
        <w:rPr>
          <w:sz w:val="20"/>
          <w:szCs w:val="20"/>
          <w:color w:val="auto"/>
        </w:rPr>
      </w:pPr>
    </w:p>
    <w:p>
      <w:pPr>
        <w:ind w:left="800" w:right="20" w:hanging="766"/>
        <w:spacing w:after="0" w:line="246"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10.18+</w:t>
      </w:r>
      <w:r>
        <w:rPr>
          <w:sz w:val="20"/>
          <w:szCs w:val="20"/>
          <w:color w:val="auto"/>
        </w:rPr>
        <w:tab/>
      </w:r>
      <w:hyperlink r:id="rId305">
        <w:r>
          <w:rPr>
            <w:rFonts w:ascii="Arial" w:cs="Arial" w:eastAsia="Arial" w:hAnsi="Arial"/>
            <w:sz w:val="16"/>
            <w:szCs w:val="16"/>
            <w:u w:val="single" w:color="auto"/>
            <w:color w:val="0000FF"/>
          </w:rPr>
          <w:t>Confirmatory Employment Letter between the Registrant and Ben</w:t>
        </w:r>
      </w:hyperlink>
      <w:r>
        <w:rPr>
          <w:rFonts w:ascii="Arial" w:cs="Arial" w:eastAsia="Arial" w:hAnsi="Arial"/>
          <w:sz w:val="16"/>
          <w:szCs w:val="16"/>
          <w:u w:val="single" w:color="auto"/>
          <w:color w:val="0000FF"/>
        </w:rPr>
        <w:t xml:space="preserve"> </w:t>
      </w:r>
      <w:hyperlink r:id="rId305">
        <w:r>
          <w:rPr>
            <w:rFonts w:ascii="Arial" w:cs="Arial" w:eastAsia="Arial" w:hAnsi="Arial"/>
            <w:sz w:val="16"/>
            <w:szCs w:val="16"/>
            <w:u w:val="single" w:color="auto"/>
            <w:color w:val="0000FF"/>
          </w:rPr>
          <w:t>Taylor.</w:t>
        </w:r>
      </w:hyperlink>
    </w:p>
    <w:p>
      <w:pPr>
        <w:spacing w:after="0" w:line="1" w:lineRule="exact"/>
        <w:rPr>
          <w:sz w:val="20"/>
          <w:szCs w:val="20"/>
          <w:color w:val="auto"/>
        </w:rPr>
      </w:pPr>
    </w:p>
    <w:p>
      <w:pPr>
        <w:ind w:left="800" w:right="360" w:hanging="766"/>
        <w:spacing w:after="0" w:line="246" w:lineRule="auto"/>
        <w:tabs>
          <w:tab w:leader="none" w:pos="780" w:val="left"/>
        </w:tabs>
        <w:rPr>
          <w:sz w:val="20"/>
          <w:szCs w:val="20"/>
          <w:color w:val="auto"/>
        </w:rPr>
      </w:pPr>
      <w:r>
        <w:rPr>
          <w:rFonts w:ascii="Arial" w:cs="Arial" w:eastAsia="Arial" w:hAnsi="Arial"/>
          <w:sz w:val="16"/>
          <w:szCs w:val="16"/>
          <w:color w:val="auto"/>
        </w:rPr>
        <w:t>10.19+</w:t>
      </w:r>
      <w:r>
        <w:rPr>
          <w:sz w:val="20"/>
          <w:szCs w:val="20"/>
          <w:color w:val="auto"/>
        </w:rPr>
        <w:tab/>
      </w:r>
      <w:r>
        <w:rPr>
          <w:rFonts w:ascii="Arial" w:cs="Arial" w:eastAsia="Arial" w:hAnsi="Arial"/>
          <w:sz w:val="16"/>
          <w:szCs w:val="16"/>
          <w:u w:val="single" w:color="auto"/>
          <w:color w:val="0000FF"/>
        </w:rPr>
        <w:t>Confirmatory Employment Letter between the Registrant and David Hallett.</w:t>
      </w:r>
    </w:p>
    <w:p>
      <w:pPr>
        <w:spacing w:after="0" w:line="1" w:lineRule="exact"/>
        <w:rPr>
          <w:sz w:val="20"/>
          <w:szCs w:val="20"/>
          <w:color w:val="auto"/>
        </w:rPr>
      </w:pPr>
    </w:p>
    <w:p>
      <w:pPr>
        <w:ind w:left="800" w:right="40" w:hanging="766"/>
        <w:spacing w:after="0" w:line="246"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10.20+</w:t>
      </w:r>
      <w:r>
        <w:rPr>
          <w:sz w:val="20"/>
          <w:szCs w:val="20"/>
          <w:color w:val="auto"/>
        </w:rPr>
        <w:tab/>
      </w:r>
      <w:hyperlink r:id="rId306">
        <w:r>
          <w:rPr>
            <w:rFonts w:ascii="Arial" w:cs="Arial" w:eastAsia="Arial" w:hAnsi="Arial"/>
            <w:sz w:val="16"/>
            <w:szCs w:val="16"/>
            <w:u w:val="single" w:color="auto"/>
            <w:color w:val="0000FF"/>
          </w:rPr>
          <w:t>Form of Exchange Agreement among the Registrant, Christopher</w:t>
        </w:r>
      </w:hyperlink>
      <w:r>
        <w:rPr>
          <w:rFonts w:ascii="Arial" w:cs="Arial" w:eastAsia="Arial" w:hAnsi="Arial"/>
          <w:sz w:val="16"/>
          <w:szCs w:val="16"/>
          <w:u w:val="single" w:color="auto"/>
          <w:color w:val="0000FF"/>
        </w:rPr>
        <w:t xml:space="preserve"> </w:t>
      </w:r>
      <w:hyperlink r:id="rId306">
        <w:r>
          <w:rPr>
            <w:rFonts w:ascii="Arial" w:cs="Arial" w:eastAsia="Arial" w:hAnsi="Arial"/>
            <w:sz w:val="16"/>
            <w:szCs w:val="16"/>
            <w:u w:val="single" w:color="auto"/>
            <w:color w:val="0000FF"/>
          </w:rPr>
          <w:t>Gibson, Ph.D., and entities affiliated with Dr. Gibson.</w:t>
        </w:r>
      </w:hyperlink>
    </w:p>
    <w:p>
      <w:pPr>
        <w:spacing w:after="0" w:line="1" w:lineRule="exact"/>
        <w:rPr>
          <w:sz w:val="20"/>
          <w:szCs w:val="20"/>
          <w:color w:val="auto"/>
        </w:rPr>
      </w:pPr>
    </w:p>
    <w:p>
      <w:pPr>
        <w:ind w:left="800" w:hanging="766"/>
        <w:spacing w:after="0" w:line="246"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10.21+</w:t>
      </w:r>
      <w:r>
        <w:rPr>
          <w:sz w:val="20"/>
          <w:szCs w:val="20"/>
          <w:color w:val="auto"/>
        </w:rPr>
        <w:tab/>
      </w:r>
      <w:hyperlink r:id="rId307">
        <w:r>
          <w:rPr>
            <w:rFonts w:ascii="Arial" w:cs="Arial" w:eastAsia="Arial" w:hAnsi="Arial"/>
            <w:sz w:val="16"/>
            <w:szCs w:val="16"/>
            <w:u w:val="single" w:color="auto"/>
            <w:color w:val="0000FF"/>
          </w:rPr>
          <w:t>Form of Equity Exchange Right Agreement among the Registrant,</w:t>
        </w:r>
      </w:hyperlink>
      <w:r>
        <w:rPr>
          <w:rFonts w:ascii="Arial" w:cs="Arial" w:eastAsia="Arial" w:hAnsi="Arial"/>
          <w:sz w:val="16"/>
          <w:szCs w:val="16"/>
          <w:u w:val="single" w:color="auto"/>
          <w:color w:val="0000FF"/>
        </w:rPr>
        <w:t xml:space="preserve"> </w:t>
      </w:r>
      <w:hyperlink r:id="rId307">
        <w:r>
          <w:rPr>
            <w:rFonts w:ascii="Arial" w:cs="Arial" w:eastAsia="Arial" w:hAnsi="Arial"/>
            <w:sz w:val="16"/>
            <w:szCs w:val="16"/>
            <w:u w:val="single" w:color="auto"/>
            <w:color w:val="0000FF"/>
          </w:rPr>
          <w:t>Christopher Gibson, Ph.D., and entities affiliated with Dr. Gibson.</w:t>
        </w:r>
      </w:hyperlink>
    </w:p>
    <w:p>
      <w:pPr>
        <w:spacing w:after="0" w:line="1" w:lineRule="exact"/>
        <w:rPr>
          <w:sz w:val="20"/>
          <w:szCs w:val="20"/>
          <w:color w:val="auto"/>
        </w:rPr>
      </w:pPr>
    </w:p>
    <w:p>
      <w:pPr>
        <w:ind w:left="800" w:right="440" w:hanging="719"/>
        <w:spacing w:after="0" w:line="234"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10.22</w:t>
      </w:r>
      <w:r>
        <w:rPr>
          <w:sz w:val="20"/>
          <w:szCs w:val="20"/>
          <w:color w:val="auto"/>
        </w:rPr>
        <w:tab/>
      </w:r>
      <w:hyperlink r:id="rId308">
        <w:r>
          <w:rPr>
            <w:rFonts w:ascii="Arial" w:cs="Arial" w:eastAsia="Arial" w:hAnsi="Arial"/>
            <w:sz w:val="16"/>
            <w:szCs w:val="16"/>
            <w:u w:val="single" w:color="auto"/>
            <w:color w:val="0000FF"/>
          </w:rPr>
          <w:t>Office Lease by and between Vestar Gateway, LLC and</w:t>
        </w:r>
      </w:hyperlink>
      <w:r>
        <w:rPr>
          <w:rFonts w:ascii="Arial" w:cs="Arial" w:eastAsia="Arial" w:hAnsi="Arial"/>
          <w:sz w:val="16"/>
          <w:szCs w:val="16"/>
          <w:u w:val="single" w:color="auto"/>
          <w:color w:val="0000FF"/>
        </w:rPr>
        <w:t xml:space="preserve"> </w:t>
      </w:r>
      <w:hyperlink r:id="rId308">
        <w:r>
          <w:rPr>
            <w:rFonts w:ascii="Arial" w:cs="Arial" w:eastAsia="Arial" w:hAnsi="Arial"/>
            <w:sz w:val="16"/>
            <w:szCs w:val="16"/>
            <w:u w:val="single" w:color="auto"/>
            <w:color w:val="0000FF"/>
          </w:rPr>
          <w:t>Registrant, dated November 13, 2017, as amended through</w:t>
        </w:r>
      </w:hyperlink>
      <w:r>
        <w:rPr>
          <w:rFonts w:ascii="Arial" w:cs="Arial" w:eastAsia="Arial" w:hAnsi="Arial"/>
          <w:sz w:val="16"/>
          <w:szCs w:val="16"/>
          <w:u w:val="single" w:color="auto"/>
          <w:color w:val="0000FF"/>
        </w:rPr>
        <w:t xml:space="preserve"> </w:t>
      </w:r>
      <w:hyperlink r:id="rId308">
        <w:r>
          <w:rPr>
            <w:rFonts w:ascii="Arial" w:cs="Arial" w:eastAsia="Arial" w:hAnsi="Arial"/>
            <w:sz w:val="16"/>
            <w:szCs w:val="16"/>
            <w:u w:val="single" w:color="auto"/>
            <w:color w:val="0000FF"/>
          </w:rPr>
          <w:t>December 2022.</w:t>
        </w:r>
      </w:hyperlink>
    </w:p>
    <w:p>
      <w:pPr>
        <w:spacing w:after="0" w:line="2" w:lineRule="exact"/>
        <w:rPr>
          <w:rFonts w:ascii="Arial" w:cs="Arial" w:eastAsia="Arial" w:hAnsi="Arial"/>
          <w:sz w:val="16"/>
          <w:szCs w:val="16"/>
          <w:u w:val="single" w:color="auto"/>
          <w:color w:val="0000FF"/>
        </w:rPr>
      </w:pPr>
    </w:p>
    <w:p>
      <w:pPr>
        <w:ind w:left="800" w:right="160" w:hanging="802"/>
        <w:spacing w:after="0" w:line="246"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10.23#^</w:t>
      </w:r>
      <w:r>
        <w:rPr>
          <w:sz w:val="20"/>
          <w:szCs w:val="20"/>
          <w:color w:val="auto"/>
        </w:rPr>
        <w:tab/>
      </w:r>
      <w:hyperlink r:id="rId309">
        <w:r>
          <w:rPr>
            <w:rFonts w:ascii="Arial" w:cs="Arial" w:eastAsia="Arial" w:hAnsi="Arial"/>
            <w:sz w:val="16"/>
            <w:szCs w:val="16"/>
            <w:u w:val="single" w:color="auto"/>
            <w:color w:val="0000FF"/>
          </w:rPr>
          <w:t>Research Collaboration and Option Agreement by and between</w:t>
        </w:r>
      </w:hyperlink>
      <w:r>
        <w:rPr>
          <w:rFonts w:ascii="Arial" w:cs="Arial" w:eastAsia="Arial" w:hAnsi="Arial"/>
          <w:sz w:val="16"/>
          <w:szCs w:val="16"/>
          <w:u w:val="single" w:color="auto"/>
          <w:color w:val="0000FF"/>
        </w:rPr>
        <w:t xml:space="preserve"> </w:t>
      </w:r>
      <w:hyperlink r:id="rId309">
        <w:r>
          <w:rPr>
            <w:rFonts w:ascii="Arial" w:cs="Arial" w:eastAsia="Arial" w:hAnsi="Arial"/>
            <w:sz w:val="16"/>
            <w:szCs w:val="16"/>
            <w:u w:val="single" w:color="auto"/>
            <w:color w:val="0000FF"/>
          </w:rPr>
          <w:t>Bayer AG and the Registrant, dated August 28, 2020.</w:t>
        </w:r>
      </w:hyperlink>
    </w:p>
    <w:p>
      <w:pPr>
        <w:spacing w:after="0" w:line="233"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10.24#^</w:t>
      </w:r>
      <w:r>
        <w:rPr>
          <w:sz w:val="20"/>
          <w:szCs w:val="20"/>
          <w:color w:val="auto"/>
        </w:rPr>
        <w:tab/>
      </w:r>
      <w:hyperlink r:id="rId310">
        <w:r>
          <w:rPr>
            <w:rFonts w:ascii="Arial" w:cs="Arial" w:eastAsia="Arial" w:hAnsi="Arial"/>
            <w:sz w:val="16"/>
            <w:szCs w:val="16"/>
            <w:u w:val="single" w:color="auto"/>
            <w:color w:val="0000FF"/>
          </w:rPr>
          <w:t>Bayer Collaboration Expansion Agreement, dated December 1,</w:t>
        </w:r>
      </w:hyperlink>
    </w:p>
    <w:p>
      <w:pPr>
        <w:ind w:left="800"/>
        <w:spacing w:after="0"/>
        <w:rPr>
          <w:rFonts w:ascii="Arial" w:cs="Arial" w:eastAsia="Arial" w:hAnsi="Arial"/>
          <w:sz w:val="16"/>
          <w:szCs w:val="16"/>
          <w:u w:val="single" w:color="auto"/>
          <w:color w:val="0000FF"/>
        </w:rPr>
      </w:pPr>
      <w:hyperlink r:id="rId310">
        <w:r>
          <w:rPr>
            <w:rFonts w:ascii="Arial" w:cs="Arial" w:eastAsia="Arial" w:hAnsi="Arial"/>
            <w:sz w:val="16"/>
            <w:szCs w:val="16"/>
            <w:u w:val="single" w:color="auto"/>
            <w:color w:val="0000FF"/>
          </w:rPr>
          <w:t>2021.</w:t>
        </w:r>
      </w:hyperlink>
    </w:p>
    <w:p>
      <w:pPr>
        <w:spacing w:after="0" w:line="16" w:lineRule="exact"/>
        <w:rPr>
          <w:sz w:val="20"/>
          <w:szCs w:val="20"/>
          <w:color w:val="auto"/>
        </w:rPr>
      </w:pPr>
    </w:p>
    <w:p>
      <w:pPr>
        <w:ind w:left="800" w:right="120" w:hanging="802"/>
        <w:spacing w:after="0" w:line="234"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10.25#^</w:t>
      </w:r>
      <w:r>
        <w:rPr>
          <w:sz w:val="20"/>
          <w:szCs w:val="20"/>
          <w:color w:val="auto"/>
        </w:rPr>
        <w:tab/>
      </w:r>
      <w:hyperlink r:id="rId311">
        <w:r>
          <w:rPr>
            <w:rFonts w:ascii="Arial" w:cs="Arial" w:eastAsia="Arial" w:hAnsi="Arial"/>
            <w:sz w:val="16"/>
            <w:szCs w:val="16"/>
            <w:u w:val="single" w:color="auto"/>
            <w:color w:val="0000FF"/>
          </w:rPr>
          <w:t>Amended and Restated Research Collaboration and Option</w:t>
        </w:r>
      </w:hyperlink>
      <w:r>
        <w:rPr>
          <w:rFonts w:ascii="Arial" w:cs="Arial" w:eastAsia="Arial" w:hAnsi="Arial"/>
          <w:sz w:val="16"/>
          <w:szCs w:val="16"/>
          <w:u w:val="single" w:color="auto"/>
          <w:color w:val="0000FF"/>
        </w:rPr>
        <w:t xml:space="preserve"> </w:t>
      </w:r>
      <w:hyperlink r:id="rId311">
        <w:r>
          <w:rPr>
            <w:rFonts w:ascii="Arial" w:cs="Arial" w:eastAsia="Arial" w:hAnsi="Arial"/>
            <w:sz w:val="16"/>
            <w:szCs w:val="16"/>
            <w:u w:val="single" w:color="auto"/>
            <w:color w:val="0000FF"/>
          </w:rPr>
          <w:t>Agreement by and between Bayer AG and the Registrant, dated</w:t>
        </w:r>
      </w:hyperlink>
      <w:r>
        <w:rPr>
          <w:rFonts w:ascii="Arial" w:cs="Arial" w:eastAsia="Arial" w:hAnsi="Arial"/>
          <w:sz w:val="16"/>
          <w:szCs w:val="16"/>
          <w:u w:val="single" w:color="auto"/>
          <w:color w:val="0000FF"/>
        </w:rPr>
        <w:t xml:space="preserve"> </w:t>
      </w:r>
      <w:hyperlink r:id="rId311">
        <w:r>
          <w:rPr>
            <w:rFonts w:ascii="Arial" w:cs="Arial" w:eastAsia="Arial" w:hAnsi="Arial"/>
            <w:sz w:val="16"/>
            <w:szCs w:val="16"/>
            <w:u w:val="single" w:color="auto"/>
            <w:color w:val="0000FF"/>
          </w:rPr>
          <w:t>November 8, 2023.</w:t>
        </w:r>
      </w:hyperlink>
    </w:p>
    <w:p>
      <w:pPr>
        <w:spacing w:after="0" w:line="2" w:lineRule="exact"/>
        <w:rPr>
          <w:rFonts w:ascii="Arial" w:cs="Arial" w:eastAsia="Arial" w:hAnsi="Arial"/>
          <w:sz w:val="16"/>
          <w:szCs w:val="16"/>
          <w:u w:val="single" w:color="auto"/>
          <w:color w:val="0000FF"/>
        </w:rPr>
      </w:pPr>
    </w:p>
    <w:p>
      <w:pPr>
        <w:ind w:left="800" w:right="240" w:hanging="802"/>
        <w:spacing w:after="0" w:line="234"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10.26#^</w:t>
      </w:r>
      <w:r>
        <w:rPr>
          <w:sz w:val="20"/>
          <w:szCs w:val="20"/>
          <w:color w:val="auto"/>
        </w:rPr>
        <w:tab/>
      </w:r>
      <w:hyperlink r:id="rId312">
        <w:r>
          <w:rPr>
            <w:rFonts w:ascii="Arial" w:cs="Arial" w:eastAsia="Arial" w:hAnsi="Arial"/>
            <w:sz w:val="16"/>
            <w:szCs w:val="16"/>
            <w:u w:val="single" w:color="auto"/>
            <w:color w:val="0000FF"/>
          </w:rPr>
          <w:t>Amended and Restated License Agreement between the</w:t>
        </w:r>
      </w:hyperlink>
      <w:r>
        <w:rPr>
          <w:rFonts w:ascii="Arial" w:cs="Arial" w:eastAsia="Arial" w:hAnsi="Arial"/>
          <w:sz w:val="16"/>
          <w:szCs w:val="16"/>
          <w:u w:val="single" w:color="auto"/>
          <w:color w:val="0000FF"/>
        </w:rPr>
        <w:t xml:space="preserve"> </w:t>
      </w:r>
      <w:hyperlink r:id="rId312">
        <w:r>
          <w:rPr>
            <w:rFonts w:ascii="Arial" w:cs="Arial" w:eastAsia="Arial" w:hAnsi="Arial"/>
            <w:sz w:val="16"/>
            <w:szCs w:val="16"/>
            <w:u w:val="single" w:color="auto"/>
            <w:color w:val="0000FF"/>
          </w:rPr>
          <w:t>Registrant and University of Utah Research Foundation, dated</w:t>
        </w:r>
      </w:hyperlink>
      <w:r>
        <w:rPr>
          <w:rFonts w:ascii="Arial" w:cs="Arial" w:eastAsia="Arial" w:hAnsi="Arial"/>
          <w:sz w:val="16"/>
          <w:szCs w:val="16"/>
          <w:u w:val="single" w:color="auto"/>
          <w:color w:val="0000FF"/>
        </w:rPr>
        <w:t xml:space="preserve"> </w:t>
      </w:r>
      <w:hyperlink r:id="rId312">
        <w:r>
          <w:rPr>
            <w:rFonts w:ascii="Arial" w:cs="Arial" w:eastAsia="Arial" w:hAnsi="Arial"/>
            <w:sz w:val="16"/>
            <w:szCs w:val="16"/>
            <w:u w:val="single" w:color="auto"/>
            <w:color w:val="0000FF"/>
          </w:rPr>
          <w:t>February 9, 2016.</w:t>
        </w:r>
      </w:hyperlink>
    </w:p>
    <w:p>
      <w:pPr>
        <w:spacing w:after="0" w:line="2" w:lineRule="exact"/>
        <w:rPr>
          <w:rFonts w:ascii="Arial" w:cs="Arial" w:eastAsia="Arial" w:hAnsi="Arial"/>
          <w:sz w:val="16"/>
          <w:szCs w:val="16"/>
          <w:u w:val="single" w:color="auto"/>
          <w:color w:val="0000FF"/>
        </w:rPr>
      </w:pPr>
    </w:p>
    <w:p>
      <w:pPr>
        <w:ind w:left="800" w:right="320" w:hanging="802"/>
        <w:spacing w:after="0" w:line="246"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10.27#^</w:t>
      </w:r>
      <w:r>
        <w:rPr>
          <w:sz w:val="20"/>
          <w:szCs w:val="20"/>
          <w:color w:val="auto"/>
        </w:rPr>
        <w:tab/>
      </w:r>
      <w:hyperlink r:id="rId313">
        <w:r>
          <w:rPr>
            <w:rFonts w:ascii="Arial" w:cs="Arial" w:eastAsia="Arial" w:hAnsi="Arial"/>
            <w:sz w:val="16"/>
            <w:szCs w:val="16"/>
            <w:u w:val="single" w:color="auto"/>
            <w:color w:val="0000FF"/>
          </w:rPr>
          <w:t>Exclusive License Agreement between Ohio State Innovation</w:t>
        </w:r>
      </w:hyperlink>
      <w:r>
        <w:rPr>
          <w:rFonts w:ascii="Arial" w:cs="Arial" w:eastAsia="Arial" w:hAnsi="Arial"/>
          <w:sz w:val="16"/>
          <w:szCs w:val="16"/>
          <w:u w:val="single" w:color="auto"/>
          <w:color w:val="0000FF"/>
        </w:rPr>
        <w:t xml:space="preserve"> </w:t>
      </w:r>
      <w:hyperlink r:id="rId313">
        <w:r>
          <w:rPr>
            <w:rFonts w:ascii="Arial" w:cs="Arial" w:eastAsia="Arial" w:hAnsi="Arial"/>
            <w:sz w:val="16"/>
            <w:szCs w:val="16"/>
            <w:u w:val="single" w:color="auto"/>
            <w:color w:val="0000FF"/>
          </w:rPr>
          <w:t>Foundation and Registrant, dated December 21, 2018.</w:t>
        </w:r>
      </w:hyperlink>
    </w:p>
    <w:p>
      <w:pPr>
        <w:spacing w:after="0" w:line="1" w:lineRule="exact"/>
        <w:rPr>
          <w:sz w:val="20"/>
          <w:szCs w:val="20"/>
          <w:color w:val="auto"/>
        </w:rPr>
      </w:pPr>
    </w:p>
    <w:p>
      <w:pPr>
        <w:ind w:left="800" w:right="400" w:hanging="802"/>
        <w:spacing w:after="0" w:line="246"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10.28#^</w:t>
      </w:r>
      <w:r>
        <w:rPr>
          <w:sz w:val="20"/>
          <w:szCs w:val="20"/>
          <w:color w:val="auto"/>
        </w:rPr>
        <w:tab/>
      </w:r>
      <w:hyperlink r:id="rId314">
        <w:r>
          <w:rPr>
            <w:rFonts w:ascii="Arial" w:cs="Arial" w:eastAsia="Arial" w:hAnsi="Arial"/>
            <w:sz w:val="16"/>
            <w:szCs w:val="16"/>
            <w:u w:val="single" w:color="auto"/>
            <w:color w:val="0000FF"/>
          </w:rPr>
          <w:t>License Agreement by and between Takeda Pharmaceutical</w:t>
        </w:r>
      </w:hyperlink>
      <w:r>
        <w:rPr>
          <w:rFonts w:ascii="Arial" w:cs="Arial" w:eastAsia="Arial" w:hAnsi="Arial"/>
          <w:sz w:val="16"/>
          <w:szCs w:val="16"/>
          <w:u w:val="single" w:color="auto"/>
          <w:color w:val="0000FF"/>
        </w:rPr>
        <w:t xml:space="preserve"> </w:t>
      </w:r>
      <w:hyperlink r:id="rId314">
        <w:r>
          <w:rPr>
            <w:rFonts w:ascii="Arial" w:cs="Arial" w:eastAsia="Arial" w:hAnsi="Arial"/>
            <w:sz w:val="16"/>
            <w:szCs w:val="16"/>
            <w:u w:val="single" w:color="auto"/>
            <w:color w:val="0000FF"/>
          </w:rPr>
          <w:t>Company Limited and Registrant, dated May 1, 2020.</w:t>
        </w:r>
      </w:hyperlink>
    </w:p>
    <w:p>
      <w:pPr>
        <w:spacing w:after="0" w:line="233"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10.29#^</w:t>
      </w:r>
      <w:r>
        <w:rPr>
          <w:sz w:val="20"/>
          <w:szCs w:val="20"/>
          <w:color w:val="auto"/>
        </w:rPr>
        <w:tab/>
      </w:r>
      <w:hyperlink r:id="rId315">
        <w:r>
          <w:rPr>
            <w:rFonts w:ascii="Arial" w:cs="Arial" w:eastAsia="Arial" w:hAnsi="Arial"/>
            <w:sz w:val="16"/>
            <w:szCs w:val="16"/>
            <w:u w:val="single" w:color="auto"/>
            <w:color w:val="0000FF"/>
          </w:rPr>
          <w:t>Roche Collaboration and License Agreement, dated December 5,</w:t>
        </w:r>
      </w:hyperlink>
    </w:p>
    <w:p>
      <w:pPr>
        <w:ind w:left="800"/>
        <w:spacing w:after="0"/>
        <w:rPr>
          <w:rFonts w:ascii="Arial" w:cs="Arial" w:eastAsia="Arial" w:hAnsi="Arial"/>
          <w:sz w:val="16"/>
          <w:szCs w:val="16"/>
          <w:u w:val="single" w:color="auto"/>
          <w:color w:val="0000FF"/>
        </w:rPr>
      </w:pPr>
      <w:hyperlink r:id="rId315">
        <w:r>
          <w:rPr>
            <w:rFonts w:ascii="Arial" w:cs="Arial" w:eastAsia="Arial" w:hAnsi="Arial"/>
            <w:sz w:val="16"/>
            <w:szCs w:val="16"/>
            <w:u w:val="single" w:color="auto"/>
            <w:color w:val="0000FF"/>
          </w:rPr>
          <w:t>2021.</w:t>
        </w:r>
      </w:hyperlink>
    </w:p>
    <w:p>
      <w:pPr>
        <w:spacing w:after="0" w:line="16" w:lineRule="exact"/>
        <w:rPr>
          <w:sz w:val="20"/>
          <w:szCs w:val="20"/>
          <w:color w:val="auto"/>
        </w:rPr>
      </w:pPr>
    </w:p>
    <w:p>
      <w:pPr>
        <w:ind w:left="800" w:right="80" w:hanging="802"/>
        <w:spacing w:after="0" w:line="246"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10.30#^</w:t>
      </w:r>
      <w:r>
        <w:rPr>
          <w:sz w:val="20"/>
          <w:szCs w:val="20"/>
          <w:color w:val="auto"/>
        </w:rPr>
        <w:tab/>
      </w:r>
      <w:hyperlink r:id="rId316">
        <w:r>
          <w:rPr>
            <w:rFonts w:ascii="Arial" w:cs="Arial" w:eastAsia="Arial" w:hAnsi="Arial"/>
            <w:sz w:val="16"/>
            <w:szCs w:val="16"/>
            <w:u w:val="single" w:color="auto"/>
            <w:color w:val="0000FF"/>
          </w:rPr>
          <w:t>Master Agreement between the Company and Tempus Labs, Inc</w:t>
        </w:r>
      </w:hyperlink>
      <w:r>
        <w:rPr>
          <w:rFonts w:ascii="Arial" w:cs="Arial" w:eastAsia="Arial" w:hAnsi="Arial"/>
          <w:sz w:val="16"/>
          <w:szCs w:val="16"/>
          <w:u w:val="single" w:color="auto"/>
          <w:color w:val="0000FF"/>
        </w:rPr>
        <w:t xml:space="preserve"> </w:t>
      </w:r>
      <w:hyperlink r:id="rId316">
        <w:r>
          <w:rPr>
            <w:rFonts w:ascii="Arial" w:cs="Arial" w:eastAsia="Arial" w:hAnsi="Arial"/>
            <w:sz w:val="16"/>
            <w:szCs w:val="16"/>
            <w:u w:val="single" w:color="auto"/>
            <w:color w:val="0000FF"/>
          </w:rPr>
          <w:t>dated November 3, 2023.</w:t>
        </w:r>
      </w:hyperlink>
    </w:p>
    <w:p>
      <w:pPr>
        <w:spacing w:after="0" w:line="1" w:lineRule="exact"/>
        <w:rPr>
          <w:sz w:val="20"/>
          <w:szCs w:val="20"/>
          <w:color w:val="auto"/>
        </w:rPr>
      </w:pPr>
    </w:p>
    <w:p>
      <w:pPr>
        <w:jc w:val="both"/>
        <w:ind w:left="800" w:right="240" w:hanging="802"/>
        <w:spacing w:after="0" w:line="234"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10.31#^</w:t>
      </w:r>
      <w:r>
        <w:rPr>
          <w:sz w:val="20"/>
          <w:szCs w:val="20"/>
          <w:color w:val="auto"/>
        </w:rPr>
        <w:tab/>
      </w:r>
      <w:hyperlink r:id="rId317">
        <w:r>
          <w:rPr>
            <w:rFonts w:ascii="Arial" w:cs="Arial" w:eastAsia="Arial" w:hAnsi="Arial"/>
            <w:sz w:val="16"/>
            <w:szCs w:val="16"/>
            <w:u w:val="single" w:color="auto"/>
            <w:color w:val="0000FF"/>
          </w:rPr>
          <w:t>Research Collaboration and Licence Option Agreement, dated</w:t>
        </w:r>
      </w:hyperlink>
      <w:r>
        <w:rPr>
          <w:rFonts w:ascii="Arial" w:cs="Arial" w:eastAsia="Arial" w:hAnsi="Arial"/>
          <w:sz w:val="16"/>
          <w:szCs w:val="16"/>
          <w:u w:val="single" w:color="auto"/>
          <w:color w:val="0000FF"/>
        </w:rPr>
        <w:t xml:space="preserve"> </w:t>
      </w:r>
      <w:hyperlink r:id="rId317">
        <w:r>
          <w:rPr>
            <w:rFonts w:ascii="Arial" w:cs="Arial" w:eastAsia="Arial" w:hAnsi="Arial"/>
            <w:sz w:val="16"/>
            <w:szCs w:val="16"/>
            <w:u w:val="single" w:color="auto"/>
            <w:color w:val="0000FF"/>
          </w:rPr>
          <w:t>June 27, 2016, by and between Sanofi S.A. and Exscientia AI</w:t>
        </w:r>
      </w:hyperlink>
      <w:r>
        <w:rPr>
          <w:rFonts w:ascii="Arial" w:cs="Arial" w:eastAsia="Arial" w:hAnsi="Arial"/>
          <w:sz w:val="16"/>
          <w:szCs w:val="16"/>
          <w:u w:val="single" w:color="auto"/>
          <w:color w:val="0000FF"/>
        </w:rPr>
        <w:t xml:space="preserve"> </w:t>
      </w:r>
      <w:hyperlink r:id="rId317">
        <w:r>
          <w:rPr>
            <w:rFonts w:ascii="Arial" w:cs="Arial" w:eastAsia="Arial" w:hAnsi="Arial"/>
            <w:sz w:val="16"/>
            <w:szCs w:val="16"/>
            <w:u w:val="single" w:color="auto"/>
            <w:color w:val="0000FF"/>
          </w:rPr>
          <w:t>Limited (then named Exscientia Limited).</w:t>
        </w:r>
      </w:hyperlink>
    </w:p>
    <w:p>
      <w:pPr>
        <w:spacing w:after="0" w:line="2" w:lineRule="exact"/>
        <w:rPr>
          <w:rFonts w:ascii="Arial" w:cs="Arial" w:eastAsia="Arial" w:hAnsi="Arial"/>
          <w:sz w:val="16"/>
          <w:szCs w:val="16"/>
          <w:u w:val="single" w:color="auto"/>
          <w:color w:val="0000FF"/>
        </w:rPr>
      </w:pPr>
    </w:p>
    <w:p>
      <w:pPr>
        <w:ind w:left="800" w:right="140" w:hanging="802"/>
        <w:spacing w:after="0" w:line="234"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10.32#^</w:t>
      </w:r>
      <w:r>
        <w:rPr>
          <w:sz w:val="20"/>
          <w:szCs w:val="20"/>
          <w:color w:val="auto"/>
        </w:rPr>
        <w:tab/>
      </w:r>
      <w:hyperlink r:id="rId318">
        <w:r>
          <w:rPr>
            <w:rFonts w:ascii="Arial" w:cs="Arial" w:eastAsia="Arial" w:hAnsi="Arial"/>
            <w:sz w:val="16"/>
            <w:szCs w:val="16"/>
            <w:u w:val="single" w:color="auto"/>
            <w:color w:val="0000FF"/>
          </w:rPr>
          <w:t>Research Collaboration Agreement, dated September 19, 2023,</w:t>
        </w:r>
      </w:hyperlink>
      <w:r>
        <w:rPr>
          <w:rFonts w:ascii="Arial" w:cs="Arial" w:eastAsia="Arial" w:hAnsi="Arial"/>
          <w:sz w:val="16"/>
          <w:szCs w:val="16"/>
          <w:u w:val="single" w:color="auto"/>
          <w:color w:val="0000FF"/>
        </w:rPr>
        <w:t xml:space="preserve"> </w:t>
      </w:r>
      <w:hyperlink r:id="rId318">
        <w:r>
          <w:rPr>
            <w:rFonts w:ascii="Arial" w:cs="Arial" w:eastAsia="Arial" w:hAnsi="Arial"/>
            <w:sz w:val="16"/>
            <w:szCs w:val="16"/>
            <w:u w:val="single" w:color="auto"/>
            <w:color w:val="0000FF"/>
          </w:rPr>
          <w:t>by and between Merck Healthcare KGAA and Exscientia AI</w:t>
        </w:r>
      </w:hyperlink>
      <w:r>
        <w:rPr>
          <w:rFonts w:ascii="Arial" w:cs="Arial" w:eastAsia="Arial" w:hAnsi="Arial"/>
          <w:sz w:val="16"/>
          <w:szCs w:val="16"/>
          <w:u w:val="single" w:color="auto"/>
          <w:color w:val="0000FF"/>
        </w:rPr>
        <w:t xml:space="preserve"> </w:t>
      </w:r>
      <w:hyperlink r:id="rId318">
        <w:r>
          <w:rPr>
            <w:rFonts w:ascii="Arial" w:cs="Arial" w:eastAsia="Arial" w:hAnsi="Arial"/>
            <w:sz w:val="16"/>
            <w:szCs w:val="16"/>
            <w:u w:val="single" w:color="auto"/>
            <w:color w:val="0000FF"/>
          </w:rPr>
          <w:t>Limited.</w:t>
        </w:r>
      </w:hyperlink>
    </w:p>
    <w:p>
      <w:pPr>
        <w:spacing w:after="0" w:line="2" w:lineRule="exact"/>
        <w:rPr>
          <w:rFonts w:ascii="Arial" w:cs="Arial" w:eastAsia="Arial" w:hAnsi="Arial"/>
          <w:sz w:val="16"/>
          <w:szCs w:val="16"/>
          <w:u w:val="single" w:color="auto"/>
          <w:color w:val="0000FF"/>
        </w:rPr>
      </w:pPr>
    </w:p>
    <w:p>
      <w:pPr>
        <w:ind w:left="800" w:right="380" w:hanging="757"/>
        <w:spacing w:after="0" w:line="246"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10.33^</w:t>
      </w:r>
      <w:r>
        <w:rPr>
          <w:sz w:val="20"/>
          <w:szCs w:val="20"/>
          <w:color w:val="auto"/>
        </w:rPr>
        <w:tab/>
      </w:r>
      <w:hyperlink r:id="rId319">
        <w:r>
          <w:rPr>
            <w:rFonts w:ascii="Arial" w:cs="Arial" w:eastAsia="Arial" w:hAnsi="Arial"/>
            <w:sz w:val="16"/>
            <w:szCs w:val="16"/>
            <w:u w:val="single" w:color="auto"/>
            <w:color w:val="0000FF"/>
          </w:rPr>
          <w:t>Stock Purchase Agreement, dated October 24, 2022, by and</w:t>
        </w:r>
      </w:hyperlink>
      <w:r>
        <w:rPr>
          <w:rFonts w:ascii="Arial" w:cs="Arial" w:eastAsia="Arial" w:hAnsi="Arial"/>
          <w:sz w:val="16"/>
          <w:szCs w:val="16"/>
          <w:u w:val="single" w:color="auto"/>
          <w:color w:val="0000FF"/>
        </w:rPr>
        <w:t xml:space="preserve"> </w:t>
      </w:r>
      <w:hyperlink r:id="rId319">
        <w:r>
          <w:rPr>
            <w:rFonts w:ascii="Arial" w:cs="Arial" w:eastAsia="Arial" w:hAnsi="Arial"/>
            <w:sz w:val="16"/>
            <w:szCs w:val="16"/>
            <w:u w:val="single" w:color="auto"/>
            <w:color w:val="0000FF"/>
          </w:rPr>
          <w:t>among the Company and the Purchasers.</w:t>
        </w:r>
      </w:hyperlink>
    </w:p>
    <w:p>
      <w:pPr>
        <w:spacing w:after="0" w:line="1" w:lineRule="exact"/>
        <w:rPr>
          <w:sz w:val="20"/>
          <w:szCs w:val="20"/>
          <w:color w:val="auto"/>
        </w:rPr>
      </w:pPr>
    </w:p>
    <w:p>
      <w:pPr>
        <w:ind w:left="800" w:right="140" w:hanging="757"/>
        <w:spacing w:after="0" w:line="251"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10.34^</w:t>
      </w:r>
      <w:r>
        <w:rPr>
          <w:sz w:val="20"/>
          <w:szCs w:val="20"/>
          <w:color w:val="auto"/>
        </w:rPr>
        <w:tab/>
      </w:r>
      <w:hyperlink r:id="rId320">
        <w:r>
          <w:rPr>
            <w:rFonts w:ascii="Arial" w:cs="Arial" w:eastAsia="Arial" w:hAnsi="Arial"/>
            <w:sz w:val="16"/>
            <w:szCs w:val="16"/>
            <w:u w:val="single" w:color="auto"/>
            <w:color w:val="0000FF"/>
          </w:rPr>
          <w:t>Stock Purchase Agreement, dated July 11, 2023, by and among</w:t>
        </w:r>
      </w:hyperlink>
      <w:r>
        <w:rPr>
          <w:rFonts w:ascii="Arial" w:cs="Arial" w:eastAsia="Arial" w:hAnsi="Arial"/>
          <w:sz w:val="16"/>
          <w:szCs w:val="16"/>
          <w:u w:val="single" w:color="auto"/>
          <w:color w:val="0000FF"/>
        </w:rPr>
        <w:t xml:space="preserve"> </w:t>
      </w:r>
      <w:hyperlink r:id="rId320">
        <w:r>
          <w:rPr>
            <w:rFonts w:ascii="Arial" w:cs="Arial" w:eastAsia="Arial" w:hAnsi="Arial"/>
            <w:sz w:val="16"/>
            <w:szCs w:val="16"/>
            <w:u w:val="single" w:color="auto"/>
            <w:color w:val="0000FF"/>
          </w:rPr>
          <w:t>the Registrant and NVIDIA.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6"/>
              </w:rPr>
              <w:t>S-8</w:t>
            </w:r>
          </w:p>
        </w:tc>
        <w:tc>
          <w:tcPr>
            <w:tcW w:w="1260" w:type="dxa"/>
            <w:vAlign w:val="bottom"/>
          </w:tcPr>
          <w:p>
            <w:pPr>
              <w:jc w:val="center"/>
              <w:spacing w:after="0"/>
              <w:rPr>
                <w:sz w:val="20"/>
                <w:szCs w:val="20"/>
                <w:color w:val="auto"/>
              </w:rPr>
            </w:pPr>
            <w:r>
              <w:rPr>
                <w:rFonts w:ascii="Arial" w:cs="Arial" w:eastAsia="Arial" w:hAnsi="Arial"/>
                <w:sz w:val="16"/>
                <w:szCs w:val="16"/>
                <w:color w:val="auto"/>
              </w:rPr>
              <w:t>333-283347</w:t>
            </w:r>
          </w:p>
        </w:tc>
        <w:tc>
          <w:tcPr>
            <w:tcW w:w="68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2200" w:type="dxa"/>
            <w:vAlign w:val="bottom"/>
          </w:tcPr>
          <w:p>
            <w:pPr>
              <w:jc w:val="center"/>
              <w:ind w:right="459"/>
              <w:spacing w:after="0"/>
              <w:rPr>
                <w:sz w:val="20"/>
                <w:szCs w:val="20"/>
                <w:color w:val="auto"/>
              </w:rPr>
            </w:pPr>
            <w:r>
              <w:rPr>
                <w:rFonts w:ascii="Arial" w:cs="Arial" w:eastAsia="Arial" w:hAnsi="Arial"/>
                <w:sz w:val="16"/>
                <w:szCs w:val="16"/>
                <w:color w:val="auto"/>
              </w:rPr>
              <w:t>November 20, 2024</w:t>
            </w:r>
          </w:p>
        </w:tc>
      </w:tr>
      <w:tr>
        <w:trPr>
          <w:trHeight w:val="378"/>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6"/>
              </w:rPr>
              <w:t>S-8</w:t>
            </w:r>
          </w:p>
        </w:tc>
        <w:tc>
          <w:tcPr>
            <w:tcW w:w="1260" w:type="dxa"/>
            <w:vAlign w:val="bottom"/>
          </w:tcPr>
          <w:p>
            <w:pPr>
              <w:jc w:val="center"/>
              <w:spacing w:after="0"/>
              <w:rPr>
                <w:sz w:val="20"/>
                <w:szCs w:val="20"/>
                <w:color w:val="auto"/>
              </w:rPr>
            </w:pPr>
            <w:r>
              <w:rPr>
                <w:rFonts w:ascii="Arial" w:cs="Arial" w:eastAsia="Arial" w:hAnsi="Arial"/>
                <w:sz w:val="16"/>
                <w:szCs w:val="16"/>
                <w:color w:val="auto"/>
              </w:rPr>
              <w:t>333-272282</w:t>
            </w:r>
          </w:p>
        </w:tc>
        <w:tc>
          <w:tcPr>
            <w:tcW w:w="68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2200" w:type="dxa"/>
            <w:vAlign w:val="bottom"/>
          </w:tcPr>
          <w:p>
            <w:pPr>
              <w:jc w:val="center"/>
              <w:ind w:right="459"/>
              <w:spacing w:after="0"/>
              <w:rPr>
                <w:sz w:val="20"/>
                <w:szCs w:val="20"/>
                <w:color w:val="auto"/>
              </w:rPr>
            </w:pPr>
            <w:r>
              <w:rPr>
                <w:rFonts w:ascii="Arial" w:cs="Arial" w:eastAsia="Arial" w:hAnsi="Arial"/>
                <w:sz w:val="16"/>
                <w:szCs w:val="16"/>
                <w:color w:val="auto"/>
              </w:rPr>
              <w:t>May 30, 2023</w:t>
            </w:r>
          </w:p>
        </w:tc>
      </w:tr>
      <w:tr>
        <w:trPr>
          <w:trHeight w:val="216"/>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6"/>
              </w:rPr>
              <w:t>S-8</w:t>
            </w:r>
          </w:p>
        </w:tc>
        <w:tc>
          <w:tcPr>
            <w:tcW w:w="1260" w:type="dxa"/>
            <w:vAlign w:val="bottom"/>
          </w:tcPr>
          <w:p>
            <w:pPr>
              <w:jc w:val="center"/>
              <w:spacing w:after="0"/>
              <w:rPr>
                <w:sz w:val="20"/>
                <w:szCs w:val="20"/>
                <w:color w:val="auto"/>
              </w:rPr>
            </w:pPr>
            <w:r>
              <w:rPr>
                <w:rFonts w:ascii="Arial" w:cs="Arial" w:eastAsia="Arial" w:hAnsi="Arial"/>
                <w:sz w:val="16"/>
                <w:szCs w:val="16"/>
                <w:color w:val="auto"/>
              </w:rPr>
              <w:t>333-272027</w:t>
            </w:r>
          </w:p>
        </w:tc>
        <w:tc>
          <w:tcPr>
            <w:tcW w:w="68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2200" w:type="dxa"/>
            <w:vAlign w:val="bottom"/>
          </w:tcPr>
          <w:p>
            <w:pPr>
              <w:jc w:val="center"/>
              <w:ind w:right="459"/>
              <w:spacing w:after="0"/>
              <w:rPr>
                <w:sz w:val="20"/>
                <w:szCs w:val="20"/>
                <w:color w:val="auto"/>
              </w:rPr>
            </w:pPr>
            <w:r>
              <w:rPr>
                <w:rFonts w:ascii="Arial" w:cs="Arial" w:eastAsia="Arial" w:hAnsi="Arial"/>
                <w:sz w:val="16"/>
                <w:szCs w:val="16"/>
                <w:color w:val="auto"/>
              </w:rPr>
              <w:t>May 18, 2023</w:t>
            </w:r>
          </w:p>
        </w:tc>
      </w:tr>
      <w:tr>
        <w:trPr>
          <w:trHeight w:val="378"/>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680" w:type="dxa"/>
            <w:vAlign w:val="bottom"/>
          </w:tcPr>
          <w:p>
            <w:pPr>
              <w:jc w:val="center"/>
              <w:spacing w:after="0"/>
              <w:rPr>
                <w:sz w:val="20"/>
                <w:szCs w:val="20"/>
                <w:color w:val="auto"/>
              </w:rPr>
            </w:pPr>
            <w:r>
              <w:rPr>
                <w:rFonts w:ascii="Arial" w:cs="Arial" w:eastAsia="Arial" w:hAnsi="Arial"/>
                <w:sz w:val="16"/>
                <w:szCs w:val="16"/>
                <w:color w:val="auto"/>
              </w:rPr>
              <w:t>10.20</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April 15, 2021</w:t>
            </w:r>
          </w:p>
        </w:tc>
      </w:tr>
      <w:tr>
        <w:trPr>
          <w:trHeight w:val="216"/>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680" w:type="dxa"/>
            <w:vAlign w:val="bottom"/>
          </w:tcPr>
          <w:p>
            <w:pPr>
              <w:jc w:val="center"/>
              <w:spacing w:after="0"/>
              <w:rPr>
                <w:sz w:val="20"/>
                <w:szCs w:val="20"/>
                <w:color w:val="auto"/>
              </w:rPr>
            </w:pPr>
            <w:r>
              <w:rPr>
                <w:rFonts w:ascii="Arial" w:cs="Arial" w:eastAsia="Arial" w:hAnsi="Arial"/>
                <w:sz w:val="16"/>
                <w:szCs w:val="16"/>
                <w:color w:val="auto"/>
              </w:rPr>
              <w:t>10.21</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April 15, 2021</w:t>
            </w:r>
          </w:p>
        </w:tc>
      </w:tr>
      <w:tr>
        <w:trPr>
          <w:trHeight w:val="216"/>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680" w:type="dxa"/>
            <w:vAlign w:val="bottom"/>
          </w:tcPr>
          <w:p>
            <w:pPr>
              <w:jc w:val="center"/>
              <w:spacing w:after="0"/>
              <w:rPr>
                <w:sz w:val="20"/>
                <w:szCs w:val="20"/>
                <w:color w:val="auto"/>
              </w:rPr>
            </w:pPr>
            <w:r>
              <w:rPr>
                <w:rFonts w:ascii="Arial" w:cs="Arial" w:eastAsia="Arial" w:hAnsi="Arial"/>
                <w:sz w:val="16"/>
                <w:szCs w:val="16"/>
                <w:color w:val="auto"/>
              </w:rPr>
              <w:t>10.10</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April 15, 2021</w:t>
            </w:r>
          </w:p>
        </w:tc>
      </w:tr>
      <w:tr>
        <w:trPr>
          <w:trHeight w:val="378"/>
        </w:trPr>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ind w:left="2100"/>
              <w:spacing w:after="0"/>
              <w:rPr>
                <w:sz w:val="20"/>
                <w:szCs w:val="20"/>
                <w:color w:val="auto"/>
              </w:rPr>
            </w:pPr>
            <w:r>
              <w:rPr>
                <w:rFonts w:ascii="Arial" w:cs="Arial" w:eastAsia="Arial" w:hAnsi="Arial"/>
                <w:sz w:val="16"/>
                <w:szCs w:val="16"/>
                <w:color w:val="auto"/>
                <w:w w:val="74"/>
              </w:rPr>
              <w:t>X</w:t>
            </w:r>
          </w:p>
        </w:tc>
      </w:tr>
      <w:tr>
        <w:trPr>
          <w:trHeight w:val="216"/>
        </w:trPr>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ind w:left="2100"/>
              <w:spacing w:after="0"/>
              <w:rPr>
                <w:sz w:val="20"/>
                <w:szCs w:val="20"/>
                <w:color w:val="auto"/>
              </w:rPr>
            </w:pPr>
            <w:r>
              <w:rPr>
                <w:rFonts w:ascii="Arial" w:cs="Arial" w:eastAsia="Arial" w:hAnsi="Arial"/>
                <w:sz w:val="16"/>
                <w:szCs w:val="16"/>
                <w:color w:val="auto"/>
                <w:w w:val="74"/>
              </w:rPr>
              <w:t>X</w:t>
            </w:r>
          </w:p>
        </w:tc>
      </w:tr>
      <w:tr>
        <w:trPr>
          <w:trHeight w:val="378"/>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April 15, 2021</w:t>
            </w:r>
          </w:p>
        </w:tc>
      </w:tr>
      <w:tr>
        <w:trPr>
          <w:trHeight w:val="378"/>
        </w:trPr>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ind w:left="2100"/>
              <w:spacing w:after="0"/>
              <w:rPr>
                <w:sz w:val="20"/>
                <w:szCs w:val="20"/>
                <w:color w:val="auto"/>
              </w:rPr>
            </w:pPr>
            <w:r>
              <w:rPr>
                <w:rFonts w:ascii="Arial" w:cs="Arial" w:eastAsia="Arial" w:hAnsi="Arial"/>
                <w:sz w:val="16"/>
                <w:szCs w:val="16"/>
                <w:color w:val="auto"/>
                <w:w w:val="74"/>
              </w:rPr>
              <w:t>X</w:t>
            </w:r>
          </w:p>
        </w:tc>
      </w:tr>
      <w:tr>
        <w:trPr>
          <w:trHeight w:val="378"/>
        </w:trPr>
        <w:tc>
          <w:tcPr>
            <w:tcW w:w="600" w:type="dxa"/>
            <w:vAlign w:val="bottom"/>
          </w:tcPr>
          <w:p>
            <w:pPr>
              <w:jc w:val="center"/>
              <w:ind w:right="119"/>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August 8, 2024</w:t>
            </w:r>
          </w:p>
        </w:tc>
      </w:tr>
      <w:tr>
        <w:trPr>
          <w:trHeight w:val="378"/>
        </w:trPr>
        <w:tc>
          <w:tcPr>
            <w:tcW w:w="600" w:type="dxa"/>
            <w:vAlign w:val="bottom"/>
          </w:tcPr>
          <w:p>
            <w:pPr>
              <w:jc w:val="center"/>
              <w:ind w:right="139"/>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680" w:type="dxa"/>
            <w:vAlign w:val="bottom"/>
          </w:tcPr>
          <w:p>
            <w:pPr>
              <w:jc w:val="center"/>
              <w:spacing w:after="0"/>
              <w:rPr>
                <w:sz w:val="20"/>
                <w:szCs w:val="20"/>
                <w:color w:val="auto"/>
              </w:rPr>
            </w:pPr>
            <w:r>
              <w:rPr>
                <w:rFonts w:ascii="Arial" w:cs="Arial" w:eastAsia="Arial" w:hAnsi="Arial"/>
                <w:sz w:val="16"/>
                <w:szCs w:val="16"/>
                <w:color w:val="auto"/>
              </w:rPr>
              <w:t>10.16</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February 28, 2025</w:t>
            </w:r>
          </w:p>
        </w:tc>
      </w:tr>
      <w:tr>
        <w:trPr>
          <w:trHeight w:val="378"/>
        </w:trPr>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ind w:left="2100"/>
              <w:spacing w:after="0"/>
              <w:rPr>
                <w:sz w:val="20"/>
                <w:szCs w:val="20"/>
                <w:color w:val="auto"/>
              </w:rPr>
            </w:pPr>
            <w:r>
              <w:rPr>
                <w:rFonts w:ascii="Arial" w:cs="Arial" w:eastAsia="Arial" w:hAnsi="Arial"/>
                <w:sz w:val="16"/>
                <w:szCs w:val="16"/>
                <w:color w:val="auto"/>
                <w:w w:val="74"/>
              </w:rPr>
              <w:t>X</w:t>
            </w:r>
          </w:p>
        </w:tc>
      </w:tr>
      <w:tr>
        <w:trPr>
          <w:trHeight w:val="378"/>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680" w:type="dxa"/>
            <w:vAlign w:val="bottom"/>
          </w:tcPr>
          <w:p>
            <w:pPr>
              <w:jc w:val="center"/>
              <w:spacing w:after="0"/>
              <w:rPr>
                <w:sz w:val="20"/>
                <w:szCs w:val="20"/>
                <w:color w:val="auto"/>
              </w:rPr>
            </w:pPr>
            <w:r>
              <w:rPr>
                <w:rFonts w:ascii="Arial" w:cs="Arial" w:eastAsia="Arial" w:hAnsi="Arial"/>
                <w:sz w:val="16"/>
                <w:szCs w:val="16"/>
                <w:color w:val="auto"/>
              </w:rPr>
              <w:t>10.22</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April 15, 2021</w:t>
            </w:r>
          </w:p>
        </w:tc>
      </w:tr>
      <w:tr>
        <w:trPr>
          <w:trHeight w:val="378"/>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680" w:type="dxa"/>
            <w:vAlign w:val="bottom"/>
          </w:tcPr>
          <w:p>
            <w:pPr>
              <w:jc w:val="center"/>
              <w:spacing w:after="0"/>
              <w:rPr>
                <w:sz w:val="20"/>
                <w:szCs w:val="20"/>
                <w:color w:val="auto"/>
              </w:rPr>
            </w:pPr>
            <w:r>
              <w:rPr>
                <w:rFonts w:ascii="Arial" w:cs="Arial" w:eastAsia="Arial" w:hAnsi="Arial"/>
                <w:sz w:val="16"/>
                <w:szCs w:val="16"/>
                <w:color w:val="auto"/>
              </w:rPr>
              <w:t>10.23</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April 15, 2021</w:t>
            </w:r>
          </w:p>
        </w:tc>
      </w:tr>
      <w:tr>
        <w:trPr>
          <w:trHeight w:val="378"/>
        </w:trPr>
        <w:tc>
          <w:tcPr>
            <w:tcW w:w="600" w:type="dxa"/>
            <w:vAlign w:val="bottom"/>
          </w:tcPr>
          <w:p>
            <w:pPr>
              <w:jc w:val="center"/>
              <w:ind w:right="139"/>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February 27, 2023</w:t>
            </w:r>
          </w:p>
        </w:tc>
      </w:tr>
      <w:tr>
        <w:trPr>
          <w:trHeight w:val="540"/>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680" w:type="dxa"/>
            <w:vAlign w:val="bottom"/>
          </w:tcPr>
          <w:p>
            <w:pPr>
              <w:jc w:val="center"/>
              <w:spacing w:after="0"/>
              <w:rPr>
                <w:sz w:val="20"/>
                <w:szCs w:val="20"/>
                <w:color w:val="auto"/>
              </w:rPr>
            </w:pPr>
            <w:r>
              <w:rPr>
                <w:rFonts w:ascii="Arial" w:cs="Arial" w:eastAsia="Arial" w:hAnsi="Arial"/>
                <w:sz w:val="16"/>
                <w:szCs w:val="16"/>
                <w:color w:val="auto"/>
              </w:rPr>
              <w:t>10.14</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April 15, 2021</w:t>
            </w:r>
          </w:p>
        </w:tc>
      </w:tr>
      <w:tr>
        <w:trPr>
          <w:trHeight w:val="378"/>
        </w:trPr>
        <w:tc>
          <w:tcPr>
            <w:tcW w:w="600" w:type="dxa"/>
            <w:vAlign w:val="bottom"/>
          </w:tcPr>
          <w:p>
            <w:pPr>
              <w:jc w:val="center"/>
              <w:ind w:right="139"/>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680" w:type="dxa"/>
            <w:vAlign w:val="bottom"/>
          </w:tcPr>
          <w:p>
            <w:pPr>
              <w:jc w:val="center"/>
              <w:spacing w:after="0"/>
              <w:rPr>
                <w:sz w:val="20"/>
                <w:szCs w:val="20"/>
                <w:color w:val="auto"/>
              </w:rPr>
            </w:pPr>
            <w:r>
              <w:rPr>
                <w:rFonts w:ascii="Arial" w:cs="Arial" w:eastAsia="Arial" w:hAnsi="Arial"/>
                <w:sz w:val="16"/>
                <w:szCs w:val="16"/>
                <w:color w:val="auto"/>
                <w:w w:val="94"/>
              </w:rPr>
              <w:t>10.11</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March 23, 2022</w:t>
            </w:r>
          </w:p>
        </w:tc>
      </w:tr>
      <w:tr>
        <w:trPr>
          <w:trHeight w:val="378"/>
        </w:trPr>
        <w:tc>
          <w:tcPr>
            <w:tcW w:w="600" w:type="dxa"/>
            <w:vAlign w:val="bottom"/>
          </w:tcPr>
          <w:p>
            <w:pPr>
              <w:jc w:val="center"/>
              <w:ind w:right="139"/>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680" w:type="dxa"/>
            <w:vAlign w:val="bottom"/>
          </w:tcPr>
          <w:p>
            <w:pPr>
              <w:jc w:val="center"/>
              <w:spacing w:after="0"/>
              <w:rPr>
                <w:sz w:val="20"/>
                <w:szCs w:val="20"/>
                <w:color w:val="auto"/>
              </w:rPr>
            </w:pPr>
            <w:r>
              <w:rPr>
                <w:rFonts w:ascii="Arial" w:cs="Arial" w:eastAsia="Arial" w:hAnsi="Arial"/>
                <w:sz w:val="16"/>
                <w:szCs w:val="16"/>
                <w:color w:val="auto"/>
              </w:rPr>
              <w:t>10.21</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February 29, 2024</w:t>
            </w:r>
          </w:p>
        </w:tc>
      </w:tr>
      <w:tr>
        <w:trPr>
          <w:trHeight w:val="540"/>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680" w:type="dxa"/>
            <w:vAlign w:val="bottom"/>
          </w:tcPr>
          <w:p>
            <w:pPr>
              <w:jc w:val="center"/>
              <w:spacing w:after="0"/>
              <w:rPr>
                <w:sz w:val="20"/>
                <w:szCs w:val="20"/>
                <w:color w:val="auto"/>
              </w:rPr>
            </w:pPr>
            <w:r>
              <w:rPr>
                <w:rFonts w:ascii="Arial" w:cs="Arial" w:eastAsia="Arial" w:hAnsi="Arial"/>
                <w:sz w:val="16"/>
                <w:szCs w:val="16"/>
                <w:color w:val="auto"/>
              </w:rPr>
              <w:t>10.15</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April 15, 2021</w:t>
            </w:r>
          </w:p>
        </w:tc>
      </w:tr>
      <w:tr>
        <w:trPr>
          <w:trHeight w:val="540"/>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680" w:type="dxa"/>
            <w:vAlign w:val="bottom"/>
          </w:tcPr>
          <w:p>
            <w:pPr>
              <w:jc w:val="center"/>
              <w:spacing w:after="0"/>
              <w:rPr>
                <w:sz w:val="20"/>
                <w:szCs w:val="20"/>
                <w:color w:val="auto"/>
              </w:rPr>
            </w:pPr>
            <w:r>
              <w:rPr>
                <w:rFonts w:ascii="Arial" w:cs="Arial" w:eastAsia="Arial" w:hAnsi="Arial"/>
                <w:sz w:val="16"/>
                <w:szCs w:val="16"/>
                <w:color w:val="auto"/>
              </w:rPr>
              <w:t>10.16</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April 15, 2021</w:t>
            </w:r>
          </w:p>
        </w:tc>
      </w:tr>
      <w:tr>
        <w:trPr>
          <w:trHeight w:val="378"/>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680" w:type="dxa"/>
            <w:vAlign w:val="bottom"/>
          </w:tcPr>
          <w:p>
            <w:pPr>
              <w:jc w:val="center"/>
              <w:spacing w:after="0"/>
              <w:rPr>
                <w:sz w:val="20"/>
                <w:szCs w:val="20"/>
                <w:color w:val="auto"/>
              </w:rPr>
            </w:pPr>
            <w:r>
              <w:rPr>
                <w:rFonts w:ascii="Arial" w:cs="Arial" w:eastAsia="Arial" w:hAnsi="Arial"/>
                <w:sz w:val="16"/>
                <w:szCs w:val="16"/>
                <w:color w:val="auto"/>
              </w:rPr>
              <w:t>10.17</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April 15, 2021</w:t>
            </w:r>
          </w:p>
        </w:tc>
      </w:tr>
      <w:tr>
        <w:trPr>
          <w:trHeight w:val="378"/>
        </w:trPr>
        <w:tc>
          <w:tcPr>
            <w:tcW w:w="600" w:type="dxa"/>
            <w:vAlign w:val="bottom"/>
          </w:tcPr>
          <w:p>
            <w:pPr>
              <w:jc w:val="center"/>
              <w:ind w:right="139"/>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680" w:type="dxa"/>
            <w:vAlign w:val="bottom"/>
          </w:tcPr>
          <w:p>
            <w:pPr>
              <w:jc w:val="center"/>
              <w:spacing w:after="0"/>
              <w:rPr>
                <w:sz w:val="20"/>
                <w:szCs w:val="20"/>
                <w:color w:val="auto"/>
              </w:rPr>
            </w:pPr>
            <w:r>
              <w:rPr>
                <w:rFonts w:ascii="Arial" w:cs="Arial" w:eastAsia="Arial" w:hAnsi="Arial"/>
                <w:sz w:val="16"/>
                <w:szCs w:val="16"/>
                <w:color w:val="auto"/>
              </w:rPr>
              <w:t>10.25</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March 23, 2022</w:t>
            </w:r>
          </w:p>
        </w:tc>
      </w:tr>
      <w:tr>
        <w:trPr>
          <w:trHeight w:val="378"/>
        </w:trPr>
        <w:tc>
          <w:tcPr>
            <w:tcW w:w="600" w:type="dxa"/>
            <w:vAlign w:val="bottom"/>
          </w:tcPr>
          <w:p>
            <w:pPr>
              <w:jc w:val="center"/>
              <w:ind w:right="119"/>
              <w:spacing w:after="0"/>
              <w:rPr>
                <w:sz w:val="20"/>
                <w:szCs w:val="20"/>
                <w:color w:val="auto"/>
              </w:rPr>
            </w:pPr>
            <w:r>
              <w:rPr>
                <w:rFonts w:ascii="Arial" w:cs="Arial" w:eastAsia="Arial" w:hAnsi="Arial"/>
                <w:sz w:val="16"/>
                <w:szCs w:val="16"/>
                <w:color w:val="auto"/>
              </w:rPr>
              <w:t>10-Q</w:t>
            </w:r>
          </w:p>
        </w:tc>
        <w:tc>
          <w:tcPr>
            <w:tcW w:w="126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November 9, 2023</w:t>
            </w:r>
          </w:p>
        </w:tc>
      </w:tr>
      <w:tr>
        <w:trPr>
          <w:trHeight w:val="378"/>
        </w:trPr>
        <w:tc>
          <w:tcPr>
            <w:tcW w:w="600" w:type="dxa"/>
            <w:vAlign w:val="bottom"/>
          </w:tcPr>
          <w:p>
            <w:pPr>
              <w:jc w:val="center"/>
              <w:ind w:right="139"/>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680" w:type="dxa"/>
            <w:vAlign w:val="bottom"/>
          </w:tcPr>
          <w:p>
            <w:pPr>
              <w:jc w:val="center"/>
              <w:spacing w:after="0"/>
              <w:rPr>
                <w:sz w:val="20"/>
                <w:szCs w:val="20"/>
                <w:color w:val="auto"/>
              </w:rPr>
            </w:pPr>
            <w:r>
              <w:rPr>
                <w:rFonts w:ascii="Arial" w:cs="Arial" w:eastAsia="Arial" w:hAnsi="Arial"/>
                <w:sz w:val="16"/>
                <w:szCs w:val="16"/>
                <w:color w:val="auto"/>
              </w:rPr>
              <w:t>10.35</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February 28, 2025</w:t>
            </w:r>
          </w:p>
        </w:tc>
      </w:tr>
      <w:tr>
        <w:trPr>
          <w:trHeight w:val="540"/>
        </w:trPr>
        <w:tc>
          <w:tcPr>
            <w:tcW w:w="600" w:type="dxa"/>
            <w:vAlign w:val="bottom"/>
          </w:tcPr>
          <w:p>
            <w:pPr>
              <w:jc w:val="center"/>
              <w:ind w:right="139"/>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680" w:type="dxa"/>
            <w:vAlign w:val="bottom"/>
          </w:tcPr>
          <w:p>
            <w:pPr>
              <w:jc w:val="center"/>
              <w:spacing w:after="0"/>
              <w:rPr>
                <w:sz w:val="20"/>
                <w:szCs w:val="20"/>
                <w:color w:val="auto"/>
              </w:rPr>
            </w:pPr>
            <w:r>
              <w:rPr>
                <w:rFonts w:ascii="Arial" w:cs="Arial" w:eastAsia="Arial" w:hAnsi="Arial"/>
                <w:sz w:val="16"/>
                <w:szCs w:val="16"/>
                <w:color w:val="auto"/>
              </w:rPr>
              <w:t>10.36</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February 28, 2025</w:t>
            </w:r>
          </w:p>
        </w:tc>
      </w:tr>
      <w:tr>
        <w:trPr>
          <w:trHeight w:val="540"/>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w w:val="99"/>
              </w:rPr>
              <w:t>Oct. 25, 2022</w:t>
            </w:r>
          </w:p>
        </w:tc>
      </w:tr>
      <w:tr>
        <w:trPr>
          <w:trHeight w:val="378"/>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6"/>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2200" w:type="dxa"/>
            <w:vAlign w:val="bottom"/>
          </w:tcPr>
          <w:p>
            <w:pPr>
              <w:jc w:val="center"/>
              <w:ind w:right="439"/>
              <w:spacing w:after="0"/>
              <w:rPr>
                <w:sz w:val="20"/>
                <w:szCs w:val="20"/>
                <w:color w:val="auto"/>
              </w:rPr>
            </w:pPr>
            <w:r>
              <w:rPr>
                <w:rFonts w:ascii="Arial" w:cs="Arial" w:eastAsia="Arial" w:hAnsi="Arial"/>
                <w:sz w:val="16"/>
                <w:szCs w:val="16"/>
                <w:color w:val="auto"/>
              </w:rPr>
              <w:t>July 12, 2023</w:t>
            </w:r>
          </w:p>
        </w:tc>
      </w:tr>
    </w:tbl>
    <w:p>
      <w:pPr>
        <w:sectPr>
          <w:pgSz w:w="11900" w:h="16838" w:orient="portrait"/>
          <w:cols w:equalWidth="0" w:num="2">
            <w:col w:w="5520" w:space="280"/>
            <w:col w:w="4740"/>
          </w:cols>
          <w:pgMar w:left="540" w:top="976" w:right="819" w:bottom="1440" w:gutter="0" w:footer="0" w:header="0"/>
        </w:sectPr>
      </w:pPr>
    </w:p>
    <w:bookmarkStart w:id="201" w:name="page202"/>
    <w:bookmarkEnd w:id="201"/>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840" w:type="dxa"/>
            <w:vAlign w:val="bottom"/>
          </w:tcPr>
          <w:p>
            <w:pPr>
              <w:jc w:val="center"/>
              <w:ind w:right="119"/>
              <w:spacing w:after="0"/>
              <w:rPr>
                <w:sz w:val="20"/>
                <w:szCs w:val="20"/>
                <w:color w:val="auto"/>
              </w:rPr>
            </w:pPr>
            <w:r>
              <w:rPr>
                <w:rFonts w:ascii="Arial" w:cs="Arial" w:eastAsia="Arial" w:hAnsi="Arial"/>
                <w:sz w:val="16"/>
                <w:szCs w:val="16"/>
                <w:color w:val="auto"/>
              </w:rPr>
              <w:t>10.35^</w:t>
            </w:r>
          </w:p>
        </w:tc>
        <w:tc>
          <w:tcPr>
            <w:tcW w:w="4720" w:type="dxa"/>
            <w:vAlign w:val="bottom"/>
            <w:gridSpan w:val="22"/>
          </w:tcPr>
          <w:p>
            <w:pPr>
              <w:spacing w:after="0"/>
              <w:rPr>
                <w:sz w:val="20"/>
                <w:szCs w:val="20"/>
                <w:color w:val="auto"/>
              </w:rPr>
            </w:pPr>
            <w:r>
              <w:rPr>
                <w:rFonts w:ascii="Arial" w:cs="Arial" w:eastAsia="Arial" w:hAnsi="Arial"/>
                <w:sz w:val="16"/>
                <w:szCs w:val="16"/>
                <w:color w:val="0000FF"/>
              </w:rPr>
              <w:t>Sales Agreement dated February 25, 2026 by and between the</w:t>
            </w: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142"/>
        </w:trPr>
        <w:tc>
          <w:tcPr>
            <w:tcW w:w="840" w:type="dxa"/>
            <w:vAlign w:val="bottom"/>
          </w:tcPr>
          <w:p>
            <w:pPr>
              <w:spacing w:after="0"/>
              <w:rPr>
                <w:sz w:val="12"/>
                <w:szCs w:val="12"/>
                <w:color w:val="auto"/>
              </w:rPr>
            </w:pPr>
          </w:p>
        </w:tc>
        <w:tc>
          <w:tcPr>
            <w:tcW w:w="452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Registrant and TD Securities (USA), LLC</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40" w:type="dxa"/>
            <w:vAlign w:val="bottom"/>
          </w:tcPr>
          <w:p>
            <w:pPr>
              <w:jc w:val="center"/>
              <w:ind w:right="119"/>
              <w:spacing w:after="0"/>
              <w:rPr>
                <w:sz w:val="20"/>
                <w:szCs w:val="20"/>
                <w:color w:val="auto"/>
              </w:rPr>
            </w:pPr>
            <w:r>
              <w:rPr>
                <w:rFonts w:ascii="Arial" w:cs="Arial" w:eastAsia="Arial" w:hAnsi="Arial"/>
                <w:sz w:val="16"/>
                <w:szCs w:val="16"/>
                <w:color w:val="auto"/>
              </w:rPr>
              <w:t>10.36^</w:t>
            </w:r>
          </w:p>
        </w:tc>
        <w:tc>
          <w:tcPr>
            <w:tcW w:w="4720" w:type="dxa"/>
            <w:vAlign w:val="bottom"/>
            <w:gridSpan w:val="22"/>
          </w:tcPr>
          <w:p>
            <w:pPr>
              <w:spacing w:after="0"/>
              <w:rPr>
                <w:rFonts w:ascii="Arial" w:cs="Arial" w:eastAsia="Arial" w:hAnsi="Arial"/>
                <w:sz w:val="16"/>
                <w:szCs w:val="16"/>
                <w:color w:val="0000FF"/>
              </w:rPr>
            </w:pPr>
            <w:hyperlink r:id="rId322">
              <w:r>
                <w:rPr>
                  <w:rFonts w:ascii="Arial" w:cs="Arial" w:eastAsia="Arial" w:hAnsi="Arial"/>
                  <w:sz w:val="16"/>
                  <w:szCs w:val="16"/>
                  <w:color w:val="0000FF"/>
                </w:rPr>
                <w:t>Sales Agreement dated February 28, 2025 by and between the</w:t>
              </w:r>
            </w:hyperlink>
          </w:p>
        </w:tc>
        <w:tc>
          <w:tcPr>
            <w:tcW w:w="900" w:type="dxa"/>
            <w:vAlign w:val="bottom"/>
          </w:tcPr>
          <w:p>
            <w:pPr>
              <w:jc w:val="center"/>
              <w:spacing w:after="0"/>
              <w:rPr>
                <w:sz w:val="20"/>
                <w:szCs w:val="20"/>
                <w:color w:val="auto"/>
              </w:rPr>
            </w:pPr>
            <w:r>
              <w:rPr>
                <w:rFonts w:ascii="Arial" w:cs="Arial" w:eastAsia="Arial" w:hAnsi="Arial"/>
                <w:sz w:val="16"/>
                <w:szCs w:val="16"/>
                <w:color w:val="auto"/>
              </w:rPr>
              <w:t>10-K</w:t>
            </w:r>
          </w:p>
        </w:tc>
        <w:tc>
          <w:tcPr>
            <w:tcW w:w="1140" w:type="dxa"/>
            <w:vAlign w:val="bottom"/>
          </w:tcPr>
          <w:p>
            <w:pPr>
              <w:ind w:left="240"/>
              <w:spacing w:after="0"/>
              <w:rPr>
                <w:sz w:val="20"/>
                <w:szCs w:val="20"/>
                <w:color w:val="auto"/>
              </w:rPr>
            </w:pPr>
            <w:r>
              <w:rPr>
                <w:rFonts w:ascii="Arial" w:cs="Arial" w:eastAsia="Arial" w:hAnsi="Arial"/>
                <w:sz w:val="16"/>
                <w:szCs w:val="16"/>
                <w:color w:val="auto"/>
              </w:rPr>
              <w:t>001-40323</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10.39</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February 28, 2025</w:t>
            </w:r>
          </w:p>
        </w:tc>
      </w:tr>
      <w:tr>
        <w:trPr>
          <w:trHeight w:val="142"/>
        </w:trPr>
        <w:tc>
          <w:tcPr>
            <w:tcW w:w="84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322">
              <w:r>
                <w:rPr>
                  <w:rFonts w:ascii="Arial" w:cs="Arial" w:eastAsia="Arial" w:hAnsi="Arial"/>
                  <w:sz w:val="16"/>
                  <w:szCs w:val="16"/>
                  <w:color w:val="0000FF"/>
                </w:rPr>
                <w:t>Registrant and Citigroup Capital Markets Inc.</w:t>
              </w:r>
            </w:hyperlink>
          </w:p>
        </w:tc>
        <w:tc>
          <w:tcPr>
            <w:tcW w:w="1280" w:type="dxa"/>
            <w:vAlign w:val="bottom"/>
            <w:tcBorders>
              <w:top w:val="single" w:sz="8" w:color="0000FF"/>
            </w:tcBorders>
            <w:gridSpan w:val="6"/>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10.37</w:t>
            </w:r>
          </w:p>
        </w:tc>
        <w:tc>
          <w:tcPr>
            <w:tcW w:w="4720" w:type="dxa"/>
            <w:vAlign w:val="bottom"/>
            <w:gridSpan w:val="22"/>
          </w:tcPr>
          <w:p>
            <w:pPr>
              <w:spacing w:after="0"/>
              <w:rPr>
                <w:rFonts w:ascii="Arial" w:cs="Arial" w:eastAsia="Arial" w:hAnsi="Arial"/>
                <w:sz w:val="16"/>
                <w:szCs w:val="16"/>
                <w:color w:val="0000FF"/>
              </w:rPr>
            </w:pPr>
            <w:hyperlink r:id="rId323">
              <w:r>
                <w:rPr>
                  <w:rFonts w:ascii="Arial" w:cs="Arial" w:eastAsia="Arial" w:hAnsi="Arial"/>
                  <w:sz w:val="16"/>
                  <w:szCs w:val="16"/>
                  <w:color w:val="0000FF"/>
                </w:rPr>
                <w:t>Form of Voting and Support Agreement.</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960" w:type="dxa"/>
            <w:vAlign w:val="bottom"/>
            <w:gridSpan w:val="2"/>
          </w:tcPr>
          <w:p>
            <w:pPr>
              <w:ind w:left="240"/>
              <w:spacing w:after="0"/>
              <w:rPr>
                <w:sz w:val="20"/>
                <w:szCs w:val="20"/>
                <w:color w:val="auto"/>
              </w:rPr>
            </w:pPr>
            <w:r>
              <w:rPr>
                <w:rFonts w:ascii="Arial" w:cs="Arial" w:eastAsia="Arial" w:hAnsi="Arial"/>
                <w:sz w:val="16"/>
                <w:szCs w:val="16"/>
                <w:color w:val="auto"/>
              </w:rPr>
              <w:t>001-40323   10.1</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August 8, 2024</w:t>
            </w: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10.38</w:t>
            </w:r>
          </w:p>
        </w:tc>
        <w:tc>
          <w:tcPr>
            <w:tcW w:w="4720" w:type="dxa"/>
            <w:vAlign w:val="bottom"/>
            <w:gridSpan w:val="22"/>
          </w:tcPr>
          <w:p>
            <w:pPr>
              <w:spacing w:after="0"/>
              <w:rPr>
                <w:rFonts w:ascii="Arial" w:cs="Arial" w:eastAsia="Arial" w:hAnsi="Arial"/>
                <w:sz w:val="16"/>
                <w:szCs w:val="16"/>
                <w:color w:val="0000FF"/>
              </w:rPr>
            </w:pPr>
            <w:hyperlink r:id="rId324">
              <w:r>
                <w:rPr>
                  <w:rFonts w:ascii="Arial" w:cs="Arial" w:eastAsia="Arial" w:hAnsi="Arial"/>
                  <w:sz w:val="16"/>
                  <w:szCs w:val="16"/>
                  <w:color w:val="0000FF"/>
                </w:rPr>
                <w:t>Form of Irrevocable Undertaking (Institutional).</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960" w:type="dxa"/>
            <w:vAlign w:val="bottom"/>
            <w:gridSpan w:val="2"/>
          </w:tcPr>
          <w:p>
            <w:pPr>
              <w:ind w:left="240"/>
              <w:spacing w:after="0"/>
              <w:rPr>
                <w:sz w:val="20"/>
                <w:szCs w:val="20"/>
                <w:color w:val="auto"/>
              </w:rPr>
            </w:pPr>
            <w:r>
              <w:rPr>
                <w:rFonts w:ascii="Arial" w:cs="Arial" w:eastAsia="Arial" w:hAnsi="Arial"/>
                <w:sz w:val="16"/>
                <w:szCs w:val="16"/>
                <w:color w:val="auto"/>
              </w:rPr>
              <w:t>001-40323   10.2</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August 8, 2024</w:t>
            </w: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10.39</w:t>
            </w:r>
          </w:p>
        </w:tc>
        <w:tc>
          <w:tcPr>
            <w:tcW w:w="322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r:id="rId325">
              <w:r>
                <w:rPr>
                  <w:rFonts w:ascii="Arial" w:cs="Arial" w:eastAsia="Arial" w:hAnsi="Arial"/>
                  <w:sz w:val="16"/>
                  <w:szCs w:val="16"/>
                  <w:color w:val="0000FF"/>
                </w:rPr>
                <w:t>Form of Irrevocable Undertaking (Individual).</w:t>
              </w:r>
            </w:hyperlink>
          </w:p>
        </w:tc>
        <w:tc>
          <w:tcPr>
            <w:tcW w:w="120" w:type="dxa"/>
            <w:vAlign w:val="bottom"/>
            <w:tcBorders>
              <w:top w:val="single" w:sz="8" w:color="0000FF"/>
            </w:tcBorders>
            <w:gridSpan w:val="2"/>
          </w:tcPr>
          <w:p>
            <w:pPr>
              <w:spacing w:after="0"/>
              <w:rPr>
                <w:sz w:val="17"/>
                <w:szCs w:val="17"/>
                <w:color w:val="auto"/>
              </w:rPr>
            </w:pPr>
          </w:p>
        </w:tc>
        <w:tc>
          <w:tcPr>
            <w:tcW w:w="1380" w:type="dxa"/>
            <w:vAlign w:val="bottom"/>
            <w:gridSpan w:val="12"/>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960" w:type="dxa"/>
            <w:vAlign w:val="bottom"/>
            <w:gridSpan w:val="2"/>
          </w:tcPr>
          <w:p>
            <w:pPr>
              <w:ind w:left="240"/>
              <w:spacing w:after="0"/>
              <w:rPr>
                <w:sz w:val="20"/>
                <w:szCs w:val="20"/>
                <w:color w:val="auto"/>
              </w:rPr>
            </w:pPr>
            <w:r>
              <w:rPr>
                <w:rFonts w:ascii="Arial" w:cs="Arial" w:eastAsia="Arial" w:hAnsi="Arial"/>
                <w:sz w:val="16"/>
                <w:szCs w:val="16"/>
                <w:color w:val="auto"/>
              </w:rPr>
              <w:t>001-40323   10.3</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August 8, 2024</w:t>
            </w: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10.40</w:t>
            </w:r>
          </w:p>
        </w:tc>
        <w:tc>
          <w:tcPr>
            <w:tcW w:w="4720" w:type="dxa"/>
            <w:vAlign w:val="bottom"/>
            <w:gridSpan w:val="22"/>
          </w:tcPr>
          <w:p>
            <w:pPr>
              <w:spacing w:after="0"/>
              <w:rPr>
                <w:rFonts w:ascii="Arial" w:cs="Arial" w:eastAsia="Arial" w:hAnsi="Arial"/>
                <w:sz w:val="16"/>
                <w:szCs w:val="16"/>
                <w:color w:val="0000FF"/>
              </w:rPr>
            </w:pPr>
            <w:hyperlink r:id="rId326">
              <w:r>
                <w:rPr>
                  <w:rFonts w:ascii="Arial" w:cs="Arial" w:eastAsia="Arial" w:hAnsi="Arial"/>
                  <w:sz w:val="16"/>
                  <w:szCs w:val="16"/>
                  <w:color w:val="0000FF"/>
                </w:rPr>
                <w:t>Irrevocable Undertaking of Evotec SE dated August 28, 2024.</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140" w:type="dxa"/>
            <w:vAlign w:val="bottom"/>
          </w:tcPr>
          <w:p>
            <w:pPr>
              <w:ind w:left="240"/>
              <w:spacing w:after="0"/>
              <w:rPr>
                <w:sz w:val="20"/>
                <w:szCs w:val="20"/>
                <w:color w:val="auto"/>
              </w:rPr>
            </w:pPr>
            <w:r>
              <w:rPr>
                <w:rFonts w:ascii="Arial" w:cs="Arial" w:eastAsia="Arial" w:hAnsi="Arial"/>
                <w:sz w:val="16"/>
                <w:szCs w:val="16"/>
                <w:color w:val="auto"/>
              </w:rPr>
              <w:t>001-40323</w:t>
            </w:r>
          </w:p>
        </w:tc>
        <w:tc>
          <w:tcPr>
            <w:tcW w:w="820" w:type="dxa"/>
            <w:vAlign w:val="bottom"/>
          </w:tcPr>
          <w:p>
            <w:pPr>
              <w:jc w:val="right"/>
              <w:ind w:right="299"/>
              <w:spacing w:after="0"/>
              <w:rPr>
                <w:sz w:val="20"/>
                <w:szCs w:val="20"/>
                <w:color w:val="auto"/>
              </w:rPr>
            </w:pPr>
            <w:r>
              <w:rPr>
                <w:rFonts w:ascii="Arial" w:cs="Arial" w:eastAsia="Arial" w:hAnsi="Arial"/>
                <w:sz w:val="16"/>
                <w:szCs w:val="16"/>
                <w:color w:val="auto"/>
              </w:rPr>
              <w:t>10.1</w:t>
            </w:r>
          </w:p>
        </w:tc>
        <w:tc>
          <w:tcPr>
            <w:tcW w:w="2160" w:type="dxa"/>
            <w:vAlign w:val="bottom"/>
          </w:tcPr>
          <w:p>
            <w:pPr>
              <w:jc w:val="center"/>
              <w:ind w:right="499"/>
              <w:spacing w:after="0"/>
              <w:rPr>
                <w:sz w:val="20"/>
                <w:szCs w:val="20"/>
                <w:color w:val="auto"/>
              </w:rPr>
            </w:pPr>
            <w:r>
              <w:rPr>
                <w:rFonts w:ascii="Arial" w:cs="Arial" w:eastAsia="Arial" w:hAnsi="Arial"/>
                <w:sz w:val="16"/>
                <w:szCs w:val="16"/>
                <w:color w:val="auto"/>
              </w:rPr>
              <w:t>August 28, 2024</w:t>
            </w: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8"/>
              </w:rPr>
              <w:t>19.1^</w:t>
            </w:r>
          </w:p>
        </w:tc>
        <w:tc>
          <w:tcPr>
            <w:tcW w:w="396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6"/>
                <w:szCs w:val="16"/>
                <w:color w:val="0000FF"/>
              </w:rPr>
              <w:t>Recursion Pharmaceuticals, Inc. Insider Trading Policy.</w:t>
            </w:r>
          </w:p>
        </w:tc>
        <w:tc>
          <w:tcPr>
            <w:tcW w:w="460" w:type="dxa"/>
            <w:vAlign w:val="bottom"/>
            <w:tcBorders>
              <w:top w:val="single" w:sz="8" w:color="0000FF"/>
            </w:tcBorders>
            <w:gridSpan w:val="2"/>
          </w:tcPr>
          <w:p>
            <w:pPr>
              <w:spacing w:after="0"/>
              <w:rPr>
                <w:sz w:val="17"/>
                <w:szCs w:val="17"/>
                <w:color w:val="auto"/>
              </w:rPr>
            </w:pPr>
          </w:p>
        </w:tc>
        <w:tc>
          <w:tcPr>
            <w:tcW w:w="30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6"/>
              </w:rPr>
              <w:t>21.1</w:t>
            </w:r>
          </w:p>
        </w:tc>
        <w:tc>
          <w:tcPr>
            <w:tcW w:w="4720" w:type="dxa"/>
            <w:vAlign w:val="bottom"/>
            <w:gridSpan w:val="22"/>
          </w:tcPr>
          <w:p>
            <w:pPr>
              <w:spacing w:after="0"/>
              <w:rPr>
                <w:sz w:val="20"/>
                <w:szCs w:val="20"/>
                <w:color w:val="auto"/>
              </w:rPr>
            </w:pPr>
            <w:r>
              <w:rPr>
                <w:rFonts w:ascii="Arial" w:cs="Arial" w:eastAsia="Arial" w:hAnsi="Arial"/>
                <w:sz w:val="16"/>
                <w:szCs w:val="16"/>
                <w:color w:val="0000FF"/>
              </w:rPr>
              <w:t>List of Subsidiaries.</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6"/>
              </w:rPr>
              <w:t>23.1</w:t>
            </w:r>
          </w:p>
        </w:tc>
        <w:tc>
          <w:tcPr>
            <w:tcW w:w="4720" w:type="dxa"/>
            <w:vAlign w:val="bottom"/>
            <w:gridSpan w:val="22"/>
          </w:tcPr>
          <w:p>
            <w:pPr>
              <w:spacing w:after="0"/>
              <w:rPr>
                <w:sz w:val="20"/>
                <w:szCs w:val="20"/>
                <w:color w:val="auto"/>
              </w:rPr>
            </w:pPr>
            <w:r>
              <w:rPr>
                <w:rFonts w:ascii="Arial" w:cs="Arial" w:eastAsia="Arial" w:hAnsi="Arial"/>
                <w:sz w:val="16"/>
                <w:szCs w:val="16"/>
                <w:color w:val="0000FF"/>
              </w:rPr>
              <w:t>Consent of PricewaterhouseCoopers LLP</w:t>
            </w:r>
            <w:r>
              <w:rPr>
                <w:rFonts w:ascii="Arial" w:cs="Arial" w:eastAsia="Arial" w:hAnsi="Arial"/>
                <w:sz w:val="16"/>
                <w:szCs w:val="16"/>
                <w:color w:val="000000"/>
              </w:rPr>
              <w:t>.</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210"/>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6"/>
              </w:rPr>
              <w:t>23.2</w:t>
            </w:r>
          </w:p>
        </w:tc>
        <w:tc>
          <w:tcPr>
            <w:tcW w:w="20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rPr>
              <w:t>Consent of Ernst and Young.</w:t>
            </w:r>
          </w:p>
        </w:tc>
        <w:tc>
          <w:tcPr>
            <w:tcW w:w="900" w:type="dxa"/>
            <w:vAlign w:val="bottom"/>
            <w:tcBorders>
              <w:top w:val="single" w:sz="8" w:color="0000FF"/>
            </w:tcBorders>
            <w:gridSpan w:val="3"/>
          </w:tcPr>
          <w:p>
            <w:pPr>
              <w:spacing w:after="0"/>
              <w:rPr>
                <w:sz w:val="18"/>
                <w:szCs w:val="18"/>
                <w:color w:val="auto"/>
              </w:rPr>
            </w:pPr>
          </w:p>
        </w:tc>
        <w:tc>
          <w:tcPr>
            <w:tcW w:w="1740" w:type="dxa"/>
            <w:vAlign w:val="bottom"/>
            <w:gridSpan w:val="15"/>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209"/>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6"/>
              </w:rPr>
              <w:t>24.1</w:t>
            </w:r>
          </w:p>
        </w:tc>
        <w:tc>
          <w:tcPr>
            <w:tcW w:w="4720" w:type="dxa"/>
            <w:vAlign w:val="bottom"/>
            <w:gridSpan w:val="22"/>
          </w:tcPr>
          <w:p>
            <w:pPr>
              <w:spacing w:after="0"/>
              <w:rPr>
                <w:sz w:val="20"/>
                <w:szCs w:val="20"/>
                <w:color w:val="auto"/>
              </w:rPr>
            </w:pPr>
            <w:r>
              <w:rPr>
                <w:rFonts w:ascii="Arial" w:cs="Arial" w:eastAsia="Arial" w:hAnsi="Arial"/>
                <w:sz w:val="16"/>
                <w:szCs w:val="16"/>
                <w:color w:val="0000FF"/>
              </w:rPr>
              <w:t>Power of Attorney (included on signature page to this Annual</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142"/>
        </w:trPr>
        <w:tc>
          <w:tcPr>
            <w:tcW w:w="840" w:type="dxa"/>
            <w:vAlign w:val="bottom"/>
          </w:tcPr>
          <w:p>
            <w:pPr>
              <w:spacing w:after="0"/>
              <w:rPr>
                <w:sz w:val="12"/>
                <w:szCs w:val="12"/>
                <w:color w:val="auto"/>
              </w:rPr>
            </w:pPr>
          </w:p>
        </w:tc>
        <w:tc>
          <w:tcPr>
            <w:tcW w:w="436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Report on Form 10-K)</w:t>
            </w:r>
          </w:p>
        </w:tc>
        <w:tc>
          <w:tcPr>
            <w:tcW w:w="2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6"/>
              </w:rPr>
              <w:t>31.1</w:t>
            </w:r>
          </w:p>
        </w:tc>
        <w:tc>
          <w:tcPr>
            <w:tcW w:w="4720" w:type="dxa"/>
            <w:vAlign w:val="bottom"/>
            <w:gridSpan w:val="22"/>
          </w:tcPr>
          <w:p>
            <w:pPr>
              <w:spacing w:after="0"/>
              <w:rPr>
                <w:sz w:val="20"/>
                <w:szCs w:val="20"/>
                <w:color w:val="auto"/>
              </w:rPr>
            </w:pPr>
            <w:r>
              <w:rPr>
                <w:rFonts w:ascii="Arial" w:cs="Arial" w:eastAsia="Arial" w:hAnsi="Arial"/>
                <w:sz w:val="16"/>
                <w:szCs w:val="16"/>
                <w:color w:val="0000FF"/>
              </w:rPr>
              <w:t>Certification of Principal Executive Officer Pursuant to Rules 13a-</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142"/>
        </w:trPr>
        <w:tc>
          <w:tcPr>
            <w:tcW w:w="840" w:type="dxa"/>
            <w:vAlign w:val="bottom"/>
          </w:tcPr>
          <w:p>
            <w:pPr>
              <w:spacing w:after="0"/>
              <w:rPr>
                <w:sz w:val="12"/>
                <w:szCs w:val="12"/>
                <w:color w:val="auto"/>
              </w:rPr>
            </w:pPr>
          </w:p>
        </w:tc>
        <w:tc>
          <w:tcPr>
            <w:tcW w:w="468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4600" w:type="dxa"/>
            <w:vAlign w:val="bottom"/>
            <w:tcBorders>
              <w:top w:val="single" w:sz="8" w:color="0000FF"/>
              <w:bottom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120" w:type="dxa"/>
            <w:vAlign w:val="bottom"/>
            <w:tcBorders>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w w:val="74"/>
              </w:rPr>
              <w:t>of</w:t>
            </w: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color w:val="0000FF"/>
                <w:w w:val="99"/>
              </w:rPr>
              <w:t>2002.</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6"/>
              </w:rPr>
              <w:t>31.2</w:t>
            </w:r>
          </w:p>
        </w:tc>
        <w:tc>
          <w:tcPr>
            <w:tcW w:w="4720" w:type="dxa"/>
            <w:vAlign w:val="bottom"/>
            <w:gridSpan w:val="22"/>
          </w:tcPr>
          <w:p>
            <w:pPr>
              <w:spacing w:after="0"/>
              <w:rPr>
                <w:sz w:val="20"/>
                <w:szCs w:val="20"/>
                <w:color w:val="auto"/>
              </w:rPr>
            </w:pPr>
            <w:r>
              <w:rPr>
                <w:rFonts w:ascii="Arial" w:cs="Arial" w:eastAsia="Arial" w:hAnsi="Arial"/>
                <w:sz w:val="16"/>
                <w:szCs w:val="16"/>
                <w:color w:val="0000FF"/>
              </w:rPr>
              <w:t>Certification of Principal Financial Officer Pursuant to Rules 13a-</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142"/>
        </w:trPr>
        <w:tc>
          <w:tcPr>
            <w:tcW w:w="840" w:type="dxa"/>
            <w:vAlign w:val="bottom"/>
          </w:tcPr>
          <w:p>
            <w:pPr>
              <w:spacing w:after="0"/>
              <w:rPr>
                <w:sz w:val="12"/>
                <w:szCs w:val="12"/>
                <w:color w:val="auto"/>
              </w:rPr>
            </w:pPr>
          </w:p>
        </w:tc>
        <w:tc>
          <w:tcPr>
            <w:tcW w:w="462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4600" w:type="dxa"/>
            <w:vAlign w:val="bottom"/>
            <w:tcBorders>
              <w:top w:val="single" w:sz="8" w:color="0000FF"/>
              <w:bottom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120" w:type="dxa"/>
            <w:vAlign w:val="bottom"/>
            <w:tcBorders>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w w:val="74"/>
              </w:rPr>
              <w:t>of</w:t>
            </w: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color w:val="0000FF"/>
                <w:w w:val="99"/>
              </w:rPr>
              <w:t>2002.</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32.1*</w:t>
            </w:r>
          </w:p>
        </w:tc>
        <w:tc>
          <w:tcPr>
            <w:tcW w:w="4720" w:type="dxa"/>
            <w:vAlign w:val="bottom"/>
            <w:gridSpan w:val="22"/>
          </w:tcPr>
          <w:p>
            <w:pPr>
              <w:spacing w:after="0"/>
              <w:rPr>
                <w:sz w:val="20"/>
                <w:szCs w:val="20"/>
                <w:color w:val="auto"/>
              </w:rPr>
            </w:pPr>
            <w:r>
              <w:rPr>
                <w:rFonts w:ascii="Arial" w:cs="Arial" w:eastAsia="Arial" w:hAnsi="Arial"/>
                <w:sz w:val="16"/>
                <w:szCs w:val="16"/>
                <w:color w:val="0000FF"/>
              </w:rPr>
              <w:t>Certification of Principal Executive Officer and Principal Financial</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142"/>
        </w:trPr>
        <w:tc>
          <w:tcPr>
            <w:tcW w:w="840" w:type="dxa"/>
            <w:vAlign w:val="bottom"/>
          </w:tcPr>
          <w:p>
            <w:pPr>
              <w:spacing w:after="0"/>
              <w:rPr>
                <w:sz w:val="12"/>
                <w:szCs w:val="12"/>
                <w:color w:val="auto"/>
              </w:rPr>
            </w:pPr>
          </w:p>
        </w:tc>
        <w:tc>
          <w:tcPr>
            <w:tcW w:w="4660" w:type="dxa"/>
            <w:vAlign w:val="bottom"/>
            <w:tcBorders>
              <w:top w:val="single" w:sz="8" w:color="0000FF"/>
              <w:bottom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Officer Pursuant to 18 U.S.C. Section 1350, as Adopted Pursuant</w:t>
            </w: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4700" w:type="dxa"/>
            <w:vAlign w:val="bottom"/>
            <w:gridSpan w:val="21"/>
          </w:tcPr>
          <w:p>
            <w:pPr>
              <w:spacing w:after="0" w:line="142" w:lineRule="exact"/>
              <w:rPr>
                <w:sz w:val="20"/>
                <w:szCs w:val="20"/>
                <w:color w:val="auto"/>
              </w:rPr>
            </w:pPr>
            <w:r>
              <w:rPr>
                <w:rFonts w:ascii="Arial" w:cs="Arial" w:eastAsia="Arial" w:hAnsi="Arial"/>
                <w:sz w:val="16"/>
                <w:szCs w:val="16"/>
                <w:color w:val="0000FF"/>
              </w:rPr>
              <w:t>to Section 906 of the Sarbanes-Oxley Act of 2002</w:t>
            </w:r>
            <w:r>
              <w:rPr>
                <w:rFonts w:ascii="Arial" w:cs="Arial" w:eastAsia="Arial" w:hAnsi="Arial"/>
                <w:sz w:val="16"/>
                <w:szCs w:val="16"/>
                <w:color w:val="000000"/>
              </w:rPr>
              <w:t>.</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3560" w:type="dxa"/>
            <w:vAlign w:val="bottom"/>
            <w:gridSpan w:val="11"/>
            <w:shd w:val="clear" w:color="auto" w:fill="0000FF"/>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6"/>
              </w:rPr>
              <w:t>97.1</w:t>
            </w:r>
          </w:p>
        </w:tc>
        <w:tc>
          <w:tcPr>
            <w:tcW w:w="4720" w:type="dxa"/>
            <w:vAlign w:val="bottom"/>
            <w:gridSpan w:val="22"/>
          </w:tcPr>
          <w:p>
            <w:pPr>
              <w:spacing w:after="0"/>
              <w:rPr>
                <w:rFonts w:ascii="Arial" w:cs="Arial" w:eastAsia="Arial" w:hAnsi="Arial"/>
                <w:sz w:val="16"/>
                <w:szCs w:val="16"/>
                <w:color w:val="0000FF"/>
              </w:rPr>
            </w:pPr>
            <w:hyperlink r:id="rId327">
              <w:r>
                <w:rPr>
                  <w:rFonts w:ascii="Arial" w:cs="Arial" w:eastAsia="Arial" w:hAnsi="Arial"/>
                  <w:sz w:val="16"/>
                  <w:szCs w:val="16"/>
                  <w:color w:val="0000FF"/>
                </w:rPr>
                <w:t>Recursion Pharmaceuticals, Inc. Compensation Recovery Policy</w:t>
              </w:r>
            </w:hyperlink>
            <w:r>
              <w:rPr>
                <w:rFonts w:ascii="Arial" w:cs="Arial" w:eastAsia="Arial" w:hAnsi="Arial"/>
                <w:sz w:val="16"/>
                <w:szCs w:val="16"/>
                <w:color w:val="000000"/>
              </w:rPr>
              <w:t>.</w:t>
            </w:r>
          </w:p>
        </w:tc>
        <w:tc>
          <w:tcPr>
            <w:tcW w:w="900" w:type="dxa"/>
            <w:vAlign w:val="bottom"/>
          </w:tcPr>
          <w:p>
            <w:pPr>
              <w:jc w:val="center"/>
              <w:spacing w:after="0"/>
              <w:rPr>
                <w:sz w:val="20"/>
                <w:szCs w:val="20"/>
                <w:color w:val="auto"/>
              </w:rPr>
            </w:pPr>
            <w:r>
              <w:rPr>
                <w:rFonts w:ascii="Arial" w:cs="Arial" w:eastAsia="Arial" w:hAnsi="Arial"/>
                <w:sz w:val="16"/>
                <w:szCs w:val="16"/>
                <w:color w:val="auto"/>
              </w:rPr>
              <w:t>10-K</w:t>
            </w:r>
          </w:p>
        </w:tc>
        <w:tc>
          <w:tcPr>
            <w:tcW w:w="1140" w:type="dxa"/>
            <w:vAlign w:val="bottom"/>
          </w:tcPr>
          <w:p>
            <w:pPr>
              <w:ind w:left="240"/>
              <w:spacing w:after="0"/>
              <w:rPr>
                <w:sz w:val="20"/>
                <w:szCs w:val="20"/>
                <w:color w:val="auto"/>
              </w:rPr>
            </w:pPr>
            <w:r>
              <w:rPr>
                <w:rFonts w:ascii="Arial" w:cs="Arial" w:eastAsia="Arial" w:hAnsi="Arial"/>
                <w:sz w:val="16"/>
                <w:szCs w:val="16"/>
                <w:color w:val="auto"/>
              </w:rPr>
              <w:t>001-40323</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97.1</w:t>
            </w:r>
          </w:p>
        </w:tc>
        <w:tc>
          <w:tcPr>
            <w:tcW w:w="2160" w:type="dxa"/>
            <w:vAlign w:val="bottom"/>
          </w:tcPr>
          <w:p>
            <w:pPr>
              <w:jc w:val="center"/>
              <w:ind w:right="479"/>
              <w:spacing w:after="0"/>
              <w:rPr>
                <w:sz w:val="20"/>
                <w:szCs w:val="20"/>
                <w:color w:val="auto"/>
              </w:rPr>
            </w:pPr>
            <w:r>
              <w:rPr>
                <w:rFonts w:ascii="Arial" w:cs="Arial" w:eastAsia="Arial" w:hAnsi="Arial"/>
                <w:sz w:val="16"/>
                <w:szCs w:val="16"/>
                <w:color w:val="auto"/>
              </w:rPr>
              <w:t>February 29, 2024</w:t>
            </w:r>
          </w:p>
        </w:tc>
      </w:tr>
      <w:tr>
        <w:trPr>
          <w:trHeight w:val="234"/>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101.INS</w:t>
            </w:r>
          </w:p>
        </w:tc>
        <w:tc>
          <w:tcPr>
            <w:tcW w:w="464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auto"/>
              </w:rPr>
              <w:t>XBRL Instance Document</w:t>
            </w:r>
          </w:p>
        </w:tc>
        <w:tc>
          <w:tcPr>
            <w:tcW w:w="80" w:type="dxa"/>
            <w:vAlign w:val="bottom"/>
            <w:gridSpan w:val="4"/>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21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101.SCH</w:t>
            </w:r>
          </w:p>
        </w:tc>
        <w:tc>
          <w:tcPr>
            <w:tcW w:w="4720" w:type="dxa"/>
            <w:vAlign w:val="bottom"/>
            <w:gridSpan w:val="22"/>
          </w:tcPr>
          <w:p>
            <w:pPr>
              <w:spacing w:after="0"/>
              <w:rPr>
                <w:sz w:val="20"/>
                <w:szCs w:val="20"/>
                <w:color w:val="auto"/>
              </w:rPr>
            </w:pPr>
            <w:r>
              <w:rPr>
                <w:rFonts w:ascii="Arial" w:cs="Arial" w:eastAsia="Arial" w:hAnsi="Arial"/>
                <w:sz w:val="16"/>
                <w:szCs w:val="16"/>
                <w:color w:val="auto"/>
              </w:rPr>
              <w:t>XBRL Taxonomy Extension Schema Document</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216"/>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9"/>
              </w:rPr>
              <w:t>101.CAL</w:t>
            </w:r>
          </w:p>
        </w:tc>
        <w:tc>
          <w:tcPr>
            <w:tcW w:w="4720" w:type="dxa"/>
            <w:vAlign w:val="bottom"/>
            <w:gridSpan w:val="22"/>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216"/>
        </w:trPr>
        <w:tc>
          <w:tcPr>
            <w:tcW w:w="840" w:type="dxa"/>
            <w:vAlign w:val="bottom"/>
          </w:tcPr>
          <w:p>
            <w:pPr>
              <w:jc w:val="center"/>
              <w:ind w:right="119"/>
              <w:spacing w:after="0"/>
              <w:rPr>
                <w:sz w:val="20"/>
                <w:szCs w:val="20"/>
                <w:color w:val="auto"/>
              </w:rPr>
            </w:pPr>
            <w:r>
              <w:rPr>
                <w:rFonts w:ascii="Arial" w:cs="Arial" w:eastAsia="Arial" w:hAnsi="Arial"/>
                <w:sz w:val="16"/>
                <w:szCs w:val="16"/>
                <w:color w:val="auto"/>
              </w:rPr>
              <w:t>101.DEF</w:t>
            </w:r>
          </w:p>
        </w:tc>
        <w:tc>
          <w:tcPr>
            <w:tcW w:w="4720" w:type="dxa"/>
            <w:vAlign w:val="bottom"/>
            <w:gridSpan w:val="22"/>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21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101.LAB</w:t>
            </w:r>
          </w:p>
        </w:tc>
        <w:tc>
          <w:tcPr>
            <w:tcW w:w="4720" w:type="dxa"/>
            <w:vAlign w:val="bottom"/>
            <w:gridSpan w:val="22"/>
          </w:tcPr>
          <w:p>
            <w:pPr>
              <w:spacing w:after="0"/>
              <w:rPr>
                <w:sz w:val="20"/>
                <w:szCs w:val="20"/>
                <w:color w:val="auto"/>
              </w:rPr>
            </w:pPr>
            <w:r>
              <w:rPr>
                <w:rFonts w:ascii="Arial" w:cs="Arial" w:eastAsia="Arial" w:hAnsi="Arial"/>
                <w:sz w:val="16"/>
                <w:szCs w:val="16"/>
                <w:color w:val="auto"/>
              </w:rPr>
              <w:t>XBRL Taxonomy Extension Label Linkbase Document</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216"/>
        </w:trPr>
        <w:tc>
          <w:tcPr>
            <w:tcW w:w="840" w:type="dxa"/>
            <w:vAlign w:val="bottom"/>
          </w:tcPr>
          <w:p>
            <w:pPr>
              <w:jc w:val="center"/>
              <w:ind w:right="59"/>
              <w:spacing w:after="0"/>
              <w:rPr>
                <w:sz w:val="20"/>
                <w:szCs w:val="20"/>
                <w:color w:val="auto"/>
              </w:rPr>
            </w:pPr>
            <w:r>
              <w:rPr>
                <w:rFonts w:ascii="Arial" w:cs="Arial" w:eastAsia="Arial" w:hAnsi="Arial"/>
                <w:sz w:val="16"/>
                <w:szCs w:val="16"/>
                <w:color w:val="auto"/>
              </w:rPr>
              <w:t>101.PRE</w:t>
            </w:r>
          </w:p>
        </w:tc>
        <w:tc>
          <w:tcPr>
            <w:tcW w:w="4720" w:type="dxa"/>
            <w:vAlign w:val="bottom"/>
            <w:gridSpan w:val="22"/>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tcPr>
          <w:p>
            <w:pPr>
              <w:ind w:left="2060"/>
              <w:spacing w:after="0"/>
              <w:rPr>
                <w:sz w:val="20"/>
                <w:szCs w:val="20"/>
                <w:color w:val="auto"/>
              </w:rPr>
            </w:pPr>
            <w:r>
              <w:rPr>
                <w:rFonts w:ascii="Arial" w:cs="Arial" w:eastAsia="Arial" w:hAnsi="Arial"/>
                <w:sz w:val="16"/>
                <w:szCs w:val="16"/>
                <w:color w:val="auto"/>
                <w:w w:val="74"/>
              </w:rPr>
              <w:t>X</w:t>
            </w:r>
          </w:p>
        </w:tc>
      </w:tr>
      <w:tr>
        <w:trPr>
          <w:trHeight w:val="164"/>
        </w:trPr>
        <w:tc>
          <w:tcPr>
            <w:tcW w:w="840" w:type="dxa"/>
            <w:vAlign w:val="bottom"/>
          </w:tcPr>
          <w:p>
            <w:pPr>
              <w:jc w:val="center"/>
              <w:ind w:right="99"/>
              <w:spacing w:after="0" w:line="164" w:lineRule="exact"/>
              <w:rPr>
                <w:sz w:val="20"/>
                <w:szCs w:val="20"/>
                <w:color w:val="auto"/>
              </w:rPr>
            </w:pPr>
            <w:r>
              <w:rPr>
                <w:rFonts w:ascii="Arial" w:cs="Arial" w:eastAsia="Arial" w:hAnsi="Arial"/>
                <w:sz w:val="16"/>
                <w:szCs w:val="16"/>
                <w:color w:val="auto"/>
                <w:w w:val="97"/>
              </w:rPr>
              <w:t>104</w:t>
            </w:r>
          </w:p>
        </w:tc>
        <w:tc>
          <w:tcPr>
            <w:tcW w:w="4720" w:type="dxa"/>
            <w:vAlign w:val="bottom"/>
            <w:gridSpan w:val="22"/>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tcPr>
          <w:p>
            <w:pPr>
              <w:ind w:left="2060"/>
              <w:spacing w:after="0" w:line="164" w:lineRule="exact"/>
              <w:rPr>
                <w:sz w:val="20"/>
                <w:szCs w:val="20"/>
                <w:color w:val="auto"/>
              </w:rPr>
            </w:pPr>
            <w:r>
              <w:rPr>
                <w:rFonts w:ascii="Arial" w:cs="Arial" w:eastAsia="Arial" w:hAnsi="Arial"/>
                <w:sz w:val="16"/>
                <w:szCs w:val="16"/>
                <w:color w:val="auto"/>
                <w:w w:val="74"/>
              </w:rPr>
              <w:t>X</w:t>
            </w:r>
          </w:p>
        </w:tc>
      </w:tr>
      <w:tr>
        <w:trPr>
          <w:trHeight w:val="215"/>
        </w:trPr>
        <w:tc>
          <w:tcPr>
            <w:tcW w:w="840" w:type="dxa"/>
            <w:vAlign w:val="bottom"/>
          </w:tcPr>
          <w:p>
            <w:pPr>
              <w:spacing w:after="0"/>
              <w:rPr>
                <w:sz w:val="18"/>
                <w:szCs w:val="18"/>
                <w:color w:val="auto"/>
              </w:rPr>
            </w:pPr>
          </w:p>
        </w:tc>
        <w:tc>
          <w:tcPr>
            <w:tcW w:w="4720" w:type="dxa"/>
            <w:vAlign w:val="bottom"/>
            <w:gridSpan w:val="22"/>
          </w:tcPr>
          <w:p>
            <w:pPr>
              <w:spacing w:after="0"/>
              <w:rPr>
                <w:sz w:val="20"/>
                <w:szCs w:val="20"/>
                <w:color w:val="auto"/>
              </w:rPr>
            </w:pPr>
            <w:r>
              <w:rPr>
                <w:rFonts w:ascii="Arial" w:cs="Arial" w:eastAsia="Arial" w:hAnsi="Arial"/>
                <w:sz w:val="16"/>
                <w:szCs w:val="16"/>
                <w:color w:val="auto"/>
              </w:rPr>
              <w:t>contained in Exhibit 101)</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203" w:lineRule="exact"/>
        <w:rPr>
          <w:sz w:val="20"/>
          <w:szCs w:val="20"/>
          <w:color w:val="auto"/>
        </w:rPr>
      </w:pPr>
    </w:p>
    <w:p>
      <w:pPr>
        <w:ind w:left="1020" w:hanging="560"/>
        <w:spacing w:after="0"/>
        <w:tabs>
          <w:tab w:leader="none" w:pos="10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32" w:lineRule="exact"/>
        <w:rPr>
          <w:sz w:val="20"/>
          <w:szCs w:val="20"/>
          <w:color w:val="auto"/>
        </w:rPr>
      </w:pPr>
    </w:p>
    <w:p>
      <w:pPr>
        <w:ind w:left="1020" w:hanging="558"/>
        <w:spacing w:after="0" w:line="246" w:lineRule="auto"/>
        <w:tabs>
          <w:tab w:leader="none" w:pos="10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Portions of the exhibit, marked by brackets and asterisks [***], have been omitted because the omitted information is not material and (i) would likely cause competitive harm to the registrant if publicly disclosed or (ii) is information that the registrant treats as private or confidential.</w:t>
      </w:r>
    </w:p>
    <w:p>
      <w:pPr>
        <w:spacing w:after="0" w:line="1" w:lineRule="exact"/>
        <w:rPr>
          <w:sz w:val="20"/>
          <w:szCs w:val="20"/>
          <w:color w:val="auto"/>
        </w:rPr>
      </w:pPr>
    </w:p>
    <w:p>
      <w:pPr>
        <w:ind w:left="1020" w:hanging="550"/>
        <w:spacing w:after="0" w:line="246" w:lineRule="auto"/>
        <w:tabs>
          <w:tab w:leader="none" w:pos="10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Certain schedules and exhibits have been omitted pursuant to Item 601(a)(5) of Regulation S-K. A copy of any omitted schedule and/or exhibit will be furnished to the SEC upon request.</w:t>
      </w:r>
    </w:p>
    <w:p>
      <w:pPr>
        <w:spacing w:after="0" w:line="1" w:lineRule="exact"/>
        <w:rPr>
          <w:sz w:val="20"/>
          <w:szCs w:val="20"/>
          <w:color w:val="auto"/>
        </w:rPr>
      </w:pPr>
    </w:p>
    <w:p>
      <w:pPr>
        <w:ind w:left="1020" w:right="100" w:hanging="544"/>
        <w:spacing w:after="0" w:line="228" w:lineRule="auto"/>
        <w:tabs>
          <w:tab w:leader="none" w:pos="10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8" w:right="37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380"/>
        <w:spacing w:after="0" w:line="298" w:lineRule="auto"/>
        <w:rPr>
          <w:sz w:val="20"/>
          <w:szCs w:val="20"/>
          <w:color w:val="auto"/>
        </w:rPr>
      </w:pPr>
      <w:r>
        <w:rPr>
          <w:rFonts w:ascii="Arial" w:cs="Arial" w:eastAsia="Arial" w:hAnsi="Arial"/>
          <w:sz w:val="17"/>
          <w:szCs w:val="17"/>
          <w:color w:val="auto"/>
        </w:rPr>
        <w:t>Pursuant to the requirements of Section 13 or 15(d) of the Securities Act of 1934, Recursion Pharmaceuticals, Inc. has duly caused this report to be signed on its behalf by the undersigned, thereunto duly authorized, in the City of Salt Lake City, Utah, on February 25, 2026.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RECURSION PHARMACEUTICALS, INC.</w:t>
      </w:r>
    </w:p>
    <w:p>
      <w:pPr>
        <w:spacing w:after="0" w:line="320" w:lineRule="exact"/>
        <w:rPr>
          <w:sz w:val="20"/>
          <w:szCs w:val="20"/>
          <w:color w:val="auto"/>
        </w:rPr>
      </w:pPr>
    </w:p>
    <w:p>
      <w:pPr>
        <w:jc w:val="both"/>
        <w:ind w:left="7120"/>
        <w:spacing w:after="0"/>
        <w:tabs>
          <w:tab w:leader="none" w:pos="10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Najat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26035</wp:posOffset>
            </wp:positionV>
            <wp:extent cx="24345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Najat Khan</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Najat Khan and Ben Taylor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 opposite his/her name.</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the Securities Act of 1934, this report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03" w:name="page204"/>
    <w:bookmarkEnd w:id="203"/>
    <w:p>
      <w:pPr>
        <w:ind w:left="1960"/>
        <w:spacing w:after="0"/>
        <w:tabs>
          <w:tab w:leader="none" w:pos="6520" w:val="left"/>
          <w:tab w:leader="none" w:pos="96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684911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1">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ectPr>
          <w:pgSz w:w="11900" w:h="16838" w:orient="portrait"/>
          <w:cols w:equalWidth="0" w:num="1">
            <w:col w:w="10280"/>
          </w:cols>
          <w:pgMar w:left="340" w:top="994" w:right="1279" w:bottom="1440" w:gutter="0" w:footer="0" w:header="0"/>
        </w:sect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 Najat Khan</w:t>
            </w:r>
          </w:p>
        </w:tc>
        <w:tc>
          <w:tcPr>
            <w:tcW w:w="5360" w:type="dxa"/>
            <w:vAlign w:val="bottom"/>
          </w:tcPr>
          <w:p>
            <w:pPr>
              <w:ind w:left="1480"/>
              <w:spacing w:after="0"/>
              <w:rPr>
                <w:sz w:val="20"/>
                <w:szCs w:val="20"/>
                <w:color w:val="auto"/>
              </w:rPr>
            </w:pPr>
            <w:r>
              <w:rPr>
                <w:rFonts w:ascii="Arial" w:cs="Arial" w:eastAsia="Arial" w:hAnsi="Arial"/>
                <w:sz w:val="18"/>
                <w:szCs w:val="18"/>
                <w:color w:val="auto"/>
              </w:rPr>
              <w:t xml:space="preserve">Chief Executive Officer and Director </w:t>
            </w:r>
            <w:r>
              <w:rPr>
                <w:rFonts w:ascii="Arial" w:cs="Arial" w:eastAsia="Arial" w:hAnsi="Arial"/>
                <w:sz w:val="18"/>
                <w:szCs w:val="18"/>
                <w:i w:val="1"/>
                <w:iCs w:val="1"/>
                <w:color w:val="auto"/>
              </w:rPr>
              <w:t>(Principal</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25, 2026</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Najat Khan</w:t>
            </w:r>
          </w:p>
        </w:tc>
        <w:tc>
          <w:tcPr>
            <w:tcW w:w="5360" w:type="dxa"/>
            <w:vAlign w:val="bottom"/>
          </w:tcPr>
          <w:p>
            <w:pPr>
              <w:ind w:left="1480"/>
              <w:spacing w:after="0"/>
              <w:rPr>
                <w:sz w:val="20"/>
                <w:szCs w:val="20"/>
                <w:color w:val="auto"/>
              </w:rPr>
            </w:pPr>
            <w:r>
              <w:rPr>
                <w:rFonts w:ascii="Arial" w:cs="Arial" w:eastAsia="Arial" w:hAnsi="Arial"/>
                <w:sz w:val="18"/>
                <w:szCs w:val="18"/>
                <w:i w:val="1"/>
                <w:iCs w:val="1"/>
                <w:color w:val="auto"/>
              </w:rPr>
              <w:t>Executive Officer)</w:t>
            </w:r>
          </w:p>
        </w:tc>
        <w:tc>
          <w:tcPr>
            <w:tcW w:w="1660" w:type="dxa"/>
            <w:vAlign w:val="bottom"/>
          </w:tcPr>
          <w:p>
            <w:pPr>
              <w:spacing w:after="0"/>
              <w:rPr>
                <w:sz w:val="20"/>
                <w:szCs w:val="20"/>
                <w:color w:val="auto"/>
              </w:rPr>
            </w:pPr>
          </w:p>
        </w:tc>
      </w:tr>
      <w:tr>
        <w:trPr>
          <w:trHeight w:val="517"/>
        </w:trPr>
        <w:tc>
          <w:tcPr>
            <w:tcW w:w="3260" w:type="dxa"/>
            <w:vAlign w:val="bottom"/>
          </w:tcPr>
          <w:p>
            <w:pPr>
              <w:spacing w:after="0"/>
              <w:rPr>
                <w:sz w:val="20"/>
                <w:szCs w:val="20"/>
                <w:color w:val="auto"/>
              </w:rPr>
            </w:pPr>
            <w:r>
              <w:rPr>
                <w:rFonts w:ascii="Arial" w:cs="Arial" w:eastAsia="Arial" w:hAnsi="Arial"/>
                <w:sz w:val="18"/>
                <w:szCs w:val="18"/>
                <w:color w:val="auto"/>
              </w:rPr>
              <w:t>/s/ Ben Taylor</w:t>
            </w:r>
          </w:p>
        </w:tc>
        <w:tc>
          <w:tcPr>
            <w:tcW w:w="5360" w:type="dxa"/>
            <w:vAlign w:val="bottom"/>
          </w:tcPr>
          <w:p>
            <w:pPr>
              <w:ind w:left="148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and</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25, 2026</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Ben Taylor</w:t>
            </w:r>
          </w:p>
        </w:tc>
        <w:tc>
          <w:tcPr>
            <w:tcW w:w="5360" w:type="dxa"/>
            <w:vAlign w:val="bottom"/>
          </w:tcPr>
          <w:p>
            <w:pPr>
              <w:ind w:left="1480"/>
              <w:spacing w:after="0"/>
              <w:rPr>
                <w:sz w:val="20"/>
                <w:szCs w:val="20"/>
                <w:color w:val="auto"/>
              </w:rPr>
            </w:pPr>
            <w:r>
              <w:rPr>
                <w:rFonts w:ascii="Arial" w:cs="Arial" w:eastAsia="Arial" w:hAnsi="Arial"/>
                <w:sz w:val="18"/>
                <w:szCs w:val="18"/>
                <w:i w:val="1"/>
                <w:iCs w:val="1"/>
                <w:color w:val="auto"/>
              </w:rPr>
              <w:t>Accounting Officer)</w:t>
            </w:r>
          </w:p>
        </w:tc>
        <w:tc>
          <w:tcPr>
            <w:tcW w:w="1660" w:type="dxa"/>
            <w:vAlign w:val="bottom"/>
          </w:tcPr>
          <w:p>
            <w:pPr>
              <w:spacing w:after="0"/>
              <w:rPr>
                <w:sz w:val="20"/>
                <w:szCs w:val="20"/>
                <w:color w:val="auto"/>
              </w:rPr>
            </w:pPr>
          </w:p>
        </w:tc>
      </w:tr>
      <w:tr>
        <w:trPr>
          <w:trHeight w:val="517"/>
        </w:trPr>
        <w:tc>
          <w:tcPr>
            <w:tcW w:w="3260" w:type="dxa"/>
            <w:vAlign w:val="bottom"/>
          </w:tcPr>
          <w:p>
            <w:pPr>
              <w:spacing w:after="0"/>
              <w:rPr>
                <w:sz w:val="20"/>
                <w:szCs w:val="20"/>
                <w:color w:val="auto"/>
              </w:rPr>
            </w:pPr>
            <w:r>
              <w:rPr>
                <w:rFonts w:ascii="Arial" w:cs="Arial" w:eastAsia="Arial" w:hAnsi="Arial"/>
                <w:sz w:val="18"/>
                <w:szCs w:val="18"/>
                <w:color w:val="auto"/>
              </w:rPr>
              <w:t>/s/ Christopher Gibson</w:t>
            </w:r>
          </w:p>
        </w:tc>
        <w:tc>
          <w:tcPr>
            <w:tcW w:w="5360" w:type="dxa"/>
            <w:vAlign w:val="bottom"/>
          </w:tcPr>
          <w:p>
            <w:pPr>
              <w:ind w:left="1480"/>
              <w:spacing w:after="0"/>
              <w:rPr>
                <w:sz w:val="20"/>
                <w:szCs w:val="20"/>
                <w:color w:val="auto"/>
              </w:rPr>
            </w:pPr>
            <w:r>
              <w:rPr>
                <w:rFonts w:ascii="Arial" w:cs="Arial" w:eastAsia="Arial" w:hAnsi="Arial"/>
                <w:sz w:val="18"/>
                <w:szCs w:val="18"/>
                <w:color w:val="auto"/>
              </w:rPr>
              <w:t>Chair of the Board</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25, 2026</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Christopher Gibson</w:t>
            </w:r>
          </w:p>
        </w:tc>
        <w:tc>
          <w:tcPr>
            <w:tcW w:w="5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95"/>
        </w:trPr>
        <w:tc>
          <w:tcPr>
            <w:tcW w:w="3260" w:type="dxa"/>
            <w:vAlign w:val="bottom"/>
          </w:tcPr>
          <w:p>
            <w:pPr>
              <w:spacing w:after="0"/>
              <w:rPr>
                <w:sz w:val="20"/>
                <w:szCs w:val="20"/>
                <w:color w:val="auto"/>
              </w:rPr>
            </w:pPr>
            <w:r>
              <w:rPr>
                <w:rFonts w:ascii="Arial" w:cs="Arial" w:eastAsia="Arial" w:hAnsi="Arial"/>
                <w:sz w:val="18"/>
                <w:szCs w:val="18"/>
                <w:color w:val="auto"/>
              </w:rPr>
              <w:t>/s/ Robert Hershberg</w:t>
            </w:r>
          </w:p>
        </w:tc>
        <w:tc>
          <w:tcPr>
            <w:tcW w:w="5360" w:type="dxa"/>
            <w:vAlign w:val="bottom"/>
          </w:tcPr>
          <w:p>
            <w:pPr>
              <w:ind w:left="1480"/>
              <w:spacing w:after="0"/>
              <w:rPr>
                <w:sz w:val="20"/>
                <w:szCs w:val="20"/>
                <w:color w:val="auto"/>
              </w:rPr>
            </w:pPr>
            <w:r>
              <w:rPr>
                <w:rFonts w:ascii="Arial" w:cs="Arial" w:eastAsia="Arial" w:hAnsi="Arial"/>
                <w:sz w:val="18"/>
                <w:szCs w:val="18"/>
                <w:color w:val="auto"/>
              </w:rPr>
              <w:t>Vice-chair and Lead Director of the Board</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25, 2026</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Robert Hershberg</w:t>
            </w:r>
          </w:p>
        </w:tc>
        <w:tc>
          <w:tcPr>
            <w:tcW w:w="5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08"/>
        </w:trPr>
        <w:tc>
          <w:tcPr>
            <w:tcW w:w="3260" w:type="dxa"/>
            <w:vAlign w:val="bottom"/>
          </w:tcPr>
          <w:p>
            <w:pPr>
              <w:spacing w:after="0"/>
              <w:rPr>
                <w:sz w:val="24"/>
                <w:szCs w:val="24"/>
                <w:color w:val="auto"/>
              </w:rPr>
            </w:pPr>
          </w:p>
        </w:tc>
        <w:tc>
          <w:tcPr>
            <w:tcW w:w="5360" w:type="dxa"/>
            <w:vAlign w:val="bottom"/>
          </w:tcPr>
          <w:p>
            <w:pPr>
              <w:ind w:left="148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25, 2026</w:t>
            </w: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Blake Borgeson</w:t>
            </w:r>
          </w:p>
        </w:tc>
        <w:tc>
          <w:tcPr>
            <w:tcW w:w="53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553"/>
        </w:trPr>
        <w:tc>
          <w:tcPr>
            <w:tcW w:w="3260" w:type="dxa"/>
            <w:vAlign w:val="bottom"/>
          </w:tcPr>
          <w:p>
            <w:pPr>
              <w:spacing w:after="0"/>
              <w:rPr>
                <w:sz w:val="24"/>
                <w:szCs w:val="24"/>
                <w:color w:val="auto"/>
              </w:rPr>
            </w:pPr>
          </w:p>
        </w:tc>
        <w:tc>
          <w:tcPr>
            <w:tcW w:w="5360" w:type="dxa"/>
            <w:vAlign w:val="bottom"/>
          </w:tcPr>
          <w:p>
            <w:pPr>
              <w:ind w:left="148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25, 2026</w:t>
            </w: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Zachary Bogue</w:t>
            </w:r>
          </w:p>
        </w:tc>
        <w:tc>
          <w:tcPr>
            <w:tcW w:w="53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517"/>
        </w:trPr>
        <w:tc>
          <w:tcPr>
            <w:tcW w:w="3260" w:type="dxa"/>
            <w:vAlign w:val="bottom"/>
          </w:tcPr>
          <w:p>
            <w:pPr>
              <w:spacing w:after="0"/>
              <w:rPr>
                <w:sz w:val="20"/>
                <w:szCs w:val="20"/>
                <w:color w:val="auto"/>
              </w:rPr>
            </w:pPr>
            <w:r>
              <w:rPr>
                <w:rFonts w:ascii="Arial" w:cs="Arial" w:eastAsia="Arial" w:hAnsi="Arial"/>
                <w:sz w:val="18"/>
                <w:szCs w:val="18"/>
                <w:color w:val="auto"/>
              </w:rPr>
              <w:t>/s/ Zavain Dar</w:t>
            </w:r>
          </w:p>
        </w:tc>
        <w:tc>
          <w:tcPr>
            <w:tcW w:w="5360" w:type="dxa"/>
            <w:vAlign w:val="bottom"/>
          </w:tcPr>
          <w:p>
            <w:pPr>
              <w:ind w:left="148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25, 2026</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Zavain Dar</w:t>
            </w:r>
          </w:p>
        </w:tc>
        <w:tc>
          <w:tcPr>
            <w:tcW w:w="5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17"/>
        </w:trPr>
        <w:tc>
          <w:tcPr>
            <w:tcW w:w="3260" w:type="dxa"/>
            <w:vAlign w:val="bottom"/>
          </w:tcPr>
          <w:p>
            <w:pPr>
              <w:spacing w:after="0"/>
              <w:rPr>
                <w:sz w:val="20"/>
                <w:szCs w:val="20"/>
                <w:color w:val="auto"/>
              </w:rPr>
            </w:pPr>
            <w:r>
              <w:rPr>
                <w:rFonts w:ascii="Arial" w:cs="Arial" w:eastAsia="Arial" w:hAnsi="Arial"/>
                <w:sz w:val="18"/>
                <w:szCs w:val="18"/>
                <w:color w:val="auto"/>
              </w:rPr>
              <w:t>/s/ Dean Li</w:t>
            </w:r>
          </w:p>
        </w:tc>
        <w:tc>
          <w:tcPr>
            <w:tcW w:w="5360" w:type="dxa"/>
            <w:vAlign w:val="bottom"/>
          </w:tcPr>
          <w:p>
            <w:pPr>
              <w:ind w:left="148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25, 2026</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Dean Li</w:t>
            </w:r>
          </w:p>
        </w:tc>
        <w:tc>
          <w:tcPr>
            <w:tcW w:w="5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17"/>
        </w:trPr>
        <w:tc>
          <w:tcPr>
            <w:tcW w:w="3260" w:type="dxa"/>
            <w:vAlign w:val="bottom"/>
          </w:tcPr>
          <w:p>
            <w:pPr>
              <w:spacing w:after="0"/>
              <w:rPr>
                <w:sz w:val="20"/>
                <w:szCs w:val="20"/>
                <w:color w:val="auto"/>
              </w:rPr>
            </w:pPr>
            <w:r>
              <w:rPr>
                <w:rFonts w:ascii="Arial" w:cs="Arial" w:eastAsia="Arial" w:hAnsi="Arial"/>
                <w:sz w:val="18"/>
                <w:szCs w:val="18"/>
                <w:color w:val="auto"/>
              </w:rPr>
              <w:t>/s/ Franziska Michor</w:t>
            </w:r>
          </w:p>
        </w:tc>
        <w:tc>
          <w:tcPr>
            <w:tcW w:w="5360" w:type="dxa"/>
            <w:vAlign w:val="bottom"/>
          </w:tcPr>
          <w:p>
            <w:pPr>
              <w:ind w:left="148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25, 2026</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Franziska Michor</w:t>
            </w:r>
          </w:p>
        </w:tc>
        <w:tc>
          <w:tcPr>
            <w:tcW w:w="5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04"/>
        </w:trPr>
        <w:tc>
          <w:tcPr>
            <w:tcW w:w="3260" w:type="dxa"/>
            <w:vAlign w:val="bottom"/>
          </w:tcPr>
          <w:p>
            <w:pPr>
              <w:spacing w:after="0"/>
              <w:rPr>
                <w:sz w:val="20"/>
                <w:szCs w:val="20"/>
                <w:color w:val="auto"/>
              </w:rPr>
            </w:pPr>
            <w:r>
              <w:rPr>
                <w:rFonts w:ascii="Arial" w:cs="Arial" w:eastAsia="Arial" w:hAnsi="Arial"/>
                <w:sz w:val="18"/>
                <w:szCs w:val="18"/>
                <w:color w:val="auto"/>
              </w:rPr>
              <w:t>/s/ Namandjé Bumpus</w:t>
            </w:r>
          </w:p>
        </w:tc>
        <w:tc>
          <w:tcPr>
            <w:tcW w:w="5360" w:type="dxa"/>
            <w:vAlign w:val="bottom"/>
          </w:tcPr>
          <w:p>
            <w:pPr>
              <w:ind w:left="148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25, 2026</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Namandjé Bumpus</w:t>
            </w:r>
          </w:p>
        </w:tc>
        <w:tc>
          <w:tcPr>
            <w:tcW w:w="5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04"/>
        </w:trPr>
        <w:tc>
          <w:tcPr>
            <w:tcW w:w="3260" w:type="dxa"/>
            <w:vAlign w:val="bottom"/>
          </w:tcPr>
          <w:p>
            <w:pPr>
              <w:spacing w:after="0"/>
              <w:rPr>
                <w:sz w:val="20"/>
                <w:szCs w:val="20"/>
                <w:color w:val="auto"/>
              </w:rPr>
            </w:pPr>
            <w:r>
              <w:rPr>
                <w:rFonts w:ascii="Arial" w:cs="Arial" w:eastAsia="Arial" w:hAnsi="Arial"/>
                <w:sz w:val="18"/>
                <w:szCs w:val="18"/>
                <w:color w:val="auto"/>
              </w:rPr>
              <w:t>/s/ Elaine Sun</w:t>
            </w:r>
          </w:p>
        </w:tc>
        <w:tc>
          <w:tcPr>
            <w:tcW w:w="5360" w:type="dxa"/>
            <w:vAlign w:val="bottom"/>
          </w:tcPr>
          <w:p>
            <w:pPr>
              <w:ind w:left="148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180"/>
              <w:spacing w:after="0"/>
              <w:rPr>
                <w:sz w:val="20"/>
                <w:szCs w:val="20"/>
                <w:color w:val="auto"/>
              </w:rPr>
            </w:pPr>
            <w:r>
              <w:rPr>
                <w:rFonts w:ascii="Arial" w:cs="Arial" w:eastAsia="Arial" w:hAnsi="Arial"/>
                <w:sz w:val="18"/>
                <w:szCs w:val="18"/>
                <w:color w:val="auto"/>
                <w:w w:val="99"/>
              </w:rPr>
              <w:t>February 25, 2026</w:t>
            </w:r>
          </w:p>
        </w:tc>
      </w:t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Elaine Sun</w:t>
            </w:r>
          </w:p>
        </w:tc>
        <w:tc>
          <w:tcPr>
            <w:tcW w:w="536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ectPr>
          <w:pgSz w:w="11900" w:h="16838" w:orient="portrait"/>
          <w:cols w:equalWidth="0" w:num="1">
            <w:col w:w="10280"/>
          </w:cols>
          <w:pgMar w:left="340" w:top="994" w:right="1279" w:bottom="1440" w:gutter="0" w:footer="0" w:header="0"/>
          <w:type w:val="continuous"/>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DESCRIPTION OF THE REGISTRANT’S SECURITIES</w:t>
      </w:r>
    </w:p>
    <w:p>
      <w:pPr>
        <w:ind w:left="3460"/>
        <w:spacing w:after="0" w:line="219" w:lineRule="auto"/>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Recursion Pharmaceuticals, Inc. (the “Company”) has one class of securities registered under Section 12 of the Securities Exchange Act of</w:t>
      </w:r>
    </w:p>
    <w:p>
      <w:pPr>
        <w:spacing w:after="0" w:line="36"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1934, as amended: our Class A common stock, par value $0.00001 per share. As used in this summary, the terms “Recursion,” “the Company,” “we,” “our” and “us” refer to Recursion Pharmaceuticals, Inc.</w:t>
      </w:r>
    </w:p>
    <w:p>
      <w:pPr>
        <w:spacing w:after="0" w:line="181"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 following is a description of the material terms and provisions relating to our capital stock. The following description is a summary that is not complete and is subject to and qualified in its entirety by reference to our amended and restated certificate of incorporation and our amended and restated bylaws, and to provisions of the Delaware General Corporation Law, or DGCL. Copies of our amended and restated</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certificate of incorporation and our amended and restated bylaws, each of which may be amended from time to time, are included as exhibits to the Annual Report on Form 10-K to which this description is an Exhibit.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Our authorized capital stock consists of 2,200,000,000 shares of capital stock, $0.00001 par value per share, of which 200,000,000 shares are designated preferred stock and 2,000,000,000 shares are designated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have two series of authorized common stock, Class A common stock and Class B common stock. 1,989,032,117 shares are designated as Class A common stock and 10,967,883 shares are designated as Class B common stock. The rights of the holders of Class A common stock and Class B common stock are identical, except with respect to voting and conversion.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3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Each holder of Class A common stock is entitled to one vote for each share on all matters submitted to a vote of the stockholders, including the election of directors, and each holder of Class B common stock is entitled to ten votes for each share on all matters submitted to a vote of the stockholders, including the election of directors. The holders of Class A common stock and Class B common stock vote together as a</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single class, unless otherwise required by law. Under our amended and restated certificate of incorporation, approval of the holders of a majority of the outstanding shares of our Class B common stock voting as a separate class is required to increase the number of authorized</w:t>
      </w:r>
    </w:p>
    <w:p>
      <w:pPr>
        <w:spacing w:after="0" w:line="2"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shares of our Class B common stock. In addition, Delaware law could require either the holders of our Class A common stock or Class B common stock to vote separately as a single class in the following circumstances:</w:t>
      </w:r>
    </w:p>
    <w:p>
      <w:pPr>
        <w:spacing w:after="0" w:line="239" w:lineRule="exact"/>
        <w:rPr>
          <w:sz w:val="20"/>
          <w:szCs w:val="20"/>
          <w:color w:val="auto"/>
        </w:rPr>
      </w:pPr>
    </w:p>
    <w:p>
      <w:pPr>
        <w:ind w:left="660" w:right="40" w:hanging="328"/>
        <w:spacing w:after="0" w:line="230" w:lineRule="auto"/>
        <w:tabs>
          <w:tab w:leader="none" w:pos="655" w:val="left"/>
        </w:tabs>
        <w:numPr>
          <w:ilvl w:val="0"/>
          <w:numId w:val="109"/>
        </w:numPr>
        <w:rPr>
          <w:rFonts w:ascii="Arial" w:cs="Arial" w:eastAsia="Arial" w:hAnsi="Arial"/>
          <w:sz w:val="22"/>
          <w:szCs w:val="22"/>
          <w:color w:val="auto"/>
        </w:rPr>
      </w:pPr>
      <w:r>
        <w:rPr>
          <w:rFonts w:ascii="Arial" w:cs="Arial" w:eastAsia="Arial" w:hAnsi="Arial"/>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247" w:lineRule="exact"/>
        <w:rPr>
          <w:rFonts w:ascii="Arial" w:cs="Arial" w:eastAsia="Arial" w:hAnsi="Arial"/>
          <w:sz w:val="22"/>
          <w:szCs w:val="22"/>
          <w:color w:val="auto"/>
        </w:rPr>
      </w:pPr>
    </w:p>
    <w:p>
      <w:pPr>
        <w:ind w:left="660" w:right="180" w:hanging="328"/>
        <w:spacing w:after="0" w:line="231" w:lineRule="auto"/>
        <w:tabs>
          <w:tab w:leader="none" w:pos="655" w:val="left"/>
        </w:tabs>
        <w:numPr>
          <w:ilvl w:val="0"/>
          <w:numId w:val="109"/>
        </w:numPr>
        <w:rPr>
          <w:rFonts w:ascii="Arial" w:cs="Arial" w:eastAsia="Arial" w:hAnsi="Arial"/>
          <w:sz w:val="22"/>
          <w:szCs w:val="22"/>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209" w:lineRule="exact"/>
        <w:rPr>
          <w:sz w:val="20"/>
          <w:szCs w:val="20"/>
          <w:color w:val="auto"/>
        </w:rPr>
      </w:pPr>
    </w:p>
    <w:p>
      <w:pPr>
        <w:jc w:val="both"/>
        <w:ind w:right="440"/>
        <w:spacing w:after="0" w:line="253" w:lineRule="auto"/>
        <w:rPr>
          <w:sz w:val="20"/>
          <w:szCs w:val="20"/>
          <w:color w:val="auto"/>
        </w:rPr>
      </w:pPr>
      <w:r>
        <w:rPr>
          <w:rFonts w:ascii="Arial" w:cs="Arial" w:eastAsia="Arial" w:hAnsi="Arial"/>
          <w:sz w:val="18"/>
          <w:szCs w:val="18"/>
          <w:color w:val="auto"/>
        </w:rPr>
        <w:t>Until the Final Conversion Date (described below), approval of the holders of at least two-thirds of the outstanding shares of our Class B common stock voting as a separate class is required to amend, repeal or adopt any provision of the amended and restated certificate of incorporation inconsistent with, or</w:t>
      </w:r>
    </w:p>
    <w:p>
      <w:pPr>
        <w:sectPr>
          <w:pgSz w:w="11900" w:h="16838" w:orient="portrait"/>
          <w:cols w:equalWidth="0" w:num="1">
            <w:col w:w="11240"/>
          </w:cols>
          <w:pgMar w:left="320" w:top="104" w:right="339" w:bottom="1440" w:gutter="0" w:footer="0" w:header="0"/>
        </w:sectPr>
      </w:pPr>
    </w:p>
    <w:bookmarkStart w:id="205" w:name="page206"/>
    <w:bookmarkEnd w:id="205"/>
    <w:p>
      <w:pPr>
        <w:ind w:right="200"/>
        <w:spacing w:after="0" w:line="247" w:lineRule="auto"/>
        <w:rPr>
          <w:sz w:val="20"/>
          <w:szCs w:val="20"/>
          <w:color w:val="auto"/>
        </w:rPr>
      </w:pPr>
      <w:r>
        <w:rPr>
          <w:rFonts w:ascii="Arial" w:cs="Arial" w:eastAsia="Arial" w:hAnsi="Arial"/>
          <w:sz w:val="18"/>
          <w:szCs w:val="18"/>
          <w:color w:val="auto"/>
        </w:rPr>
        <w:t>otherwise alter, any provision of the amended and restated certificate of incorporation relating to the voting, conversion, or other rights, powers, preferences privileges, or restrictions of our Class B common stock so as to affect them adversely or to reclassify any outstanding shares of Class A common stock into shares having rights as to dividends or liquidation that are senior to the Class B common stock or the right to have more than one vote for each share thereof, except as required by law.</w:t>
      </w:r>
    </w:p>
    <w:p>
      <w:pPr>
        <w:spacing w:after="0" w:line="20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Our amended and restated certificate of incorporation and amended and restated bylaws do not provide for cumulative voting rights. Because of this, the holders of a plurality of the shares of Class A common stock and Class B common stock entitled to vote in any election</w:t>
      </w:r>
    </w:p>
    <w:p>
      <w:pPr>
        <w:spacing w:after="0" w:line="1"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of directors can elect all of the directors standing for election, if they should so choose. With respect to matters other than the election of directors, at any meeting of the stockholders at which a quorum is present or represented, the affirmative vote of a majority of the voting</w:t>
      </w:r>
    </w:p>
    <w:p>
      <w:pPr>
        <w:spacing w:after="0" w:line="1"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3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Class A common stock and Class B common stock are entitled to receive dividends, if any, as may be declared from time to time by our board of directors out of legally available funds.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3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event of our liquidation, dissolution, or winding up, holders of our Class A common stock and Class B common stock are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Class B Common Stock</w:t>
      </w:r>
    </w:p>
    <w:p>
      <w:pPr>
        <w:spacing w:after="0" w:line="2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Shares of Class B common stock automatically convert into shares of Class A common stock upon sale or transfer except for certain transfers described in our amended and restated certificate of incorporation, including transfers for estate planning.</w:t>
      </w:r>
    </w:p>
    <w:p>
      <w:pPr>
        <w:spacing w:after="0" w:line="196"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In addition, each share of Class B common stock will convert automatically into one share of Class A common stock upon the earliest of (i) the seven year anniversary of the first day of trading of our shares of Class A common stock on the Nasdaq Global Select Market, (ii) the date specified by written consent or agreement of the holders of at least 66 2/3% of our then outstanding shares of Class B common Stock,</w:t>
      </w:r>
    </w:p>
    <w:p>
      <w:pPr>
        <w:spacing w:after="0" w:line="2" w:lineRule="exact"/>
        <w:rPr>
          <w:sz w:val="20"/>
          <w:szCs w:val="20"/>
          <w:color w:val="auto"/>
        </w:rPr>
      </w:pPr>
    </w:p>
    <w:p>
      <w:pPr>
        <w:jc w:val="both"/>
        <w:ind w:right="300" w:firstLine="8"/>
        <w:spacing w:after="0"/>
        <w:tabs>
          <w:tab w:leader="none" w:pos="29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nine months after Dr. Christopher Gibson, our co-founder and Chief Executive Officer, ceases to hold any positions as an officer or director with us or (iv) nine months after the death or disability of Dr. Gibson. We refer to the date on which such final conversion of all outstanding shares of Class B common stock pursuant to the terms of our amended and restated certificate of incorporation occurs as the Final Conversion Date.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Class A common stock have no preemptive, conversion, subscription, or other rights, and there are no redemption or sinking</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fund provisions applicable to our Class A common stock. Holders of our Class B common stock have no preemptive or subscription rights, but have conversion rights. There are no redemption or sinking fund provisions applicable to our Class B common stock. The rights,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preferences and privileges of the holders of our Class A common stock and Class B common stock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3" w:right="339" w:bottom="1440" w:gutter="0" w:footer="0" w:header="0"/>
        </w:sectPr>
      </w:pPr>
    </w:p>
    <w:bookmarkStart w:id="206" w:name="page207"/>
    <w:bookmarkEnd w:id="206"/>
    <w:p>
      <w:pPr>
        <w:ind w:right="140"/>
        <w:spacing w:after="0" w:line="271" w:lineRule="auto"/>
        <w:rPr>
          <w:sz w:val="20"/>
          <w:szCs w:val="20"/>
          <w:color w:val="auto"/>
        </w:rPr>
      </w:pPr>
      <w:r>
        <w:rPr>
          <w:rFonts w:ascii="Arial" w:cs="Arial" w:eastAsia="Arial" w:hAnsi="Arial"/>
          <w:sz w:val="18"/>
          <w:szCs w:val="18"/>
          <w:color w:val="auto"/>
        </w:rPr>
        <w:t>subject to and may be adversely affected by the rights of the holders of shares of any series of our preferred stock that we may designate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37"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All of our outstanding shares of Class A common stock and Class B common stock are, and the shares of Class A common stock to be issued in this offering, upon payment and delivery in accordance with the sales agreement, will be fully paid and nonassessable.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9"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up to 200,000,000 shares of preferred stock in one or more series and to fix the rights, preferences, privileges</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Class A common stock and Class B common stock. The issuance of preferred stock could adversely affect the voting power of holders of Class A common stock and Class B common stock and the likelihood that such holders will</w:t>
      </w:r>
    </w:p>
    <w:p>
      <w:pPr>
        <w:spacing w:after="0" w:line="32"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receive dividend payments and payments upon liquidation. In addition, the issuance of preferred stock could have the effect of delaying, deferring or preventing a change in our control or other corporate action.</w:t>
      </w:r>
    </w:p>
    <w:p>
      <w:pPr>
        <w:spacing w:after="0" w:line="181" w:lineRule="exact"/>
        <w:rPr>
          <w:sz w:val="20"/>
          <w:szCs w:val="20"/>
          <w:color w:val="auto"/>
        </w:rPr>
      </w:pPr>
    </w:p>
    <w:p>
      <w:pPr>
        <w:ind w:right="560"/>
        <w:spacing w:after="0" w:line="281"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63" w:lineRule="exact"/>
        <w:rPr>
          <w:sz w:val="20"/>
          <w:szCs w:val="20"/>
          <w:color w:val="auto"/>
        </w:rPr>
      </w:pPr>
    </w:p>
    <w:p>
      <w:pPr>
        <w:jc w:val="both"/>
        <w:ind w:right="320"/>
        <w:spacing w:after="0" w:line="247" w:lineRule="auto"/>
        <w:rPr>
          <w:sz w:val="20"/>
          <w:szCs w:val="20"/>
          <w:color w:val="auto"/>
        </w:rPr>
      </w:pPr>
      <w:r>
        <w:rPr>
          <w:rFonts w:ascii="Arial" w:cs="Arial" w:eastAsia="Arial" w:hAnsi="Arial"/>
          <w:sz w:val="18"/>
          <w:szCs w:val="18"/>
          <w:color w:val="auto"/>
        </w:rPr>
        <w:t>Certain provisions of Delaware law and certain provisions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designated Class I,</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Class II, and Class III. Each class consists of an equal number of directors, as nearly as possible, consisting of one third of the total number of directors constituting the entire board of directors. The directors in each class serve for a three-year term, one class being elected each</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year by our stockholders, with staggered three-year terms. Only one class of directors is elected at each annual meeting of stockholders, with the other classes continuing for the remainder of their respective three-year terms.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3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authorized only our board of directors to fill vacant directorships.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3" w:right="339" w:bottom="1440" w:gutter="0" w:footer="0" w:header="0"/>
        </w:sectPr>
      </w:pPr>
    </w:p>
    <w:bookmarkStart w:id="207" w:name="page208"/>
    <w:bookmarkEnd w:id="207"/>
    <w:p>
      <w:pPr>
        <w:spacing w:after="0" w:line="20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Our amended and restated certificate of incorporation provides that stockholders do not have the right to cumulate votes in the election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2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amended and restated bylaws provide that stockholders seeking to nominate candidates for election as directors at an annual or special meeting of stockholders must provide timely notice thereof in writing. To be timely, a stockholder’s notice generally has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37"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23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of all the then outstanding shares of the Class A common stock and Class B common stock, except for any amendment of the above provisions, which would require the approval of a two-thirds majority of our then outstanding Class A common stock and Class B common stock or the separate approval of a majority of our Class B common stock for any increase to the authorized number of Class B common stock or two-thirds of our then outstanding Class B common stock for certain amendments to our Class B common stock or certain reclassifications of our Class A common stock described above. Additionally, our amended and restated certificate of incorporation provides that our bylaws may be amended, altered, or repealed by the board of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3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authorized but unissued shares of Class A common stock, Class B common stock, and preferred stock is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Class A common stock, Class B common stock, and preferred stock could render more difficult or discourage an attempt to obtain control of the Company by means of a proxy contest, tender offer, merger,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40" w:right="359" w:bottom="1440" w:gutter="0" w:footer="0" w:header="0"/>
        </w:sectPr>
      </w:pPr>
    </w:p>
    <w:bookmarkStart w:id="208" w:name="page209"/>
    <w:bookmarkEnd w:id="208"/>
    <w:p>
      <w:pPr>
        <w:spacing w:after="0" w:line="20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United States of America are the exclusive forum for resolving any complaint asserting a cause of action arising under the Securities Act. Any person or entity purchasing or otherwise acquiring any interest in our securities shall be deemed to have notice of and consented to these</w:t>
      </w:r>
    </w:p>
    <w:p>
      <w:pPr>
        <w:spacing w:after="0" w:line="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provisions. Although we believe these provisions benefit us by providing increased consistency in the application of law for the specified types of actions and proceedings, the provisions may have the effect of discouraging lawsuits against us or our directors and officers. There is uncertainty as to whether a court would enforce such provisions, and the enforceability of similar choice of forum provisions in other companies’ charter documents has been challenged in legal proceedings. We also note that stockholders cannot waive compliance (or consent to noncompliance) with the federal securities laws and the rules and regulations thereunder.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23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(1) prior to such time the board of directors of such corporation approved either the business combination or the transaction that resulted in the stockholder becoming an</w:t>
      </w:r>
    </w:p>
    <w:p>
      <w:pPr>
        <w:spacing w:after="0" w:line="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interested stockholder; (2) upon consummation of the transaction that resulted in the stockholder becoming an interested stockholder, the interested stockholder owned at least 85% of the voting stock of such corporation at the time the transaction commenced (excluding for</w:t>
      </w:r>
    </w:p>
    <w:p>
      <w:pPr>
        <w:spacing w:after="0" w:line="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(3) at or subsequent to such time the business combination is approved by the board of directors of such corporation and authorized at a meeting of stockholders (and not by written consent) by the affirmative vote of at least 66 2/3% of the</w:t>
      </w:r>
    </w:p>
    <w:p>
      <w:pPr>
        <w:spacing w:after="0" w:line="3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outstanding voting stock of such corporation not owned by the interested stockholder. 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spacing w:after="0" w:line="20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37"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In October 2022, in connection with a private placement of our Class A common stock to certain investors, we entered into a registration rights agreement providing for the registration for resale of the shares of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209" w:name="page210"/>
    <w:bookmarkEnd w:id="209"/>
    <w:p>
      <w:pPr>
        <w:ind w:right="20"/>
        <w:spacing w:after="0"/>
        <w:rPr>
          <w:sz w:val="20"/>
          <w:szCs w:val="20"/>
          <w:color w:val="auto"/>
        </w:rPr>
      </w:pPr>
      <w:r>
        <w:rPr>
          <w:rFonts w:ascii="Arial" w:cs="Arial" w:eastAsia="Arial" w:hAnsi="Arial"/>
          <w:sz w:val="18"/>
          <w:szCs w:val="18"/>
          <w:color w:val="auto"/>
        </w:rPr>
        <w:t>Class A common stock issued in such transaction. A prospectus supplement to our registration statement (File No. 333-264845), or the Shelf Registration Statement, was subsequently filed in October 2022 to register the resale of the shares of Class A common stock purchased by such investors. Such agreement and the registration rights thereunder must remain effective until registrable securities covered by the agreement have been sold by the holders or otherwise transferred and subsequent public distribution does not require registration under the Securities Act. In the event the holders cannot sell their shares due to certain circumstances causing the agreement to be ineffective, we must pay each holder of shares outstanding on the date and each month thereafter 1% of the aggregate purchase price paid by the holder without limit until the agreement is cured.</w:t>
      </w:r>
    </w:p>
    <w:p>
      <w:pPr>
        <w:spacing w:after="0" w:line="19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May 2023, in connection with the acquisition of Valence Discovery Inc., or Valence, we entered into a Registration Agreement with certain stockholders of Valence providing for the registration for resale of the shares of Class A common stock issued in such transaction as well as shares of Class A common stock issuable upon exchange of exchangeable shares of one of our subsidiaries issued in such transaction. A registration statement on Form S-3 (File No. 333-272281) was filed to register the shares for resale by the holders. The registration statement must remain effective for a period of not less than three years.</w:t>
      </w:r>
    </w:p>
    <w:p>
      <w:pPr>
        <w:spacing w:after="0" w:line="20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In May 2023, in connection with the acquisition of Cyclica, Inc., or Cyclica, we entered into a registration agreement providing for the registration for resale of the shares of Class A common stock issued in such transaction. A prospectus supplement to the Shelf Registration Statement was subsequently filed in June 2023 to register the shares for resale by the holders. The Shelf Registration Statement must be continuously effective until the earlier of the date that all shares have been sold thereunder or are able to be publicly sold by relying on Rule 144 of the Securities Act without registration.</w:t>
      </w:r>
    </w:p>
    <w:p>
      <w:pPr>
        <w:spacing w:after="0" w:line="20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July 2023, in connection with a private placement of shares of Class A common stock to NVIDIA Corporation, or NVIDIA, we entered into a Registration Rights Agreement providing for the registration for resale of the shares of Class A common stock issued in such transaction. A</w:t>
      </w:r>
    </w:p>
    <w:p>
      <w:pPr>
        <w:ind w:right="240"/>
        <w:spacing w:after="0"/>
        <w:rPr>
          <w:sz w:val="20"/>
          <w:szCs w:val="20"/>
          <w:color w:val="auto"/>
        </w:rPr>
      </w:pPr>
      <w:r>
        <w:rPr>
          <w:rFonts w:ascii="Arial" w:cs="Arial" w:eastAsia="Arial" w:hAnsi="Arial"/>
          <w:sz w:val="17"/>
          <w:szCs w:val="17"/>
          <w:color w:val="auto"/>
        </w:rPr>
        <w:t>prospectus supplement to the Shelf Registration Statement was subsequently filed in August 2023 to register the resale of the shares of Class A common stock issued to NVIDIA. We agreed to use commercially reasonable efforts to keep a registration statement continuously</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effective until such date that all registrable securities under the agreement have been sold. In the event the holders cannot sell their shares due to certain circumstances causing a registration statement to be ineffective, we must pay each holder of shares outstanding on the date and each month thereafter 1% of the aggregate purchase price with the maximum payable amount of 5% of the aggregate purchase price. We have also agreed that so long as a registration statement is in effect with respect to such shares of Class A common stock issued to NVIDIA, we will provide certain assistance in connection with underwritten offerings if requested by NVIDIA.</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November 2023, we entered into a Master Agreement, or the Tempus Agreement, with Tempus AI, Inc. (formerly known as Tempus Labs, Inc.) pursuant to which Tempus will provide certain services and deliverables to us and license certain data to us. Under the Tempus Agreement, in November 2023, we issued to Tempus an aggregate of 3.2 million shares of our Class A common stock in lieu of a cash payment of $22.0 million for the initial license fee owed to Tempus in exchange for the rights granted to us under the Tempus Agreement. We may in the future issue shares as payment for fees under the Tempus Agreement in lieu of cash payment. We have agreed pursuant to the Tempus Agreement to prepare and file a registration statement (or a prospectus supplement to an effective registration statement on Form S-</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3 that will become automatically effective upon filing with the SEC pursuant to Rule 462(e)) with the SEC, for resale of the shares of Class A common stock issued or issuable under the Tempus Agreement. A prospectus supplement to the Shelf Registration Statement was</w:t>
      </w:r>
    </w:p>
    <w:p>
      <w:pPr>
        <w:spacing w:after="0" w:line="2"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subsequently filed in December 2023 to register for resale the shares of Class A common stock issued to Tempus for the initial license fee under the Tempus Agreement. After registration of any shares issued to Tempus under the Tempus Agreement, we have agreed to use commercially reasonable efforts to keep such registration statement effective until such date that all shares issued to Tempus covered by such registration statement have been sold or are able to be publicly sold by relying on Rule 144 of the Securities Act without registration.</w:t>
      </w:r>
    </w:p>
    <w:p>
      <w:pPr>
        <w:spacing w:after="0" w:line="191"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We have agreed to pay certain expenses in connection with the registration of shares of our Class A common stock pursuant to the registration rights described above.”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03" w:right="359" w:bottom="1440" w:gutter="0" w:footer="0" w:header="0"/>
        </w:sectPr>
      </w:pPr>
    </w:p>
    <w:bookmarkStart w:id="210" w:name="page211"/>
    <w:bookmarkEnd w:id="210"/>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listed on the Nasdaq Global Select Market under the symbol “RXRX.”</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3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transfer agent and registrar for our Class A common stock is Equiniti Trust Company, LLC. The transfer agent and registrar’s address is 48 Wall Street, 23rd Floor, New York, NY 10005.</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40"/>
          </w:cols>
          <w:pgMar w:left="320" w:top="1440" w:right="4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Wilson Sonsini Goodrich &amp; Rosati</w:t>
      </w:r>
    </w:p>
    <w:p>
      <w:pPr>
        <w:spacing w:after="0" w:line="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-112395</wp:posOffset>
            </wp:positionV>
            <wp:extent cx="1088390" cy="420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2">
                      <a:extLst>
                        <a:ext uri="{28A0092B-C50C-407E-A947-70E740481C1C}"/>
                      </a:extLst>
                    </a:blip>
                    <a:srcRect/>
                    <a:stretch>
                      <a:fillRect/>
                    </a:stretch>
                  </pic:blipFill>
                  <pic:spPr bwMode="auto">
                    <a:xfrm>
                      <a:off x="0" y="0"/>
                      <a:ext cx="1088390" cy="42037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6"/>
          <w:szCs w:val="16"/>
          <w:color w:val="auto"/>
        </w:rPr>
        <w:t>701 5th Ave.</w:t>
      </w:r>
    </w:p>
    <w:p>
      <w:pPr>
        <w:spacing w:after="0" w:line="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Suite 5100</w:t>
      </w:r>
    </w:p>
    <w:p>
      <w:pPr>
        <w:spacing w:after="0" w:line="1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Seattle, Washington, 98104</w:t>
      </w:r>
    </w:p>
    <w:p>
      <w:pPr>
        <w:spacing w:after="0" w:line="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o: 206.883.2500</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February 25, 2026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Recursion Pharmaceuticals,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 S. Rio Grand 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Salt Lake City, Utah 84101</w:t>
      </w:r>
    </w:p>
    <w:p>
      <w:pPr>
        <w:spacing w:after="0" w:line="22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Registration Statement on Form S-3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have acted as counsel to Recursion Pharmaceuticals, Inc., a Delaware corporation (the “Company”), in connection with the registration of the proposed offer and sale of up to $300,000,000 of shares (the “Shares”) of the Company’s Class A common stock, $0.00001 par value per share, pursuant to the Company’s Registration Statement on Form S-3ASR (File No. 333-284878) (the “Registration Statement”) including the prospectus dated February 12, 2025 included therein (the “Base Prospectus”), filed by the Company with the Securities and Exchange Commission (the “Commission”) in connection with the registration pursuant to the Securities Act of 1933, as amended (the “Act”), of the Shares.</w:t>
      </w:r>
    </w:p>
    <w:p>
      <w:pPr>
        <w:spacing w:after="0" w:line="20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offering and sale of the Shares are being made pursuant to the Sales Agreement, dated as of February 25, 2026 (the “Sales Agreement”), by and between the Company and TD Securities (USA) LLC.</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We have examined copies of the Sales Agreement, the Registration Statement, the Base Prospectus, and the prospectus supplement thereto related to the offering of the Shares, which prospectus supplement is dated as of February 25, 2026 and will be filed by the Company in accordance with Rule 424(b) promulgated under the Act (the “Prospectus Supplement” and together with the Base Prospectus, the “Prospectus”). We have also examined instruments, documents and records which we deemed relevant and necessary for the basis of our opinion hereinafter expressed.</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post-effective amendments), will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tabs>
          <w:tab w:leader="none" w:pos="920" w:val="left"/>
          <w:tab w:leader="none" w:pos="1580" w:val="left"/>
          <w:tab w:leader="none" w:pos="2340" w:val="left"/>
          <w:tab w:leader="none" w:pos="3280" w:val="left"/>
          <w:tab w:leader="none" w:pos="4240" w:val="left"/>
          <w:tab w:leader="none" w:pos="4920" w:val="left"/>
          <w:tab w:leader="none" w:pos="5940" w:val="left"/>
        </w:tabs>
        <w:rPr>
          <w:sz w:val="20"/>
          <w:szCs w:val="20"/>
          <w:color w:val="auto"/>
        </w:rPr>
      </w:pPr>
      <w:r>
        <w:rPr>
          <w:rFonts w:ascii="Arial" w:cs="Arial" w:eastAsia="Arial" w:hAnsi="Arial"/>
          <w:sz w:val="13"/>
          <w:szCs w:val="13"/>
          <w:color w:val="003C4B"/>
        </w:rPr>
        <w:t>AUSTIN</w:t>
        <w:tab/>
        <w:t>BOSTON</w:t>
        <w:tab/>
        <w:t>BOULDER</w:t>
        <w:tab/>
        <w:t>BRUSSELS</w:t>
      </w:r>
      <w:r>
        <w:rPr>
          <w:sz w:val="20"/>
          <w:szCs w:val="20"/>
          <w:color w:val="auto"/>
        </w:rPr>
        <w:tab/>
      </w:r>
      <w:r>
        <w:rPr>
          <w:rFonts w:ascii="Arial" w:cs="Arial" w:eastAsia="Arial" w:hAnsi="Arial"/>
          <w:sz w:val="13"/>
          <w:szCs w:val="13"/>
          <w:color w:val="003C4B"/>
        </w:rPr>
        <w:t>HONG KONG</w:t>
        <w:tab/>
        <w:t>LONDON</w:t>
        <w:tab/>
        <w:t>LOS ANGELES</w:t>
      </w:r>
      <w:r>
        <w:rPr>
          <w:sz w:val="20"/>
          <w:szCs w:val="20"/>
          <w:color w:val="auto"/>
        </w:rPr>
        <w:tab/>
      </w:r>
      <w:r>
        <w:rPr>
          <w:rFonts w:ascii="Arial" w:cs="Arial" w:eastAsia="Arial" w:hAnsi="Arial"/>
          <w:sz w:val="12"/>
          <w:szCs w:val="12"/>
          <w:color w:val="003C4B"/>
        </w:rPr>
        <w:t>NEW YORK PALO ALTO</w:t>
      </w:r>
    </w:p>
    <w:p>
      <w:pPr>
        <w:spacing w:after="0" w:line="40" w:lineRule="exact"/>
        <w:rPr>
          <w:sz w:val="20"/>
          <w:szCs w:val="20"/>
          <w:color w:val="auto"/>
        </w:rPr>
      </w:pPr>
    </w:p>
    <w:p>
      <w:pPr>
        <w:ind w:left="660"/>
        <w:spacing w:after="0"/>
        <w:tabs>
          <w:tab w:leader="none" w:pos="1760" w:val="left"/>
          <w:tab w:leader="none" w:pos="2600" w:val="left"/>
          <w:tab w:leader="none" w:pos="3780" w:val="left"/>
          <w:tab w:leader="none" w:pos="4460" w:val="left"/>
          <w:tab w:leader="none" w:pos="5260" w:val="left"/>
          <w:tab w:leader="none" w:pos="6520" w:val="left"/>
        </w:tabs>
        <w:rPr>
          <w:sz w:val="20"/>
          <w:szCs w:val="20"/>
          <w:color w:val="auto"/>
        </w:rPr>
      </w:pPr>
      <w:r>
        <w:rPr>
          <w:rFonts w:ascii="Arial" w:cs="Arial" w:eastAsia="Arial" w:hAnsi="Arial"/>
          <w:sz w:val="13"/>
          <w:szCs w:val="13"/>
          <w:color w:val="003C4B"/>
        </w:rPr>
        <w:t>SALT LAKE CITY</w:t>
        <w:tab/>
        <w:t>SAN DIEGO</w:t>
        <w:tab/>
        <w:t>SAN FRANCISCO</w:t>
        <w:tab/>
        <w:t>SEATTLE</w:t>
        <w:tab/>
        <w:t>SHANGHAI</w:t>
        <w:tab/>
        <w:t>WASHINGTON, DC</w:t>
      </w:r>
      <w:r>
        <w:rPr>
          <w:sz w:val="20"/>
          <w:szCs w:val="20"/>
          <w:color w:val="auto"/>
        </w:rPr>
        <w:tab/>
      </w:r>
      <w:r>
        <w:rPr>
          <w:rFonts w:ascii="Arial" w:cs="Arial" w:eastAsia="Arial" w:hAnsi="Arial"/>
          <w:sz w:val="12"/>
          <w:szCs w:val="12"/>
          <w:color w:val="003C4B"/>
        </w:rPr>
        <w:t>WILMINGTON</w:t>
      </w:r>
    </w:p>
    <w:p>
      <w:pPr>
        <w:sectPr>
          <w:pgSz w:w="11900" w:h="16838" w:orient="portrait"/>
          <w:cols w:equalWidth="0" w:num="1">
            <w:col w:w="11240"/>
          </w:cols>
          <w:pgMar w:left="320" w:top="365"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48640" cy="2057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Recursion Pharmaceuticals,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become effective under the Act; (e) that the Prospectus Supplement will have been filed with the Commission describing the Shares offered thereby; (f) that the Shares will be sold in compliance with applicable U.S. federal and state securities laws and in the manner stated in the Registration Statement and the Prospectus; and (g)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20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Based on and subject to the foregoing, we are of the opinion that the Shares have been duly authorized by the Company and, when issued and delivered by the Company against payment therefor in accordance with the terms of the Sales Agreement, will be validly issued, fully paid and nonassessable.</w:t>
      </w:r>
    </w:p>
    <w:p>
      <w:pPr>
        <w:spacing w:after="0" w:line="18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We express no opinion as to the laws of any other jurisdiction other than the federal laws of the United States of America and the General Corporation Law of the State of Delaware.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w:t>
      </w:r>
    </w:p>
    <w:p>
      <w:pPr>
        <w:spacing w:after="0" w:line="2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We hereby consent to the use of this opinion as an exhibit to the Company’s Annual Report on Form 10-K, filed on or about February 25, 2026 for incorporation by reference into the Registration Statement and the Prospectus. In giving such consent, we do not thereby admit that we are in the category of persons whose consent is required under Section 7 of the Act or the rules and regulations of the Commission thereunder.</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Sincerely,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Wilson Sonsini Goodrich &amp; Rosati, P.C.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WILSON SONSINI GOODRICH &amp; ROSATI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Professional Corporation</w:t>
      </w:r>
    </w:p>
    <w:p>
      <w:pPr>
        <w:sectPr>
          <w:pgSz w:w="11900" w:h="16838" w:orient="portrait"/>
          <w:cols w:equalWidth="0" w:num="1">
            <w:col w:w="11240"/>
          </w:cols>
          <w:pgMar w:left="320" w:top="778"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RECURSION PHARMACEUTICALS,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OUTSIDE DIRECTOR COMPENSATION POLICY</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Recursion Pharmaceuticals, Inc. (the “</w:t>
      </w:r>
      <w:r>
        <w:rPr>
          <w:rFonts w:ascii="Arial" w:cs="Arial" w:eastAsia="Arial" w:hAnsi="Arial"/>
          <w:sz w:val="22"/>
          <w:szCs w:val="22"/>
          <w:u w:val="single" w:color="auto"/>
          <w:color w:val="auto"/>
        </w:rPr>
        <w:t>Company</w:t>
      </w:r>
      <w:r>
        <w:rPr>
          <w:rFonts w:ascii="Arial" w:cs="Arial" w:eastAsia="Arial" w:hAnsi="Arial"/>
          <w:sz w:val="22"/>
          <w:szCs w:val="22"/>
          <w:color w:val="auto"/>
        </w:rPr>
        <w:t>”) believes that providing cash and equity compensation to members of its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and members of the Board, the “</w:t>
      </w:r>
      <w:r>
        <w:rPr>
          <w:rFonts w:ascii="Arial" w:cs="Arial" w:eastAsia="Arial" w:hAnsi="Arial"/>
          <w:sz w:val="22"/>
          <w:szCs w:val="22"/>
          <w:u w:val="single" w:color="auto"/>
          <w:color w:val="auto"/>
        </w:rPr>
        <w:t>Directors</w:t>
      </w:r>
      <w:r>
        <w:rPr>
          <w:rFonts w:ascii="Arial" w:cs="Arial" w:eastAsia="Arial" w:hAnsi="Arial"/>
          <w:sz w:val="22"/>
          <w:szCs w:val="22"/>
          <w:color w:val="auto"/>
        </w:rPr>
        <w:t>”) represents an effective tool to attract, retain and reward Directors who are not employees of the Company (the “</w:t>
      </w:r>
      <w:r>
        <w:rPr>
          <w:rFonts w:ascii="Arial" w:cs="Arial" w:eastAsia="Arial" w:hAnsi="Arial"/>
          <w:sz w:val="22"/>
          <w:szCs w:val="22"/>
          <w:u w:val="single" w:color="auto"/>
          <w:color w:val="auto"/>
        </w:rPr>
        <w:t>Outside Directors</w:t>
      </w:r>
      <w:r>
        <w:rPr>
          <w:rFonts w:ascii="Arial" w:cs="Arial" w:eastAsia="Arial" w:hAnsi="Arial"/>
          <w:sz w:val="22"/>
          <w:szCs w:val="22"/>
          <w:color w:val="auto"/>
        </w:rPr>
        <w:t xml:space="preserve">”). This Outside Director Compensation Policy (this “ </w:t>
      </w:r>
      <w:r>
        <w:rPr>
          <w:rFonts w:ascii="Arial" w:cs="Arial" w:eastAsia="Arial" w:hAnsi="Arial"/>
          <w:sz w:val="22"/>
          <w:szCs w:val="22"/>
          <w:u w:val="single" w:color="auto"/>
          <w:color w:val="auto"/>
        </w:rPr>
        <w:t>Policy</w:t>
      </w:r>
      <w:r>
        <w:rPr>
          <w:rFonts w:ascii="Arial" w:cs="Arial" w:eastAsia="Arial" w:hAnsi="Arial"/>
          <w:sz w:val="22"/>
          <w:szCs w:val="22"/>
          <w:color w:val="auto"/>
        </w:rPr>
        <w:t>”) is intended to formalize the Company’s policy regarding the compensation to its Outside Directors. Unless defined in this Policy, capitalized terms used in this Policy will have the meaning given to such terms in the Company’s 2021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This Policy, as amended, will be effective as of the date of approval by the Board (such date, the “</w:t>
      </w:r>
      <w:r>
        <w:rPr>
          <w:rFonts w:ascii="Arial" w:cs="Arial" w:eastAsia="Arial" w:hAnsi="Arial"/>
          <w:sz w:val="22"/>
          <w:szCs w:val="22"/>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w:t>
      </w:r>
    </w:p>
    <w:p>
      <w:pPr>
        <w:spacing w:after="0" w:line="156"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Cash Compensation</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Annual Cash Retainer</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Each Outside Director will be paid an annual cash retainer of $35,000. There are no per-meeting attendance fees for attending Board meetings.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Committee Annual Cash Retainer</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Effective as of the Effective Date, each Outside Director who serves as the Chair of the Board, Lead Independent Director of the Board, or the Chair or a member of a committee of the Board listed below will be eligible to earn additional annual cash retainers as follows:</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83"/>
        </w:trPr>
        <w:tc>
          <w:tcPr>
            <w:tcW w:w="2500" w:type="dxa"/>
            <w:vAlign w:val="bottom"/>
          </w:tcPr>
          <w:p>
            <w:pPr>
              <w:spacing w:after="0"/>
              <w:rPr>
                <w:sz w:val="20"/>
                <w:szCs w:val="20"/>
                <w:color w:val="auto"/>
              </w:rPr>
            </w:pPr>
            <w:r>
              <w:rPr>
                <w:rFonts w:ascii="Arial" w:cs="Arial" w:eastAsia="Arial" w:hAnsi="Arial"/>
                <w:sz w:val="22"/>
                <w:szCs w:val="22"/>
                <w:color w:val="auto"/>
              </w:rPr>
              <w:t>Chair of the Board:</w:t>
            </w:r>
          </w:p>
        </w:tc>
        <w:tc>
          <w:tcPr>
            <w:tcW w:w="1240" w:type="dxa"/>
            <w:vAlign w:val="bottom"/>
            <w:gridSpan w:val="2"/>
          </w:tcPr>
          <w:p>
            <w:pPr>
              <w:jc w:val="right"/>
              <w:ind w:right="312"/>
              <w:spacing w:after="0"/>
              <w:rPr>
                <w:sz w:val="20"/>
                <w:szCs w:val="20"/>
                <w:color w:val="auto"/>
              </w:rPr>
            </w:pPr>
            <w:r>
              <w:rPr>
                <w:rFonts w:ascii="Arial" w:cs="Arial" w:eastAsia="Arial" w:hAnsi="Arial"/>
                <w:sz w:val="22"/>
                <w:szCs w:val="22"/>
                <w:color w:val="auto"/>
              </w:rPr>
              <w:t>$30,000</w:t>
            </w:r>
          </w:p>
        </w:tc>
        <w:tc>
          <w:tcPr>
            <w:tcW w:w="1040" w:type="dxa"/>
            <w:vAlign w:val="bottom"/>
          </w:tcPr>
          <w:p>
            <w:pPr>
              <w:spacing w:after="0"/>
              <w:rPr>
                <w:sz w:val="24"/>
                <w:szCs w:val="24"/>
                <w:color w:val="auto"/>
              </w:rPr>
            </w:pPr>
          </w:p>
        </w:tc>
      </w:tr>
      <w:tr>
        <w:trPr>
          <w:trHeight w:val="473"/>
        </w:trPr>
        <w:tc>
          <w:tcPr>
            <w:tcW w:w="2960" w:type="dxa"/>
            <w:vAlign w:val="bottom"/>
            <w:gridSpan w:val="2"/>
          </w:tcPr>
          <w:p>
            <w:pPr>
              <w:spacing w:after="0"/>
              <w:rPr>
                <w:sz w:val="20"/>
                <w:szCs w:val="20"/>
                <w:color w:val="auto"/>
              </w:rPr>
            </w:pPr>
            <w:r>
              <w:rPr>
                <w:rFonts w:ascii="Arial" w:cs="Arial" w:eastAsia="Arial" w:hAnsi="Arial"/>
                <w:sz w:val="22"/>
                <w:szCs w:val="22"/>
                <w:color w:val="auto"/>
              </w:rPr>
              <w:t>Lead Independent Director:</w:t>
            </w:r>
          </w:p>
        </w:tc>
        <w:tc>
          <w:tcPr>
            <w:tcW w:w="1820" w:type="dxa"/>
            <w:vAlign w:val="bottom"/>
            <w:gridSpan w:val="2"/>
          </w:tcPr>
          <w:p>
            <w:pPr>
              <w:jc w:val="right"/>
              <w:ind w:right="552"/>
              <w:spacing w:after="0"/>
              <w:rPr>
                <w:sz w:val="20"/>
                <w:szCs w:val="20"/>
                <w:color w:val="auto"/>
              </w:rPr>
            </w:pPr>
            <w:r>
              <w:rPr>
                <w:rFonts w:ascii="Arial" w:cs="Arial" w:eastAsia="Arial" w:hAnsi="Arial"/>
                <w:sz w:val="22"/>
                <w:szCs w:val="22"/>
                <w:color w:val="auto"/>
              </w:rPr>
              <w:t>$30,000</w:t>
            </w:r>
          </w:p>
        </w:tc>
      </w:tr>
      <w:tr>
        <w:trPr>
          <w:trHeight w:val="472"/>
        </w:trPr>
        <w:tc>
          <w:tcPr>
            <w:tcW w:w="2500" w:type="dxa"/>
            <w:vAlign w:val="bottom"/>
          </w:tcPr>
          <w:p>
            <w:pPr>
              <w:spacing w:after="0"/>
              <w:rPr>
                <w:sz w:val="20"/>
                <w:szCs w:val="20"/>
                <w:color w:val="auto"/>
              </w:rPr>
            </w:pPr>
            <w:r>
              <w:rPr>
                <w:rFonts w:ascii="Arial" w:cs="Arial" w:eastAsia="Arial" w:hAnsi="Arial"/>
                <w:sz w:val="22"/>
                <w:szCs w:val="22"/>
                <w:color w:val="auto"/>
                <w:w w:val="98"/>
              </w:rPr>
              <w:t>Chair of Audit Committee:</w:t>
            </w:r>
          </w:p>
        </w:tc>
        <w:tc>
          <w:tcPr>
            <w:tcW w:w="460" w:type="dxa"/>
            <w:vAlign w:val="bottom"/>
          </w:tcPr>
          <w:p>
            <w:pPr>
              <w:spacing w:after="0"/>
              <w:rPr>
                <w:sz w:val="24"/>
                <w:szCs w:val="24"/>
                <w:color w:val="auto"/>
              </w:rPr>
            </w:pPr>
          </w:p>
        </w:tc>
        <w:tc>
          <w:tcPr>
            <w:tcW w:w="1820" w:type="dxa"/>
            <w:vAlign w:val="bottom"/>
            <w:gridSpan w:val="2"/>
          </w:tcPr>
          <w:p>
            <w:pPr>
              <w:jc w:val="right"/>
              <w:ind w:right="692"/>
              <w:spacing w:after="0"/>
              <w:rPr>
                <w:sz w:val="20"/>
                <w:szCs w:val="20"/>
                <w:color w:val="auto"/>
              </w:rPr>
            </w:pPr>
            <w:r>
              <w:rPr>
                <w:rFonts w:ascii="Arial" w:cs="Arial" w:eastAsia="Arial" w:hAnsi="Arial"/>
                <w:sz w:val="22"/>
                <w:szCs w:val="22"/>
                <w:color w:val="auto"/>
              </w:rPr>
              <w:t>$20,000</w:t>
            </w:r>
          </w:p>
        </w:tc>
      </w:tr>
      <w:tr>
        <w:trPr>
          <w:trHeight w:val="486"/>
        </w:trPr>
        <w:tc>
          <w:tcPr>
            <w:tcW w:w="2960" w:type="dxa"/>
            <w:vAlign w:val="bottom"/>
            <w:gridSpan w:val="2"/>
          </w:tcPr>
          <w:p>
            <w:pPr>
              <w:spacing w:after="0"/>
              <w:rPr>
                <w:sz w:val="20"/>
                <w:szCs w:val="20"/>
                <w:color w:val="auto"/>
              </w:rPr>
            </w:pPr>
            <w:r>
              <w:rPr>
                <w:rFonts w:ascii="Arial" w:cs="Arial" w:eastAsia="Arial" w:hAnsi="Arial"/>
                <w:sz w:val="22"/>
                <w:szCs w:val="22"/>
                <w:color w:val="auto"/>
              </w:rPr>
              <w:t>Member of Audit Committee:</w:t>
            </w:r>
          </w:p>
        </w:tc>
        <w:tc>
          <w:tcPr>
            <w:tcW w:w="1820" w:type="dxa"/>
            <w:vAlign w:val="bottom"/>
            <w:gridSpan w:val="2"/>
          </w:tcPr>
          <w:p>
            <w:pPr>
              <w:jc w:val="right"/>
              <w:ind w:right="432"/>
              <w:spacing w:after="0"/>
              <w:rPr>
                <w:sz w:val="20"/>
                <w:szCs w:val="20"/>
                <w:color w:val="auto"/>
              </w:rPr>
            </w:pPr>
            <w:r>
              <w:rPr>
                <w:rFonts w:ascii="Arial" w:cs="Arial" w:eastAsia="Arial" w:hAnsi="Arial"/>
                <w:sz w:val="22"/>
                <w:szCs w:val="22"/>
                <w:color w:val="auto"/>
              </w:rPr>
              <w:t>$10,000</w:t>
            </w:r>
          </w:p>
        </w:tc>
      </w:tr>
      <w:tr>
        <w:trPr>
          <w:trHeight w:val="473"/>
        </w:trPr>
        <w:tc>
          <w:tcPr>
            <w:tcW w:w="3740" w:type="dxa"/>
            <w:vAlign w:val="bottom"/>
            <w:gridSpan w:val="3"/>
          </w:tcPr>
          <w:p>
            <w:pPr>
              <w:spacing w:after="0"/>
              <w:rPr>
                <w:sz w:val="20"/>
                <w:szCs w:val="20"/>
                <w:color w:val="auto"/>
              </w:rPr>
            </w:pPr>
            <w:r>
              <w:rPr>
                <w:rFonts w:ascii="Arial" w:cs="Arial" w:eastAsia="Arial" w:hAnsi="Arial"/>
                <w:sz w:val="22"/>
                <w:szCs w:val="22"/>
                <w:color w:val="auto"/>
              </w:rPr>
              <w:t>Chair of Compensation Committee:</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$15,000</w:t>
            </w:r>
          </w:p>
        </w:tc>
      </w:tr>
      <w:tr>
        <w:trPr>
          <w:trHeight w:val="473"/>
        </w:trPr>
        <w:tc>
          <w:tcPr>
            <w:tcW w:w="3740" w:type="dxa"/>
            <w:vAlign w:val="bottom"/>
            <w:gridSpan w:val="3"/>
          </w:tcPr>
          <w:p>
            <w:pPr>
              <w:spacing w:after="0"/>
              <w:rPr>
                <w:sz w:val="20"/>
                <w:szCs w:val="20"/>
                <w:color w:val="auto"/>
              </w:rPr>
            </w:pPr>
            <w:r>
              <w:rPr>
                <w:rFonts w:ascii="Arial" w:cs="Arial" w:eastAsia="Arial" w:hAnsi="Arial"/>
                <w:sz w:val="22"/>
                <w:szCs w:val="22"/>
                <w:color w:val="auto"/>
              </w:rPr>
              <w:t>Member of Compensation Committee:</w:t>
            </w:r>
          </w:p>
        </w:tc>
        <w:tc>
          <w:tcPr>
            <w:tcW w:w="1040" w:type="dxa"/>
            <w:vAlign w:val="bottom"/>
          </w:tcPr>
          <w:p>
            <w:pPr>
              <w:jc w:val="right"/>
              <w:spacing w:after="0"/>
              <w:rPr>
                <w:sz w:val="20"/>
                <w:szCs w:val="20"/>
                <w:color w:val="auto"/>
              </w:rPr>
            </w:pPr>
            <w:r>
              <w:rPr>
                <w:rFonts w:ascii="Arial" w:cs="Arial" w:eastAsia="Arial" w:hAnsi="Arial"/>
                <w:sz w:val="22"/>
                <w:szCs w:val="22"/>
                <w:color w:val="auto"/>
              </w:rPr>
              <w:t>$7,500</w:t>
            </w:r>
          </w:p>
        </w:tc>
      </w:tr>
    </w:tbl>
    <w:p>
      <w:pPr>
        <w:spacing w:after="0" w:line="189" w:lineRule="exact"/>
        <w:rPr>
          <w:sz w:val="20"/>
          <w:szCs w:val="20"/>
          <w:color w:val="auto"/>
        </w:rPr>
      </w:pPr>
    </w:p>
    <w:p>
      <w:pPr>
        <w:ind w:left="660"/>
        <w:spacing w:after="0"/>
        <w:tabs>
          <w:tab w:leader="none" w:pos="6620" w:val="left"/>
        </w:tabs>
        <w:rPr>
          <w:sz w:val="20"/>
          <w:szCs w:val="20"/>
          <w:color w:val="auto"/>
        </w:rPr>
      </w:pPr>
      <w:r>
        <w:rPr>
          <w:rFonts w:ascii="Arial" w:cs="Arial" w:eastAsia="Arial" w:hAnsi="Arial"/>
          <w:sz w:val="22"/>
          <w:szCs w:val="22"/>
          <w:color w:val="auto"/>
        </w:rPr>
        <w:t>Chair of Nominating and Corporate Governance Committee:</w:t>
      </w:r>
      <w:r>
        <w:rPr>
          <w:sz w:val="20"/>
          <w:szCs w:val="20"/>
          <w:color w:val="auto"/>
        </w:rPr>
        <w:tab/>
      </w:r>
      <w:r>
        <w:rPr>
          <w:rFonts w:ascii="Arial" w:cs="Arial" w:eastAsia="Arial" w:hAnsi="Arial"/>
          <w:sz w:val="21"/>
          <w:szCs w:val="21"/>
          <w:color w:val="auto"/>
        </w:rPr>
        <w:t>$10,000</w:t>
      </w:r>
    </w:p>
    <w:p>
      <w:pPr>
        <w:spacing w:after="0" w:line="220" w:lineRule="exact"/>
        <w:rPr>
          <w:sz w:val="20"/>
          <w:szCs w:val="20"/>
          <w:color w:val="auto"/>
        </w:rPr>
      </w:pPr>
    </w:p>
    <w:p>
      <w:pPr>
        <w:ind w:left="660"/>
        <w:spacing w:after="0"/>
        <w:tabs>
          <w:tab w:leader="none" w:pos="6900" w:val="left"/>
        </w:tabs>
        <w:rPr>
          <w:sz w:val="20"/>
          <w:szCs w:val="20"/>
          <w:color w:val="auto"/>
        </w:rPr>
      </w:pPr>
      <w:r>
        <w:rPr>
          <w:rFonts w:ascii="Arial" w:cs="Arial" w:eastAsia="Arial" w:hAnsi="Arial"/>
          <w:sz w:val="22"/>
          <w:szCs w:val="22"/>
          <w:color w:val="auto"/>
        </w:rPr>
        <w:t>Member of Nominating and Corporate Governance Committee:</w:t>
      </w:r>
      <w:r>
        <w:rPr>
          <w:sz w:val="20"/>
          <w:szCs w:val="20"/>
          <w:color w:val="auto"/>
        </w:rPr>
        <w:tab/>
      </w:r>
      <w:r>
        <w:rPr>
          <w:rFonts w:ascii="Arial" w:cs="Arial" w:eastAsia="Arial" w:hAnsi="Arial"/>
          <w:sz w:val="21"/>
          <w:szCs w:val="21"/>
          <w:color w:val="auto"/>
        </w:rPr>
        <w:t>$5,000</w:t>
      </w:r>
    </w:p>
    <w:p>
      <w:pPr>
        <w:sectPr>
          <w:pgSz w:w="11900" w:h="16838" w:orient="portrait"/>
          <w:cols w:equalWidth="0" w:num="1">
            <w:col w:w="11240"/>
          </w:cols>
          <w:pgMar w:left="320" w:top="108" w:right="339" w:bottom="1440" w:gutter="0" w:footer="0" w:header="0"/>
        </w:sectPr>
      </w:pPr>
    </w:p>
    <w:bookmarkStart w:id="214" w:name="page215"/>
    <w:bookmarkEnd w:id="214"/>
    <w:p>
      <w:pPr>
        <w:spacing w:after="0" w:line="19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Chair of Research and Development Committee: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$10,000</w:t>
      </w:r>
    </w:p>
    <w:p>
      <w:pPr>
        <w:spacing w:after="0" w:line="200" w:lineRule="exact"/>
        <w:rPr>
          <w:sz w:val="20"/>
          <w:szCs w:val="20"/>
          <w:color w:val="auto"/>
        </w:rPr>
      </w:pPr>
    </w:p>
    <w:p>
      <w:pPr>
        <w:sectPr>
          <w:pgSz w:w="11900" w:h="16838" w:orient="portrait"/>
          <w:cols w:equalWidth="0" w:num="2">
            <w:col w:w="5320" w:space="480"/>
            <w:col w:w="5440"/>
          </w:cols>
          <w:pgMar w:left="320" w:top="1440" w:right="339" w:bottom="1440" w:gutter="0" w:footer="0" w:header="0"/>
        </w:sectPr>
      </w:pPr>
    </w:p>
    <w:p>
      <w:pPr>
        <w:spacing w:after="0" w:line="3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Member of Research and Development Committee: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$5,000</w:t>
      </w:r>
    </w:p>
    <w:p>
      <w:pPr>
        <w:spacing w:after="0" w:line="200" w:lineRule="exact"/>
        <w:rPr>
          <w:sz w:val="20"/>
          <w:szCs w:val="20"/>
          <w:color w:val="auto"/>
        </w:rPr>
      </w:pPr>
    </w:p>
    <w:p>
      <w:pPr>
        <w:sectPr>
          <w:pgSz w:w="11900" w:h="16838" w:orient="portrait"/>
          <w:cols w:equalWidth="0" w:num="2">
            <w:col w:w="5580" w:space="240"/>
            <w:col w:w="5420"/>
          </w:cols>
          <w:pgMar w:left="320" w:top="1440" w:right="339" w:bottom="1440" w:gutter="0" w:footer="0" w:header="0"/>
          <w:type w:val="continuous"/>
        </w:sectPr>
      </w:pPr>
    </w:p>
    <w:p>
      <w:pPr>
        <w:spacing w:after="0" w:line="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Chair of Technology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$10,000</w:t>
      </w:r>
    </w:p>
    <w:p>
      <w:pPr>
        <w:spacing w:after="0" w:line="200" w:lineRule="exact"/>
        <w:rPr>
          <w:sz w:val="20"/>
          <w:szCs w:val="20"/>
          <w:color w:val="auto"/>
        </w:rPr>
      </w:pPr>
    </w:p>
    <w:p>
      <w:pPr>
        <w:sectPr>
          <w:pgSz w:w="11900" w:h="16838" w:orient="portrait"/>
          <w:cols w:equalWidth="0" w:num="2">
            <w:col w:w="3720" w:space="720"/>
            <w:col w:w="6800"/>
          </w:cols>
          <w:pgMar w:left="320" w:top="1440" w:right="339" w:bottom="1440" w:gutter="0" w:footer="0" w:header="0"/>
          <w:type w:val="continuous"/>
        </w:sectPr>
      </w:pPr>
    </w:p>
    <w:p>
      <w:pPr>
        <w:spacing w:after="0" w:line="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Member of Technology Committee: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$5,000</w:t>
      </w:r>
    </w:p>
    <w:p>
      <w:pPr>
        <w:spacing w:after="0" w:line="200" w:lineRule="exact"/>
        <w:rPr>
          <w:sz w:val="20"/>
          <w:szCs w:val="20"/>
          <w:color w:val="auto"/>
        </w:rPr>
      </w:pPr>
    </w:p>
    <w:p>
      <w:pPr>
        <w:sectPr>
          <w:pgSz w:w="11900" w:h="16838" w:orient="portrait"/>
          <w:cols w:equalWidth="0" w:num="2">
            <w:col w:w="4000" w:space="480"/>
            <w:col w:w="6760"/>
          </w:cols>
          <w:pgMar w:left="320" w:top="1440" w:right="339" w:bottom="1440" w:gutter="0" w:footer="0" w:header="0"/>
          <w:type w:val="continuous"/>
        </w:sectPr>
      </w:pPr>
    </w:p>
    <w:p>
      <w:pPr>
        <w:spacing w:after="0" w:line="3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For clarity, each Outside Director who serves as the chair of a committee will receive only the annual cash retainer as the chair of the committee, and not the additional annual cash retainer as a member of the committee.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Payment</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Subject to the section below entitled “Election to Receive Fully Vested Stock,” each annual cash retainer payable under this Policy for service on the Board, Chair of the Board, Lead Independent Director of the Board, or the Chair or a member of a committee of the Board (an “</w:t>
      </w:r>
      <w:r>
        <w:rPr>
          <w:rFonts w:ascii="Arial" w:cs="Arial" w:eastAsia="Arial" w:hAnsi="Arial"/>
          <w:sz w:val="22"/>
          <w:szCs w:val="22"/>
          <w:u w:val="single" w:color="auto"/>
          <w:color w:val="auto"/>
        </w:rPr>
        <w:t>Annual Cash Retainer</w:t>
      </w:r>
      <w:r>
        <w:rPr>
          <w:rFonts w:ascii="Arial" w:cs="Arial" w:eastAsia="Arial" w:hAnsi="Arial"/>
          <w:sz w:val="22"/>
          <w:szCs w:val="22"/>
          <w:color w:val="auto"/>
        </w:rPr>
        <w:t>”) will be paid quarterly in arrears on a prorated basis to each Outside Director who has served in the relevant capacity at any point during the fiscal quarter, and such payment will be made on the last business day of such fiscal quarter (or as soon thereafter as practical, but in no event later than 30 days following the end of such fiscal quarter). For purposes of clarification, an Outside Director who has served as an Outside Director and/or as a member of an applicable committee (or Chair thereof) during only a portion of the relevant Company fiscal quarter will receive a pro-rated payment of the quarterly payment of the applicable annual cash retainer(s), calculated based on the number of days during such fiscal quarter such Outside Director has served in the relevant capacities.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Election to Receive Fully Vested Stock</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Subject to complying with the Retainer Award Election Mechanics below, each Outside Director may elect to convert all of his or her Annual Cash Retainer with respect to services performed in a future calendar year and otherwise scheduled to be paid following the completion of those services into an award of fully-vested Shares granted under the Plan (“</w:t>
      </w:r>
      <w:r>
        <w:rPr>
          <w:rFonts w:ascii="Arial" w:cs="Arial" w:eastAsia="Arial" w:hAnsi="Arial"/>
          <w:sz w:val="22"/>
          <w:szCs w:val="22"/>
          <w:u w:val="single" w:color="auto"/>
          <w:color w:val="auto"/>
        </w:rPr>
        <w:t>Retainer Award</w:t>
      </w:r>
      <w:r>
        <w:rPr>
          <w:rFonts w:ascii="Arial" w:cs="Arial" w:eastAsia="Arial" w:hAnsi="Arial"/>
          <w:sz w:val="22"/>
          <w:szCs w:val="22"/>
          <w:color w:val="auto"/>
        </w:rPr>
        <w:t>” and such election, a “</w:t>
      </w:r>
      <w:r>
        <w:rPr>
          <w:rFonts w:ascii="Arial" w:cs="Arial" w:eastAsia="Arial" w:hAnsi="Arial"/>
          <w:sz w:val="22"/>
          <w:szCs w:val="22"/>
          <w:u w:val="single" w:color="auto"/>
          <w:color w:val="auto"/>
        </w:rPr>
        <w:t>Retainer Award Election</w:t>
      </w:r>
      <w:r>
        <w:rPr>
          <w:rFonts w:ascii="Arial" w:cs="Arial" w:eastAsia="Arial" w:hAnsi="Arial"/>
          <w:sz w:val="22"/>
          <w:szCs w:val="22"/>
          <w:color w:val="auto"/>
        </w:rPr>
        <w:t>”). If an Outside Director elects to convert his or her Annual Cash Retainer into a Retainer Award, the Retainer Award will be issued automatically and quarterly (such portion of the Retainer Award, a “</w:t>
      </w:r>
      <w:r>
        <w:rPr>
          <w:rFonts w:ascii="Arial" w:cs="Arial" w:eastAsia="Arial" w:hAnsi="Arial"/>
          <w:sz w:val="22"/>
          <w:szCs w:val="22"/>
          <w:u w:val="single" w:color="auto"/>
          <w:color w:val="auto"/>
        </w:rPr>
        <w:t>Quarterly Retainer Award</w:t>
      </w:r>
      <w:r>
        <w:rPr>
          <w:rFonts w:ascii="Arial" w:cs="Arial" w:eastAsia="Arial" w:hAnsi="Arial"/>
          <w:sz w:val="22"/>
          <w:szCs w:val="22"/>
          <w:color w:val="auto"/>
        </w:rPr>
        <w:t>”) in arrears on a prorated basis on the first Trading Day following the end of such immediately preceding Fiscal Quarter. The number of Shares subject to a Quarterly Retainer Award will be determined by dividing the amount of the Annual Cash Retainer that would otherwise be payable with respect to such immediately preceding Fiscal Quarter by the Fair Market Value of a Share on the issuance date (as determined in accordance with the Plan), rounded to the nearest whole Share using standard rounding principles. The “</w:t>
      </w:r>
      <w:r>
        <w:rPr>
          <w:rFonts w:ascii="Arial" w:cs="Arial" w:eastAsia="Arial" w:hAnsi="Arial"/>
          <w:sz w:val="22"/>
          <w:szCs w:val="22"/>
          <w:u w:val="single" w:color="auto"/>
          <w:color w:val="auto"/>
        </w:rPr>
        <w:t>Retainer Award Election Mechanics</w:t>
      </w:r>
      <w:r>
        <w:rPr>
          <w:rFonts w:ascii="Arial" w:cs="Arial" w:eastAsia="Arial" w:hAnsi="Arial"/>
          <w:sz w:val="22"/>
          <w:szCs w:val="22"/>
          <w:color w:val="auto"/>
        </w:rPr>
        <w:t>” are set forth below.</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Each Retainer Award Election must be submitted to the Company’s General Counsel in the form and manner specified by the Board or Compensation Committee. An individual who fails to make a timely Retainer Award Election shall not receive a Retainer Award for the next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type w:val="continuous"/>
        </w:sectPr>
      </w:pPr>
    </w:p>
    <w:bookmarkStart w:id="215" w:name="page216"/>
    <w:bookmarkEnd w:id="215"/>
    <w:p>
      <w:pPr>
        <w:spacing w:after="0" w:line="199" w:lineRule="exact"/>
        <w:rPr>
          <w:sz w:val="20"/>
          <w:szCs w:val="20"/>
          <w:color w:val="auto"/>
        </w:rPr>
      </w:pPr>
    </w:p>
    <w:p>
      <w:pPr>
        <w:jc w:val="both"/>
        <w:ind w:right="20"/>
        <w:spacing w:after="0" w:line="257" w:lineRule="auto"/>
        <w:rPr>
          <w:sz w:val="20"/>
          <w:szCs w:val="20"/>
          <w:color w:val="auto"/>
        </w:rPr>
      </w:pPr>
      <w:r>
        <w:rPr>
          <w:rFonts w:ascii="Arial" w:cs="Arial" w:eastAsia="Arial" w:hAnsi="Arial"/>
          <w:sz w:val="22"/>
          <w:szCs w:val="22"/>
          <w:color w:val="auto"/>
        </w:rPr>
        <w:t>year, and instead shall receive the applicable Annual Cash Retainer for such calendar year. Once a Retainer Award Election is validly submitted, it will remain in effect with respect to all subsequent Annual Cash Retainers related to future calendar years unless the applicable Outside Director revokes such election as provided herein.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Retainer Award Elections must comply with the following timing requirements:</w:t>
      </w:r>
    </w:p>
    <w:p>
      <w:pPr>
        <w:spacing w:after="0" w:line="220" w:lineRule="exact"/>
        <w:rPr>
          <w:sz w:val="20"/>
          <w:szCs w:val="20"/>
          <w:color w:val="auto"/>
        </w:rPr>
      </w:pPr>
    </w:p>
    <w:p>
      <w:pPr>
        <w:jc w:val="both"/>
        <w:ind w:firstLine="1304"/>
        <w:spacing w:after="0" w:line="248" w:lineRule="auto"/>
        <w:tabs>
          <w:tab w:leader="none" w:pos="1827" w:val="left"/>
        </w:tabs>
        <w:numPr>
          <w:ilvl w:val="1"/>
          <w:numId w:val="112"/>
        </w:numPr>
        <w:rPr>
          <w:rFonts w:ascii="Arial" w:cs="Arial" w:eastAsia="Arial" w:hAnsi="Arial"/>
          <w:sz w:val="22"/>
          <w:szCs w:val="22"/>
          <w:color w:val="auto"/>
        </w:rPr>
      </w:pPr>
      <w:r>
        <w:rPr>
          <w:rFonts w:ascii="Arial" w:cs="Arial" w:eastAsia="Arial" w:hAnsi="Arial"/>
          <w:sz w:val="22"/>
          <w:szCs w:val="22"/>
          <w:u w:val="single" w:color="auto"/>
          <w:color w:val="auto"/>
        </w:rPr>
        <w:t>Initial Election</w:t>
      </w:r>
      <w:r>
        <w:rPr>
          <w:rFonts w:ascii="Arial" w:cs="Arial" w:eastAsia="Arial" w:hAnsi="Arial"/>
          <w:sz w:val="22"/>
          <w:szCs w:val="22"/>
          <w:color w:val="auto"/>
        </w:rPr>
        <w:t>. Each individual who first becomes an Outside Director following the Effective Date (the date such individual first becomes an Outside Director, the “</w:t>
      </w:r>
      <w:r>
        <w:rPr>
          <w:rFonts w:ascii="Arial" w:cs="Arial" w:eastAsia="Arial" w:hAnsi="Arial"/>
          <w:sz w:val="22"/>
          <w:szCs w:val="22"/>
          <w:u w:val="single" w:color="auto"/>
          <w:color w:val="auto"/>
        </w:rPr>
        <w:t>Initial Director Date</w:t>
      </w:r>
      <w:r>
        <w:rPr>
          <w:rFonts w:ascii="Arial" w:cs="Arial" w:eastAsia="Arial" w:hAnsi="Arial"/>
          <w:sz w:val="22"/>
          <w:szCs w:val="22"/>
          <w:color w:val="auto"/>
        </w:rPr>
        <w:t>”) may make a Retainer Award Election with respect to Annual Retainer Cash Payments payable to such Outside Director in the following calendar year (the “</w:t>
      </w:r>
      <w:r>
        <w:rPr>
          <w:rFonts w:ascii="Arial" w:cs="Arial" w:eastAsia="Arial" w:hAnsi="Arial"/>
          <w:sz w:val="22"/>
          <w:szCs w:val="22"/>
          <w:u w:val="single" w:color="auto"/>
          <w:color w:val="auto"/>
        </w:rPr>
        <w:t>Initial Election</w:t>
      </w:r>
      <w:r>
        <w:rPr>
          <w:rFonts w:ascii="Arial" w:cs="Arial" w:eastAsia="Arial" w:hAnsi="Arial"/>
          <w:sz w:val="22"/>
          <w:szCs w:val="22"/>
          <w:color w:val="auto"/>
        </w:rPr>
        <w:t>”). The Initial Election must be submitted to the Company’s General Counsel within the Company’s next open trading window following the Initial Director Date that occurs in the same calendar year (the last day of such trading window, the “</w:t>
      </w:r>
      <w:r>
        <w:rPr>
          <w:rFonts w:ascii="Arial" w:cs="Arial" w:eastAsia="Arial" w:hAnsi="Arial"/>
          <w:sz w:val="22"/>
          <w:szCs w:val="22"/>
          <w:u w:val="single" w:color="auto"/>
          <w:color w:val="auto"/>
        </w:rPr>
        <w:t>Initial Election Deadline</w:t>
      </w:r>
      <w:r>
        <w:rPr>
          <w:rFonts w:ascii="Arial" w:cs="Arial" w:eastAsia="Arial" w:hAnsi="Arial"/>
          <w:sz w:val="22"/>
          <w:szCs w:val="22"/>
          <w:color w:val="auto"/>
        </w:rPr>
        <w:t>”), and the Initial Election shall become irrevocable effective as of the Initial Election Deadline, provided that if no open trading window occurs in the same calendar year following the Initial Director Date, such Outside Director will not be eligible to make an Initial Election in such calendar year.</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908" w:val="left"/>
        </w:tabs>
        <w:numPr>
          <w:ilvl w:val="1"/>
          <w:numId w:val="112"/>
        </w:numPr>
        <w:rPr>
          <w:rFonts w:ascii="Arial" w:cs="Arial" w:eastAsia="Arial" w:hAnsi="Arial"/>
          <w:sz w:val="22"/>
          <w:szCs w:val="22"/>
          <w:color w:val="auto"/>
        </w:rPr>
      </w:pPr>
      <w:r>
        <w:rPr>
          <w:rFonts w:ascii="Arial" w:cs="Arial" w:eastAsia="Arial" w:hAnsi="Arial"/>
          <w:sz w:val="22"/>
          <w:szCs w:val="22"/>
          <w:u w:val="single" w:color="auto"/>
          <w:color w:val="auto"/>
        </w:rPr>
        <w:t>Annual Election</w:t>
      </w:r>
      <w:r>
        <w:rPr>
          <w:rFonts w:ascii="Arial" w:cs="Arial" w:eastAsia="Arial" w:hAnsi="Arial"/>
          <w:sz w:val="22"/>
          <w:szCs w:val="22"/>
          <w:color w:val="auto"/>
        </w:rPr>
        <w:t>. Following the calendar year containing the Initial Director Date, each Outside Director may make a Retainer Award Election with respect to Annual Retainer Cash Payments payable to such Outside Director in the following calendar year (the “</w:t>
      </w:r>
      <w:r>
        <w:rPr>
          <w:rFonts w:ascii="Arial" w:cs="Arial" w:eastAsia="Arial" w:hAnsi="Arial"/>
          <w:sz w:val="22"/>
          <w:szCs w:val="22"/>
          <w:u w:val="single" w:color="auto"/>
          <w:color w:val="auto"/>
        </w:rPr>
        <w:t>Annual Election</w:t>
      </w:r>
      <w:r>
        <w:rPr>
          <w:rFonts w:ascii="Arial" w:cs="Arial" w:eastAsia="Arial" w:hAnsi="Arial"/>
          <w:sz w:val="22"/>
          <w:szCs w:val="22"/>
          <w:color w:val="auto"/>
        </w:rPr>
        <w:t>”). The Annual Election must be submitted to the Company’s General Counsel within the Company’s fourth quarter open trading window (the “</w:t>
      </w:r>
      <w:r>
        <w:rPr>
          <w:rFonts w:ascii="Arial" w:cs="Arial" w:eastAsia="Arial" w:hAnsi="Arial"/>
          <w:sz w:val="22"/>
          <w:szCs w:val="22"/>
          <w:u w:val="single" w:color="auto"/>
          <w:color w:val="auto"/>
        </w:rPr>
        <w:t>Fourth Quarter Trading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Window</w:t>
      </w:r>
      <w:r>
        <w:rPr>
          <w:rFonts w:ascii="Arial" w:cs="Arial" w:eastAsia="Arial" w:hAnsi="Arial"/>
          <w:sz w:val="22"/>
          <w:szCs w:val="22"/>
          <w:color w:val="auto"/>
        </w:rPr>
        <w:t>”) of the calendar year preceding the calendar year to which the Annual Retainer Cash Payments relate (the last day of such trading window, the “</w:t>
      </w:r>
      <w:r>
        <w:rPr>
          <w:rFonts w:ascii="Arial" w:cs="Arial" w:eastAsia="Arial" w:hAnsi="Arial"/>
          <w:sz w:val="22"/>
          <w:szCs w:val="22"/>
          <w:u w:val="single" w:color="auto"/>
          <w:color w:val="auto"/>
        </w:rPr>
        <w:t>Annual Election Deadline</w:t>
      </w:r>
      <w:r>
        <w:rPr>
          <w:rFonts w:ascii="Arial" w:cs="Arial" w:eastAsia="Arial" w:hAnsi="Arial"/>
          <w:sz w:val="22"/>
          <w:szCs w:val="22"/>
          <w:color w:val="auto"/>
        </w:rPr>
        <w:t>”), and, except as provided in subsection (d) below, the Annual Election shall become irrevocable effective as of the Annual Election Deadline, provided that if such calendar year does not contain a Fourth Quarter Trading Window, Outside Directors will not be eligible to make an Annual Election in such calendar year.</w:t>
      </w:r>
    </w:p>
    <w:p>
      <w:pPr>
        <w:spacing w:after="0" w:line="179" w:lineRule="exact"/>
        <w:rPr>
          <w:rFonts w:ascii="Arial" w:cs="Arial" w:eastAsia="Arial" w:hAnsi="Arial"/>
          <w:sz w:val="22"/>
          <w:szCs w:val="22"/>
          <w:color w:val="auto"/>
        </w:rPr>
      </w:pPr>
    </w:p>
    <w:p>
      <w:pPr>
        <w:jc w:val="both"/>
        <w:ind w:firstLine="1304"/>
        <w:spacing w:after="0" w:line="257" w:lineRule="auto"/>
        <w:tabs>
          <w:tab w:leader="none" w:pos="1855" w:val="left"/>
        </w:tabs>
        <w:numPr>
          <w:ilvl w:val="1"/>
          <w:numId w:val="112"/>
        </w:numPr>
        <w:rPr>
          <w:rFonts w:ascii="Arial" w:cs="Arial" w:eastAsia="Arial" w:hAnsi="Arial"/>
          <w:sz w:val="22"/>
          <w:szCs w:val="22"/>
          <w:color w:val="auto"/>
        </w:rPr>
      </w:pPr>
      <w:r>
        <w:rPr>
          <w:rFonts w:ascii="Arial" w:cs="Arial" w:eastAsia="Arial" w:hAnsi="Arial"/>
          <w:sz w:val="22"/>
          <w:szCs w:val="22"/>
          <w:u w:val="single" w:color="auto"/>
          <w:color w:val="auto"/>
        </w:rPr>
        <w:t>Revocation</w:t>
      </w:r>
      <w:r>
        <w:rPr>
          <w:rFonts w:ascii="Arial" w:cs="Arial" w:eastAsia="Arial" w:hAnsi="Arial"/>
          <w:sz w:val="22"/>
          <w:szCs w:val="22"/>
          <w:color w:val="auto"/>
        </w:rPr>
        <w:t>. Following the calendar year containing the Initial Director Date, an Outside Director may revoke his or her Retainer Award Election during a Fourth Quarter Trading Window with respect to Annual Retainer Cash Payments related to future calendar years. If a calendar year does not contain a Fourth Quarter Trading Window, Outside Directors will not be eligible to revoke a Retainer Award Election in such calendar year.</w:t>
      </w:r>
    </w:p>
    <w:p>
      <w:pPr>
        <w:spacing w:after="0" w:line="171" w:lineRule="exact"/>
        <w:rPr>
          <w:rFonts w:ascii="Arial" w:cs="Arial" w:eastAsia="Arial" w:hAnsi="Arial"/>
          <w:sz w:val="22"/>
          <w:szCs w:val="22"/>
          <w:color w:val="auto"/>
        </w:rPr>
      </w:pPr>
    </w:p>
    <w:p>
      <w:pPr>
        <w:ind w:left="1300" w:hanging="644"/>
        <w:spacing w:after="0"/>
        <w:tabs>
          <w:tab w:leader="none" w:pos="130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Equity Compensation</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spacing w:after="0" w:line="157" w:lineRule="exact"/>
        <w:rPr>
          <w:sz w:val="20"/>
          <w:szCs w:val="20"/>
          <w:color w:val="auto"/>
        </w:rPr>
      </w:pPr>
    </w:p>
    <w:p>
      <w:pPr>
        <w:ind w:right="20" w:firstLine="1304"/>
        <w:spacing w:after="0" w:line="272" w:lineRule="auto"/>
        <w:tabs>
          <w:tab w:leader="none" w:pos="1813"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No Discretion</w:t>
      </w:r>
      <w:r>
        <w:rPr>
          <w:rFonts w:ascii="Arial" w:cs="Arial" w:eastAsia="Arial" w:hAnsi="Arial"/>
          <w:sz w:val="22"/>
          <w:szCs w:val="22"/>
          <w:color w:val="auto"/>
        </w:rPr>
        <w:t>. No person will have any discretion to select which Outside Directors will be granted any Awards under this Policy or to determine the number of Shares to be covered by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99" w:lineRule="exact"/>
        <w:rPr>
          <w:sz w:val="20"/>
          <w:szCs w:val="20"/>
          <w:color w:val="auto"/>
        </w:rPr>
      </w:pPr>
    </w:p>
    <w:p>
      <w:pPr>
        <w:ind w:firstLine="1304"/>
        <w:spacing w:after="0" w:line="272" w:lineRule="auto"/>
        <w:tabs>
          <w:tab w:leader="none" w:pos="184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Initial Awards</w:t>
      </w:r>
      <w:r>
        <w:rPr>
          <w:rFonts w:ascii="Arial" w:cs="Arial" w:eastAsia="Arial" w:hAnsi="Arial"/>
          <w:sz w:val="22"/>
          <w:szCs w:val="22"/>
          <w:color w:val="auto"/>
        </w:rPr>
        <w:t>. Each individual who first becomes an Outside Director following the Effective Date will be granted the following awards (each, an “</w:t>
      </w:r>
      <w:r>
        <w:rPr>
          <w:rFonts w:ascii="Arial" w:cs="Arial" w:eastAsia="Arial" w:hAnsi="Arial"/>
          <w:sz w:val="22"/>
          <w:szCs w:val="22"/>
          <w:u w:val="single" w:color="auto"/>
          <w:color w:val="auto"/>
        </w:rPr>
        <w:t>Initial Award</w:t>
      </w:r>
      <w:r>
        <w:rPr>
          <w:rFonts w:ascii="Arial" w:cs="Arial" w:eastAsia="Arial" w:hAnsi="Arial"/>
          <w:sz w:val="22"/>
          <w:szCs w:val="22"/>
          <w:color w:val="auto"/>
        </w:rPr>
        <w:t>”):</w:t>
      </w:r>
    </w:p>
    <w:p>
      <w:pPr>
        <w:spacing w:after="0" w:line="155" w:lineRule="exact"/>
        <w:rPr>
          <w:rFonts w:ascii="Arial" w:cs="Arial" w:eastAsia="Arial" w:hAnsi="Arial"/>
          <w:sz w:val="22"/>
          <w:szCs w:val="22"/>
          <w:color w:val="auto"/>
        </w:rPr>
      </w:pPr>
    </w:p>
    <w:p>
      <w:pPr>
        <w:jc w:val="both"/>
        <w:ind w:firstLine="1952"/>
        <w:spacing w:after="0" w:line="264" w:lineRule="auto"/>
        <w:tabs>
          <w:tab w:leader="none" w:pos="2435" w:val="left"/>
        </w:tabs>
        <w:numPr>
          <w:ilvl w:val="1"/>
          <w:numId w:val="115"/>
        </w:numPr>
        <w:rPr>
          <w:rFonts w:ascii="Arial" w:cs="Arial" w:eastAsia="Arial" w:hAnsi="Arial"/>
          <w:sz w:val="22"/>
          <w:szCs w:val="22"/>
          <w:color w:val="auto"/>
        </w:rPr>
      </w:pPr>
      <w:r>
        <w:rPr>
          <w:rFonts w:ascii="Arial" w:cs="Arial" w:eastAsia="Arial" w:hAnsi="Arial"/>
          <w:sz w:val="22"/>
          <w:szCs w:val="22"/>
          <w:color w:val="auto"/>
        </w:rPr>
        <w:t>an option to purchase a number of Shares, with such option having a grant date fair value (determined in accordance with U.S. generally accepted accounting principles) (the “</w:t>
      </w:r>
      <w:r>
        <w:rPr>
          <w:rFonts w:ascii="Arial" w:cs="Arial" w:eastAsia="Arial" w:hAnsi="Arial"/>
          <w:sz w:val="22"/>
          <w:szCs w:val="22"/>
          <w:u w:val="single" w:color="auto"/>
          <w:color w:val="auto"/>
        </w:rPr>
        <w:t>Grant Value</w:t>
      </w:r>
      <w:r>
        <w:rPr>
          <w:rFonts w:ascii="Arial" w:cs="Arial" w:eastAsia="Arial" w:hAnsi="Arial"/>
          <w:sz w:val="22"/>
          <w:szCs w:val="22"/>
          <w:color w:val="auto"/>
        </w:rPr>
        <w:t>”) equal to $250,000, rounded to the nearest whole Share; and</w:t>
      </w:r>
    </w:p>
    <w:p>
      <w:pPr>
        <w:spacing w:after="0" w:line="164" w:lineRule="exact"/>
        <w:rPr>
          <w:rFonts w:ascii="Arial" w:cs="Arial" w:eastAsia="Arial" w:hAnsi="Arial"/>
          <w:sz w:val="22"/>
          <w:szCs w:val="22"/>
          <w:color w:val="auto"/>
        </w:rPr>
      </w:pPr>
    </w:p>
    <w:p>
      <w:pPr>
        <w:ind w:firstLine="1952"/>
        <w:spacing w:after="0" w:line="272" w:lineRule="auto"/>
        <w:tabs>
          <w:tab w:leader="none" w:pos="2481" w:val="left"/>
        </w:tabs>
        <w:numPr>
          <w:ilvl w:val="1"/>
          <w:numId w:val="115"/>
        </w:numPr>
        <w:rPr>
          <w:rFonts w:ascii="Arial" w:cs="Arial" w:eastAsia="Arial" w:hAnsi="Arial"/>
          <w:sz w:val="22"/>
          <w:szCs w:val="22"/>
          <w:color w:val="auto"/>
        </w:rPr>
      </w:pPr>
      <w:r>
        <w:rPr>
          <w:rFonts w:ascii="Arial" w:cs="Arial" w:eastAsia="Arial" w:hAnsi="Arial"/>
          <w:sz w:val="22"/>
          <w:szCs w:val="22"/>
          <w:color w:val="auto"/>
        </w:rPr>
        <w:t>an award of restricted stock units covering a number of Shares, with such award having a Grant Value equal to $250,000, rounded to the nearest whole Share.</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Each individual’s Initial Award will be granted on the first trading date on or after the Initial Director Date, whether through election by the stockholders of the Company or appointment by the Board to fill a vacancy. If an individual was a member of the Board and also an employee, becoming an Outside Director due to termination of employment will not entitle the Outside Director to any Initial Awards.</w:t>
      </w:r>
    </w:p>
    <w:p>
      <w:pPr>
        <w:spacing w:after="0" w:line="16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Subject to Section 3 of this Policy, each Initial Award will vest as to 1/3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of the Shares subject to the Initial Award on the first three anniversaries of the Initial Director Date, subject to the Outside Director continuing to be a Service Provider through the applicable vesting date.</w:t>
      </w:r>
    </w:p>
    <w:p>
      <w:pPr>
        <w:spacing w:after="0" w:line="205" w:lineRule="exact"/>
        <w:rPr>
          <w:sz w:val="20"/>
          <w:szCs w:val="20"/>
          <w:color w:val="auto"/>
        </w:rPr>
      </w:pPr>
    </w:p>
    <w:p>
      <w:pPr>
        <w:jc w:val="both"/>
        <w:ind w:firstLine="1304"/>
        <w:spacing w:after="0" w:line="257" w:lineRule="auto"/>
        <w:tabs>
          <w:tab w:leader="none" w:pos="1909"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Annual Award</w:t>
      </w:r>
      <w:r>
        <w:rPr>
          <w:rFonts w:ascii="Arial" w:cs="Arial" w:eastAsia="Arial" w:hAnsi="Arial"/>
          <w:sz w:val="22"/>
          <w:szCs w:val="22"/>
          <w:color w:val="auto"/>
        </w:rPr>
        <w:t>. Subject to the following paragraph, on the date of each annual meeting of the Company’s stockholders following the Effective Date (each, an “</w:t>
      </w:r>
      <w:r>
        <w:rPr>
          <w:rFonts w:ascii="Arial" w:cs="Arial" w:eastAsia="Arial" w:hAnsi="Arial"/>
          <w:sz w:val="22"/>
          <w:szCs w:val="22"/>
          <w:u w:val="single" w:color="auto"/>
          <w:color w:val="auto"/>
        </w:rPr>
        <w:t>Annual Meeting</w:t>
      </w:r>
      <w:r>
        <w:rPr>
          <w:rFonts w:ascii="Arial" w:cs="Arial" w:eastAsia="Arial" w:hAnsi="Arial"/>
          <w:sz w:val="22"/>
          <w:szCs w:val="22"/>
          <w:color w:val="auto"/>
        </w:rPr>
        <w:t>”), each Outside Director will be automatically granted the following awards (each, an “</w:t>
      </w:r>
      <w:r>
        <w:rPr>
          <w:rFonts w:ascii="Arial" w:cs="Arial" w:eastAsia="Arial" w:hAnsi="Arial"/>
          <w:sz w:val="22"/>
          <w:szCs w:val="22"/>
          <w:u w:val="single" w:color="auto"/>
          <w:color w:val="auto"/>
        </w:rPr>
        <w:t>Annual Award</w:t>
      </w:r>
      <w:r>
        <w:rPr>
          <w:rFonts w:ascii="Arial" w:cs="Arial" w:eastAsia="Arial" w:hAnsi="Arial"/>
          <w:sz w:val="22"/>
          <w:szCs w:val="22"/>
          <w:color w:val="auto"/>
        </w:rPr>
        <w:t>”):</w:t>
      </w:r>
    </w:p>
    <w:p>
      <w:pPr>
        <w:spacing w:after="0" w:line="172" w:lineRule="exact"/>
        <w:rPr>
          <w:rFonts w:ascii="Arial" w:cs="Arial" w:eastAsia="Arial" w:hAnsi="Arial"/>
          <w:sz w:val="22"/>
          <w:szCs w:val="22"/>
          <w:color w:val="auto"/>
        </w:rPr>
      </w:pPr>
    </w:p>
    <w:p>
      <w:pPr>
        <w:ind w:firstLine="1952"/>
        <w:spacing w:after="0" w:line="272" w:lineRule="auto"/>
        <w:tabs>
          <w:tab w:leader="none" w:pos="2552" w:val="left"/>
        </w:tabs>
        <w:numPr>
          <w:ilvl w:val="1"/>
          <w:numId w:val="116"/>
        </w:numPr>
        <w:rPr>
          <w:rFonts w:ascii="Arial" w:cs="Arial" w:eastAsia="Arial" w:hAnsi="Arial"/>
          <w:sz w:val="22"/>
          <w:szCs w:val="22"/>
          <w:color w:val="auto"/>
        </w:rPr>
      </w:pPr>
      <w:r>
        <w:rPr>
          <w:rFonts w:ascii="Arial" w:cs="Arial" w:eastAsia="Arial" w:hAnsi="Arial"/>
          <w:sz w:val="22"/>
          <w:szCs w:val="22"/>
          <w:color w:val="auto"/>
        </w:rPr>
        <w:t>an option to purchase a number of Shares, with such option having a Grant Value of $112,500, rounded to the nearest whole Share; and</w:t>
      </w:r>
    </w:p>
    <w:p>
      <w:pPr>
        <w:spacing w:after="0" w:line="169" w:lineRule="exact"/>
        <w:rPr>
          <w:rFonts w:ascii="Arial" w:cs="Arial" w:eastAsia="Arial" w:hAnsi="Arial"/>
          <w:sz w:val="22"/>
          <w:szCs w:val="22"/>
          <w:color w:val="auto"/>
        </w:rPr>
      </w:pPr>
    </w:p>
    <w:p>
      <w:pPr>
        <w:ind w:firstLine="1952"/>
        <w:spacing w:after="0" w:line="272" w:lineRule="auto"/>
        <w:tabs>
          <w:tab w:leader="none" w:pos="2481" w:val="left"/>
        </w:tabs>
        <w:numPr>
          <w:ilvl w:val="1"/>
          <w:numId w:val="116"/>
        </w:numPr>
        <w:rPr>
          <w:rFonts w:ascii="Arial" w:cs="Arial" w:eastAsia="Arial" w:hAnsi="Arial"/>
          <w:sz w:val="22"/>
          <w:szCs w:val="22"/>
          <w:color w:val="auto"/>
        </w:rPr>
      </w:pPr>
      <w:r>
        <w:rPr>
          <w:rFonts w:ascii="Arial" w:cs="Arial" w:eastAsia="Arial" w:hAnsi="Arial"/>
          <w:sz w:val="22"/>
          <w:szCs w:val="22"/>
          <w:color w:val="auto"/>
        </w:rPr>
        <w:t>an award of restricted stock units covering a number of Shares, with such award having a Grant Value of $112,500, rounded to the nearest whole Share.</w:t>
      </w:r>
    </w:p>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the foregoing, (i) if an Outside Director’s Initial Awards were granted more than 3 months before an Annual Meeting but within 6 months of such Annual Meeting, the Grant Value of each Annual Award granted to the Outside Director on the date of such Annual Meeting will be reduced by 50%, and (ii) if an Outside Director’s Initial Awards were granted within 3 months before an Annual Meeting, the Outside Director will not receive any Annual Awards on the date of such Annual Meeting.</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Subject to Section 3 of this Policy, each Annual Award will vest on the earlier of (i) the first anniversary of the date the Annual Award is granted or (ii) the day prior to the date of the Annual Meeting next following the date the Annual Award was granted, in each case, subject to the Outside Director continuing to be a Service Provider through the applicable vesting date.</w:t>
      </w:r>
    </w:p>
    <w:p>
      <w:pPr>
        <w:spacing w:after="0" w:line="189" w:lineRule="exact"/>
        <w:rPr>
          <w:sz w:val="20"/>
          <w:szCs w:val="20"/>
          <w:color w:val="auto"/>
        </w:rPr>
      </w:pPr>
    </w:p>
    <w:p>
      <w:pPr>
        <w:ind w:firstLine="1304"/>
        <w:spacing w:after="0" w:line="272" w:lineRule="auto"/>
        <w:tabs>
          <w:tab w:leader="none" w:pos="1894"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Additional Terms of Initial Awards and Annual Awards</w:t>
      </w:r>
      <w:r>
        <w:rPr>
          <w:rFonts w:ascii="Arial" w:cs="Arial" w:eastAsia="Arial" w:hAnsi="Arial"/>
          <w:sz w:val="22"/>
          <w:szCs w:val="22"/>
          <w:color w:val="auto"/>
        </w:rPr>
        <w:t>. The terms and conditions of each Initial Award and Annual Award will be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99" w:lineRule="exact"/>
        <w:rPr>
          <w:sz w:val="20"/>
          <w:szCs w:val="20"/>
          <w:color w:val="auto"/>
        </w:rPr>
      </w:pPr>
    </w:p>
    <w:p>
      <w:pPr>
        <w:ind w:right="20" w:firstLine="1952"/>
        <w:spacing w:after="0" w:line="272" w:lineRule="auto"/>
        <w:tabs>
          <w:tab w:leader="none" w:pos="2539"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term of each Initial Award and Annual Award that is granted as an option will be ten (10) years, subject to earlier termination as provided in the Plan;</w:t>
      </w:r>
    </w:p>
    <w:p>
      <w:pPr>
        <w:spacing w:after="0" w:line="155" w:lineRule="exact"/>
        <w:rPr>
          <w:rFonts w:ascii="Arial" w:cs="Arial" w:eastAsia="Arial" w:hAnsi="Arial"/>
          <w:sz w:val="22"/>
          <w:szCs w:val="22"/>
          <w:color w:val="auto"/>
        </w:rPr>
      </w:pPr>
    </w:p>
    <w:p>
      <w:pPr>
        <w:ind w:firstLine="1952"/>
        <w:spacing w:after="0" w:line="285" w:lineRule="auto"/>
        <w:tabs>
          <w:tab w:leader="none" w:pos="2458"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per Share exercise price of each Initial Award and Annual Award that is granted as an option will equal one hundred percent (100%) of the Fair Market Value per Share on such Award’s grant date; and</w:t>
      </w:r>
    </w:p>
    <w:p>
      <w:pPr>
        <w:spacing w:after="0" w:line="141" w:lineRule="exact"/>
        <w:rPr>
          <w:rFonts w:ascii="Arial" w:cs="Arial" w:eastAsia="Arial" w:hAnsi="Arial"/>
          <w:sz w:val="22"/>
          <w:szCs w:val="22"/>
          <w:color w:val="auto"/>
        </w:rPr>
      </w:pPr>
    </w:p>
    <w:p>
      <w:pPr>
        <w:jc w:val="both"/>
        <w:ind w:firstLine="1952"/>
        <w:spacing w:after="0" w:line="257" w:lineRule="auto"/>
        <w:tabs>
          <w:tab w:leader="none" w:pos="2606" w:val="left"/>
        </w:tabs>
        <w:numPr>
          <w:ilvl w:val="1"/>
          <w:numId w:val="118"/>
        </w:numPr>
        <w:rPr>
          <w:rFonts w:ascii="Arial" w:cs="Arial" w:eastAsia="Arial" w:hAnsi="Arial"/>
          <w:sz w:val="22"/>
          <w:szCs w:val="22"/>
          <w:color w:val="auto"/>
        </w:rPr>
      </w:pPr>
      <w:r>
        <w:rPr>
          <w:rFonts w:ascii="Arial" w:cs="Arial" w:eastAsia="Arial" w:hAnsi="Arial"/>
          <w:sz w:val="22"/>
          <w:szCs w:val="22"/>
          <w:color w:val="auto"/>
        </w:rPr>
        <w:t>Each Initial Award and Annual Award will be granted under and subject to the terms and conditions of the Plan and the applicable form of Award Agreement previously approved by the Board or its Committee, as applicable, for use thereunder.</w:t>
      </w:r>
    </w:p>
    <w:p>
      <w:pPr>
        <w:spacing w:after="0" w:line="172" w:lineRule="exact"/>
        <w:rPr>
          <w:rFonts w:ascii="Arial" w:cs="Arial" w:eastAsia="Arial" w:hAnsi="Arial"/>
          <w:sz w:val="22"/>
          <w:szCs w:val="22"/>
          <w:color w:val="auto"/>
        </w:rPr>
      </w:pPr>
    </w:p>
    <w:p>
      <w:pPr>
        <w:ind w:left="1300" w:hanging="644"/>
        <w:spacing w:after="0"/>
        <w:tabs>
          <w:tab w:leader="none" w:pos="130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Immediately prior to a Change in Control, each Outside Director will fully vest in and have the right to exercise Options and/or Stock Appreciation Rights as to all of the Shares underlying such Award, including those Shares which would not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or other written agreement between the Outside Director and the Company or any of its Subsidiaries or Parents, as applicable.</w:t>
      </w:r>
    </w:p>
    <w:p>
      <w:pPr>
        <w:spacing w:after="0" w:line="180"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Annual Compensation Limit</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 Outside Director may be paid, issued or granted, in any Fiscal Year, cash compensation and equity compensation (including any Awards) following the Effective Date with an aggregate value greater than $850,000 for an Outside Director’s first year of service or $600,000 in any subsequent year. The value of each equity compensation award will be based on its Grant Value for purposes of the limitation under this Section 4). Any cash compensation paid or equity compensation award (including any Awards) granted to an individual for his or her services as an Employee, or for his or her services as a Consultant (other than as an Outside Director), will not count for purposes of the limitation under this Section 4.</w:t>
      </w:r>
    </w:p>
    <w:p>
      <w:pPr>
        <w:spacing w:after="0" w:line="180"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Travel Expenses</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72" w:lineRule="auto"/>
        <w:rPr>
          <w:sz w:val="20"/>
          <w:szCs w:val="20"/>
          <w:color w:val="auto"/>
        </w:rPr>
      </w:pPr>
      <w:r>
        <w:rPr>
          <w:rFonts w:ascii="Arial" w:cs="Arial" w:eastAsia="Arial" w:hAnsi="Arial"/>
          <w:sz w:val="22"/>
          <w:szCs w:val="22"/>
          <w:color w:val="auto"/>
        </w:rPr>
        <w:t>Each Outside Director’s reasonable, customary and documented travel expenses to Board or Board committee meetings or related to his or her Board service will be reimbursed by the Company.</w:t>
      </w:r>
    </w:p>
    <w:p>
      <w:pPr>
        <w:spacing w:after="0" w:line="156" w:lineRule="exact"/>
        <w:rPr>
          <w:sz w:val="20"/>
          <w:szCs w:val="20"/>
          <w:color w:val="auto"/>
        </w:rPr>
      </w:pPr>
    </w:p>
    <w:p>
      <w:pPr>
        <w:ind w:left="1300" w:hanging="644"/>
        <w:spacing w:after="0"/>
        <w:tabs>
          <w:tab w:leader="none" w:pos="130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Additional Provisions</w:t>
      </w:r>
      <w:r>
        <w:rPr>
          <w:rFonts w:ascii="Arial" w:cs="Arial" w:eastAsia="Arial" w:hAnsi="Arial"/>
          <w:sz w:val="22"/>
          <w:szCs w:val="22"/>
          <w:color w:val="auto"/>
        </w:rPr>
        <w:t>.</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All provisions of the Plan not inconsistent with this Policy will apply to Awards granted to Outside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99" w:lineRule="exact"/>
        <w:rPr>
          <w:sz w:val="20"/>
          <w:szCs w:val="20"/>
          <w:color w:val="auto"/>
        </w:rPr>
      </w:pPr>
    </w:p>
    <w:p>
      <w:pPr>
        <w:ind w:left="1300" w:hanging="644"/>
        <w:spacing w:after="0"/>
        <w:tabs>
          <w:tab w:leader="none" w:pos="130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In no event will cash compensation or expense reimbursement payments under this Policy be paid after the later of</w:t>
      </w:r>
    </w:p>
    <w:p>
      <w:pPr>
        <w:spacing w:after="0" w:line="35" w:lineRule="exact"/>
        <w:rPr>
          <w:sz w:val="20"/>
          <w:szCs w:val="20"/>
          <w:color w:val="auto"/>
        </w:rPr>
      </w:pPr>
    </w:p>
    <w:p>
      <w:pPr>
        <w:jc w:val="both"/>
        <w:ind w:firstLine="8"/>
        <w:spacing w:after="0" w:line="234" w:lineRule="auto"/>
        <w:tabs>
          <w:tab w:leader="none" w:pos="25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3rd month following the end of the Fiscal Year in which the compensation is earned or expenses are incurred, as applicable, or (ii)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Arial" w:cs="Arial" w:eastAsia="Arial" w:hAnsi="Arial"/>
          <w:sz w:val="22"/>
          <w:szCs w:val="22"/>
          <w:u w:val="single" w:color="auto"/>
          <w:color w:val="auto"/>
        </w:rPr>
        <w:t>Section 409A</w:t>
      </w:r>
      <w:r>
        <w:rPr>
          <w:rFonts w:ascii="Arial" w:cs="Arial" w:eastAsia="Arial" w:hAnsi="Arial"/>
          <w:sz w:val="22"/>
          <w:szCs w:val="22"/>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have any liability or obligation to reimburse, indemnify, or hold harmless an Outside Director (or any other person) for any taxes or costs that may be imposed on or incurred by an Outside Director (or any other person) as a result of Section 409A.</w:t>
      </w:r>
    </w:p>
    <w:p>
      <w:pPr>
        <w:spacing w:after="0" w:line="196" w:lineRule="exact"/>
        <w:rPr>
          <w:rFonts w:ascii="Arial" w:cs="Arial" w:eastAsia="Arial" w:hAnsi="Arial"/>
          <w:sz w:val="22"/>
          <w:szCs w:val="22"/>
          <w:color w:val="auto"/>
        </w:rPr>
      </w:pPr>
    </w:p>
    <w:p>
      <w:pPr>
        <w:ind w:left="1300" w:hanging="644"/>
        <w:spacing w:after="0"/>
        <w:tabs>
          <w:tab w:leader="none" w:pos="1300" w:val="left"/>
        </w:tabs>
        <w:numPr>
          <w:ilvl w:val="1"/>
          <w:numId w:val="124"/>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Unless otherwise required by applicable law, this Policy will not be subject to approval by the Company’s stockholders, including, for the avoidance of doubt, as a result of or in connection with an action taken with respect to this Policy as contemplated in Section 9 hereof.</w:t>
      </w:r>
    </w:p>
    <w:p>
      <w:pPr>
        <w:spacing w:after="0" w:line="173"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Revisions</w:t>
      </w:r>
      <w:r>
        <w:rPr>
          <w:rFonts w:ascii="Arial" w:cs="Arial" w:eastAsia="Arial" w:hAnsi="Arial"/>
          <w:sz w:val="22"/>
          <w:szCs w:val="22"/>
          <w:color w:val="auto"/>
        </w:rPr>
        <w:t>.</w:t>
      </w:r>
    </w:p>
    <w:p>
      <w:pPr>
        <w:spacing w:after="0" w:line="220" w:lineRule="exact"/>
        <w:rPr>
          <w:sz w:val="20"/>
          <w:szCs w:val="20"/>
          <w:color w:val="auto"/>
        </w:rPr>
      </w:pPr>
    </w:p>
    <w:p>
      <w:pPr>
        <w:jc w:val="both"/>
        <w:ind w:firstLine="321"/>
        <w:spacing w:after="0" w:line="251" w:lineRule="auto"/>
        <w:rPr>
          <w:sz w:val="20"/>
          <w:szCs w:val="20"/>
          <w:color w:val="auto"/>
        </w:rPr>
      </w:pPr>
      <w:r>
        <w:rPr>
          <w:rFonts w:ascii="Arial" w:cs="Arial" w:eastAsia="Arial" w:hAnsi="Arial"/>
          <w:sz w:val="22"/>
          <w:szCs w:val="22"/>
          <w:color w:val="auto"/>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10.14</w:t>
      </w:r>
    </w:p>
    <w:p>
      <w:pPr>
        <w:spacing w:after="0" w:line="194"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ADVISORY AGREEMENT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This Advisory Agreement (this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is effective as of January 1, 2026 (the</w:t>
      </w:r>
    </w:p>
    <w:p>
      <w:pPr>
        <w:sectPr>
          <w:pgSz w:w="11900" w:h="16838" w:orient="portrait"/>
          <w:cols w:equalWidth="0" w:num="1">
            <w:col w:w="11240"/>
          </w:cols>
          <w:pgMar w:left="320" w:top="108" w:right="339" w:bottom="1440" w:gutter="0" w:footer="0" w:header="0"/>
        </w:sectPr>
      </w:pPr>
    </w:p>
    <w:p>
      <w:pPr>
        <w:spacing w:after="0" w:line="55"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Effective Date</w:t>
      </w:r>
      <w:r>
        <w:rPr>
          <w:rFonts w:ascii="Arial" w:cs="Arial" w:eastAsia="Arial" w:hAnsi="Arial"/>
          <w:sz w:val="14"/>
          <w:szCs w:val="14"/>
          <w:color w:val="auto"/>
        </w:rPr>
        <w:t>”) by and between Recursion Pharmaceuticals, Inc.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and Christopher Gibson (“</w:t>
      </w:r>
      <w:r>
        <w:rPr>
          <w:rFonts w:ascii="Arial" w:cs="Arial" w:eastAsia="Arial" w:hAnsi="Arial"/>
          <w:sz w:val="14"/>
          <w:szCs w:val="14"/>
          <w:b w:val="1"/>
          <w:bCs w:val="1"/>
          <w:i w:val="1"/>
          <w:iCs w:val="1"/>
          <w:color w:val="auto"/>
        </w:rPr>
        <w:t>Advisor</w:t>
      </w:r>
      <w:r>
        <w:rPr>
          <w:rFonts w:ascii="Arial" w:cs="Arial" w:eastAsia="Arial" w:hAnsi="Arial"/>
          <w:sz w:val="14"/>
          <w:szCs w:val="14"/>
          <w:color w:val="auto"/>
        </w:rPr>
        <w:t>”) (each herein referred to individually as a “</w:t>
      </w:r>
      <w:r>
        <w:rPr>
          <w:rFonts w:ascii="Arial" w:cs="Arial" w:eastAsia="Arial" w:hAnsi="Arial"/>
          <w:sz w:val="14"/>
          <w:szCs w:val="14"/>
          <w:b w:val="1"/>
          <w:bCs w:val="1"/>
          <w:i w:val="1"/>
          <w:iCs w:val="1"/>
          <w:color w:val="auto"/>
        </w:rPr>
        <w:t>Party</w:t>
      </w:r>
      <w:r>
        <w:rPr>
          <w:rFonts w:ascii="Arial" w:cs="Arial" w:eastAsia="Arial" w:hAnsi="Arial"/>
          <w:sz w:val="14"/>
          <w:szCs w:val="14"/>
          <w:color w:val="auto"/>
        </w:rPr>
        <w:t>,” or collectively as the “</w:t>
      </w:r>
      <w:r>
        <w:rPr>
          <w:rFonts w:ascii="Arial" w:cs="Arial" w:eastAsia="Arial" w:hAnsi="Arial"/>
          <w:sz w:val="14"/>
          <w:szCs w:val="14"/>
          <w:b w:val="1"/>
          <w:bCs w:val="1"/>
          <w:i w:val="1"/>
          <w:iCs w:val="1"/>
          <w:color w:val="auto"/>
        </w:rPr>
        <w:t>Parties</w:t>
      </w:r>
      <w:r>
        <w:rPr>
          <w:rFonts w:ascii="Arial" w:cs="Arial" w:eastAsia="Arial" w:hAnsi="Arial"/>
          <w:sz w:val="14"/>
          <w:szCs w:val="14"/>
          <w:color w:val="auto"/>
        </w:rPr>
        <w:t>”).</w:t>
      </w:r>
    </w:p>
    <w:p>
      <w:pPr>
        <w:spacing w:after="0" w:line="145"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4"/>
          <w:szCs w:val="14"/>
          <w:b w:val="1"/>
          <w:bCs w:val="1"/>
          <w:color w:val="auto"/>
        </w:rPr>
      </w:pPr>
      <w:r>
        <w:rPr>
          <w:rFonts w:ascii="Arial" w:cs="Arial" w:eastAsia="Arial" w:hAnsi="Arial"/>
          <w:sz w:val="14"/>
          <w:szCs w:val="14"/>
          <w:b w:val="1"/>
          <w:bCs w:val="1"/>
          <w:color w:val="auto"/>
        </w:rPr>
        <w:t>SERVICES AND COMPENSATION</w:t>
      </w:r>
    </w:p>
    <w:p>
      <w:pPr>
        <w:spacing w:after="0" w:line="203" w:lineRule="exact"/>
        <w:rPr>
          <w:rFonts w:ascii="Arial" w:cs="Arial" w:eastAsia="Arial" w:hAnsi="Arial"/>
          <w:sz w:val="14"/>
          <w:szCs w:val="14"/>
          <w:b w:val="1"/>
          <w:bCs w:val="1"/>
          <w:color w:val="auto"/>
        </w:rPr>
      </w:pPr>
    </w:p>
    <w:p>
      <w:pPr>
        <w:jc w:val="both"/>
        <w:ind w:firstLine="656"/>
        <w:spacing w:after="0" w:line="221" w:lineRule="auto"/>
        <w:tabs>
          <w:tab w:leader="none" w:pos="1294" w:val="left"/>
        </w:tabs>
        <w:numPr>
          <w:ilvl w:val="0"/>
          <w:numId w:val="126"/>
        </w:numPr>
        <w:rPr>
          <w:rFonts w:ascii="Arial" w:cs="Arial" w:eastAsia="Arial" w:hAnsi="Arial"/>
          <w:sz w:val="14"/>
          <w:szCs w:val="14"/>
          <w:color w:val="auto"/>
        </w:rPr>
      </w:pPr>
      <w:r>
        <w:rPr>
          <w:rFonts w:ascii="Arial" w:cs="Arial" w:eastAsia="Arial" w:hAnsi="Arial"/>
          <w:sz w:val="14"/>
          <w:szCs w:val="14"/>
          <w:color w:val="auto"/>
        </w:rPr>
        <w:t xml:space="preserve">Advisor shall serve in the role of Advisor to the CEO and perform the services described in </w:t>
      </w:r>
      <w:r>
        <w:rPr>
          <w:rFonts w:ascii="Arial" w:cs="Arial" w:eastAsia="Arial" w:hAnsi="Arial"/>
          <w:sz w:val="14"/>
          <w:szCs w:val="14"/>
          <w:b w:val="1"/>
          <w:bCs w:val="1"/>
          <w:color w:val="auto"/>
        </w:rPr>
        <w:t>Exhibit A</w:t>
      </w:r>
      <w:r>
        <w:rPr>
          <w:rFonts w:ascii="Arial" w:cs="Arial" w:eastAsia="Arial" w:hAnsi="Arial"/>
          <w:sz w:val="14"/>
          <w:szCs w:val="14"/>
          <w:color w:val="auto"/>
        </w:rPr>
        <w:t xml:space="preserve"> (the “</w:t>
      </w:r>
      <w:r>
        <w:rPr>
          <w:rFonts w:ascii="Arial" w:cs="Arial" w:eastAsia="Arial" w:hAnsi="Arial"/>
          <w:sz w:val="14"/>
          <w:szCs w:val="14"/>
          <w:b w:val="1"/>
          <w:bCs w:val="1"/>
          <w:i w:val="1"/>
          <w:iCs w:val="1"/>
          <w:color w:val="auto"/>
        </w:rPr>
        <w:t>Services</w:t>
      </w:r>
      <w:r>
        <w:rPr>
          <w:rFonts w:ascii="Arial" w:cs="Arial" w:eastAsia="Arial" w:hAnsi="Arial"/>
          <w:sz w:val="14"/>
          <w:szCs w:val="14"/>
          <w:color w:val="auto"/>
        </w:rPr>
        <w:t xml:space="preserve">”) for the Company (or its designee). The Company agrees to provide Advisor the compensation described in </w:t>
      </w:r>
      <w:r>
        <w:rPr>
          <w:rFonts w:ascii="Arial" w:cs="Arial" w:eastAsia="Arial" w:hAnsi="Arial"/>
          <w:sz w:val="14"/>
          <w:szCs w:val="14"/>
          <w:b w:val="1"/>
          <w:bCs w:val="1"/>
          <w:color w:val="auto"/>
        </w:rPr>
        <w:t xml:space="preserve">Exhibit A </w:t>
      </w:r>
      <w:r>
        <w:rPr>
          <w:rFonts w:ascii="Arial" w:cs="Arial" w:eastAsia="Arial" w:hAnsi="Arial"/>
          <w:sz w:val="14"/>
          <w:szCs w:val="14"/>
          <w:color w:val="auto"/>
        </w:rPr>
        <w:t>for Advisor’s performance of the Services. This role is designed to honor</w:t>
      </w:r>
      <w:r>
        <w:rPr>
          <w:rFonts w:ascii="Arial" w:cs="Arial" w:eastAsia="Arial" w:hAnsi="Arial"/>
          <w:sz w:val="14"/>
          <w:szCs w:val="14"/>
          <w:b w:val="1"/>
          <w:bCs w:val="1"/>
          <w:color w:val="auto"/>
        </w:rPr>
        <w:t xml:space="preserve"> </w:t>
      </w:r>
      <w:r>
        <w:rPr>
          <w:rFonts w:ascii="Arial" w:cs="Arial" w:eastAsia="Arial" w:hAnsi="Arial"/>
          <w:sz w:val="14"/>
          <w:szCs w:val="14"/>
          <w:color w:val="auto"/>
        </w:rPr>
        <w:t>Advisor’s vision and lasting contributions to the Company while promoting a smooth leadership transition. This role enables the Advisor to continue advancing the Company’s mission through focused strategic counsel to the Company’s Chief Executive Officer and early innovation efforts as well as selective engagement on special projects at the direction of the Company’s Chief Executive Officer.</w:t>
      </w:r>
    </w:p>
    <w:p>
      <w:pPr>
        <w:spacing w:after="0" w:line="177" w:lineRule="exact"/>
        <w:rPr>
          <w:rFonts w:ascii="Arial" w:cs="Arial" w:eastAsia="Arial" w:hAnsi="Arial"/>
          <w:sz w:val="14"/>
          <w:szCs w:val="14"/>
          <w:color w:val="auto"/>
        </w:rPr>
      </w:pPr>
    </w:p>
    <w:p>
      <w:pPr>
        <w:ind w:left="1300" w:hanging="644"/>
        <w:spacing w:after="0"/>
        <w:tabs>
          <w:tab w:leader="none" w:pos="1300" w:val="left"/>
        </w:tabs>
        <w:numPr>
          <w:ilvl w:val="0"/>
          <w:numId w:val="126"/>
        </w:numPr>
        <w:rPr>
          <w:rFonts w:ascii="Arial" w:cs="Arial" w:eastAsia="Arial" w:hAnsi="Arial"/>
          <w:sz w:val="14"/>
          <w:szCs w:val="14"/>
          <w:b w:val="1"/>
          <w:bCs w:val="1"/>
          <w:color w:val="auto"/>
        </w:rPr>
      </w:pPr>
      <w:r>
        <w:rPr>
          <w:rFonts w:ascii="Arial" w:cs="Arial" w:eastAsia="Arial" w:hAnsi="Arial"/>
          <w:sz w:val="14"/>
          <w:szCs w:val="14"/>
          <w:b w:val="1"/>
          <w:bCs w:val="1"/>
          <w:color w:val="auto"/>
        </w:rPr>
        <w:t>CONFIDENTIALITY</w:t>
      </w:r>
    </w:p>
    <w:p>
      <w:pPr>
        <w:spacing w:after="0" w:line="190" w:lineRule="exact"/>
        <w:rPr>
          <w:rFonts w:ascii="Arial" w:cs="Arial" w:eastAsia="Arial" w:hAnsi="Arial"/>
          <w:sz w:val="14"/>
          <w:szCs w:val="14"/>
          <w:b w:val="1"/>
          <w:bCs w:val="1"/>
          <w:color w:val="auto"/>
        </w:rPr>
      </w:pPr>
    </w:p>
    <w:p>
      <w:pPr>
        <w:jc w:val="both"/>
        <w:ind w:firstLine="1304"/>
        <w:spacing w:after="0" w:line="227" w:lineRule="auto"/>
        <w:tabs>
          <w:tab w:leader="none" w:pos="1931" w:val="left"/>
        </w:tabs>
        <w:numPr>
          <w:ilvl w:val="1"/>
          <w:numId w:val="126"/>
        </w:numPr>
        <w:rPr>
          <w:rFonts w:ascii="Arial" w:cs="Arial" w:eastAsia="Arial" w:hAnsi="Arial"/>
          <w:sz w:val="14"/>
          <w:szCs w:val="14"/>
          <w:color w:val="auto"/>
        </w:rPr>
      </w:pPr>
      <w:r>
        <w:rPr>
          <w:rFonts w:ascii="Arial" w:cs="Arial" w:eastAsia="Arial" w:hAnsi="Arial"/>
          <w:sz w:val="14"/>
          <w:szCs w:val="14"/>
          <w:b w:val="1"/>
          <w:bCs w:val="1"/>
          <w:i w:val="1"/>
          <w:iCs w:val="1"/>
          <w:color w:val="auto"/>
        </w:rPr>
        <w:t>Definition of Confidential Information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i w:val="1"/>
          <w:iCs w:val="1"/>
          <w:color w:val="auto"/>
        </w:rPr>
        <w:t>Confidential Information</w:t>
      </w:r>
      <w:r>
        <w:rPr>
          <w:rFonts w:ascii="Arial" w:cs="Arial" w:eastAsia="Arial" w:hAnsi="Arial"/>
          <w:sz w:val="14"/>
          <w:szCs w:val="14"/>
          <w:color w:val="auto"/>
        </w:rPr>
        <w:t>” means any information (including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Advisor can establish (i) was publicly known or made generally available prior to the time of disclosure to Advisor; (ii) becomes publicly known or made generally available after disclosure to Advisor through no wrongful action or inaction of Advisor; or (iii) is in the rightful possession of Advisor, without confidentiality obligations, at the time of disclosure as shown by Advisor’s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spacing w:after="0" w:line="173" w:lineRule="exact"/>
        <w:rPr>
          <w:rFonts w:ascii="Arial" w:cs="Arial" w:eastAsia="Arial" w:hAnsi="Arial"/>
          <w:sz w:val="14"/>
          <w:szCs w:val="14"/>
          <w:color w:val="auto"/>
        </w:rPr>
      </w:pPr>
    </w:p>
    <w:p>
      <w:pPr>
        <w:jc w:val="both"/>
        <w:ind w:firstLine="1304"/>
        <w:spacing w:after="0" w:line="218" w:lineRule="auto"/>
        <w:tabs>
          <w:tab w:leader="none" w:pos="1931" w:val="left"/>
        </w:tabs>
        <w:numPr>
          <w:ilvl w:val="1"/>
          <w:numId w:val="126"/>
        </w:numPr>
        <w:rPr>
          <w:rFonts w:ascii="Arial" w:cs="Arial" w:eastAsia="Arial" w:hAnsi="Arial"/>
          <w:sz w:val="14"/>
          <w:szCs w:val="14"/>
          <w:color w:val="auto"/>
        </w:rPr>
      </w:pPr>
      <w:r>
        <w:rPr>
          <w:rFonts w:ascii="Arial" w:cs="Arial" w:eastAsia="Arial" w:hAnsi="Arial"/>
          <w:sz w:val="14"/>
          <w:szCs w:val="14"/>
          <w:b w:val="1"/>
          <w:bCs w:val="1"/>
          <w:i w:val="1"/>
          <w:iCs w:val="1"/>
          <w:color w:val="auto"/>
        </w:rPr>
        <w:t>Nonuse and Nondisclosure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During and after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term of this Agreement, Advisor will hold in the strictest confidence, and take all reasonable precautions to prevent any unauthorized use or disclosure of Confidential Information, and Advisor will not (i) use the Confidential Information for any purpose whatsoever other than as necessary for the performance of the Services on behalf of the Company, or (ii) subject to Advisor’s right to engage in protected conduct (as set forth in the Protected Activity Not Prohibited section below), disclose the Confidential Information to any third party without the prior written consent of an authorized representative of the Company, except that Advisor may disclose Confidential Information to the extent compelled by applicable law; </w:t>
      </w:r>
      <w:r>
        <w:rPr>
          <w:rFonts w:ascii="Arial" w:cs="Arial" w:eastAsia="Arial" w:hAnsi="Arial"/>
          <w:sz w:val="14"/>
          <w:szCs w:val="14"/>
          <w:i w:val="1"/>
          <w:iCs w:val="1"/>
          <w:color w:val="auto"/>
        </w:rPr>
        <w:t>provided however</w:t>
      </w:r>
      <w:r>
        <w:rPr>
          <w:rFonts w:ascii="Arial" w:cs="Arial" w:eastAsia="Arial" w:hAnsi="Arial"/>
          <w:sz w:val="14"/>
          <w:szCs w:val="14"/>
          <w:color w:val="auto"/>
        </w:rPr>
        <w:t>, prior to such disclosure, Advisor shall provide prior written notice</w:t>
      </w:r>
      <w:r>
        <w:rPr>
          <w:rFonts w:ascii="Arial" w:cs="Arial" w:eastAsia="Arial" w:hAnsi="Arial"/>
          <w:sz w:val="14"/>
          <w:szCs w:val="14"/>
          <w:i w:val="1"/>
          <w:iCs w:val="1"/>
          <w:color w:val="auto"/>
        </w:rPr>
        <w:t xml:space="preserve"> </w:t>
      </w:r>
      <w:r>
        <w:rPr>
          <w:rFonts w:ascii="Arial" w:cs="Arial" w:eastAsia="Arial" w:hAnsi="Arial"/>
          <w:sz w:val="14"/>
          <w:szCs w:val="14"/>
          <w:color w:val="auto"/>
        </w:rPr>
        <w:t>to Company and seek a protective order or such similar confidential protection as may be available under applicable law. Advisor agrees that no ownership of Confidential Information is conveyed to the Advisor. Without limiting the foregoing, Advisor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Advisor agrees that Advisor’s obligations under this Section 2.B shall continue after the termination of this Agreement.</w:t>
      </w:r>
    </w:p>
    <w:p>
      <w:pPr>
        <w:spacing w:after="0" w:line="166" w:lineRule="exact"/>
        <w:rPr>
          <w:rFonts w:ascii="Arial" w:cs="Arial" w:eastAsia="Arial" w:hAnsi="Arial"/>
          <w:sz w:val="14"/>
          <w:szCs w:val="14"/>
          <w:color w:val="auto"/>
        </w:rPr>
      </w:pPr>
    </w:p>
    <w:p>
      <w:pPr>
        <w:jc w:val="both"/>
        <w:ind w:firstLine="1304"/>
        <w:spacing w:after="0" w:line="224" w:lineRule="auto"/>
        <w:tabs>
          <w:tab w:leader="none" w:pos="1939" w:val="left"/>
        </w:tabs>
        <w:numPr>
          <w:ilvl w:val="1"/>
          <w:numId w:val="126"/>
        </w:numPr>
        <w:rPr>
          <w:rFonts w:ascii="Arial" w:cs="Arial" w:eastAsia="Arial" w:hAnsi="Arial"/>
          <w:sz w:val="14"/>
          <w:szCs w:val="14"/>
          <w:color w:val="auto"/>
        </w:rPr>
      </w:pPr>
      <w:r>
        <w:rPr>
          <w:rFonts w:ascii="Arial" w:cs="Arial" w:eastAsia="Arial" w:hAnsi="Arial"/>
          <w:sz w:val="14"/>
          <w:szCs w:val="14"/>
          <w:b w:val="1"/>
          <w:bCs w:val="1"/>
          <w:i w:val="1"/>
          <w:iCs w:val="1"/>
          <w:color w:val="auto"/>
        </w:rPr>
        <w:t>Other Client Confidential Information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Advisor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agrees that Advisor will not improperly use, disclose, or induce the Company to use any proprietary information or trade secrets of any former or current employer of Advisor or other person or entity with which Advisor has an obligation to keep in confidence. Advisor also agrees that Advisor will not bring onto the Company’s premises or transfer onto the Company’s technology systems any unpublished document, proprietary</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information, or trade secrets belonging to any third party unless disclosure to, and use by, the Company has been consented to in writing by such third party.</w:t>
      </w:r>
    </w:p>
    <w:p>
      <w:pPr>
        <w:spacing w:after="0" w:line="145" w:lineRule="exact"/>
        <w:rPr>
          <w:sz w:val="20"/>
          <w:szCs w:val="20"/>
          <w:color w:val="auto"/>
        </w:rPr>
      </w:pPr>
    </w:p>
    <w:p>
      <w:pPr>
        <w:jc w:val="both"/>
        <w:ind w:right="120" w:firstLine="1292"/>
        <w:spacing w:after="0" w:line="221" w:lineRule="auto"/>
        <w:tabs>
          <w:tab w:leader="none" w:pos="1939" w:val="left"/>
        </w:tabs>
        <w:numPr>
          <w:ilvl w:val="1"/>
          <w:numId w:val="127"/>
        </w:numPr>
        <w:rPr>
          <w:rFonts w:ascii="Arial" w:cs="Arial" w:eastAsia="Arial" w:hAnsi="Arial"/>
          <w:sz w:val="14"/>
          <w:szCs w:val="14"/>
          <w:color w:val="auto"/>
        </w:rPr>
      </w:pPr>
      <w:r>
        <w:rPr>
          <w:rFonts w:ascii="Arial" w:cs="Arial" w:eastAsia="Arial" w:hAnsi="Arial"/>
          <w:sz w:val="14"/>
          <w:szCs w:val="14"/>
          <w:b w:val="1"/>
          <w:bCs w:val="1"/>
          <w:i w:val="1"/>
          <w:iCs w:val="1"/>
          <w:color w:val="auto"/>
        </w:rPr>
        <w:t>Third Party Confidential Information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Advisor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recognizes that the Company has received and, in the future, will receive from third parties their confidential or proprietary information subject to a duty on the Company’s part to maintain the confidentiality of such information and to use it only for certain limited purposes. Advisor agrees that at all times during the term of this Agreement and thereafter, Advisor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spacing w:after="0" w:line="178" w:lineRule="exact"/>
        <w:rPr>
          <w:rFonts w:ascii="Arial" w:cs="Arial" w:eastAsia="Arial" w:hAnsi="Arial"/>
          <w:sz w:val="14"/>
          <w:szCs w:val="14"/>
          <w:color w:val="auto"/>
        </w:rPr>
      </w:pPr>
    </w:p>
    <w:p>
      <w:pPr>
        <w:ind w:left="1300" w:hanging="656"/>
        <w:spacing w:after="0"/>
        <w:tabs>
          <w:tab w:leader="none" w:pos="1300" w:val="left"/>
        </w:tabs>
        <w:numPr>
          <w:ilvl w:val="0"/>
          <w:numId w:val="128"/>
        </w:numPr>
        <w:rPr>
          <w:rFonts w:ascii="Arial" w:cs="Arial" w:eastAsia="Arial" w:hAnsi="Arial"/>
          <w:sz w:val="14"/>
          <w:szCs w:val="14"/>
          <w:b w:val="1"/>
          <w:bCs w:val="1"/>
          <w:color w:val="auto"/>
        </w:rPr>
      </w:pPr>
      <w:r>
        <w:rPr>
          <w:rFonts w:ascii="Arial" w:cs="Arial" w:eastAsia="Arial" w:hAnsi="Arial"/>
          <w:sz w:val="14"/>
          <w:szCs w:val="14"/>
          <w:b w:val="1"/>
          <w:bCs w:val="1"/>
          <w:color w:val="auto"/>
        </w:rPr>
        <w:t>OWNERSHIP</w:t>
      </w:r>
    </w:p>
    <w:p>
      <w:pPr>
        <w:spacing w:after="0" w:line="203" w:lineRule="exact"/>
        <w:rPr>
          <w:rFonts w:ascii="Arial" w:cs="Arial" w:eastAsia="Arial" w:hAnsi="Arial"/>
          <w:sz w:val="14"/>
          <w:szCs w:val="14"/>
          <w:b w:val="1"/>
          <w:bCs w:val="1"/>
          <w:color w:val="auto"/>
        </w:rPr>
      </w:pPr>
    </w:p>
    <w:p>
      <w:pPr>
        <w:jc w:val="both"/>
        <w:ind w:right="120" w:firstLine="1292"/>
        <w:spacing w:after="0" w:line="219" w:lineRule="auto"/>
        <w:tabs>
          <w:tab w:leader="none" w:pos="1931" w:val="left"/>
        </w:tabs>
        <w:numPr>
          <w:ilvl w:val="1"/>
          <w:numId w:val="128"/>
        </w:numPr>
        <w:rPr>
          <w:rFonts w:ascii="Arial" w:cs="Arial" w:eastAsia="Arial" w:hAnsi="Arial"/>
          <w:sz w:val="14"/>
          <w:szCs w:val="14"/>
          <w:color w:val="auto"/>
        </w:rPr>
      </w:pPr>
      <w:r>
        <w:rPr>
          <w:rFonts w:ascii="Arial" w:cs="Arial" w:eastAsia="Arial" w:hAnsi="Arial"/>
          <w:sz w:val="14"/>
          <w:szCs w:val="14"/>
          <w:b w:val="1"/>
          <w:bCs w:val="1"/>
          <w:i w:val="1"/>
          <w:iCs w:val="1"/>
          <w:color w:val="auto"/>
        </w:rPr>
        <w:t>Assignment of Inventions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Advisor agrees that all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right, title, and interest in and to any copyrightable material, notes, records, drawings, designs, inventions, improvements, developments, discoveries, ideas and trade secrets conceived, discovered, authored, invented, developed or reduced to practice by Advisor,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Arial" w:cs="Arial" w:eastAsia="Arial" w:hAnsi="Arial"/>
          <w:sz w:val="14"/>
          <w:szCs w:val="14"/>
          <w:b w:val="1"/>
          <w:bCs w:val="1"/>
          <w:i w:val="1"/>
          <w:iCs w:val="1"/>
          <w:color w:val="auto"/>
        </w:rPr>
        <w:t>Inventions</w:t>
      </w:r>
      <w:r>
        <w:rPr>
          <w:rFonts w:ascii="Arial" w:cs="Arial" w:eastAsia="Arial" w:hAnsi="Arial"/>
          <w:sz w:val="14"/>
          <w:szCs w:val="14"/>
          <w:color w:val="auto"/>
        </w:rPr>
        <w:t>”), are the sole property of the Company. Advisor also agrees to promptly make full written disclosure to the Company of any Inventions and to deliver and assign (or cause to be assigned) and hereby irrevocably assigns fully to the Company all right, title and interest in and to the Inventions.</w:t>
      </w:r>
    </w:p>
    <w:p>
      <w:pPr>
        <w:spacing w:after="0" w:line="167" w:lineRule="exact"/>
        <w:rPr>
          <w:rFonts w:ascii="Arial" w:cs="Arial" w:eastAsia="Arial" w:hAnsi="Arial"/>
          <w:sz w:val="14"/>
          <w:szCs w:val="14"/>
          <w:color w:val="auto"/>
        </w:rPr>
      </w:pPr>
    </w:p>
    <w:p>
      <w:pPr>
        <w:jc w:val="both"/>
        <w:ind w:right="120" w:firstLine="1292"/>
        <w:spacing w:after="0" w:line="219" w:lineRule="auto"/>
        <w:tabs>
          <w:tab w:leader="none" w:pos="1931" w:val="left"/>
        </w:tabs>
        <w:numPr>
          <w:ilvl w:val="1"/>
          <w:numId w:val="128"/>
        </w:numPr>
        <w:rPr>
          <w:rFonts w:ascii="Arial" w:cs="Arial" w:eastAsia="Arial" w:hAnsi="Arial"/>
          <w:sz w:val="14"/>
          <w:szCs w:val="14"/>
          <w:color w:val="auto"/>
        </w:rPr>
      </w:pPr>
      <w:r>
        <w:rPr>
          <w:rFonts w:ascii="Arial" w:cs="Arial" w:eastAsia="Arial" w:hAnsi="Arial"/>
          <w:sz w:val="14"/>
          <w:szCs w:val="14"/>
          <w:b w:val="1"/>
          <w:bCs w:val="1"/>
          <w:i w:val="1"/>
          <w:iCs w:val="1"/>
          <w:color w:val="auto"/>
        </w:rPr>
        <w:t>Pre-Existing Material</w:t>
      </w:r>
      <w:r>
        <w:rPr>
          <w:rFonts w:ascii="Arial" w:cs="Arial" w:eastAsia="Arial" w:hAnsi="Arial"/>
          <w:sz w:val="14"/>
          <w:szCs w:val="14"/>
          <w:b w:val="1"/>
          <w:bCs w:val="1"/>
          <w:color w:val="auto"/>
        </w:rPr>
        <w: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Subject to Section 3.A,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Advisor will provide the Company with prior written notice if, in the course of performing the Services, Advisor incorporates into any Invention or utilizes in the performance of the Services any invention, discovery, idea, original works of authorship, development, improvements, trade secret, concept, or other proprietary information or intellectual property right owned by Advisor or in which Advisor has an interest, prior to, or separate from, performing the Services under this Agreement (“</w:t>
      </w:r>
      <w:r>
        <w:rPr>
          <w:rFonts w:ascii="Arial" w:cs="Arial" w:eastAsia="Arial" w:hAnsi="Arial"/>
          <w:sz w:val="14"/>
          <w:szCs w:val="14"/>
          <w:b w:val="1"/>
          <w:bCs w:val="1"/>
          <w:i w:val="1"/>
          <w:iCs w:val="1"/>
          <w:color w:val="auto"/>
        </w:rPr>
        <w:t>Prior Invention</w:t>
      </w:r>
      <w:r>
        <w:rPr>
          <w:rFonts w:ascii="Arial" w:cs="Arial" w:eastAsia="Arial" w:hAnsi="Arial"/>
          <w:sz w:val="14"/>
          <w:szCs w:val="14"/>
          <w:i w:val="1"/>
          <w:iCs w:val="1"/>
          <w:color w:val="auto"/>
        </w:rPr>
        <w:t>s</w:t>
      </w:r>
      <w:r>
        <w:rPr>
          <w:rFonts w:ascii="Arial" w:cs="Arial" w:eastAsia="Arial" w:hAnsi="Arial"/>
          <w:sz w:val="14"/>
          <w:szCs w:val="14"/>
          <w:color w:val="auto"/>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Advisor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spacing w:after="0" w:line="175" w:lineRule="exact"/>
        <w:rPr>
          <w:rFonts w:ascii="Arial" w:cs="Arial" w:eastAsia="Arial" w:hAnsi="Arial"/>
          <w:sz w:val="14"/>
          <w:szCs w:val="14"/>
          <w:color w:val="auto"/>
        </w:rPr>
      </w:pPr>
    </w:p>
    <w:p>
      <w:pPr>
        <w:jc w:val="both"/>
        <w:ind w:right="120" w:firstLine="1292"/>
        <w:spacing w:after="0" w:line="239" w:lineRule="auto"/>
        <w:tabs>
          <w:tab w:leader="none" w:pos="1939" w:val="left"/>
        </w:tabs>
        <w:numPr>
          <w:ilvl w:val="1"/>
          <w:numId w:val="128"/>
        </w:numPr>
        <w:rPr>
          <w:rFonts w:ascii="Arial" w:cs="Arial" w:eastAsia="Arial" w:hAnsi="Arial"/>
          <w:sz w:val="14"/>
          <w:szCs w:val="14"/>
          <w:color w:val="auto"/>
        </w:rPr>
      </w:pPr>
      <w:r>
        <w:rPr>
          <w:rFonts w:ascii="Arial" w:cs="Arial" w:eastAsia="Arial" w:hAnsi="Arial"/>
          <w:sz w:val="14"/>
          <w:szCs w:val="14"/>
          <w:b w:val="1"/>
          <w:bCs w:val="1"/>
          <w:i w:val="1"/>
          <w:iCs w:val="1"/>
          <w:color w:val="auto"/>
        </w:rPr>
        <w:t>Further Assurances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Advisor agrees to assist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or its designee, at the Company’s 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Advisor further agrees that Advisor’s obligations under this Section 3.C shall continue after the termination of this Agreement.</w:t>
      </w:r>
    </w:p>
    <w:p>
      <w:pPr>
        <w:spacing w:after="0" w:line="166" w:lineRule="exact"/>
        <w:rPr>
          <w:rFonts w:ascii="Arial" w:cs="Arial" w:eastAsia="Arial" w:hAnsi="Arial"/>
          <w:sz w:val="14"/>
          <w:szCs w:val="14"/>
          <w:color w:val="auto"/>
        </w:rPr>
      </w:pPr>
    </w:p>
    <w:p>
      <w:pPr>
        <w:ind w:left="1300" w:hanging="656"/>
        <w:spacing w:after="0"/>
        <w:tabs>
          <w:tab w:leader="none" w:pos="1300" w:val="left"/>
        </w:tabs>
        <w:numPr>
          <w:ilvl w:val="0"/>
          <w:numId w:val="128"/>
        </w:numPr>
        <w:rPr>
          <w:rFonts w:ascii="Arial" w:cs="Arial" w:eastAsia="Arial" w:hAnsi="Arial"/>
          <w:sz w:val="14"/>
          <w:szCs w:val="14"/>
          <w:b w:val="1"/>
          <w:bCs w:val="1"/>
          <w:color w:val="auto"/>
        </w:rPr>
      </w:pPr>
      <w:r>
        <w:rPr>
          <w:rFonts w:ascii="Arial" w:cs="Arial" w:eastAsia="Arial" w:hAnsi="Arial"/>
          <w:sz w:val="14"/>
          <w:szCs w:val="14"/>
          <w:b w:val="1"/>
          <w:bCs w:val="1"/>
          <w:color w:val="auto"/>
        </w:rPr>
        <w:t>CONFLICTING OBLIGATIONS</w:t>
      </w:r>
    </w:p>
    <w:p>
      <w:pPr>
        <w:spacing w:after="0" w:line="203" w:lineRule="exact"/>
        <w:rPr>
          <w:rFonts w:ascii="Arial" w:cs="Arial" w:eastAsia="Arial" w:hAnsi="Arial"/>
          <w:sz w:val="14"/>
          <w:szCs w:val="14"/>
          <w:b w:val="1"/>
          <w:bCs w:val="1"/>
          <w:color w:val="auto"/>
        </w:rPr>
      </w:pPr>
    </w:p>
    <w:p>
      <w:pPr>
        <w:jc w:val="both"/>
        <w:ind w:right="120" w:firstLine="1292"/>
        <w:spacing w:after="0" w:line="225" w:lineRule="auto"/>
        <w:tabs>
          <w:tab w:leader="none" w:pos="1931" w:val="left"/>
        </w:tabs>
        <w:numPr>
          <w:ilvl w:val="1"/>
          <w:numId w:val="128"/>
        </w:numPr>
        <w:rPr>
          <w:rFonts w:ascii="Arial" w:cs="Arial" w:eastAsia="Arial" w:hAnsi="Arial"/>
          <w:sz w:val="14"/>
          <w:szCs w:val="14"/>
          <w:color w:val="auto"/>
        </w:rPr>
      </w:pPr>
      <w:r>
        <w:rPr>
          <w:rFonts w:ascii="Arial" w:cs="Arial" w:eastAsia="Arial" w:hAnsi="Arial"/>
          <w:sz w:val="14"/>
          <w:szCs w:val="14"/>
          <w:color w:val="auto"/>
        </w:rPr>
        <w:t>Advisor represents and warrants that Advisor has no agreements, relationships, or commitments to any other person or entity that conflict with the provisions of this Agreement, Advisor’s obligations to the Company under this Agreement, and/or Advisor’s ability to perform the Services. Advisor will not enter into any such conflicting agreements, relationships, or commitments during the term of this Agreement.</w:t>
      </w:r>
    </w:p>
    <w:p>
      <w:pPr>
        <w:sectPr>
          <w:pgSz w:w="11900" w:h="16838" w:orient="portrait"/>
          <w:cols w:equalWidth="0" w:num="2">
            <w:col w:w="5400" w:space="340"/>
            <w:col w:w="5500"/>
          </w:cols>
          <w:pgMar w:left="320" w:top="108" w:right="339" w:bottom="1440" w:gutter="0" w:footer="0" w:header="0"/>
          <w:type w:val="continuous"/>
        </w:sectPr>
      </w:pPr>
    </w:p>
    <w:bookmarkStart w:id="220" w:name="page221"/>
    <w:bookmarkEnd w:id="220"/>
    <w:p>
      <w:pPr>
        <w:spacing w:after="0" w:line="81" w:lineRule="exact"/>
        <w:rPr>
          <w:sz w:val="20"/>
          <w:szCs w:val="20"/>
          <w:color w:val="auto"/>
        </w:rPr>
      </w:pPr>
    </w:p>
    <w:p>
      <w:pPr>
        <w:jc w:val="both"/>
        <w:ind w:left="-656" w:firstLine="1304"/>
        <w:spacing w:after="0" w:line="235" w:lineRule="auto"/>
        <w:tabs>
          <w:tab w:leader="none" w:pos="1275" w:val="left"/>
        </w:tabs>
        <w:numPr>
          <w:ilvl w:val="1"/>
          <w:numId w:val="129"/>
        </w:numPr>
        <w:rPr>
          <w:rFonts w:ascii="Arial" w:cs="Arial" w:eastAsia="Arial" w:hAnsi="Arial"/>
          <w:sz w:val="14"/>
          <w:szCs w:val="14"/>
          <w:color w:val="auto"/>
        </w:rPr>
      </w:pPr>
      <w:r>
        <w:rPr>
          <w:rFonts w:ascii="Arial" w:cs="Arial" w:eastAsia="Arial" w:hAnsi="Arial"/>
          <w:sz w:val="14"/>
          <w:szCs w:val="14"/>
          <w:color w:val="auto"/>
        </w:rPr>
        <w:t>In light of the unique and specialized nature of Advisor’s services, Advisor shall have the right to subcontract or delegate the performance of any Services only with the prior written permission of the Company.</w:t>
      </w:r>
    </w:p>
    <w:p>
      <w:pPr>
        <w:spacing w:after="0" w:line="175" w:lineRule="exact"/>
        <w:rPr>
          <w:rFonts w:ascii="Arial" w:cs="Arial" w:eastAsia="Arial" w:hAnsi="Arial"/>
          <w:sz w:val="14"/>
          <w:szCs w:val="14"/>
          <w:color w:val="auto"/>
        </w:rPr>
      </w:pPr>
    </w:p>
    <w:p>
      <w:pPr>
        <w:ind w:left="644" w:hanging="644"/>
        <w:spacing w:after="0"/>
        <w:tabs>
          <w:tab w:leader="none" w:pos="644" w:val="left"/>
        </w:tabs>
        <w:numPr>
          <w:ilvl w:val="0"/>
          <w:numId w:val="130"/>
        </w:numPr>
        <w:rPr>
          <w:rFonts w:ascii="Arial" w:cs="Arial" w:eastAsia="Arial" w:hAnsi="Arial"/>
          <w:sz w:val="14"/>
          <w:szCs w:val="14"/>
          <w:b w:val="1"/>
          <w:bCs w:val="1"/>
          <w:color w:val="auto"/>
        </w:rPr>
      </w:pPr>
      <w:r>
        <w:rPr>
          <w:rFonts w:ascii="Arial" w:cs="Arial" w:eastAsia="Arial" w:hAnsi="Arial"/>
          <w:sz w:val="14"/>
          <w:szCs w:val="14"/>
          <w:b w:val="1"/>
          <w:bCs w:val="1"/>
          <w:color w:val="auto"/>
        </w:rPr>
        <w:t>RETURN OF COMPANY MATERIALS</w:t>
      </w:r>
    </w:p>
    <w:p>
      <w:pPr>
        <w:spacing w:after="0" w:line="203" w:lineRule="exact"/>
        <w:rPr>
          <w:rFonts w:ascii="Arial" w:cs="Arial" w:eastAsia="Arial" w:hAnsi="Arial"/>
          <w:sz w:val="14"/>
          <w:szCs w:val="14"/>
          <w:b w:val="1"/>
          <w:bCs w:val="1"/>
          <w:color w:val="auto"/>
        </w:rPr>
      </w:pPr>
    </w:p>
    <w:p>
      <w:pPr>
        <w:jc w:val="both"/>
        <w:ind w:left="-656" w:firstLine="656"/>
        <w:spacing w:after="0" w:line="221" w:lineRule="auto"/>
        <w:tabs>
          <w:tab w:leader="none" w:pos="638" w:val="left"/>
        </w:tabs>
        <w:numPr>
          <w:ilvl w:val="0"/>
          <w:numId w:val="130"/>
        </w:numPr>
        <w:rPr>
          <w:rFonts w:ascii="Arial" w:cs="Arial" w:eastAsia="Arial" w:hAnsi="Arial"/>
          <w:sz w:val="14"/>
          <w:szCs w:val="14"/>
          <w:color w:val="auto"/>
        </w:rPr>
      </w:pPr>
      <w:r>
        <w:rPr>
          <w:rFonts w:ascii="Arial" w:cs="Arial" w:eastAsia="Arial" w:hAnsi="Arial"/>
          <w:sz w:val="14"/>
          <w:szCs w:val="14"/>
          <w:color w:val="auto"/>
        </w:rPr>
        <w:t>Upon the termination of this Agreement, or upon Company’s earlier request, Advisor will immediately deliver to the Company, and will not keep in Advisor’s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and any reproductions of any of the foregoing items that Advisor may have in Advisor’s possession or control.</w:t>
      </w:r>
    </w:p>
    <w:p>
      <w:pPr>
        <w:spacing w:after="0" w:line="177" w:lineRule="exact"/>
        <w:rPr>
          <w:rFonts w:ascii="Arial" w:cs="Arial" w:eastAsia="Arial" w:hAnsi="Arial"/>
          <w:sz w:val="14"/>
          <w:szCs w:val="14"/>
          <w:color w:val="auto"/>
        </w:rPr>
      </w:pPr>
    </w:p>
    <w:p>
      <w:pPr>
        <w:ind w:left="644" w:hanging="644"/>
        <w:spacing w:after="0"/>
        <w:tabs>
          <w:tab w:leader="none" w:pos="644" w:val="left"/>
        </w:tabs>
        <w:numPr>
          <w:ilvl w:val="0"/>
          <w:numId w:val="130"/>
        </w:numPr>
        <w:rPr>
          <w:rFonts w:ascii="Arial" w:cs="Arial" w:eastAsia="Arial" w:hAnsi="Arial"/>
          <w:sz w:val="14"/>
          <w:szCs w:val="14"/>
          <w:b w:val="1"/>
          <w:bCs w:val="1"/>
          <w:color w:val="auto"/>
        </w:rPr>
      </w:pPr>
      <w:r>
        <w:rPr>
          <w:rFonts w:ascii="Arial" w:cs="Arial" w:eastAsia="Arial" w:hAnsi="Arial"/>
          <w:sz w:val="14"/>
          <w:szCs w:val="14"/>
          <w:b w:val="1"/>
          <w:bCs w:val="1"/>
          <w:color w:val="auto"/>
        </w:rPr>
        <w:t>TERM AND TERMINATION</w:t>
      </w:r>
    </w:p>
    <w:p>
      <w:pPr>
        <w:spacing w:after="0" w:line="203" w:lineRule="exact"/>
        <w:rPr>
          <w:rFonts w:ascii="Arial" w:cs="Arial" w:eastAsia="Arial" w:hAnsi="Arial"/>
          <w:sz w:val="14"/>
          <w:szCs w:val="14"/>
          <w:b w:val="1"/>
          <w:bCs w:val="1"/>
          <w:color w:val="auto"/>
        </w:rPr>
      </w:pPr>
    </w:p>
    <w:p>
      <w:pPr>
        <w:jc w:val="both"/>
        <w:ind w:left="-656" w:firstLine="1304"/>
        <w:spacing w:after="0" w:line="221" w:lineRule="auto"/>
        <w:tabs>
          <w:tab w:leader="none" w:pos="1275" w:val="left"/>
        </w:tabs>
        <w:numPr>
          <w:ilvl w:val="1"/>
          <w:numId w:val="130"/>
        </w:numPr>
        <w:rPr>
          <w:rFonts w:ascii="Arial" w:cs="Arial" w:eastAsia="Arial" w:hAnsi="Arial"/>
          <w:sz w:val="14"/>
          <w:szCs w:val="14"/>
          <w:color w:val="auto"/>
        </w:rPr>
      </w:pPr>
      <w:r>
        <w:rPr>
          <w:rFonts w:ascii="Arial" w:cs="Arial" w:eastAsia="Arial" w:hAnsi="Arial"/>
          <w:sz w:val="14"/>
          <w:szCs w:val="14"/>
          <w:b w:val="1"/>
          <w:bCs w:val="1"/>
          <w:i w:val="1"/>
          <w:iCs w:val="1"/>
          <w:color w:val="auto"/>
        </w:rPr>
        <w:t>Term</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term of this Agreement will begin on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Effective Date of this Agreement and will continue until the date that is twelve (12) months after the Effective Date, provided that, prior to the end of the term or any subsequent term, the Parties may agree in writing to extend the term of this Agreement for an additional twelve (12) months or such other period as the Parties mutually agree in writing, However, the earlier of (i) final completion of the Services or (ii) the term, or any subsequent term, of this Agreement may end earlier termination as provided in Section 6.B.</w:t>
      </w:r>
    </w:p>
    <w:p>
      <w:pPr>
        <w:spacing w:after="0" w:line="177" w:lineRule="exact"/>
        <w:rPr>
          <w:rFonts w:ascii="Arial" w:cs="Arial" w:eastAsia="Arial" w:hAnsi="Arial"/>
          <w:sz w:val="14"/>
          <w:szCs w:val="14"/>
          <w:color w:val="auto"/>
        </w:rPr>
      </w:pPr>
    </w:p>
    <w:p>
      <w:pPr>
        <w:jc w:val="both"/>
        <w:ind w:left="-656" w:firstLine="1304"/>
        <w:spacing w:after="0" w:line="225" w:lineRule="auto"/>
        <w:tabs>
          <w:tab w:leader="none" w:pos="1275" w:val="left"/>
        </w:tabs>
        <w:numPr>
          <w:ilvl w:val="1"/>
          <w:numId w:val="130"/>
        </w:numPr>
        <w:rPr>
          <w:rFonts w:ascii="Arial" w:cs="Arial" w:eastAsia="Arial" w:hAnsi="Arial"/>
          <w:sz w:val="14"/>
          <w:szCs w:val="14"/>
          <w:color w:val="auto"/>
        </w:rPr>
      </w:pPr>
      <w:r>
        <w:rPr>
          <w:rFonts w:ascii="Arial" w:cs="Arial" w:eastAsia="Arial" w:hAnsi="Arial"/>
          <w:sz w:val="14"/>
          <w:szCs w:val="14"/>
          <w:b w:val="1"/>
          <w:bCs w:val="1"/>
          <w:i w:val="1"/>
          <w:iCs w:val="1"/>
          <w:color w:val="auto"/>
        </w:rPr>
        <w:t>Termination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Either Party may terminate this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 upon giving the other Party seven (7) days prior written notice of such termination pursuant to Section 8.G of this Agreement. The Company may terminate this Agreement immediately and without prior notice if Advisor refuses to or is unable to perform the Services or is in breach of any material provision of this Agreement.</w:t>
      </w:r>
    </w:p>
    <w:p>
      <w:pPr>
        <w:spacing w:after="0" w:line="176" w:lineRule="exact"/>
        <w:rPr>
          <w:rFonts w:ascii="Arial" w:cs="Arial" w:eastAsia="Arial" w:hAnsi="Arial"/>
          <w:sz w:val="14"/>
          <w:szCs w:val="14"/>
          <w:color w:val="auto"/>
        </w:rPr>
      </w:pPr>
    </w:p>
    <w:p>
      <w:pPr>
        <w:jc w:val="both"/>
        <w:ind w:left="-656" w:firstLine="1304"/>
        <w:spacing w:after="0"/>
        <w:tabs>
          <w:tab w:leader="none" w:pos="1283" w:val="left"/>
        </w:tabs>
        <w:numPr>
          <w:ilvl w:val="1"/>
          <w:numId w:val="130"/>
        </w:numPr>
        <w:rPr>
          <w:rFonts w:ascii="Arial" w:cs="Arial" w:eastAsia="Arial" w:hAnsi="Arial"/>
          <w:sz w:val="14"/>
          <w:szCs w:val="14"/>
          <w:color w:val="auto"/>
        </w:rPr>
      </w:pPr>
      <w:r>
        <w:rPr>
          <w:rFonts w:ascii="Arial" w:cs="Arial" w:eastAsia="Arial" w:hAnsi="Arial"/>
          <w:sz w:val="14"/>
          <w:szCs w:val="14"/>
          <w:b w:val="1"/>
          <w:bCs w:val="1"/>
          <w:i w:val="1"/>
          <w:iCs w:val="1"/>
          <w:color w:val="auto"/>
        </w:rPr>
        <w:t>Survival</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Upon any termination, all rights and duties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the Company and Advisor toward each other shall cease except: the sections entitled Confidentiality, Ownership, Conflicting Obligations, Return of Company Materials, Term and Termination, Independent Contractor; Benefits, and Miscellaneous will survive termination or expiration of this Agreement in accordance with their terms.</w:t>
      </w:r>
    </w:p>
    <w:p>
      <w:pPr>
        <w:spacing w:after="0" w:line="275" w:lineRule="exact"/>
        <w:rPr>
          <w:rFonts w:ascii="Arial" w:cs="Arial" w:eastAsia="Arial" w:hAnsi="Arial"/>
          <w:sz w:val="14"/>
          <w:szCs w:val="14"/>
          <w:color w:val="auto"/>
        </w:rPr>
      </w:pPr>
    </w:p>
    <w:p>
      <w:pPr>
        <w:ind w:left="644" w:hanging="644"/>
        <w:spacing w:after="0"/>
        <w:tabs>
          <w:tab w:leader="none" w:pos="644" w:val="left"/>
        </w:tabs>
        <w:numPr>
          <w:ilvl w:val="0"/>
          <w:numId w:val="130"/>
        </w:numPr>
        <w:rPr>
          <w:rFonts w:ascii="Arial" w:cs="Arial" w:eastAsia="Arial" w:hAnsi="Arial"/>
          <w:sz w:val="14"/>
          <w:szCs w:val="14"/>
          <w:b w:val="1"/>
          <w:bCs w:val="1"/>
          <w:color w:val="auto"/>
        </w:rPr>
      </w:pPr>
      <w:r>
        <w:rPr>
          <w:rFonts w:ascii="Arial" w:cs="Arial" w:eastAsia="Arial" w:hAnsi="Arial"/>
          <w:sz w:val="14"/>
          <w:szCs w:val="14"/>
          <w:b w:val="1"/>
          <w:bCs w:val="1"/>
          <w:color w:val="auto"/>
        </w:rPr>
        <w:t>INDEPENDENT CONTRACTOR; BENEFITS</w:t>
      </w:r>
    </w:p>
    <w:p>
      <w:pPr>
        <w:spacing w:after="0" w:line="203" w:lineRule="exact"/>
        <w:rPr>
          <w:rFonts w:ascii="Arial" w:cs="Arial" w:eastAsia="Arial" w:hAnsi="Arial"/>
          <w:sz w:val="14"/>
          <w:szCs w:val="14"/>
          <w:b w:val="1"/>
          <w:bCs w:val="1"/>
          <w:color w:val="auto"/>
        </w:rPr>
      </w:pPr>
    </w:p>
    <w:p>
      <w:pPr>
        <w:jc w:val="both"/>
        <w:ind w:left="-656" w:firstLine="1304"/>
        <w:spacing w:after="0" w:line="219" w:lineRule="auto"/>
        <w:tabs>
          <w:tab w:leader="none" w:pos="1275" w:val="left"/>
        </w:tabs>
        <w:numPr>
          <w:ilvl w:val="1"/>
          <w:numId w:val="13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Independent Contractor. </w:t>
      </w:r>
      <w:r>
        <w:rPr>
          <w:rFonts w:ascii="Arial" w:cs="Arial" w:eastAsia="Arial" w:hAnsi="Arial"/>
          <w:sz w:val="14"/>
          <w:szCs w:val="14"/>
          <w:color w:val="auto"/>
        </w:rPr>
        <w:t>It is the express intention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the Company and Advisor that Advisor perform the Services as an independent contractor to the Company. Nothing in this Agreement shall in any way be construed to constitute Advisor as an agent, employee or representative of the Company. Without limiting the generality of the foregoing, Advisor is not authorized to bind the Company to any liability or obligation or to represent that Advisor has any such authority. Advisor agrees to furnish (or reimburse the Company for) all tools and materials necessary to accomplish this Agreement and shall incur all expenses associated with performance. Advisor acknowledges and agrees that Advisor is obligated to report as income all compensation received by Advisor pursuant to this Agreement. Advisor agrees to and acknowledges the obligation to pay all self-employment and other taxes on such income.</w:t>
      </w:r>
    </w:p>
    <w:p>
      <w:pPr>
        <w:spacing w:after="0" w:line="181" w:lineRule="exact"/>
        <w:rPr>
          <w:rFonts w:ascii="Arial" w:cs="Arial" w:eastAsia="Arial" w:hAnsi="Arial"/>
          <w:sz w:val="14"/>
          <w:szCs w:val="14"/>
          <w:color w:val="auto"/>
        </w:rPr>
      </w:pPr>
    </w:p>
    <w:p>
      <w:pPr>
        <w:jc w:val="both"/>
        <w:ind w:left="-656" w:firstLine="1304"/>
        <w:spacing w:after="0"/>
        <w:tabs>
          <w:tab w:leader="none" w:pos="1275" w:val="left"/>
        </w:tabs>
        <w:numPr>
          <w:ilvl w:val="1"/>
          <w:numId w:val="130"/>
        </w:numPr>
        <w:rPr>
          <w:rFonts w:ascii="Arial" w:cs="Arial" w:eastAsia="Arial" w:hAnsi="Arial"/>
          <w:sz w:val="14"/>
          <w:szCs w:val="14"/>
          <w:color w:val="auto"/>
        </w:rPr>
      </w:pPr>
      <w:r>
        <w:rPr>
          <w:rFonts w:ascii="Arial" w:cs="Arial" w:eastAsia="Arial" w:hAnsi="Arial"/>
          <w:sz w:val="14"/>
          <w:szCs w:val="14"/>
          <w:b w:val="1"/>
          <w:bCs w:val="1"/>
          <w:i w:val="1"/>
          <w:iCs w:val="1"/>
          <w:color w:val="auto"/>
        </w:rPr>
        <w:t>Benefits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 and Advisor agree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Advisor will receive no Company-sponsored benefits from the Company where benefits include, but are not limited to, paid vacation, sick leave, medical insurance and 401k participation. If Advisor is reclassified by a state or federal agency or court as the Company’s employee, Advisor will become a reclassified employee and will receive no benefits from the Company, except those mandated by state or federal law, even if by the terms of the Company’s benefit plans or programs of the Company in effect at the time of such reclassification, Advisor would otherwise be eligible for such benefits.</w:t>
      </w:r>
    </w:p>
    <w:p>
      <w:pPr>
        <w:spacing w:after="0" w:line="210" w:lineRule="exact"/>
        <w:rPr>
          <w:rFonts w:ascii="Arial" w:cs="Arial" w:eastAsia="Arial" w:hAnsi="Arial"/>
          <w:sz w:val="14"/>
          <w:szCs w:val="14"/>
          <w:color w:val="auto"/>
        </w:rPr>
      </w:pPr>
    </w:p>
    <w:p>
      <w:pPr>
        <w:ind w:left="644" w:hanging="644"/>
        <w:spacing w:after="0"/>
        <w:tabs>
          <w:tab w:leader="none" w:pos="644" w:val="left"/>
        </w:tabs>
        <w:numPr>
          <w:ilvl w:val="0"/>
          <w:numId w:val="130"/>
        </w:numPr>
        <w:rPr>
          <w:rFonts w:ascii="Arial" w:cs="Arial" w:eastAsia="Arial" w:hAnsi="Arial"/>
          <w:sz w:val="14"/>
          <w:szCs w:val="14"/>
          <w:b w:val="1"/>
          <w:bCs w:val="1"/>
          <w:color w:val="auto"/>
        </w:rPr>
      </w:pPr>
      <w:r>
        <w:rPr>
          <w:rFonts w:ascii="Arial" w:cs="Arial" w:eastAsia="Arial" w:hAnsi="Arial"/>
          <w:sz w:val="14"/>
          <w:szCs w:val="14"/>
          <w:b w:val="1"/>
          <w:bCs w:val="1"/>
          <w:color w:val="auto"/>
        </w:rPr>
        <w:t>MISCELLANEOUS</w:t>
      </w:r>
    </w:p>
    <w:p>
      <w:pPr>
        <w:spacing w:after="0" w:line="203" w:lineRule="exact"/>
        <w:rPr>
          <w:rFonts w:ascii="Arial" w:cs="Arial" w:eastAsia="Arial" w:hAnsi="Arial"/>
          <w:sz w:val="14"/>
          <w:szCs w:val="14"/>
          <w:b w:val="1"/>
          <w:bCs w:val="1"/>
          <w:color w:val="auto"/>
        </w:rPr>
      </w:pPr>
    </w:p>
    <w:p>
      <w:pPr>
        <w:jc w:val="both"/>
        <w:ind w:left="-656" w:firstLine="1304"/>
        <w:spacing w:after="0" w:line="235" w:lineRule="auto"/>
        <w:tabs>
          <w:tab w:leader="none" w:pos="1275" w:val="left"/>
        </w:tabs>
        <w:numPr>
          <w:ilvl w:val="1"/>
          <w:numId w:val="130"/>
        </w:numPr>
        <w:rPr>
          <w:rFonts w:ascii="Arial" w:cs="Arial" w:eastAsia="Arial" w:hAnsi="Arial"/>
          <w:sz w:val="14"/>
          <w:szCs w:val="14"/>
          <w:color w:val="auto"/>
        </w:rPr>
      </w:pPr>
      <w:r>
        <w:rPr>
          <w:rFonts w:ascii="Arial" w:cs="Arial" w:eastAsia="Arial" w:hAnsi="Arial"/>
          <w:sz w:val="14"/>
          <w:szCs w:val="14"/>
          <w:b w:val="1"/>
          <w:bCs w:val="1"/>
          <w:i w:val="1"/>
          <w:iCs w:val="1"/>
          <w:color w:val="auto"/>
        </w:rPr>
        <w:t>Governing Law</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This Agreement shall be governed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by the laws of the State of Utah, without regard to the conflicts of law provisions of any jurisdiction.</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200" w:firstLine="1292"/>
        <w:spacing w:after="0" w:line="221" w:lineRule="auto"/>
        <w:tabs>
          <w:tab w:leader="none" w:pos="2131" w:val="left"/>
        </w:tabs>
        <w:numPr>
          <w:ilvl w:val="0"/>
          <w:numId w:val="131"/>
        </w:numPr>
        <w:rPr>
          <w:rFonts w:ascii="Arial" w:cs="Arial" w:eastAsia="Arial" w:hAnsi="Arial"/>
          <w:sz w:val="14"/>
          <w:szCs w:val="14"/>
          <w:color w:val="auto"/>
        </w:rPr>
      </w:pPr>
      <w:r>
        <w:rPr>
          <w:rFonts w:ascii="Arial" w:cs="Arial" w:eastAsia="Arial" w:hAnsi="Arial"/>
          <w:sz w:val="14"/>
          <w:szCs w:val="14"/>
          <w:b w:val="1"/>
          <w:bCs w:val="1"/>
          <w:i w:val="1"/>
          <w:iCs w:val="1"/>
          <w:color w:val="auto"/>
        </w:rPr>
        <w:t>Assignability</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This Agreement will be binding upon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Advisor’s heirs, executors, assigns, administrators, and other legal representatives, and will be for the benefit of the Company, its successors, and its assigns. There are no intended third-party beneficiaries to this Agreement, except as expressly stated. Except as may otherwise be provided in this Agreement, Advisor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spacing w:after="0" w:line="178" w:lineRule="exact"/>
        <w:rPr>
          <w:rFonts w:ascii="Arial" w:cs="Arial" w:eastAsia="Arial" w:hAnsi="Arial"/>
          <w:sz w:val="14"/>
          <w:szCs w:val="14"/>
          <w:color w:val="auto"/>
        </w:rPr>
      </w:pPr>
    </w:p>
    <w:p>
      <w:pPr>
        <w:jc w:val="both"/>
        <w:ind w:left="200" w:firstLine="1292"/>
        <w:spacing w:after="0" w:line="221" w:lineRule="auto"/>
        <w:tabs>
          <w:tab w:leader="none" w:pos="2139" w:val="left"/>
        </w:tabs>
        <w:numPr>
          <w:ilvl w:val="0"/>
          <w:numId w:val="131"/>
        </w:numPr>
        <w:rPr>
          <w:rFonts w:ascii="Arial" w:cs="Arial" w:eastAsia="Arial" w:hAnsi="Arial"/>
          <w:sz w:val="14"/>
          <w:szCs w:val="14"/>
          <w:color w:val="auto"/>
        </w:rPr>
      </w:pPr>
      <w:r>
        <w:rPr>
          <w:rFonts w:ascii="Arial" w:cs="Arial" w:eastAsia="Arial" w:hAnsi="Arial"/>
          <w:sz w:val="14"/>
          <w:szCs w:val="14"/>
          <w:b w:val="1"/>
          <w:bCs w:val="1"/>
          <w:i w:val="1"/>
          <w:iCs w:val="1"/>
          <w:color w:val="auto"/>
        </w:rPr>
        <w:t>Entire Agreement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This Agreement constitutes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entire agreement and understanding between the Parties with respect to the subject matter herein and supersedes all prior written and oral agreements, discussions, or representations between the Parties with respect to Advisor’s advisory relationship with the Company. Advisor represents and warrants that Advisor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spacing w:after="0" w:line="164" w:lineRule="exact"/>
        <w:rPr>
          <w:rFonts w:ascii="Arial" w:cs="Arial" w:eastAsia="Arial" w:hAnsi="Arial"/>
          <w:sz w:val="14"/>
          <w:szCs w:val="14"/>
          <w:color w:val="auto"/>
        </w:rPr>
      </w:pPr>
    </w:p>
    <w:p>
      <w:pPr>
        <w:ind w:left="2140" w:hanging="648"/>
        <w:spacing w:after="0"/>
        <w:tabs>
          <w:tab w:leader="none" w:pos="2140" w:val="left"/>
        </w:tabs>
        <w:numPr>
          <w:ilvl w:val="0"/>
          <w:numId w:val="131"/>
        </w:numPr>
        <w:rPr>
          <w:rFonts w:ascii="Arial" w:cs="Arial" w:eastAsia="Arial" w:hAnsi="Arial"/>
          <w:sz w:val="14"/>
          <w:szCs w:val="14"/>
          <w:color w:val="auto"/>
        </w:rPr>
      </w:pPr>
      <w:r>
        <w:rPr>
          <w:rFonts w:ascii="Arial" w:cs="Arial" w:eastAsia="Arial" w:hAnsi="Arial"/>
          <w:sz w:val="14"/>
          <w:szCs w:val="14"/>
          <w:b w:val="1"/>
          <w:bCs w:val="1"/>
          <w:i w:val="1"/>
          <w:iCs w:val="1"/>
          <w:color w:val="auto"/>
        </w:rPr>
        <w:t>Headings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Headings are used in this Agreement for</w:t>
      </w:r>
    </w:p>
    <w:p>
      <w:pPr>
        <w:spacing w:after="0" w:line="1" w:lineRule="exact"/>
        <w:rPr>
          <w:rFonts w:ascii="Arial" w:cs="Arial" w:eastAsia="Arial" w:hAnsi="Arial"/>
          <w:sz w:val="14"/>
          <w:szCs w:val="14"/>
          <w:color w:val="auto"/>
        </w:rPr>
      </w:pPr>
    </w:p>
    <w:p>
      <w:pPr>
        <w:ind w:left="200"/>
        <w:spacing w:after="0"/>
        <w:rPr>
          <w:rFonts w:ascii="Arial" w:cs="Arial" w:eastAsia="Arial" w:hAnsi="Arial"/>
          <w:sz w:val="14"/>
          <w:szCs w:val="14"/>
          <w:color w:val="auto"/>
        </w:rPr>
      </w:pPr>
      <w:r>
        <w:rPr>
          <w:rFonts w:ascii="Arial" w:cs="Arial" w:eastAsia="Arial" w:hAnsi="Arial"/>
          <w:sz w:val="14"/>
          <w:szCs w:val="14"/>
          <w:color w:val="auto"/>
        </w:rPr>
        <w:t>reference only and shall not be considered when interpreting this Agreement.</w:t>
      </w:r>
    </w:p>
    <w:p>
      <w:pPr>
        <w:spacing w:after="0" w:line="189" w:lineRule="exact"/>
        <w:rPr>
          <w:rFonts w:ascii="Arial" w:cs="Arial" w:eastAsia="Arial" w:hAnsi="Arial"/>
          <w:sz w:val="14"/>
          <w:szCs w:val="14"/>
          <w:color w:val="auto"/>
        </w:rPr>
      </w:pPr>
    </w:p>
    <w:p>
      <w:pPr>
        <w:jc w:val="both"/>
        <w:ind w:left="200" w:firstLine="1292"/>
        <w:spacing w:after="0" w:line="225" w:lineRule="auto"/>
        <w:tabs>
          <w:tab w:leader="none" w:pos="2131" w:val="left"/>
        </w:tabs>
        <w:numPr>
          <w:ilvl w:val="0"/>
          <w:numId w:val="131"/>
        </w:numPr>
        <w:rPr>
          <w:rFonts w:ascii="Arial" w:cs="Arial" w:eastAsia="Arial" w:hAnsi="Arial"/>
          <w:sz w:val="14"/>
          <w:szCs w:val="14"/>
          <w:color w:val="auto"/>
        </w:rPr>
      </w:pPr>
      <w:r>
        <w:rPr>
          <w:rFonts w:ascii="Arial" w:cs="Arial" w:eastAsia="Arial" w:hAnsi="Arial"/>
          <w:sz w:val="14"/>
          <w:szCs w:val="14"/>
          <w:b w:val="1"/>
          <w:bCs w:val="1"/>
          <w:i w:val="1"/>
          <w:iCs w:val="1"/>
          <w:color w:val="auto"/>
        </w:rPr>
        <w:t>Severability</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If a court or other body of competent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w:t>
      </w:r>
    </w:p>
    <w:p>
      <w:pPr>
        <w:spacing w:after="0" w:line="176" w:lineRule="exact"/>
        <w:rPr>
          <w:rFonts w:ascii="Arial" w:cs="Arial" w:eastAsia="Arial" w:hAnsi="Arial"/>
          <w:sz w:val="14"/>
          <w:szCs w:val="14"/>
          <w:color w:val="auto"/>
        </w:rPr>
      </w:pPr>
    </w:p>
    <w:p>
      <w:pPr>
        <w:jc w:val="both"/>
        <w:ind w:left="200" w:firstLine="1292"/>
        <w:spacing w:after="0" w:line="229" w:lineRule="auto"/>
        <w:tabs>
          <w:tab w:leader="none" w:pos="2121" w:val="left"/>
        </w:tabs>
        <w:numPr>
          <w:ilvl w:val="0"/>
          <w:numId w:val="13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Modification, Waiver. </w:t>
      </w:r>
      <w:r>
        <w:rPr>
          <w:rFonts w:ascii="Arial" w:cs="Arial" w:eastAsia="Arial" w:hAnsi="Arial"/>
          <w:sz w:val="14"/>
          <w:szCs w:val="14"/>
          <w:color w:val="auto"/>
        </w:rPr>
        <w:t>No modification of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spacing w:after="0" w:line="163" w:lineRule="exact"/>
        <w:rPr>
          <w:rFonts w:ascii="Arial" w:cs="Arial" w:eastAsia="Arial" w:hAnsi="Arial"/>
          <w:sz w:val="14"/>
          <w:szCs w:val="14"/>
          <w:color w:val="auto"/>
        </w:rPr>
      </w:pPr>
    </w:p>
    <w:p>
      <w:pPr>
        <w:jc w:val="both"/>
        <w:ind w:left="200" w:firstLine="1292"/>
        <w:spacing w:after="0" w:line="224" w:lineRule="auto"/>
        <w:tabs>
          <w:tab w:leader="none" w:pos="2134" w:val="left"/>
        </w:tabs>
        <w:numPr>
          <w:ilvl w:val="0"/>
          <w:numId w:val="131"/>
        </w:numPr>
        <w:rPr>
          <w:rFonts w:ascii="Arial" w:cs="Arial" w:eastAsia="Arial" w:hAnsi="Arial"/>
          <w:sz w:val="14"/>
          <w:szCs w:val="14"/>
          <w:color w:val="auto"/>
        </w:rPr>
      </w:pPr>
      <w:r>
        <w:rPr>
          <w:rFonts w:ascii="Arial" w:cs="Arial" w:eastAsia="Arial" w:hAnsi="Arial"/>
          <w:sz w:val="14"/>
          <w:szCs w:val="14"/>
          <w:b w:val="1"/>
          <w:bCs w:val="1"/>
          <w:i w:val="1"/>
          <w:iCs w:val="1"/>
          <w:color w:val="auto"/>
        </w:rPr>
        <w:t>Notices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Any notice or other communication required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permitted by this Agreement to be given to a Party shall be in writing and shall be deemed given (i) if delivered personally or by commercial messenger or courier service, (ii) when sent by confirmed facsimile or email,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8.G.</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4"/>
          <w:szCs w:val="14"/>
          <w:color w:val="auto"/>
        </w:rPr>
        <w:t>If to the Company, to:</w:t>
      </w:r>
    </w:p>
    <w:p>
      <w:pPr>
        <w:spacing w:after="0" w:line="244" w:lineRule="exact"/>
        <w:rPr>
          <w:sz w:val="20"/>
          <w:szCs w:val="20"/>
          <w:color w:val="auto"/>
        </w:rPr>
      </w:pPr>
    </w:p>
    <w:p>
      <w:pPr>
        <w:ind w:left="840" w:right="1580"/>
        <w:spacing w:after="0" w:line="305" w:lineRule="auto"/>
        <w:rPr>
          <w:sz w:val="20"/>
          <w:szCs w:val="20"/>
          <w:color w:val="auto"/>
        </w:rPr>
      </w:pPr>
      <w:r>
        <w:rPr>
          <w:rFonts w:ascii="Arial" w:cs="Arial" w:eastAsia="Arial" w:hAnsi="Arial"/>
          <w:sz w:val="14"/>
          <w:szCs w:val="14"/>
          <w:color w:val="auto"/>
        </w:rPr>
        <w:t>41 S Rio Grande Street, Salt Lake City, UT 84101 Attention: Chief Legal Officer</w:t>
      </w:r>
    </w:p>
    <w:p>
      <w:pPr>
        <w:spacing w:after="0" w:line="158" w:lineRule="exact"/>
        <w:rPr>
          <w:sz w:val="20"/>
          <w:szCs w:val="20"/>
          <w:color w:val="auto"/>
        </w:rPr>
      </w:pPr>
    </w:p>
    <w:p>
      <w:pPr>
        <w:jc w:val="both"/>
        <w:ind w:left="840"/>
        <w:spacing w:after="0" w:line="283" w:lineRule="auto"/>
        <w:rPr>
          <w:sz w:val="20"/>
          <w:szCs w:val="20"/>
          <w:color w:val="auto"/>
        </w:rPr>
      </w:pPr>
      <w:r>
        <w:rPr>
          <w:rFonts w:ascii="Arial" w:cs="Arial" w:eastAsia="Arial" w:hAnsi="Arial"/>
          <w:sz w:val="14"/>
          <w:szCs w:val="14"/>
          <w:color w:val="auto"/>
        </w:rPr>
        <w:t>If to Advisor, to the address for notice on the signature page to this Agreement or, if no such address is provided, to the last address of Advisor provided by Advisor to the Company.</w:t>
      </w:r>
    </w:p>
    <w:p>
      <w:pPr>
        <w:spacing w:after="0" w:line="146" w:lineRule="exact"/>
        <w:rPr>
          <w:sz w:val="20"/>
          <w:szCs w:val="20"/>
          <w:color w:val="auto"/>
        </w:rPr>
      </w:pPr>
    </w:p>
    <w:p>
      <w:pPr>
        <w:jc w:val="both"/>
        <w:ind w:left="200" w:firstLine="1292"/>
        <w:spacing w:after="0" w:line="231" w:lineRule="auto"/>
        <w:tabs>
          <w:tab w:leader="none" w:pos="2139" w:val="left"/>
        </w:tabs>
        <w:numPr>
          <w:ilvl w:val="0"/>
          <w:numId w:val="132"/>
        </w:numPr>
        <w:rPr>
          <w:rFonts w:ascii="Arial" w:cs="Arial" w:eastAsia="Arial" w:hAnsi="Arial"/>
          <w:sz w:val="14"/>
          <w:szCs w:val="14"/>
          <w:color w:val="auto"/>
        </w:rPr>
      </w:pPr>
      <w:r>
        <w:rPr>
          <w:rFonts w:ascii="Arial" w:cs="Arial" w:eastAsia="Arial" w:hAnsi="Arial"/>
          <w:sz w:val="14"/>
          <w:szCs w:val="14"/>
          <w:b w:val="1"/>
          <w:bCs w:val="1"/>
          <w:i w:val="1"/>
          <w:iCs w:val="1"/>
          <w:color w:val="auto"/>
        </w:rPr>
        <w:t>Attorneys’ Fees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any court action at law or equity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that is brought by one of the Parties to this Agreement to enforce or interpret the provisions of this Agreement, the prevailing Party will be entitled to reasonable attorneys’ fees, in addition to any other relief to which that Party may be entitled.</w:t>
      </w:r>
    </w:p>
    <w:p>
      <w:pPr>
        <w:spacing w:after="0" w:line="176" w:lineRule="exact"/>
        <w:rPr>
          <w:rFonts w:ascii="Arial" w:cs="Arial" w:eastAsia="Arial" w:hAnsi="Arial"/>
          <w:sz w:val="14"/>
          <w:szCs w:val="14"/>
          <w:color w:val="auto"/>
        </w:rPr>
      </w:pPr>
    </w:p>
    <w:p>
      <w:pPr>
        <w:jc w:val="both"/>
        <w:ind w:left="200" w:firstLine="1292"/>
        <w:spacing w:after="0" w:line="235" w:lineRule="auto"/>
        <w:tabs>
          <w:tab w:leader="none" w:pos="2143" w:val="left"/>
        </w:tabs>
        <w:numPr>
          <w:ilvl w:val="0"/>
          <w:numId w:val="13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Signatures. </w:t>
      </w:r>
      <w:r>
        <w:rPr>
          <w:rFonts w:ascii="Arial" w:cs="Arial" w:eastAsia="Arial" w:hAnsi="Arial"/>
          <w:sz w:val="14"/>
          <w:szCs w:val="14"/>
          <w:color w:val="auto"/>
        </w:rPr>
        <w:t>This Agreement may be signed in two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counterparts, each of which shall be deemed an original, with the same force and effectiveness as though executed in a single document.</w:t>
      </w:r>
    </w:p>
    <w:p>
      <w:pPr>
        <w:spacing w:after="0" w:line="175" w:lineRule="exact"/>
        <w:rPr>
          <w:rFonts w:ascii="Arial" w:cs="Arial" w:eastAsia="Arial" w:hAnsi="Arial"/>
          <w:sz w:val="14"/>
          <w:szCs w:val="14"/>
          <w:color w:val="auto"/>
        </w:rPr>
      </w:pPr>
    </w:p>
    <w:p>
      <w:pPr>
        <w:jc w:val="both"/>
        <w:ind w:left="200" w:firstLine="1292"/>
        <w:spacing w:after="0" w:line="234" w:lineRule="auto"/>
        <w:tabs>
          <w:tab w:leader="none" w:pos="2134" w:val="left"/>
        </w:tabs>
        <w:numPr>
          <w:ilvl w:val="0"/>
          <w:numId w:val="13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Protected Activity Not Prohibited. </w:t>
      </w:r>
      <w:r>
        <w:rPr>
          <w:rFonts w:ascii="Arial" w:cs="Arial" w:eastAsia="Arial" w:hAnsi="Arial"/>
          <w:sz w:val="14"/>
          <w:szCs w:val="14"/>
          <w:color w:val="auto"/>
        </w:rPr>
        <w:t>Advisor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understands that nothing in this Agreement shall in any way limit or prohibit Advisor from engaging in any Protected Activity. For purposes of this Agreement, “</w:t>
      </w:r>
      <w:r>
        <w:rPr>
          <w:rFonts w:ascii="Arial" w:cs="Arial" w:eastAsia="Arial" w:hAnsi="Arial"/>
          <w:sz w:val="14"/>
          <w:szCs w:val="14"/>
          <w:b w:val="1"/>
          <w:bCs w:val="1"/>
          <w:i w:val="1"/>
          <w:iCs w:val="1"/>
          <w:color w:val="auto"/>
        </w:rPr>
        <w:t>Protected</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Activity</w:t>
      </w:r>
      <w:r>
        <w:rPr>
          <w:rFonts w:ascii="Arial" w:cs="Arial" w:eastAsia="Arial" w:hAnsi="Arial"/>
          <w:sz w:val="14"/>
          <w:szCs w:val="14"/>
          <w:color w:val="auto"/>
        </w:rPr>
        <w:t>” shall mean filing and/or pursuing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ectPr>
          <w:pgSz w:w="11900" w:h="16838" w:orient="portrait"/>
          <w:cols w:equalWidth="0" w:num="2">
            <w:col w:w="4744" w:space="140"/>
            <w:col w:w="5580"/>
          </w:cols>
          <w:pgMar w:left="976" w:top="1440" w:right="459" w:bottom="1440" w:gutter="0" w:footer="0" w:header="0"/>
        </w:sectPr>
      </w:pPr>
    </w:p>
    <w:bookmarkStart w:id="221" w:name="page222"/>
    <w:bookmarkEnd w:id="221"/>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a charge, complaint, or report with, or otherwise communicating, cooperating, or</w:t>
      </w:r>
    </w:p>
    <w:p>
      <w:pPr>
        <w:spacing w:after="0" w:line="2" w:lineRule="exact"/>
        <w:rPr>
          <w:sz w:val="20"/>
          <w:szCs w:val="20"/>
          <w:color w:val="auto"/>
        </w:rPr>
      </w:pPr>
    </w:p>
    <w:p>
      <w:pPr>
        <w:ind w:right="4759"/>
        <w:spacing w:after="0" w:line="211" w:lineRule="auto"/>
        <w:rPr>
          <w:sz w:val="20"/>
          <w:szCs w:val="20"/>
          <w:color w:val="auto"/>
        </w:rPr>
      </w:pPr>
      <w:r>
        <w:rPr>
          <w:rFonts w:ascii="Arial" w:cs="Arial" w:eastAsia="Arial" w:hAnsi="Arial"/>
          <w:sz w:val="14"/>
          <w:szCs w:val="14"/>
          <w:color w:val="auto"/>
        </w:rPr>
        <w:t>participating in any investigation or proceeding that may be conducted by, any federal, state or local government agency or commission, including the Securities</w:t>
      </w:r>
    </w:p>
    <w:p>
      <w:pPr>
        <w:spacing w:after="0" w:line="222" w:lineRule="auto"/>
        <w:rPr>
          <w:sz w:val="20"/>
          <w:szCs w:val="20"/>
          <w:color w:val="auto"/>
        </w:rPr>
      </w:pPr>
      <w:r>
        <w:rPr>
          <w:rFonts w:ascii="Arial" w:cs="Arial" w:eastAsia="Arial" w:hAnsi="Arial"/>
          <w:sz w:val="14"/>
          <w:szCs w:val="14"/>
          <w:color w:val="auto"/>
        </w:rPr>
        <w:t>and Exchange Commission (“</w:t>
      </w:r>
      <w:r>
        <w:rPr>
          <w:rFonts w:ascii="Arial" w:cs="Arial" w:eastAsia="Arial" w:hAnsi="Arial"/>
          <w:sz w:val="14"/>
          <w:szCs w:val="14"/>
          <w:b w:val="1"/>
          <w:bCs w:val="1"/>
          <w:i w:val="1"/>
          <w:iCs w:val="1"/>
          <w:color w:val="auto"/>
        </w:rPr>
        <w:t>Government Agencies</w:t>
      </w:r>
      <w:r>
        <w:rPr>
          <w:rFonts w:ascii="Arial" w:cs="Arial" w:eastAsia="Arial" w:hAnsi="Arial"/>
          <w:sz w:val="14"/>
          <w:szCs w:val="14"/>
          <w:color w:val="auto"/>
        </w:rPr>
        <w:t>”). Advisor understands that in</w:t>
      </w:r>
    </w:p>
    <w:p>
      <w:pPr>
        <w:ind w:right="4739"/>
        <w:spacing w:after="0" w:line="211" w:lineRule="auto"/>
        <w:rPr>
          <w:sz w:val="20"/>
          <w:szCs w:val="20"/>
          <w:color w:val="auto"/>
        </w:rPr>
      </w:pPr>
      <w:r>
        <w:rPr>
          <w:rFonts w:ascii="Arial" w:cs="Arial" w:eastAsia="Arial" w:hAnsi="Arial"/>
          <w:sz w:val="14"/>
          <w:szCs w:val="14"/>
          <w:color w:val="auto"/>
        </w:rPr>
        <w:t>connection with such Protected Activity, Advisor is permitted to disclose documents or other information as permitted by law, and without giving notice to, or receiving</w:t>
      </w:r>
    </w:p>
    <w:p>
      <w:pPr>
        <w:spacing w:after="0" w:line="222" w:lineRule="auto"/>
        <w:rPr>
          <w:sz w:val="20"/>
          <w:szCs w:val="20"/>
          <w:color w:val="auto"/>
        </w:rPr>
      </w:pPr>
      <w:r>
        <w:rPr>
          <w:rFonts w:ascii="Arial" w:cs="Arial" w:eastAsia="Arial" w:hAnsi="Arial"/>
          <w:sz w:val="14"/>
          <w:szCs w:val="14"/>
          <w:color w:val="auto"/>
        </w:rPr>
        <w:t>authorization from, the Company. Notwithstanding the foregoing, Advisor agrees to</w:t>
      </w:r>
    </w:p>
    <w:p>
      <w:pPr>
        <w:ind w:right="4739"/>
        <w:spacing w:after="0" w:line="211" w:lineRule="auto"/>
        <w:rPr>
          <w:sz w:val="20"/>
          <w:szCs w:val="20"/>
          <w:color w:val="auto"/>
        </w:rPr>
      </w:pPr>
      <w:r>
        <w:rPr>
          <w:rFonts w:ascii="Arial" w:cs="Arial" w:eastAsia="Arial" w:hAnsi="Arial"/>
          <w:sz w:val="14"/>
          <w:szCs w:val="14"/>
          <w:color w:val="auto"/>
        </w:rPr>
        <w:t>take all reasonable precautions to prevent any unauthorized use or disclosure of any information that may constitute Company confidential information to any parties</w:t>
      </w:r>
    </w:p>
    <w:p>
      <w:pPr>
        <w:spacing w:after="0" w:line="222" w:lineRule="auto"/>
        <w:rPr>
          <w:sz w:val="20"/>
          <w:szCs w:val="20"/>
          <w:color w:val="auto"/>
        </w:rPr>
      </w:pPr>
      <w:r>
        <w:rPr>
          <w:rFonts w:ascii="Arial" w:cs="Arial" w:eastAsia="Arial" w:hAnsi="Arial"/>
          <w:sz w:val="14"/>
          <w:szCs w:val="14"/>
          <w:color w:val="auto"/>
        </w:rPr>
        <w:t>other than the Government Agencies. Advisor further understands that “</w:t>
      </w:r>
      <w:r>
        <w:rPr>
          <w:rFonts w:ascii="Arial" w:cs="Arial" w:eastAsia="Arial" w:hAnsi="Arial"/>
          <w:sz w:val="14"/>
          <w:szCs w:val="14"/>
          <w:b w:val="1"/>
          <w:bCs w:val="1"/>
          <w:i w:val="1"/>
          <w:iCs w:val="1"/>
          <w:color w:val="auto"/>
        </w:rPr>
        <w:t>Protected</w:t>
      </w:r>
    </w:p>
    <w:p>
      <w:pPr>
        <w:ind w:right="4739"/>
        <w:spacing w:after="0" w:line="211" w:lineRule="auto"/>
        <w:rPr>
          <w:sz w:val="20"/>
          <w:szCs w:val="20"/>
          <w:color w:val="auto"/>
        </w:rPr>
      </w:pPr>
      <w:r>
        <w:rPr>
          <w:rFonts w:ascii="Arial" w:cs="Arial" w:eastAsia="Arial" w:hAnsi="Arial"/>
          <w:sz w:val="14"/>
          <w:szCs w:val="14"/>
          <w:b w:val="1"/>
          <w:bCs w:val="1"/>
          <w:i w:val="1"/>
          <w:iCs w:val="1"/>
          <w:color w:val="auto"/>
        </w:rPr>
        <w:t>Activity</w:t>
      </w:r>
      <w:r>
        <w:rPr>
          <w:rFonts w:ascii="Arial" w:cs="Arial" w:eastAsia="Arial" w:hAnsi="Arial"/>
          <w:sz w:val="14"/>
          <w:szCs w:val="14"/>
          <w:color w:val="auto"/>
        </w:rPr>
        <w:t>” does not include the disclosure of any Company attorney-client privileged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communications or privileged attorney work product. Pursuant to the Defend Trade</w:t>
      </w:r>
    </w:p>
    <w:p>
      <w:pPr>
        <w:spacing w:after="0" w:line="222" w:lineRule="auto"/>
        <w:rPr>
          <w:sz w:val="20"/>
          <w:szCs w:val="20"/>
          <w:color w:val="auto"/>
        </w:rPr>
      </w:pPr>
      <w:r>
        <w:rPr>
          <w:rFonts w:ascii="Arial" w:cs="Arial" w:eastAsia="Arial" w:hAnsi="Arial"/>
          <w:sz w:val="14"/>
          <w:szCs w:val="14"/>
          <w:color w:val="auto"/>
        </w:rPr>
        <w:t>Secrets Act of 2016, Advisor is notified that an individual will not be held criminally or</w:t>
      </w:r>
    </w:p>
    <w:p>
      <w:pPr>
        <w:ind w:right="4739"/>
        <w:spacing w:after="0" w:line="211" w:lineRule="auto"/>
        <w:rPr>
          <w:sz w:val="20"/>
          <w:szCs w:val="20"/>
          <w:color w:val="auto"/>
        </w:rPr>
      </w:pPr>
      <w:r>
        <w:rPr>
          <w:rFonts w:ascii="Arial" w:cs="Arial" w:eastAsia="Arial" w:hAnsi="Arial"/>
          <w:sz w:val="14"/>
          <w:szCs w:val="14"/>
          <w:color w:val="auto"/>
        </w:rPr>
        <w:t>civilly liable under any federal or state trade secret law for the disclosure of a trade secret that (i) is made in confidence to a federal, state, or local government official</w:t>
      </w:r>
    </w:p>
    <w:p>
      <w:pPr>
        <w:spacing w:after="0" w:line="222" w:lineRule="auto"/>
        <w:rPr>
          <w:sz w:val="20"/>
          <w:szCs w:val="20"/>
          <w:color w:val="auto"/>
        </w:rPr>
      </w:pPr>
      <w:r>
        <w:rPr>
          <w:rFonts w:ascii="Arial" w:cs="Arial" w:eastAsia="Arial" w:hAnsi="Arial"/>
          <w:sz w:val="14"/>
          <w:szCs w:val="14"/>
          <w:color w:val="auto"/>
        </w:rPr>
        <w:t xml:space="preserve">(directly or indirectly) or to an attorney </w:t>
      </w:r>
      <w:r>
        <w:rPr>
          <w:rFonts w:ascii="Arial" w:cs="Arial" w:eastAsia="Arial" w:hAnsi="Arial"/>
          <w:sz w:val="14"/>
          <w:szCs w:val="14"/>
          <w:i w:val="1"/>
          <w:iCs w:val="1"/>
          <w:color w:val="auto"/>
        </w:rPr>
        <w:t>solely</w:t>
      </w:r>
      <w:r>
        <w:rPr>
          <w:rFonts w:ascii="Arial" w:cs="Arial" w:eastAsia="Arial" w:hAnsi="Arial"/>
          <w:sz w:val="14"/>
          <w:szCs w:val="14"/>
          <w:color w:val="auto"/>
        </w:rPr>
        <w:t xml:space="preserve"> for the purpose of reporting or</w:t>
      </w:r>
    </w:p>
    <w:p>
      <w:pPr>
        <w:ind w:right="4739"/>
        <w:spacing w:after="0" w:line="211" w:lineRule="auto"/>
        <w:rPr>
          <w:sz w:val="20"/>
          <w:szCs w:val="20"/>
          <w:color w:val="auto"/>
        </w:rPr>
      </w:pPr>
      <w:r>
        <w:rPr>
          <w:rFonts w:ascii="Arial" w:cs="Arial" w:eastAsia="Arial" w:hAnsi="Arial"/>
          <w:sz w:val="14"/>
          <w:szCs w:val="14"/>
          <w:color w:val="auto"/>
        </w:rPr>
        <w:t>investigating a suspected violation of law, or (ii) is made in a complaint or other document filed in a lawsuit or other proceeding, if (and only if) such filing is made</w:t>
      </w:r>
    </w:p>
    <w:p>
      <w:pPr>
        <w:ind w:right="4739"/>
        <w:spacing w:after="0" w:line="211" w:lineRule="auto"/>
        <w:rPr>
          <w:sz w:val="20"/>
          <w:szCs w:val="20"/>
          <w:color w:val="auto"/>
        </w:rPr>
      </w:pPr>
      <w:r>
        <w:rPr>
          <w:rFonts w:ascii="Arial" w:cs="Arial" w:eastAsia="Arial" w:hAnsi="Arial"/>
          <w:sz w:val="14"/>
          <w:szCs w:val="14"/>
          <w:color w:val="auto"/>
        </w:rPr>
        <w:t>under seal. In addition, an individual who files a lawsuit for retaliation by an employer for reporting a suspected violation of law may disclose the trade secret to the</w:t>
      </w:r>
    </w:p>
    <w:p>
      <w:pPr>
        <w:spacing w:after="0" w:line="222" w:lineRule="auto"/>
        <w:rPr>
          <w:sz w:val="20"/>
          <w:szCs w:val="20"/>
          <w:color w:val="auto"/>
        </w:rPr>
      </w:pPr>
      <w:r>
        <w:rPr>
          <w:rFonts w:ascii="Arial" w:cs="Arial" w:eastAsia="Arial" w:hAnsi="Arial"/>
          <w:sz w:val="14"/>
          <w:szCs w:val="14"/>
          <w:color w:val="auto"/>
        </w:rPr>
        <w:t>individual’s attorney and use the trade secret information in the court proceeding, if</w:t>
      </w:r>
    </w:p>
    <w:p>
      <w:pPr>
        <w:ind w:right="4739"/>
        <w:spacing w:after="0" w:line="211" w:lineRule="auto"/>
        <w:rPr>
          <w:sz w:val="20"/>
          <w:szCs w:val="20"/>
          <w:color w:val="auto"/>
        </w:rPr>
      </w:pPr>
      <w:r>
        <w:rPr>
          <w:rFonts w:ascii="Arial" w:cs="Arial" w:eastAsia="Arial" w:hAnsi="Arial"/>
          <w:sz w:val="14"/>
          <w:szCs w:val="14"/>
          <w:color w:val="auto"/>
        </w:rPr>
        <w:t>the individual files any document containing the trade secret under seal and does not disclose the trade secret, except pursuant to court order. Advisor understands</w:t>
      </w:r>
    </w:p>
    <w:p>
      <w:pPr>
        <w:spacing w:after="0" w:line="222" w:lineRule="auto"/>
        <w:rPr>
          <w:sz w:val="20"/>
          <w:szCs w:val="20"/>
          <w:color w:val="auto"/>
        </w:rPr>
      </w:pPr>
      <w:r>
        <w:rPr>
          <w:rFonts w:ascii="Arial" w:cs="Arial" w:eastAsia="Arial" w:hAnsi="Arial"/>
          <w:sz w:val="14"/>
          <w:szCs w:val="14"/>
          <w:color w:val="auto"/>
        </w:rPr>
        <w:t>that nothing in this Agreement, including its definition of Confidential Information,</w:t>
      </w:r>
    </w:p>
    <w:p>
      <w:pPr>
        <w:ind w:right="4739"/>
        <w:spacing w:after="0" w:line="211" w:lineRule="auto"/>
        <w:rPr>
          <w:sz w:val="20"/>
          <w:szCs w:val="20"/>
          <w:color w:val="auto"/>
        </w:rPr>
      </w:pPr>
      <w:r>
        <w:rPr>
          <w:rFonts w:ascii="Arial" w:cs="Arial" w:eastAsia="Arial" w:hAnsi="Arial"/>
          <w:sz w:val="14"/>
          <w:szCs w:val="14"/>
          <w:color w:val="auto"/>
        </w:rPr>
        <w:t>limits Advisor’s rights to discuss or disclose Advisor’s compensation or the terms or conditions of Advisor’s service relationship with the Company, to the extent</w:t>
      </w:r>
    </w:p>
    <w:p>
      <w:pPr>
        <w:spacing w:after="0" w:line="222" w:lineRule="auto"/>
        <w:rPr>
          <w:sz w:val="20"/>
          <w:szCs w:val="20"/>
          <w:color w:val="auto"/>
        </w:rPr>
      </w:pPr>
      <w:r>
        <w:rPr>
          <w:rFonts w:ascii="Arial" w:cs="Arial" w:eastAsia="Arial" w:hAnsi="Arial"/>
          <w:sz w:val="14"/>
          <w:szCs w:val="14"/>
          <w:color w:val="auto"/>
        </w:rPr>
        <w:t>protected by applicable law, or otherwise impairs Advisor from assisting other</w:t>
      </w:r>
    </w:p>
    <w:p>
      <w:pPr>
        <w:ind w:right="4739"/>
        <w:spacing w:after="0" w:line="231" w:lineRule="auto"/>
        <w:rPr>
          <w:sz w:val="20"/>
          <w:szCs w:val="20"/>
          <w:color w:val="auto"/>
        </w:rPr>
      </w:pPr>
      <w:r>
        <w:rPr>
          <w:rFonts w:ascii="Arial" w:cs="Arial" w:eastAsia="Arial" w:hAnsi="Arial"/>
          <w:sz w:val="14"/>
          <w:szCs w:val="14"/>
          <w:color w:val="auto"/>
        </w:rPr>
        <w:t>Company current or former service providers in the exercise of their rights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4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39"/>
          </w:cols>
          <w:pgMar w:left="320" w:top="1440" w:right="1440"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196"/>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ADVISOR</w:t>
            </w:r>
          </w:p>
        </w:tc>
        <w:tc>
          <w:tcPr>
            <w:tcW w:w="4880" w:type="dxa"/>
            <w:vAlign w:val="bottom"/>
            <w:gridSpan w:val="10"/>
          </w:tcPr>
          <w:p>
            <w:pPr>
              <w:ind w:left="160"/>
              <w:spacing w:after="0"/>
              <w:rPr>
                <w:sz w:val="20"/>
                <w:szCs w:val="20"/>
                <w:color w:val="auto"/>
              </w:rPr>
            </w:pPr>
            <w:r>
              <w:rPr>
                <w:rFonts w:ascii="Arial" w:cs="Arial" w:eastAsia="Arial" w:hAnsi="Arial"/>
                <w:sz w:val="14"/>
                <w:szCs w:val="14"/>
                <w:b w:val="1"/>
                <w:bCs w:val="1"/>
                <w:color w:val="auto"/>
              </w:rPr>
              <w:t>RECURSION PHARMACEUTICALS, INC.</w:t>
            </w:r>
          </w:p>
        </w:tc>
      </w:tr>
      <w:tr>
        <w:trPr>
          <w:trHeight w:val="353"/>
        </w:trPr>
        <w:tc>
          <w:tcPr>
            <w:tcW w:w="380" w:type="dxa"/>
            <w:vAlign w:val="bottom"/>
          </w:tcPr>
          <w:p>
            <w:pPr>
              <w:spacing w:after="0"/>
              <w:rPr>
                <w:sz w:val="20"/>
                <w:szCs w:val="20"/>
                <w:color w:val="auto"/>
              </w:rPr>
            </w:pPr>
            <w:r>
              <w:rPr>
                <w:rFonts w:ascii="Arial" w:cs="Arial" w:eastAsia="Arial" w:hAnsi="Arial"/>
                <w:sz w:val="14"/>
                <w:szCs w:val="14"/>
                <w:color w:val="auto"/>
              </w:rPr>
              <w:t>By:</w:t>
            </w:r>
          </w:p>
        </w:tc>
        <w:tc>
          <w:tcPr>
            <w:tcW w:w="1580" w:type="dxa"/>
            <w:vAlign w:val="bottom"/>
            <w:gridSpan w:val="4"/>
          </w:tcPr>
          <w:p>
            <w:pPr>
              <w:jc w:val="center"/>
              <w:ind w:right="160"/>
              <w:spacing w:after="0"/>
              <w:rPr>
                <w:sz w:val="20"/>
                <w:szCs w:val="20"/>
                <w:color w:val="auto"/>
              </w:rPr>
            </w:pPr>
            <w:r>
              <w:rPr>
                <w:rFonts w:ascii="Arial" w:cs="Arial" w:eastAsia="Arial" w:hAnsi="Arial"/>
                <w:sz w:val="14"/>
                <w:szCs w:val="14"/>
                <w:color w:val="auto"/>
              </w:rPr>
              <w:t>/s/ Christopher Gibson</w:t>
            </w:r>
          </w:p>
        </w:tc>
        <w:tc>
          <w:tcPr>
            <w:tcW w:w="3740" w:type="dxa"/>
            <w:vAlign w:val="bottom"/>
            <w:gridSpan w:val="8"/>
          </w:tcPr>
          <w:p>
            <w:pPr>
              <w:ind w:left="160"/>
              <w:spacing w:after="0"/>
              <w:rPr>
                <w:sz w:val="20"/>
                <w:szCs w:val="20"/>
                <w:color w:val="auto"/>
              </w:rPr>
            </w:pPr>
            <w:r>
              <w:rPr>
                <w:rFonts w:ascii="Arial" w:cs="Arial" w:eastAsia="Arial" w:hAnsi="Arial"/>
                <w:sz w:val="14"/>
                <w:szCs w:val="14"/>
                <w:color w:val="auto"/>
              </w:rPr>
              <w:t>By: /s/ Najat Khan</w:t>
            </w:r>
          </w:p>
        </w:tc>
      </w:tr>
      <w:tr>
        <w:trPr>
          <w:trHeight w:val="20"/>
        </w:trPr>
        <w:tc>
          <w:tcPr>
            <w:tcW w:w="3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64"/>
        </w:trPr>
        <w:tc>
          <w:tcPr>
            <w:tcW w:w="1960" w:type="dxa"/>
            <w:vAlign w:val="bottom"/>
            <w:gridSpan w:val="5"/>
          </w:tcPr>
          <w:p>
            <w:pPr>
              <w:spacing w:after="0"/>
              <w:rPr>
                <w:sz w:val="20"/>
                <w:szCs w:val="20"/>
                <w:color w:val="auto"/>
              </w:rPr>
            </w:pPr>
            <w:r>
              <w:rPr>
                <w:rFonts w:ascii="Arial" w:cs="Arial" w:eastAsia="Arial" w:hAnsi="Arial"/>
                <w:sz w:val="14"/>
                <w:szCs w:val="14"/>
                <w:color w:val="auto"/>
              </w:rPr>
              <w:t>Name: Christopher Gibson</w:t>
            </w:r>
          </w:p>
        </w:tc>
        <w:tc>
          <w:tcPr>
            <w:tcW w:w="3740" w:type="dxa"/>
            <w:vAlign w:val="bottom"/>
            <w:gridSpan w:val="8"/>
          </w:tcPr>
          <w:p>
            <w:pPr>
              <w:ind w:left="80"/>
              <w:spacing w:after="0"/>
              <w:rPr>
                <w:sz w:val="20"/>
                <w:szCs w:val="20"/>
                <w:color w:val="auto"/>
              </w:rPr>
            </w:pPr>
            <w:r>
              <w:rPr>
                <w:rFonts w:ascii="Arial" w:cs="Arial" w:eastAsia="Arial" w:hAnsi="Arial"/>
                <w:sz w:val="14"/>
                <w:szCs w:val="14"/>
                <w:color w:val="auto"/>
              </w:rPr>
              <w:t>Name: Najat Khan</w:t>
            </w:r>
          </w:p>
        </w:tc>
      </w:tr>
      <w:tr>
        <w:trPr>
          <w:trHeight w:val="20"/>
        </w:trPr>
        <w:tc>
          <w:tcPr>
            <w:tcW w:w="3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960" w:type="dxa"/>
            <w:vAlign w:val="bottom"/>
            <w:gridSpan w:val="5"/>
          </w:tcPr>
          <w:p>
            <w:pPr>
              <w:spacing w:after="0"/>
              <w:rPr>
                <w:sz w:val="20"/>
                <w:szCs w:val="20"/>
                <w:color w:val="auto"/>
              </w:rPr>
            </w:pPr>
            <w:r>
              <w:rPr>
                <w:rFonts w:ascii="Arial" w:cs="Arial" w:eastAsia="Arial" w:hAnsi="Arial"/>
                <w:sz w:val="14"/>
                <w:szCs w:val="14"/>
                <w:color w:val="auto"/>
              </w:rPr>
              <w:t>Title: Chief Executive Officer</w:t>
            </w:r>
          </w:p>
        </w:tc>
        <w:tc>
          <w:tcPr>
            <w:tcW w:w="3740" w:type="dxa"/>
            <w:vAlign w:val="bottom"/>
            <w:gridSpan w:val="8"/>
          </w:tcPr>
          <w:p>
            <w:pPr>
              <w:ind w:left="180"/>
              <w:spacing w:after="0"/>
              <w:rPr>
                <w:sz w:val="20"/>
                <w:szCs w:val="20"/>
                <w:color w:val="auto"/>
              </w:rPr>
            </w:pPr>
            <w:r>
              <w:rPr>
                <w:rFonts w:ascii="Arial" w:cs="Arial" w:eastAsia="Arial" w:hAnsi="Arial"/>
                <w:sz w:val="14"/>
                <w:szCs w:val="14"/>
                <w:color w:val="auto"/>
              </w:rPr>
              <w:t>Title: Chief R&amp;D Officer and Chief Commercial Officer</w:t>
            </w:r>
          </w:p>
        </w:tc>
      </w:tr>
      <w:tr>
        <w:trPr>
          <w:trHeight w:val="20"/>
        </w:trPr>
        <w:tc>
          <w:tcPr>
            <w:tcW w:w="38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2"/>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r>
        <w:trPr>
          <w:trHeight w:val="614"/>
        </w:trPr>
        <w:tc>
          <w:tcPr>
            <w:tcW w:w="380" w:type="dxa"/>
            <w:vAlign w:val="bottom"/>
          </w:tcPr>
          <w:p>
            <w:pPr>
              <w:spacing w:after="0"/>
              <w:rPr>
                <w:sz w:val="20"/>
                <w:szCs w:val="20"/>
                <w:color w:val="auto"/>
              </w:rPr>
            </w:pPr>
            <w:r>
              <w:rPr>
                <w:rFonts w:ascii="Arial" w:cs="Arial" w:eastAsia="Arial" w:hAnsi="Arial"/>
                <w:sz w:val="14"/>
                <w:szCs w:val="14"/>
                <w:color w:val="auto"/>
              </w:rPr>
              <w:t>Date:</w:t>
            </w:r>
          </w:p>
        </w:tc>
        <w:tc>
          <w:tcPr>
            <w:tcW w:w="140" w:type="dxa"/>
            <w:vAlign w:val="bottom"/>
          </w:tcPr>
          <w:p>
            <w:pPr>
              <w:spacing w:after="0"/>
              <w:rPr>
                <w:sz w:val="24"/>
                <w:szCs w:val="24"/>
                <w:color w:val="auto"/>
              </w:rPr>
            </w:pPr>
          </w:p>
        </w:tc>
        <w:tc>
          <w:tcPr>
            <w:tcW w:w="1340" w:type="dxa"/>
            <w:vAlign w:val="bottom"/>
            <w:gridSpan w:val="2"/>
          </w:tcPr>
          <w:p>
            <w:pPr>
              <w:jc w:val="center"/>
              <w:ind w:right="88"/>
              <w:spacing w:after="0"/>
              <w:rPr>
                <w:sz w:val="20"/>
                <w:szCs w:val="20"/>
                <w:color w:val="auto"/>
              </w:rPr>
            </w:pPr>
            <w:r>
              <w:rPr>
                <w:rFonts w:ascii="Arial" w:cs="Arial" w:eastAsia="Arial" w:hAnsi="Arial"/>
                <w:sz w:val="14"/>
                <w:szCs w:val="14"/>
                <w:color w:val="auto"/>
              </w:rPr>
              <w:t>November 4, 2025</w:t>
            </w:r>
          </w:p>
        </w:tc>
        <w:tc>
          <w:tcPr>
            <w:tcW w:w="100" w:type="dxa"/>
            <w:vAlign w:val="bottom"/>
          </w:tcPr>
          <w:p>
            <w:pPr>
              <w:spacing w:after="0"/>
              <w:rPr>
                <w:sz w:val="24"/>
                <w:szCs w:val="24"/>
                <w:color w:val="auto"/>
              </w:rPr>
            </w:pPr>
          </w:p>
        </w:tc>
        <w:tc>
          <w:tcPr>
            <w:tcW w:w="3740" w:type="dxa"/>
            <w:vAlign w:val="bottom"/>
            <w:gridSpan w:val="8"/>
          </w:tcPr>
          <w:p>
            <w:pPr>
              <w:ind w:left="260"/>
              <w:spacing w:after="0"/>
              <w:rPr>
                <w:sz w:val="20"/>
                <w:szCs w:val="20"/>
                <w:color w:val="auto"/>
              </w:rPr>
            </w:pPr>
            <w:r>
              <w:rPr>
                <w:rFonts w:ascii="Arial" w:cs="Arial" w:eastAsia="Arial" w:hAnsi="Arial"/>
                <w:sz w:val="14"/>
                <w:szCs w:val="14"/>
                <w:color w:val="auto"/>
              </w:rPr>
              <w:t>Date: November 4, 2025</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Email Address for Notice:</w:t>
      </w:r>
    </w:p>
    <w:p>
      <w:pPr>
        <w:sectPr>
          <w:pgSz w:w="11900" w:h="16838" w:orient="portrait"/>
          <w:cols w:equalWidth="0" w:num="1">
            <w:col w:w="10139"/>
          </w:cols>
          <w:pgMar w:left="320" w:top="1426" w:right="1440" w:bottom="1440" w:gutter="0" w:footer="0" w:header="0"/>
        </w:sectPr>
      </w:pPr>
    </w:p>
    <w:bookmarkStart w:id="223" w:name="page224"/>
    <w:bookmarkEnd w:id="2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4" w:name="page225"/>
    <w:bookmarkEnd w:id="2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EXHIBIT 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SERVICES AND COMPENSATION</w:t>
      </w:r>
    </w:p>
    <w:p>
      <w:pPr>
        <w:spacing w:after="0" w:line="217" w:lineRule="exact"/>
        <w:rPr>
          <w:sz w:val="20"/>
          <w:szCs w:val="20"/>
          <w:color w:val="auto"/>
        </w:rPr>
      </w:pPr>
    </w:p>
    <w:p>
      <w:pPr>
        <w:ind w:left="1620" w:right="6960" w:hanging="964"/>
        <w:spacing w:after="0" w:line="563" w:lineRule="auto"/>
        <w:tabs>
          <w:tab w:leader="none" w:pos="1294" w:val="left"/>
        </w:tabs>
        <w:numPr>
          <w:ilvl w:val="0"/>
          <w:numId w:val="133"/>
        </w:numPr>
        <w:rPr>
          <w:rFonts w:ascii="Arial" w:cs="Arial" w:eastAsia="Arial" w:hAnsi="Arial"/>
          <w:sz w:val="14"/>
          <w:szCs w:val="14"/>
          <w:color w:val="auto"/>
        </w:rPr>
      </w:pPr>
      <w:r>
        <w:rPr>
          <w:rFonts w:ascii="Arial" w:cs="Arial" w:eastAsia="Arial" w:hAnsi="Arial"/>
          <w:sz w:val="14"/>
          <w:szCs w:val="14"/>
          <w:b w:val="1"/>
          <w:bCs w:val="1"/>
          <w:i w:val="1"/>
          <w:iCs w:val="1"/>
          <w:color w:val="auto"/>
        </w:rPr>
        <w:t>Contact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Advisor’s principal Company contact: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Name: Najat Khan</w:t>
      </w:r>
    </w:p>
    <w:p>
      <w:pPr>
        <w:ind w:left="1620"/>
        <w:spacing w:after="0"/>
        <w:rPr>
          <w:rFonts w:ascii="Arial" w:cs="Arial" w:eastAsia="Arial" w:hAnsi="Arial"/>
          <w:sz w:val="14"/>
          <w:szCs w:val="14"/>
          <w:color w:val="auto"/>
        </w:rPr>
      </w:pPr>
      <w:r>
        <w:rPr>
          <w:rFonts w:ascii="Arial" w:cs="Arial" w:eastAsia="Arial" w:hAnsi="Arial"/>
          <w:sz w:val="14"/>
          <w:szCs w:val="14"/>
          <w:color w:val="auto"/>
        </w:rPr>
        <w:t>Title: Chief Executive Officer</w:t>
      </w:r>
    </w:p>
    <w:p>
      <w:pPr>
        <w:spacing w:after="0" w:line="217" w:lineRule="exact"/>
        <w:rPr>
          <w:rFonts w:ascii="Arial" w:cs="Arial" w:eastAsia="Arial" w:hAnsi="Arial"/>
          <w:sz w:val="14"/>
          <w:szCs w:val="14"/>
          <w:color w:val="auto"/>
        </w:rPr>
      </w:pPr>
    </w:p>
    <w:p>
      <w:pPr>
        <w:ind w:left="1300" w:hanging="644"/>
        <w:spacing w:after="0"/>
        <w:tabs>
          <w:tab w:leader="none" w:pos="1300" w:val="left"/>
        </w:tabs>
        <w:numPr>
          <w:ilvl w:val="0"/>
          <w:numId w:val="133"/>
        </w:numPr>
        <w:rPr>
          <w:rFonts w:ascii="Arial" w:cs="Arial" w:eastAsia="Arial" w:hAnsi="Arial"/>
          <w:sz w:val="14"/>
          <w:szCs w:val="14"/>
          <w:color w:val="auto"/>
        </w:rPr>
      </w:pPr>
      <w:r>
        <w:rPr>
          <w:rFonts w:ascii="Arial" w:cs="Arial" w:eastAsia="Arial" w:hAnsi="Arial"/>
          <w:sz w:val="14"/>
          <w:szCs w:val="14"/>
          <w:b w:val="1"/>
          <w:bCs w:val="1"/>
          <w:i w:val="1"/>
          <w:iCs w:val="1"/>
          <w:color w:val="auto"/>
        </w:rPr>
        <w:t>Services</w:t>
      </w:r>
      <w:r>
        <w:rPr>
          <w:rFonts w:ascii="Arial" w:cs="Arial" w:eastAsia="Arial" w:hAnsi="Arial"/>
          <w:sz w:val="14"/>
          <w:szCs w:val="14"/>
          <w:color w:val="auto"/>
        </w:rPr>
        <w:t>. The Services will include, but will not be limited to, the following:</w:t>
      </w:r>
    </w:p>
    <w:p>
      <w:pPr>
        <w:spacing w:after="0" w:line="217" w:lineRule="exact"/>
        <w:rPr>
          <w:rFonts w:ascii="Arial" w:cs="Arial" w:eastAsia="Arial" w:hAnsi="Arial"/>
          <w:sz w:val="14"/>
          <w:szCs w:val="14"/>
          <w:color w:val="auto"/>
        </w:rPr>
      </w:pPr>
    </w:p>
    <w:p>
      <w:pPr>
        <w:ind w:left="1300" w:hanging="320"/>
        <w:spacing w:after="0" w:line="304" w:lineRule="auto"/>
        <w:tabs>
          <w:tab w:leader="none" w:pos="1300" w:val="left"/>
        </w:tabs>
        <w:numPr>
          <w:ilvl w:val="1"/>
          <w:numId w:val="133"/>
        </w:numPr>
        <w:rPr>
          <w:rFonts w:ascii="Times New Roman" w:cs="Times New Roman" w:eastAsia="Times New Roman" w:hAnsi="Times New Roman"/>
          <w:sz w:val="14"/>
          <w:szCs w:val="14"/>
          <w:color w:val="auto"/>
        </w:rPr>
      </w:pPr>
      <w:r>
        <w:rPr>
          <w:rFonts w:ascii="Arial" w:cs="Arial" w:eastAsia="Arial" w:hAnsi="Arial"/>
          <w:sz w:val="14"/>
          <w:szCs w:val="14"/>
          <w:color w:val="auto"/>
        </w:rPr>
        <w:t>Serving as trusted advisor and thought partner to the Company’s Chief Executive Officer on long-term vision and strategic priorities, including providing perspective, as requested by the Company’s Chief Executive Officer, on major strategic decisions of the Company;</w:t>
      </w:r>
    </w:p>
    <w:p>
      <w:pPr>
        <w:spacing w:after="0" w:line="158" w:lineRule="exact"/>
        <w:rPr>
          <w:rFonts w:ascii="Times New Roman" w:cs="Times New Roman" w:eastAsia="Times New Roman" w:hAnsi="Times New Roman"/>
          <w:sz w:val="14"/>
          <w:szCs w:val="14"/>
          <w:color w:val="auto"/>
        </w:rPr>
      </w:pPr>
    </w:p>
    <w:p>
      <w:pPr>
        <w:ind w:left="1300" w:hanging="320"/>
        <w:spacing w:after="0" w:line="324" w:lineRule="auto"/>
        <w:tabs>
          <w:tab w:leader="none" w:pos="1300" w:val="left"/>
        </w:tabs>
        <w:numPr>
          <w:ilvl w:val="1"/>
          <w:numId w:val="133"/>
        </w:numPr>
        <w:rPr>
          <w:rFonts w:ascii="Times New Roman" w:cs="Times New Roman" w:eastAsia="Times New Roman" w:hAnsi="Times New Roman"/>
          <w:sz w:val="14"/>
          <w:szCs w:val="14"/>
          <w:color w:val="auto"/>
        </w:rPr>
      </w:pPr>
      <w:r>
        <w:rPr>
          <w:rFonts w:ascii="Arial" w:cs="Arial" w:eastAsia="Arial" w:hAnsi="Arial"/>
          <w:sz w:val="14"/>
          <w:szCs w:val="14"/>
          <w:color w:val="auto"/>
        </w:rPr>
        <w:t>Participating in select initiatives identified by the Company’s Chief Executive Officer, such as strategic partnerships, business development opportunities, or technology collaborations;</w:t>
      </w:r>
    </w:p>
    <w:p>
      <w:pPr>
        <w:spacing w:after="0" w:line="144" w:lineRule="exact"/>
        <w:rPr>
          <w:rFonts w:ascii="Times New Roman" w:cs="Times New Roman" w:eastAsia="Times New Roman" w:hAnsi="Times New Roman"/>
          <w:sz w:val="14"/>
          <w:szCs w:val="14"/>
          <w:color w:val="auto"/>
        </w:rPr>
      </w:pPr>
    </w:p>
    <w:p>
      <w:pPr>
        <w:ind w:left="1300" w:hanging="320"/>
        <w:spacing w:after="0" w:line="304" w:lineRule="auto"/>
        <w:tabs>
          <w:tab w:leader="none" w:pos="1300" w:val="left"/>
        </w:tabs>
        <w:numPr>
          <w:ilvl w:val="1"/>
          <w:numId w:val="133"/>
        </w:numPr>
        <w:rPr>
          <w:rFonts w:ascii="Times New Roman" w:cs="Times New Roman" w:eastAsia="Times New Roman" w:hAnsi="Times New Roman"/>
          <w:sz w:val="14"/>
          <w:szCs w:val="14"/>
          <w:color w:val="auto"/>
        </w:rPr>
      </w:pPr>
      <w:r>
        <w:rPr>
          <w:rFonts w:ascii="Arial" w:cs="Arial" w:eastAsia="Arial" w:hAnsi="Arial"/>
          <w:sz w:val="14"/>
          <w:szCs w:val="14"/>
          <w:color w:val="auto"/>
        </w:rPr>
        <w:t>In coordination with the Company’s Chief Executive Officer, participating in internal or external events or thought leadership forums (e.g., company-wide TechBio Symposium) that serve to reinforce the Company’s longstanding scientific mission and culture of innovation; and</w:t>
      </w:r>
    </w:p>
    <w:p>
      <w:pPr>
        <w:spacing w:after="0" w:line="158" w:lineRule="exact"/>
        <w:rPr>
          <w:rFonts w:ascii="Times New Roman" w:cs="Times New Roman" w:eastAsia="Times New Roman" w:hAnsi="Times New Roman"/>
          <w:sz w:val="14"/>
          <w:szCs w:val="14"/>
          <w:color w:val="auto"/>
        </w:rPr>
      </w:pPr>
    </w:p>
    <w:p>
      <w:pPr>
        <w:ind w:left="1300" w:hanging="320"/>
        <w:spacing w:after="0"/>
        <w:tabs>
          <w:tab w:leader="none" w:pos="1300" w:val="left"/>
        </w:tabs>
        <w:numPr>
          <w:ilvl w:val="1"/>
          <w:numId w:val="133"/>
        </w:numPr>
        <w:rPr>
          <w:rFonts w:ascii="Times New Roman" w:cs="Times New Roman" w:eastAsia="Times New Roman" w:hAnsi="Times New Roman"/>
          <w:sz w:val="14"/>
          <w:szCs w:val="14"/>
          <w:color w:val="auto"/>
        </w:rPr>
      </w:pPr>
      <w:r>
        <w:rPr>
          <w:rFonts w:ascii="Arial" w:cs="Arial" w:eastAsia="Arial" w:hAnsi="Arial"/>
          <w:sz w:val="14"/>
          <w:szCs w:val="14"/>
          <w:color w:val="auto"/>
        </w:rPr>
        <w:t>Such other duties and responsibilities mutually agreed between the Company’s Chief Executive Officer and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1328420</wp:posOffset>
            </wp:positionH>
            <wp:positionV relativeFrom="paragraph">
              <wp:posOffset>-1819275</wp:posOffset>
            </wp:positionV>
            <wp:extent cx="5537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4">
                      <a:extLst>
                        <a:ext uri="{28A0092B-C50C-407E-A947-70E740481C1C}"/>
                      </a:extLst>
                    </a:blip>
                    <a:srcRect/>
                    <a:stretch>
                      <a:fillRect/>
                    </a:stretch>
                  </pic:blipFill>
                  <pic:spPr bwMode="auto">
                    <a:xfrm>
                      <a:off x="0" y="0"/>
                      <a:ext cx="553720" cy="8890"/>
                    </a:xfrm>
                    <a:prstGeom prst="rect">
                      <a:avLst/>
                    </a:prstGeom>
                    <a:noFill/>
                  </pic:spPr>
                </pic:pic>
              </a:graphicData>
            </a:graphic>
          </wp:anchor>
        </w:drawing>
        <w:drawing>
          <wp:anchor simplePos="0" relativeHeight="251657728" behindDoc="1" locked="0" layoutInCell="0" allowOverlap="1">
            <wp:simplePos x="0" y="0"/>
            <wp:positionH relativeFrom="column">
              <wp:posOffset>1253490</wp:posOffset>
            </wp:positionH>
            <wp:positionV relativeFrom="paragraph">
              <wp:posOffset>-1570355</wp:posOffset>
            </wp:positionV>
            <wp:extent cx="10287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12" w:lineRule="exact"/>
        <w:rPr>
          <w:sz w:val="20"/>
          <w:szCs w:val="20"/>
          <w:color w:val="auto"/>
        </w:rPr>
      </w:pPr>
    </w:p>
    <w:p>
      <w:pPr>
        <w:ind w:left="1300" w:hanging="644"/>
        <w:spacing w:after="0"/>
        <w:tabs>
          <w:tab w:leader="none" w:pos="1300" w:val="left"/>
        </w:tabs>
        <w:numPr>
          <w:ilvl w:val="0"/>
          <w:numId w:val="134"/>
        </w:numPr>
        <w:rPr>
          <w:rFonts w:ascii="Arial" w:cs="Arial" w:eastAsia="Arial" w:hAnsi="Arial"/>
          <w:sz w:val="14"/>
          <w:szCs w:val="14"/>
          <w:color w:val="auto"/>
        </w:rPr>
      </w:pPr>
      <w:r>
        <w:rPr>
          <w:rFonts w:ascii="Arial" w:cs="Arial" w:eastAsia="Arial" w:hAnsi="Arial"/>
          <w:sz w:val="14"/>
          <w:szCs w:val="14"/>
          <w:b w:val="1"/>
          <w:bCs w:val="1"/>
          <w:i w:val="1"/>
          <w:iCs w:val="1"/>
          <w:color w:val="auto"/>
        </w:rPr>
        <w:t>Compensation.</w:t>
      </w:r>
    </w:p>
    <w:p>
      <w:pPr>
        <w:spacing w:after="0" w:line="201" w:lineRule="exact"/>
        <w:rPr>
          <w:rFonts w:ascii="Arial" w:cs="Arial" w:eastAsia="Arial" w:hAnsi="Arial"/>
          <w:sz w:val="14"/>
          <w:szCs w:val="14"/>
          <w:color w:val="auto"/>
        </w:rPr>
      </w:pPr>
    </w:p>
    <w:p>
      <w:pPr>
        <w:jc w:val="both"/>
        <w:ind w:firstLine="1304"/>
        <w:spacing w:after="0" w:line="235" w:lineRule="auto"/>
        <w:tabs>
          <w:tab w:leader="none" w:pos="1931" w:val="left"/>
        </w:tabs>
        <w:numPr>
          <w:ilvl w:val="1"/>
          <w:numId w:val="134"/>
        </w:numPr>
        <w:rPr>
          <w:rFonts w:ascii="Arial" w:cs="Arial" w:eastAsia="Arial" w:hAnsi="Arial"/>
          <w:sz w:val="14"/>
          <w:szCs w:val="14"/>
          <w:color w:val="auto"/>
        </w:rPr>
      </w:pPr>
      <w:r>
        <w:rPr>
          <w:rFonts w:ascii="Arial" w:cs="Arial" w:eastAsia="Arial" w:hAnsi="Arial"/>
          <w:sz w:val="14"/>
          <w:szCs w:val="14"/>
          <w:color w:val="auto"/>
        </w:rPr>
        <w:t>Each equity award previously granted to Advisor by the Company that is outstanding immediately prior to the Effective Date (each, an “</w:t>
      </w:r>
      <w:r>
        <w:rPr>
          <w:rFonts w:ascii="Arial" w:cs="Arial" w:eastAsia="Arial" w:hAnsi="Arial"/>
          <w:sz w:val="14"/>
          <w:szCs w:val="14"/>
          <w:b w:val="1"/>
          <w:bCs w:val="1"/>
          <w:i w:val="1"/>
          <w:iCs w:val="1"/>
          <w:color w:val="auto"/>
        </w:rPr>
        <w:t>Equity</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Award</w:t>
      </w:r>
      <w:r>
        <w:rPr>
          <w:rFonts w:ascii="Arial" w:cs="Arial" w:eastAsia="Arial" w:hAnsi="Arial"/>
          <w:sz w:val="14"/>
          <w:szCs w:val="14"/>
          <w:color w:val="auto"/>
        </w:rPr>
        <w:t>”) shall continue to vest in accordance with the terms and conditions of the applicable equity plan under which such Equity Award was granted and the award agreement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between the Company and Advisor evidencing such Equity Award, subject to the Advisor’s providing service under this Agreement and/or on the Board.</w:t>
      </w:r>
    </w:p>
    <w:p>
      <w:pPr>
        <w:spacing w:after="0" w:line="175" w:lineRule="exact"/>
        <w:rPr>
          <w:rFonts w:ascii="Arial" w:cs="Arial" w:eastAsia="Arial" w:hAnsi="Arial"/>
          <w:sz w:val="14"/>
          <w:szCs w:val="14"/>
          <w:color w:val="auto"/>
        </w:rPr>
      </w:pPr>
    </w:p>
    <w:p>
      <w:pPr>
        <w:jc w:val="both"/>
        <w:ind w:firstLine="1304"/>
        <w:spacing w:after="0" w:line="219" w:lineRule="auto"/>
        <w:tabs>
          <w:tab w:leader="none" w:pos="1931" w:val="left"/>
        </w:tabs>
        <w:numPr>
          <w:ilvl w:val="1"/>
          <w:numId w:val="134"/>
        </w:numPr>
        <w:rPr>
          <w:rFonts w:ascii="Arial" w:cs="Arial" w:eastAsia="Arial" w:hAnsi="Arial"/>
          <w:sz w:val="14"/>
          <w:szCs w:val="14"/>
          <w:color w:val="auto"/>
        </w:rPr>
      </w:pPr>
      <w:r>
        <w:rPr>
          <w:rFonts w:ascii="Arial" w:cs="Arial" w:eastAsia="Arial" w:hAnsi="Arial"/>
          <w:sz w:val="14"/>
          <w:szCs w:val="14"/>
          <w:color w:val="auto"/>
        </w:rPr>
        <w:t>If Advisor elects continuation coverage under the Consolidated Omnibus Budget Reconciliation Act of 1985, as amended (“</w:t>
      </w:r>
      <w:r>
        <w:rPr>
          <w:rFonts w:ascii="Arial" w:cs="Arial" w:eastAsia="Arial" w:hAnsi="Arial"/>
          <w:sz w:val="14"/>
          <w:szCs w:val="14"/>
          <w:b w:val="1"/>
          <w:bCs w:val="1"/>
          <w:i w:val="1"/>
          <w:iCs w:val="1"/>
          <w:color w:val="auto"/>
        </w:rPr>
        <w:t>COBRA</w:t>
      </w:r>
      <w:r>
        <w:rPr>
          <w:rFonts w:ascii="Arial" w:cs="Arial" w:eastAsia="Arial" w:hAnsi="Arial"/>
          <w:sz w:val="14"/>
          <w:szCs w:val="14"/>
          <w:color w:val="auto"/>
        </w:rPr>
        <w:t>”), within the time period prescribed pursuant to COBRA for Advisor and Advisor’s eligible dependents, if applicable, the Company will pay, by remitting payment directly to the COBRA administrator, the premiums necessary to continue group health insurance benefits for Advisor and Advisor’s eligible dependents until the earlier of (i) the date the Company has paid an amount totaling twelve (12) months of COBRA Payments (as defined in this Section 3.B.) and (ii) the date upon which Advisor and/or Advisor’s eligible dependents cease(s) to be eligible for coverage under COBRA (such payments, the “</w:t>
      </w:r>
      <w:r>
        <w:rPr>
          <w:rFonts w:ascii="Arial" w:cs="Arial" w:eastAsia="Arial" w:hAnsi="Arial"/>
          <w:sz w:val="14"/>
          <w:szCs w:val="14"/>
          <w:b w:val="1"/>
          <w:bCs w:val="1"/>
          <w:i w:val="1"/>
          <w:iCs w:val="1"/>
          <w:color w:val="auto"/>
        </w:rPr>
        <w:t>COBRA Payments</w:t>
      </w:r>
      <w:r>
        <w:rPr>
          <w:rFonts w:ascii="Arial" w:cs="Arial" w:eastAsia="Arial" w:hAnsi="Arial"/>
          <w:sz w:val="14"/>
          <w:szCs w:val="14"/>
          <w:color w:val="auto"/>
        </w:rPr>
        <w:t>”). However, if the Company determines in its sole discretion that it cannot provide the COBRA Payments without potentially violating, or being subject to an excise tax under, applicable law (including, without limitation, Section 2716 of the Public Health Service Act), the Company will in lieu thereof provide to Advisor a taxable monthly payment, payable on the last day of a given month (except as provided by the last sentence of this Section 3.B.), in an amount equal to the monthly COBRA premium that Advisor would be required to pay to continue the group health coverage for Advisor and/or Advisor’s eligible dependents in effect on the date of the termination of Advisor’s employment with the Company (the “</w:t>
      </w:r>
      <w:r>
        <w:rPr>
          <w:rFonts w:ascii="Arial" w:cs="Arial" w:eastAsia="Arial" w:hAnsi="Arial"/>
          <w:sz w:val="14"/>
          <w:szCs w:val="14"/>
          <w:b w:val="1"/>
          <w:bCs w:val="1"/>
          <w:i w:val="1"/>
          <w:iCs w:val="1"/>
          <w:color w:val="auto"/>
        </w:rPr>
        <w:t>Separation Date</w:t>
      </w:r>
      <w:r>
        <w:rPr>
          <w:rFonts w:ascii="Arial" w:cs="Arial" w:eastAsia="Arial" w:hAnsi="Arial"/>
          <w:sz w:val="14"/>
          <w:szCs w:val="14"/>
          <w:color w:val="auto"/>
        </w:rPr>
        <w:t>”) (which amount will be based on the premium for the first month of COBRA continuation coverage and each, a “</w:t>
      </w:r>
      <w:r>
        <w:rPr>
          <w:rFonts w:ascii="Arial" w:cs="Arial" w:eastAsia="Arial" w:hAnsi="Arial"/>
          <w:sz w:val="14"/>
          <w:szCs w:val="14"/>
          <w:b w:val="1"/>
          <w:bCs w:val="1"/>
          <w:i w:val="1"/>
          <w:iCs w:val="1"/>
          <w:color w:val="auto"/>
        </w:rPr>
        <w:t>COBRA Replacement Payment</w:t>
      </w:r>
      <w:r>
        <w:rPr>
          <w:rFonts w:ascii="Arial" w:cs="Arial" w:eastAsia="Arial" w:hAnsi="Arial"/>
          <w:sz w:val="14"/>
          <w:szCs w:val="14"/>
          <w:color w:val="auto"/>
        </w:rPr>
        <w:t>”), which COBRA Replacement Payments will be made regardless of whether Advisor and/or Advisor’s eligible dependents elect COBRA continuation coverage and will commence on the month following the Advisor’s Separation Date and will end on the date the Company has paid an amount totaling twelve (12) months of COBRA Replacement Payments. For the avoidance of doubt, the COBRA Replacement Payments may be used for any purpose, including, but not limited to continuation coverage under COBRA, and will be subject to all applicable tax withholdings.</w:t>
      </w:r>
    </w:p>
    <w:p>
      <w:pPr>
        <w:spacing w:after="0" w:line="169" w:lineRule="exact"/>
        <w:rPr>
          <w:rFonts w:ascii="Arial" w:cs="Arial" w:eastAsia="Arial" w:hAnsi="Arial"/>
          <w:sz w:val="14"/>
          <w:szCs w:val="14"/>
          <w:color w:val="auto"/>
        </w:rPr>
      </w:pPr>
    </w:p>
    <w:p>
      <w:pPr>
        <w:ind w:firstLine="1304"/>
        <w:spacing w:after="0" w:line="264" w:lineRule="auto"/>
        <w:tabs>
          <w:tab w:leader="none" w:pos="1939" w:val="left"/>
        </w:tabs>
        <w:numPr>
          <w:ilvl w:val="1"/>
          <w:numId w:val="134"/>
        </w:numPr>
        <w:rPr>
          <w:rFonts w:ascii="Arial" w:cs="Arial" w:eastAsia="Arial" w:hAnsi="Arial"/>
          <w:sz w:val="14"/>
          <w:szCs w:val="14"/>
          <w:color w:val="auto"/>
        </w:rPr>
      </w:pPr>
      <w:r>
        <w:rPr>
          <w:rFonts w:ascii="Arial" w:cs="Arial" w:eastAsia="Arial" w:hAnsi="Arial"/>
          <w:sz w:val="14"/>
          <w:szCs w:val="14"/>
          <w:color w:val="auto"/>
        </w:rPr>
        <w:t>Advisor acknowledges and agrees that he is not entitled to receive any payments, compensation or benefits under the Company Executive Change in Control and Severance Plan or any other plan, arrangement or agreement providing for severance or termination benefits with the Company.</w:t>
      </w:r>
    </w:p>
    <w:p>
      <w:pPr>
        <w:spacing w:after="0" w:line="172" w:lineRule="exact"/>
        <w:rPr>
          <w:sz w:val="20"/>
          <w:szCs w:val="20"/>
          <w:color w:val="auto"/>
        </w:rPr>
      </w:pPr>
    </w:p>
    <w:p>
      <w:pPr>
        <w:ind w:left="660"/>
        <w:spacing w:after="0"/>
        <w:tabs>
          <w:tab w:leader="none" w:pos="4020" w:val="left"/>
        </w:tabs>
        <w:rPr>
          <w:sz w:val="20"/>
          <w:szCs w:val="20"/>
          <w:color w:val="auto"/>
        </w:rPr>
      </w:pPr>
      <w:r>
        <w:rPr>
          <w:rFonts w:ascii="Arial" w:cs="Arial" w:eastAsia="Arial" w:hAnsi="Arial"/>
          <w:sz w:val="14"/>
          <w:szCs w:val="14"/>
          <w:color w:val="auto"/>
        </w:rPr>
        <w:t xml:space="preserve">This </w:t>
      </w:r>
      <w:r>
        <w:rPr>
          <w:rFonts w:ascii="Arial" w:cs="Arial" w:eastAsia="Arial" w:hAnsi="Arial"/>
          <w:sz w:val="14"/>
          <w:szCs w:val="14"/>
          <w:b w:val="1"/>
          <w:bCs w:val="1"/>
          <w:color w:val="auto"/>
        </w:rPr>
        <w:t>Exhibit A</w:t>
      </w:r>
      <w:r>
        <w:rPr>
          <w:rFonts w:ascii="Arial" w:cs="Arial" w:eastAsia="Arial" w:hAnsi="Arial"/>
          <w:sz w:val="14"/>
          <w:szCs w:val="14"/>
          <w:color w:val="auto"/>
        </w:rPr>
        <w:t xml:space="preserve"> is accepted and agreed upon as of</w:t>
        <w:tab/>
        <w:t>November 4, 2025.</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ADVISOR</w:t>
            </w:r>
          </w:p>
        </w:tc>
        <w:tc>
          <w:tcPr>
            <w:tcW w:w="3380" w:type="dxa"/>
            <w:vAlign w:val="bottom"/>
            <w:gridSpan w:val="6"/>
          </w:tcPr>
          <w:p>
            <w:pPr>
              <w:ind w:left="140"/>
              <w:spacing w:after="0"/>
              <w:rPr>
                <w:sz w:val="20"/>
                <w:szCs w:val="20"/>
                <w:color w:val="auto"/>
              </w:rPr>
            </w:pPr>
            <w:r>
              <w:rPr>
                <w:rFonts w:ascii="Arial" w:cs="Arial" w:eastAsia="Arial" w:hAnsi="Arial"/>
                <w:sz w:val="14"/>
                <w:szCs w:val="14"/>
                <w:b w:val="1"/>
                <w:bCs w:val="1"/>
                <w:color w:val="auto"/>
              </w:rPr>
              <w:t>RECURSION PHARMACEUTICALS, INC.</w:t>
            </w:r>
          </w:p>
        </w:tc>
      </w:tr>
      <w:tr>
        <w:trPr>
          <w:trHeight w:val="353"/>
        </w:trPr>
        <w:tc>
          <w:tcPr>
            <w:tcW w:w="1960" w:type="dxa"/>
            <w:vAlign w:val="bottom"/>
            <w:gridSpan w:val="5"/>
          </w:tcPr>
          <w:p>
            <w:pPr>
              <w:spacing w:after="0"/>
              <w:rPr>
                <w:sz w:val="20"/>
                <w:szCs w:val="20"/>
                <w:color w:val="auto"/>
              </w:rPr>
            </w:pPr>
            <w:r>
              <w:rPr>
                <w:rFonts w:ascii="Arial" w:cs="Arial" w:eastAsia="Arial" w:hAnsi="Arial"/>
                <w:sz w:val="14"/>
                <w:szCs w:val="14"/>
                <w:color w:val="auto"/>
              </w:rPr>
              <w:t>By:  /s/ Christopher Gibson</w:t>
            </w:r>
          </w:p>
        </w:tc>
        <w:tc>
          <w:tcPr>
            <w:tcW w:w="2260" w:type="dxa"/>
            <w:vAlign w:val="bottom"/>
            <w:gridSpan w:val="4"/>
          </w:tcPr>
          <w:p>
            <w:pPr>
              <w:ind w:left="160"/>
              <w:spacing w:after="0"/>
              <w:rPr>
                <w:sz w:val="20"/>
                <w:szCs w:val="20"/>
                <w:color w:val="auto"/>
              </w:rPr>
            </w:pPr>
            <w:r>
              <w:rPr>
                <w:rFonts w:ascii="Arial" w:cs="Arial" w:eastAsia="Arial" w:hAnsi="Arial"/>
                <w:sz w:val="14"/>
                <w:szCs w:val="14"/>
                <w:color w:val="auto"/>
              </w:rPr>
              <w:t>By:  /s/ Najat Khan</w:t>
            </w:r>
          </w:p>
        </w:tc>
      </w:tr>
      <w:tr>
        <w:trPr>
          <w:trHeight w:val="20"/>
        </w:trPr>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1960" w:type="dxa"/>
            <w:vAlign w:val="bottom"/>
            <w:gridSpan w:val="5"/>
          </w:tcPr>
          <w:p>
            <w:pPr>
              <w:spacing w:after="0"/>
              <w:rPr>
                <w:sz w:val="20"/>
                <w:szCs w:val="20"/>
                <w:color w:val="auto"/>
              </w:rPr>
            </w:pPr>
            <w:r>
              <w:rPr>
                <w:rFonts w:ascii="Arial" w:cs="Arial" w:eastAsia="Arial" w:hAnsi="Arial"/>
                <w:sz w:val="14"/>
                <w:szCs w:val="14"/>
                <w:color w:val="auto"/>
              </w:rPr>
              <w:t>Name: Christopher Gibson</w:t>
            </w:r>
          </w:p>
        </w:tc>
        <w:tc>
          <w:tcPr>
            <w:tcW w:w="2260" w:type="dxa"/>
            <w:vAlign w:val="bottom"/>
            <w:gridSpan w:val="4"/>
          </w:tcPr>
          <w:p>
            <w:pPr>
              <w:ind w:left="80"/>
              <w:spacing w:after="0"/>
              <w:rPr>
                <w:sz w:val="20"/>
                <w:szCs w:val="20"/>
                <w:color w:val="auto"/>
              </w:rPr>
            </w:pPr>
            <w:r>
              <w:rPr>
                <w:rFonts w:ascii="Arial" w:cs="Arial" w:eastAsia="Arial" w:hAnsi="Arial"/>
                <w:sz w:val="14"/>
                <w:szCs w:val="14"/>
                <w:color w:val="auto"/>
              </w:rPr>
              <w:t>Name: Najat Khan</w:t>
            </w: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371"/>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Title:</w:t>
            </w:r>
          </w:p>
        </w:tc>
        <w:tc>
          <w:tcPr>
            <w:tcW w:w="33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color w:val="auto"/>
              </w:rPr>
              <w:t>Chief R&amp;D Officer and Chief Commercial Officer</w:t>
            </w:r>
          </w:p>
        </w:tc>
      </w:tr>
    </w:tbl>
    <w:p>
      <w:pPr>
        <w:sectPr>
          <w:pgSz w:w="11900" w:h="16838" w:orient="portrait"/>
          <w:cols w:equalWidth="0" w:num="1">
            <w:col w:w="11240"/>
          </w:cols>
          <w:pgMar w:left="320" w:top="1440"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1003300</wp:posOffset>
            </wp:positionV>
            <wp:extent cx="1697355" cy="5829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6">
                      <a:extLst>
                        <a:ext uri="{28A0092B-C50C-407E-A947-70E740481C1C}"/>
                      </a:extLst>
                    </a:blip>
                    <a:srcRect/>
                    <a:stretch>
                      <a:fillRect/>
                    </a:stretch>
                  </pic:blipFill>
                  <pic:spPr bwMode="auto">
                    <a:xfrm>
                      <a:off x="0" y="0"/>
                      <a:ext cx="1697355" cy="58293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1783080</wp:posOffset>
            </wp:positionV>
            <wp:extent cx="1259840" cy="5060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7">
                      <a:extLst>
                        <a:ext uri="{28A0092B-C50C-407E-A947-70E740481C1C}"/>
                      </a:extLst>
                    </a:blip>
                    <a:srcRect/>
                    <a:stretch>
                      <a:fillRect/>
                    </a:stretch>
                  </pic:blipFill>
                  <pic:spPr bwMode="auto">
                    <a:xfrm>
                      <a:off x="0" y="0"/>
                      <a:ext cx="125984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November 5, 2025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Najat Khan, Ph.D.</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c/o Recursion Pharmaceuticals,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41 S Rio Grande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Salt Lake City, UT 84101</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CEO Employment Terms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Dear Najat:</w:t>
      </w:r>
    </w:p>
    <w:p>
      <w:pPr>
        <w:spacing w:after="0" w:line="301" w:lineRule="exact"/>
        <w:rPr>
          <w:sz w:val="20"/>
          <w:szCs w:val="20"/>
          <w:color w:val="auto"/>
        </w:rPr>
      </w:pPr>
    </w:p>
    <w:p>
      <w:pPr>
        <w:jc w:val="both"/>
        <w:ind w:firstLine="648"/>
        <w:spacing w:after="0" w:line="355" w:lineRule="auto"/>
        <w:rPr>
          <w:sz w:val="20"/>
          <w:szCs w:val="20"/>
          <w:color w:val="auto"/>
        </w:rPr>
      </w:pPr>
      <w:r>
        <w:rPr>
          <w:rFonts w:ascii="Arial" w:cs="Arial" w:eastAsia="Arial" w:hAnsi="Arial"/>
          <w:sz w:val="22"/>
          <w:szCs w:val="22"/>
          <w:color w:val="auto"/>
        </w:rPr>
        <w:t>This letter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between the undersigned (“</w:t>
      </w:r>
      <w:r>
        <w:rPr>
          <w:rFonts w:ascii="Arial" w:cs="Arial" w:eastAsia="Arial" w:hAnsi="Arial"/>
          <w:sz w:val="22"/>
          <w:szCs w:val="22"/>
          <w:u w:val="single" w:color="auto"/>
          <w:color w:val="auto"/>
        </w:rPr>
        <w:t>you</w:t>
      </w:r>
      <w:r>
        <w:rPr>
          <w:rFonts w:ascii="Arial" w:cs="Arial" w:eastAsia="Arial" w:hAnsi="Arial"/>
          <w:sz w:val="22"/>
          <w:szCs w:val="22"/>
          <w:color w:val="auto"/>
        </w:rPr>
        <w:t>”) and Recursion Pharmaceuticals, Inc. (the “</w:t>
      </w:r>
      <w:r>
        <w:rPr>
          <w:rFonts w:ascii="Arial" w:cs="Arial" w:eastAsia="Arial" w:hAnsi="Arial"/>
          <w:sz w:val="22"/>
          <w:szCs w:val="22"/>
          <w:u w:val="single" w:color="auto"/>
          <w:color w:val="auto"/>
        </w:rPr>
        <w:t>Company</w:t>
      </w:r>
      <w:r>
        <w:rPr>
          <w:rFonts w:ascii="Arial" w:cs="Arial" w:eastAsia="Arial" w:hAnsi="Arial"/>
          <w:sz w:val="22"/>
          <w:szCs w:val="22"/>
          <w:color w:val="auto"/>
        </w:rPr>
        <w:t>” or “</w:t>
      </w:r>
      <w:r>
        <w:rPr>
          <w:rFonts w:ascii="Arial" w:cs="Arial" w:eastAsia="Arial" w:hAnsi="Arial"/>
          <w:sz w:val="22"/>
          <w:szCs w:val="22"/>
          <w:u w:val="single" w:color="auto"/>
          <w:color w:val="auto"/>
        </w:rPr>
        <w:t>we</w:t>
      </w:r>
      <w:r>
        <w:rPr>
          <w:rFonts w:ascii="Arial" w:cs="Arial" w:eastAsia="Arial" w:hAnsi="Arial"/>
          <w:sz w:val="22"/>
          <w:szCs w:val="22"/>
          <w:color w:val="auto"/>
        </w:rPr>
        <w:t>”) and set forth the terms of your employment as the Company’s President and Chief Executive Officer (the “</w:t>
      </w:r>
      <w:r>
        <w:rPr>
          <w:rFonts w:ascii="Arial" w:cs="Arial" w:eastAsia="Arial" w:hAnsi="Arial"/>
          <w:sz w:val="22"/>
          <w:szCs w:val="22"/>
          <w:u w:val="single" w:color="auto"/>
          <w:color w:val="auto"/>
        </w:rPr>
        <w:t>CEO</w:t>
      </w:r>
      <w:r>
        <w:rPr>
          <w:rFonts w:ascii="Arial" w:cs="Arial" w:eastAsia="Arial" w:hAnsi="Arial"/>
          <w:sz w:val="22"/>
          <w:szCs w:val="22"/>
          <w:color w:val="auto"/>
        </w:rPr>
        <w:t>”), reporting to the Company’s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and a copy of your job description is attached as Exhibit A. This Agreement is effective January 1, 2026 (the “</w:t>
      </w:r>
      <w:r>
        <w:rPr>
          <w:rFonts w:ascii="Arial" w:cs="Arial" w:eastAsia="Arial" w:hAnsi="Arial"/>
          <w:sz w:val="22"/>
          <w:szCs w:val="22"/>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w:t>
      </w:r>
    </w:p>
    <w:p>
      <w:pPr>
        <w:spacing w:after="0" w:line="4" w:lineRule="exact"/>
        <w:rPr>
          <w:sz w:val="20"/>
          <w:szCs w:val="20"/>
          <w:color w:val="auto"/>
        </w:rPr>
      </w:pPr>
    </w:p>
    <w:p>
      <w:pPr>
        <w:jc w:val="both"/>
        <w:ind w:firstLine="656"/>
        <w:spacing w:after="0" w:line="355" w:lineRule="auto"/>
        <w:tabs>
          <w:tab w:leader="none" w:pos="1301" w:val="left"/>
        </w:tabs>
        <w:numPr>
          <w:ilvl w:val="0"/>
          <w:numId w:val="135"/>
        </w:numPr>
        <w:rPr>
          <w:rFonts w:ascii="Arial" w:cs="Arial" w:eastAsia="Arial" w:hAnsi="Arial"/>
          <w:sz w:val="22"/>
          <w:szCs w:val="22"/>
          <w:color w:val="auto"/>
        </w:rPr>
      </w:pPr>
      <w:r>
        <w:rPr>
          <w:rFonts w:ascii="Arial" w:cs="Arial" w:eastAsia="Arial" w:hAnsi="Arial"/>
          <w:sz w:val="22"/>
          <w:szCs w:val="22"/>
          <w:b w:val="1"/>
          <w:bCs w:val="1"/>
          <w:color w:val="auto"/>
        </w:rPr>
        <w:t>Base Salary</w:t>
      </w:r>
      <w:r>
        <w:rPr>
          <w:rFonts w:ascii="Arial" w:cs="Arial" w:eastAsia="Arial" w:hAnsi="Arial"/>
          <w:sz w:val="22"/>
          <w:szCs w:val="22"/>
          <w:color w:val="auto"/>
        </w:rPr>
        <w:t>. As of the Effective Date, your annual base salary is $680,000, which will be payable, less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withholdings and deductions, in accordance with the Company’s normal payroll practices. Your annual base salary will be subject to review and adjustment based upon the Company’s normal performance review practices.</w:t>
      </w:r>
    </w:p>
    <w:p>
      <w:pPr>
        <w:spacing w:after="0" w:line="1" w:lineRule="exact"/>
        <w:rPr>
          <w:rFonts w:ascii="Arial" w:cs="Arial" w:eastAsia="Arial" w:hAnsi="Arial"/>
          <w:sz w:val="22"/>
          <w:szCs w:val="22"/>
          <w:color w:val="auto"/>
        </w:rPr>
      </w:pPr>
    </w:p>
    <w:p>
      <w:pPr>
        <w:jc w:val="both"/>
        <w:ind w:firstLine="656"/>
        <w:spacing w:after="0" w:line="361" w:lineRule="auto"/>
        <w:tabs>
          <w:tab w:leader="none" w:pos="1301" w:val="left"/>
        </w:tabs>
        <w:numPr>
          <w:ilvl w:val="0"/>
          <w:numId w:val="135"/>
        </w:numPr>
        <w:rPr>
          <w:rFonts w:ascii="Arial" w:cs="Arial" w:eastAsia="Arial" w:hAnsi="Arial"/>
          <w:sz w:val="22"/>
          <w:szCs w:val="22"/>
          <w:color w:val="auto"/>
        </w:rPr>
      </w:pPr>
      <w:r>
        <w:rPr>
          <w:rFonts w:ascii="Arial" w:cs="Arial" w:eastAsia="Arial" w:hAnsi="Arial"/>
          <w:sz w:val="22"/>
          <w:szCs w:val="22"/>
          <w:b w:val="1"/>
          <w:bCs w:val="1"/>
          <w:color w:val="auto"/>
        </w:rPr>
        <w:t>Annual Bonus</w:t>
      </w:r>
      <w:r>
        <w:rPr>
          <w:rFonts w:ascii="Arial" w:cs="Arial" w:eastAsia="Arial" w:hAnsi="Arial"/>
          <w:sz w:val="22"/>
          <w:szCs w:val="22"/>
          <w:color w:val="auto"/>
        </w:rPr>
        <w:t>. You are eligible to earn an annual cash bonus with a target value of 25% of your</w:t>
      </w:r>
      <w:r>
        <w:rPr>
          <w:rFonts w:ascii="Arial" w:cs="Arial" w:eastAsia="Arial" w:hAnsi="Arial"/>
          <w:sz w:val="22"/>
          <w:szCs w:val="22"/>
          <w:b w:val="1"/>
          <w:bCs w:val="1"/>
          <w:color w:val="auto"/>
        </w:rPr>
        <w:t xml:space="preserve"> </w:t>
      </w:r>
      <w:r>
        <w:rPr>
          <w:rFonts w:ascii="Arial" w:cs="Arial" w:eastAsia="Arial" w:hAnsi="Arial"/>
          <w:sz w:val="22"/>
          <w:szCs w:val="22"/>
          <w:color w:val="auto"/>
        </w:rPr>
        <w:t>annual base salary and an annual equity bonus with a target value of 25% of your annual base salary paid in fully vested equity awards, in each case based on achieving performance objectives established by the Board or an authorized committee thereof (the “</w:t>
      </w:r>
      <w:r>
        <w:rPr>
          <w:rFonts w:ascii="Arial" w:cs="Arial" w:eastAsia="Arial" w:hAnsi="Arial"/>
          <w:sz w:val="22"/>
          <w:szCs w:val="22"/>
          <w:u w:val="single" w:color="auto"/>
          <w:color w:val="auto"/>
        </w:rPr>
        <w:t>Committee</w:t>
      </w:r>
      <w:r>
        <w:rPr>
          <w:rFonts w:ascii="Arial" w:cs="Arial" w:eastAsia="Arial" w:hAnsi="Arial"/>
          <w:sz w:val="22"/>
          <w:szCs w:val="22"/>
          <w:color w:val="auto"/>
        </w:rPr>
        <w:t>”) in its sole discretion and payable upon achievement of those objectives as determined by the Committee. If any portion of any such bonus is earned, it will be paid when practicable after the Company’ fiscal year after the Committee determines it has been earned, subject to you remaining</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22" w:right="339" w:bottom="1440" w:gutter="0" w:footer="0" w:header="0"/>
          <w:type w:val="continuous"/>
        </w:sectPr>
      </w:pPr>
    </w:p>
    <w:bookmarkStart w:id="226" w:name="page227"/>
    <w:bookmarkEnd w:id="226"/>
    <w:p>
      <w:pPr>
        <w:spacing w:after="0" w:line="267" w:lineRule="exact"/>
        <w:rPr>
          <w:sz w:val="20"/>
          <w:szCs w:val="20"/>
          <w:color w:val="auto"/>
        </w:rPr>
      </w:pPr>
    </w:p>
    <w:p>
      <w:pPr>
        <w:spacing w:after="0" w:line="357" w:lineRule="auto"/>
        <w:rPr>
          <w:sz w:val="20"/>
          <w:szCs w:val="20"/>
          <w:color w:val="auto"/>
        </w:rPr>
      </w:pPr>
      <w:r>
        <w:rPr>
          <w:rFonts w:ascii="Arial" w:cs="Arial" w:eastAsia="Arial" w:hAnsi="Arial"/>
          <w:sz w:val="22"/>
          <w:szCs w:val="22"/>
          <w:color w:val="auto"/>
        </w:rPr>
        <w:t>employed with the Company through the payment date. Your annual bonus opportunity will be subject to review and adjustment based upon the Company’s normal performance review practices.</w:t>
      </w:r>
    </w:p>
    <w:p>
      <w:pPr>
        <w:spacing w:after="0" w:line="1" w:lineRule="exact"/>
        <w:rPr>
          <w:sz w:val="20"/>
          <w:szCs w:val="20"/>
          <w:color w:val="auto"/>
        </w:rPr>
      </w:pPr>
    </w:p>
    <w:p>
      <w:pPr>
        <w:ind w:left="1620" w:right="8380" w:hanging="964"/>
        <w:spacing w:after="0" w:line="376" w:lineRule="auto"/>
        <w:tabs>
          <w:tab w:leader="none" w:pos="1301" w:val="left"/>
        </w:tabs>
        <w:numPr>
          <w:ilvl w:val="0"/>
          <w:numId w:val="136"/>
        </w:numPr>
        <w:rPr>
          <w:rFonts w:ascii="Arial" w:cs="Arial" w:eastAsia="Arial" w:hAnsi="Arial"/>
          <w:sz w:val="21"/>
          <w:szCs w:val="21"/>
          <w:color w:val="auto"/>
        </w:rPr>
      </w:pPr>
      <w:r>
        <w:rPr>
          <w:rFonts w:ascii="Arial" w:cs="Arial" w:eastAsia="Arial" w:hAnsi="Arial"/>
          <w:sz w:val="21"/>
          <w:szCs w:val="21"/>
          <w:b w:val="1"/>
          <w:bCs w:val="1"/>
          <w:color w:val="auto"/>
        </w:rPr>
        <w:t>Equity Awards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 </w:t>
      </w:r>
      <w:r>
        <w:rPr>
          <w:rFonts w:ascii="Arial" w:cs="Arial" w:eastAsia="Arial" w:hAnsi="Arial"/>
          <w:sz w:val="21"/>
          <w:szCs w:val="21"/>
          <w:u w:val="single" w:color="auto"/>
          <w:color w:val="auto"/>
        </w:rPr>
        <w:t>RSUs</w:t>
      </w:r>
      <w:r>
        <w:rPr>
          <w:rFonts w:ascii="Arial" w:cs="Arial" w:eastAsia="Arial" w:hAnsi="Arial"/>
          <w:sz w:val="21"/>
          <w:szCs w:val="21"/>
          <w:color w:val="auto"/>
        </w:rPr>
        <w:t>.</w:t>
      </w:r>
    </w:p>
    <w:p>
      <w:pPr>
        <w:spacing w:after="0" w:line="1" w:lineRule="exact"/>
        <w:rPr>
          <w:rFonts w:ascii="Arial" w:cs="Arial" w:eastAsia="Arial" w:hAnsi="Arial"/>
          <w:sz w:val="21"/>
          <w:szCs w:val="21"/>
          <w:color w:val="auto"/>
        </w:rPr>
      </w:pPr>
    </w:p>
    <w:p>
      <w:pPr>
        <w:jc w:val="both"/>
        <w:ind w:firstLine="2600"/>
        <w:spacing w:after="0" w:line="356" w:lineRule="auto"/>
        <w:tabs>
          <w:tab w:leader="none" w:pos="3240" w:val="left"/>
        </w:tabs>
        <w:numPr>
          <w:ilvl w:val="2"/>
          <w:numId w:val="136"/>
        </w:numPr>
        <w:rPr>
          <w:rFonts w:ascii="Arial" w:cs="Arial" w:eastAsia="Arial" w:hAnsi="Arial"/>
          <w:sz w:val="22"/>
          <w:szCs w:val="22"/>
          <w:color w:val="auto"/>
        </w:rPr>
      </w:pPr>
      <w:r>
        <w:rPr>
          <w:rFonts w:ascii="Arial" w:cs="Arial" w:eastAsia="Arial" w:hAnsi="Arial"/>
          <w:sz w:val="22"/>
          <w:szCs w:val="22"/>
          <w:u w:val="single" w:color="auto"/>
          <w:color w:val="auto"/>
        </w:rPr>
        <w:t>Initial RSUs</w:t>
      </w:r>
      <w:r>
        <w:rPr>
          <w:rFonts w:ascii="Arial" w:cs="Arial" w:eastAsia="Arial" w:hAnsi="Arial"/>
          <w:sz w:val="22"/>
          <w:szCs w:val="22"/>
          <w:color w:val="auto"/>
        </w:rPr>
        <w:t>. Subject to the approval of the Committee, effective as of the date of this letter, the Company will grant you an award of restricted stock units ("</w:t>
      </w:r>
      <w:r>
        <w:rPr>
          <w:rFonts w:ascii="Arial" w:cs="Arial" w:eastAsia="Arial" w:hAnsi="Arial"/>
          <w:sz w:val="22"/>
          <w:szCs w:val="22"/>
          <w:u w:val="single" w:color="auto"/>
          <w:color w:val="auto"/>
        </w:rPr>
        <w:t>RSUs</w:t>
      </w:r>
      <w:r>
        <w:rPr>
          <w:rFonts w:ascii="Arial" w:cs="Arial" w:eastAsia="Arial" w:hAnsi="Arial"/>
          <w:sz w:val="22"/>
          <w:szCs w:val="22"/>
          <w:color w:val="auto"/>
        </w:rPr>
        <w:t>") with a target value of at least $500,000 (USD). Upon the grant date, the target value will be converted into a number of RSUs determined in accordance with the Company’s equity practices. Each RSU subject to the award will represent a right to receive one share of the Company’s Class A Common Stock upon vesting. The RSU award will vest as follows: 1/16th of the RSUs subject to the award shall vest on February 15, 2026 and an additional 1/16th of the RSUs subject to the award will vest every Company Vesting Date (each of February 15, May 15, August 15, and November 15 is a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w:t>
      </w:r>
      <w:r>
        <w:rPr>
          <w:rFonts w:ascii="Arial" w:cs="Arial" w:eastAsia="Arial" w:hAnsi="Arial"/>
          <w:sz w:val="22"/>
          <w:szCs w:val="22"/>
          <w:u w:val="single" w:color="auto"/>
          <w:color w:val="auto"/>
        </w:rPr>
        <w:t>Vesting Date</w:t>
      </w:r>
      <w:r>
        <w:rPr>
          <w:rFonts w:ascii="Arial" w:cs="Arial" w:eastAsia="Arial" w:hAnsi="Arial"/>
          <w:sz w:val="22"/>
          <w:szCs w:val="22"/>
          <w:color w:val="auto"/>
        </w:rPr>
        <w:t>") thereafter until the RSU award is fully vested, subject to your continued employment with the Company, and you not having given or received notice of termination of employment, at each such Company Vesting Date. The RSU award will be subject to the terms and conditions of the Company’s equity incentive plan as then in effect and the applicable form of RSU agreement thereunder.</w:t>
      </w:r>
    </w:p>
    <w:p>
      <w:pPr>
        <w:spacing w:after="0" w:line="3" w:lineRule="exact"/>
        <w:rPr>
          <w:rFonts w:ascii="Arial" w:cs="Arial" w:eastAsia="Arial" w:hAnsi="Arial"/>
          <w:sz w:val="22"/>
          <w:szCs w:val="22"/>
          <w:color w:val="auto"/>
        </w:rPr>
      </w:pPr>
    </w:p>
    <w:p>
      <w:pPr>
        <w:jc w:val="both"/>
        <w:ind w:firstLine="2600"/>
        <w:spacing w:after="0" w:line="358" w:lineRule="auto"/>
        <w:tabs>
          <w:tab w:leader="none" w:pos="3234" w:val="left"/>
        </w:tabs>
        <w:numPr>
          <w:ilvl w:val="2"/>
          <w:numId w:val="136"/>
        </w:numPr>
        <w:rPr>
          <w:rFonts w:ascii="Arial" w:cs="Arial" w:eastAsia="Arial" w:hAnsi="Arial"/>
          <w:sz w:val="22"/>
          <w:szCs w:val="22"/>
          <w:color w:val="auto"/>
        </w:rPr>
      </w:pPr>
      <w:r>
        <w:rPr>
          <w:rFonts w:ascii="Arial" w:cs="Arial" w:eastAsia="Arial" w:hAnsi="Arial"/>
          <w:sz w:val="22"/>
          <w:szCs w:val="22"/>
          <w:u w:val="single" w:color="auto"/>
          <w:color w:val="auto"/>
        </w:rPr>
        <w:t>FY26 Annual RSUs</w:t>
      </w:r>
      <w:r>
        <w:rPr>
          <w:rFonts w:ascii="Arial" w:cs="Arial" w:eastAsia="Arial" w:hAnsi="Arial"/>
          <w:sz w:val="22"/>
          <w:szCs w:val="22"/>
          <w:color w:val="auto"/>
        </w:rPr>
        <w:t>. Subject to the approval of the Committee, in accordance with the Company’s 2026 annual equity grant cycle, the Company will grant you an award of RSUs with a target value of at least $3,750,000 (USD). If the RSU award is approved by the Committee, on the grant date, the target value will be converted into a number of RSUs determined in accordance with the Company’s equity practices. Each RSU subject to the award will represent a right to receive one share of the Company’s Class A Common Stock upon vesting. The RSU award will vest as follows: 1/16th of the RSUs subject to the award shall vest on May 15, 2026 and an additional 1/16th of the RSUs subject to the award will vest every Company Vesting Date thereafter until the RSU award is fully vested, subject to your continued employment with the Company, and you not having given or received notice of termination of employment, at each such Company Vesting Date. The RSU award will be subject to the terms and conditions of the Company’s equity incentive plan as then in effect and the applicable form of RSU agreement thereunder.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67" w:lineRule="exact"/>
        <w:rPr>
          <w:sz w:val="20"/>
          <w:szCs w:val="20"/>
          <w:color w:val="auto"/>
        </w:rPr>
      </w:pPr>
    </w:p>
    <w:p>
      <w:pPr>
        <w:ind w:left="1960" w:hanging="332"/>
        <w:spacing w:after="0"/>
        <w:tabs>
          <w:tab w:leader="none" w:pos="1960"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Options</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jc w:val="both"/>
        <w:ind w:firstLine="2600"/>
        <w:spacing w:after="0" w:line="356" w:lineRule="auto"/>
        <w:tabs>
          <w:tab w:leader="none" w:pos="3240"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Initial Options</w:t>
      </w:r>
      <w:r>
        <w:rPr>
          <w:rFonts w:ascii="Arial" w:cs="Arial" w:eastAsia="Arial" w:hAnsi="Arial"/>
          <w:sz w:val="22"/>
          <w:szCs w:val="22"/>
          <w:color w:val="auto"/>
        </w:rPr>
        <w:t>. Subject to the approval of the Committee, effective as of the date of this letter, the Company will grant you an option to purchase shares of the Company’s Class A Common Stock at a price per share equal to the fair market value of a share of the Company’s Class A Common Stock on the date of grant (as determined by the Committee), with such option having a target value of at least $500,000 (USD). Upon the grant date, the target value will be converted into an option to purchase a number of shares determined in accordance with the Company’s equity practices. The option will vest as follows: 1/48th of the shares subject to the option shall vest on one full month from the vesting commencement date and 1/48th of the shares subject to the option award will vest each month thereafter until the option award is fully vested, subject to your continued employment with the Company, and you not having given or received notice of termination of employment, at each such vesting date. Your option grant shall be subject to the terms and conditions of the of the Company’s equity incentive plan as then in effect and the applicable form of option agreement thereunder.</w:t>
      </w:r>
    </w:p>
    <w:p>
      <w:pPr>
        <w:spacing w:after="0" w:line="3" w:lineRule="exact"/>
        <w:rPr>
          <w:rFonts w:ascii="Arial" w:cs="Arial" w:eastAsia="Arial" w:hAnsi="Arial"/>
          <w:sz w:val="22"/>
          <w:szCs w:val="22"/>
          <w:color w:val="auto"/>
        </w:rPr>
      </w:pPr>
    </w:p>
    <w:p>
      <w:pPr>
        <w:jc w:val="both"/>
        <w:ind w:firstLine="2600"/>
        <w:spacing w:after="0" w:line="356" w:lineRule="auto"/>
        <w:tabs>
          <w:tab w:leader="none" w:pos="3234"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FY26 Annual Options</w:t>
      </w:r>
      <w:r>
        <w:rPr>
          <w:rFonts w:ascii="Arial" w:cs="Arial" w:eastAsia="Arial" w:hAnsi="Arial"/>
          <w:sz w:val="22"/>
          <w:szCs w:val="22"/>
          <w:color w:val="auto"/>
        </w:rPr>
        <w:t>. Subject to the approval of the Committee, in accordance with the Company’s 2026 annual equity grant cycle, the Company will grant you an option to purchase shares of the Company’s Class A Common Stock at a price per share equal to the fair market value of a share of the Company’s Class A Common Stock on the date of grant (as determined by the Committee), with such option having a target value of at least $3,750,000 (USD). If the option is approved by the Committee, on the grant date, the target value will be converted into an option to purchase a number of shares determined in accordance with the Company’s equity practices. The option will vest as follows: 1/48th of the shares subject to the option shall vest on one full month from the vesting commencement date and 1/48th of the shares subject to the option award will vest each month thereafter until the option award is fully vested, subject to your continued employment with the Company, and you not having given or received notice of termination of employment, at each such vesting date. Your option grant shall be subject to the terms and conditions of the of the Company’s equity incentive plan as then in effect and the applicable form of option agreement thereunder.</w:t>
      </w:r>
    </w:p>
    <w:p>
      <w:pPr>
        <w:spacing w:after="0" w:line="6" w:lineRule="exact"/>
        <w:rPr>
          <w:rFonts w:ascii="Arial" w:cs="Arial" w:eastAsia="Arial" w:hAnsi="Arial"/>
          <w:sz w:val="22"/>
          <w:szCs w:val="22"/>
          <w:color w:val="auto"/>
        </w:rPr>
      </w:pPr>
    </w:p>
    <w:p>
      <w:pPr>
        <w:jc w:val="both"/>
        <w:ind w:firstLine="1628"/>
        <w:spacing w:after="0" w:line="373" w:lineRule="auto"/>
        <w:tabs>
          <w:tab w:leader="none" w:pos="196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 addition, you will be eligible to receive other awards of stock options, RSUs, or other equity awards pursuant to any plans or arrangements the Company may have in effect from time to time. The Committee will determine in its discretion whether you will be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67" w:lineRule="exact"/>
        <w:rPr>
          <w:sz w:val="20"/>
          <w:szCs w:val="20"/>
          <w:color w:val="auto"/>
        </w:rPr>
      </w:pPr>
    </w:p>
    <w:p>
      <w:pPr>
        <w:jc w:val="both"/>
        <w:spacing w:after="0" w:line="358" w:lineRule="auto"/>
        <w:rPr>
          <w:sz w:val="20"/>
          <w:szCs w:val="20"/>
          <w:color w:val="auto"/>
        </w:rPr>
      </w:pPr>
      <w:r>
        <w:rPr>
          <w:rFonts w:ascii="Arial" w:cs="Arial" w:eastAsia="Arial" w:hAnsi="Arial"/>
          <w:sz w:val="22"/>
          <w:szCs w:val="22"/>
          <w:color w:val="auto"/>
        </w:rPr>
        <w:t>granted any such equity awards and the terms of any such award in accordance with the terms of any applicable plan or arrangement that may be in effect from time to time. The grant of any such award will not imply that any further awards will be granted to you nor that you have any right to receive any further award, which remain at the Committee's discretion.</w:t>
      </w:r>
    </w:p>
    <w:p>
      <w:pPr>
        <w:spacing w:after="0" w:line="1" w:lineRule="exact"/>
        <w:rPr>
          <w:sz w:val="20"/>
          <w:szCs w:val="20"/>
          <w:color w:val="auto"/>
        </w:rPr>
      </w:pPr>
    </w:p>
    <w:p>
      <w:pPr>
        <w:jc w:val="both"/>
        <w:ind w:firstLine="656"/>
        <w:spacing w:after="0" w:line="372" w:lineRule="auto"/>
        <w:tabs>
          <w:tab w:leader="none" w:pos="1301" w:val="left"/>
        </w:tabs>
        <w:numPr>
          <w:ilvl w:val="0"/>
          <w:numId w:val="138"/>
        </w:numPr>
        <w:rPr>
          <w:rFonts w:ascii="Arial" w:cs="Arial" w:eastAsia="Arial" w:hAnsi="Arial"/>
          <w:sz w:val="21"/>
          <w:szCs w:val="21"/>
          <w:color w:val="auto"/>
        </w:rPr>
      </w:pPr>
      <w:r>
        <w:rPr>
          <w:rFonts w:ascii="Arial" w:cs="Arial" w:eastAsia="Arial" w:hAnsi="Arial"/>
          <w:sz w:val="21"/>
          <w:szCs w:val="21"/>
          <w:b w:val="1"/>
          <w:bCs w:val="1"/>
          <w:color w:val="auto"/>
        </w:rPr>
        <w:t>Severance</w:t>
      </w:r>
      <w:r>
        <w:rPr>
          <w:rFonts w:ascii="Arial" w:cs="Arial" w:eastAsia="Arial" w:hAnsi="Arial"/>
          <w:sz w:val="21"/>
          <w:szCs w:val="21"/>
          <w:color w:val="auto"/>
        </w:rPr>
        <w:t>. You will be eligible to enter into a new Participation Agreement under the Company’s</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Change in Control and Severance Plan (the “</w:t>
      </w:r>
      <w:r>
        <w:rPr>
          <w:rFonts w:ascii="Arial" w:cs="Arial" w:eastAsia="Arial" w:hAnsi="Arial"/>
          <w:sz w:val="21"/>
          <w:szCs w:val="21"/>
          <w:u w:val="single" w:color="auto"/>
          <w:color w:val="auto"/>
        </w:rPr>
        <w:t>Severance Plan</w:t>
      </w:r>
      <w:r>
        <w:rPr>
          <w:rFonts w:ascii="Arial" w:cs="Arial" w:eastAsia="Arial" w:hAnsi="Arial"/>
          <w:sz w:val="21"/>
          <w:szCs w:val="21"/>
          <w:color w:val="auto"/>
        </w:rPr>
        <w:t>”), which will provide you with the same enhanced severance benefits as the Company’s existing President and Chief Executive Officer as described in the Company’s most recent annual proxy statement filed with the U.S. Securities and Exchange Commission, except as modified by Section 6 below (the “</w:t>
      </w:r>
      <w:r>
        <w:rPr>
          <w:rFonts w:ascii="Arial" w:cs="Arial" w:eastAsia="Arial" w:hAnsi="Arial"/>
          <w:sz w:val="21"/>
          <w:szCs w:val="21"/>
          <w:u w:val="single" w:color="auto"/>
          <w:color w:val="auto"/>
        </w:rPr>
        <w:t>CEO Participation Agreement</w:t>
      </w:r>
      <w:r>
        <w:rPr>
          <w:rFonts w:ascii="Arial" w:cs="Arial" w:eastAsia="Arial" w:hAnsi="Arial"/>
          <w:sz w:val="21"/>
          <w:szCs w:val="21"/>
          <w:color w:val="auto"/>
        </w:rPr>
        <w:t>”). Effective as of the Effective Date, these protections under the CEO Participation Agreement will supersede all other severance payments and benefits you would otherwise currently be eligible for to, or would become eligible for in the future, under any plan, program or policy that the Company may have in effect from time to time, including under your existing Participation Agreement.</w:t>
      </w:r>
    </w:p>
    <w:p>
      <w:pPr>
        <w:spacing w:after="0" w:line="2" w:lineRule="exact"/>
        <w:rPr>
          <w:rFonts w:ascii="Arial" w:cs="Arial" w:eastAsia="Arial" w:hAnsi="Arial"/>
          <w:sz w:val="21"/>
          <w:szCs w:val="21"/>
          <w:color w:val="auto"/>
        </w:rPr>
      </w:pPr>
    </w:p>
    <w:p>
      <w:pPr>
        <w:jc w:val="both"/>
        <w:ind w:firstLine="656"/>
        <w:spacing w:after="0" w:line="356" w:lineRule="auto"/>
        <w:tabs>
          <w:tab w:leader="none" w:pos="1301" w:val="left"/>
        </w:tabs>
        <w:numPr>
          <w:ilvl w:val="0"/>
          <w:numId w:val="138"/>
        </w:numPr>
        <w:rPr>
          <w:rFonts w:ascii="Arial" w:cs="Arial" w:eastAsia="Arial" w:hAnsi="Arial"/>
          <w:sz w:val="22"/>
          <w:szCs w:val="22"/>
          <w:color w:val="auto"/>
        </w:rPr>
      </w:pPr>
      <w:r>
        <w:rPr>
          <w:rFonts w:ascii="Arial" w:cs="Arial" w:eastAsia="Arial" w:hAnsi="Arial"/>
          <w:sz w:val="22"/>
          <w:szCs w:val="22"/>
          <w:b w:val="1"/>
          <w:bCs w:val="1"/>
          <w:color w:val="auto"/>
        </w:rPr>
        <w:t>Indemnification</w:t>
      </w:r>
      <w:r>
        <w:rPr>
          <w:rFonts w:ascii="Arial" w:cs="Arial" w:eastAsia="Arial" w:hAnsi="Arial"/>
          <w:sz w:val="22"/>
          <w:szCs w:val="22"/>
          <w:color w:val="auto"/>
        </w:rPr>
        <w:t>. During your employment and thereafter, the Company agrees to indemnify and hold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you and your heirs and representatives harmless, to the maximum extent permitted under applicable law, by the Company's organizational documents, or pursuant to any applicable insurance policy maintained by the Company from time to time for its employees, officers and directors, to the same extent as is accorded to any of such employees, officers and directors, against and in respect of any and all actions, suits, proceedings, claims or liabilities, or threatened claims or liabilities, demands, judgments, costs, expenses (including prompt advancement of reasonable fees, costs and expenses of counsel and other professionals of your choice), losses, and damages by reason of your employment as an employee, officer or director of the Company. The indemnification rights in this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shall be in addition to (and shall not restrict) any indemnification rights otherwise applicable to you. The Company shall maintain directors and officer’s liability coverage and limits which are reasonable and customary for an entity similarly situated to the Company.</w:t>
      </w:r>
    </w:p>
    <w:p>
      <w:pPr>
        <w:spacing w:after="0" w:line="3" w:lineRule="exact"/>
        <w:rPr>
          <w:rFonts w:ascii="Arial" w:cs="Arial" w:eastAsia="Arial" w:hAnsi="Arial"/>
          <w:sz w:val="22"/>
          <w:szCs w:val="22"/>
          <w:color w:val="auto"/>
        </w:rPr>
      </w:pPr>
    </w:p>
    <w:p>
      <w:pPr>
        <w:jc w:val="both"/>
        <w:ind w:firstLine="656"/>
        <w:spacing w:after="0" w:line="368" w:lineRule="auto"/>
        <w:tabs>
          <w:tab w:leader="none" w:pos="1301" w:val="left"/>
        </w:tabs>
        <w:numPr>
          <w:ilvl w:val="0"/>
          <w:numId w:val="138"/>
        </w:numPr>
        <w:rPr>
          <w:rFonts w:ascii="Arial" w:cs="Arial" w:eastAsia="Arial" w:hAnsi="Arial"/>
          <w:sz w:val="22"/>
          <w:szCs w:val="22"/>
          <w:color w:val="auto"/>
        </w:rPr>
      </w:pPr>
      <w:r>
        <w:rPr>
          <w:rFonts w:ascii="Arial" w:cs="Arial" w:eastAsia="Arial" w:hAnsi="Arial"/>
          <w:sz w:val="22"/>
          <w:szCs w:val="22"/>
          <w:b w:val="1"/>
          <w:bCs w:val="1"/>
          <w:color w:val="auto"/>
        </w:rPr>
        <w:t>CEO Participation Agreement</w:t>
      </w:r>
      <w:r>
        <w:rPr>
          <w:rFonts w:ascii="Arial" w:cs="Arial" w:eastAsia="Arial" w:hAnsi="Arial"/>
          <w:sz w:val="22"/>
          <w:szCs w:val="22"/>
          <w:color w:val="auto"/>
        </w:rPr>
        <w:t>. Severance Benefits as described in your CEO Participation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of a Non-CIC Qualifying Termination shall, in addition to Cash Severance Benefits and Continued Medical Benefits, include vesting acceleration as to that number of your unvested RSUs and Stock Options that are outstanding as of the date of the Non-CIC</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67" w:lineRule="exact"/>
        <w:rPr>
          <w:sz w:val="20"/>
          <w:szCs w:val="20"/>
          <w:color w:val="auto"/>
        </w:rPr>
      </w:pPr>
    </w:p>
    <w:p>
      <w:pPr>
        <w:jc w:val="both"/>
        <w:spacing w:after="0" w:line="357" w:lineRule="auto"/>
        <w:rPr>
          <w:sz w:val="20"/>
          <w:szCs w:val="20"/>
          <w:color w:val="auto"/>
        </w:rPr>
      </w:pPr>
      <w:r>
        <w:rPr>
          <w:rFonts w:ascii="Arial" w:cs="Arial" w:eastAsia="Arial" w:hAnsi="Arial"/>
          <w:sz w:val="22"/>
          <w:szCs w:val="22"/>
          <w:color w:val="auto"/>
        </w:rPr>
        <w:t>Qualifying Termination that otherwise would have vested within the twelve (12) month-period following the date of your Non-CIC Qualifying Termination, subject to compliance with the terms and conditions of the Severance Plan and CEO Participation Agreement.</w:t>
      </w:r>
    </w:p>
    <w:p>
      <w:pPr>
        <w:spacing w:after="0" w:line="3" w:lineRule="exact"/>
        <w:rPr>
          <w:sz w:val="20"/>
          <w:szCs w:val="20"/>
          <w:color w:val="auto"/>
        </w:rPr>
      </w:pPr>
    </w:p>
    <w:p>
      <w:pPr>
        <w:jc w:val="both"/>
        <w:ind w:firstLine="656"/>
        <w:spacing w:after="0" w:line="355" w:lineRule="auto"/>
        <w:tabs>
          <w:tab w:leader="none" w:pos="1301" w:val="left"/>
        </w:tabs>
        <w:numPr>
          <w:ilvl w:val="0"/>
          <w:numId w:val="139"/>
        </w:numPr>
        <w:rPr>
          <w:rFonts w:ascii="Arial" w:cs="Arial" w:eastAsia="Arial" w:hAnsi="Arial"/>
          <w:sz w:val="22"/>
          <w:szCs w:val="22"/>
          <w:color w:val="auto"/>
        </w:rPr>
      </w:pPr>
      <w:r>
        <w:rPr>
          <w:rFonts w:ascii="Arial" w:cs="Arial" w:eastAsia="Arial" w:hAnsi="Arial"/>
          <w:sz w:val="22"/>
          <w:szCs w:val="22"/>
          <w:b w:val="1"/>
          <w:bCs w:val="1"/>
          <w:color w:val="auto"/>
        </w:rPr>
        <w:t>Mutual Non-Disparagement</w:t>
      </w:r>
      <w:r>
        <w:rPr>
          <w:rFonts w:ascii="Arial" w:cs="Arial" w:eastAsia="Arial" w:hAnsi="Arial"/>
          <w:sz w:val="22"/>
          <w:szCs w:val="22"/>
          <w:color w:val="auto"/>
        </w:rPr>
        <w:t>. You agree not to make, or cause any other person to make, any public</w:t>
      </w:r>
      <w:r>
        <w:rPr>
          <w:rFonts w:ascii="Arial" w:cs="Arial" w:eastAsia="Arial" w:hAnsi="Arial"/>
          <w:sz w:val="22"/>
          <w:szCs w:val="22"/>
          <w:b w:val="1"/>
          <w:bCs w:val="1"/>
          <w:color w:val="auto"/>
        </w:rPr>
        <w:t xml:space="preserve"> </w:t>
      </w:r>
      <w:r>
        <w:rPr>
          <w:rFonts w:ascii="Arial" w:cs="Arial" w:eastAsia="Arial" w:hAnsi="Arial"/>
          <w:sz w:val="22"/>
          <w:szCs w:val="22"/>
          <w:color w:val="auto"/>
        </w:rPr>
        <w:t>statement that criticizes or disparages the Company, or any of its respective officers, employees, directors or products. Nothing set forth herein shall be interpreted to prohibit you from responding publicly to incorrect public statements, making truthful statements when required by law, subpoena, court order, or the like and/or from responding to any inquiry about this Agreement or its underlying facts and circumstances by any regulatory or investigatory organization and/or from making any truthful statements in connection with any other litigation. The Company agrees that it will instruct the Company’s executive officers, directors, and other executive team members who report to the CEO, not to make any oral or written negative, disparaging or adverse statements or representations of or concerning you or your employment with the Company or induce or encourage others to disparage you in any way. Nothing set forth herein shall be interpreted to prohibit the Company from making truthful statements when required by law, subpoena, court order, or the like and/or from responding to any inquiry about this Agreement or its underlying facts and circumstances by any regulatory or investigatory organization and/or from making any truthful statements in connection with any litigation.</w:t>
      </w:r>
    </w:p>
    <w:p>
      <w:pPr>
        <w:spacing w:after="0" w:line="9" w:lineRule="exact"/>
        <w:rPr>
          <w:rFonts w:ascii="Arial" w:cs="Arial" w:eastAsia="Arial" w:hAnsi="Arial"/>
          <w:sz w:val="22"/>
          <w:szCs w:val="22"/>
          <w:color w:val="auto"/>
        </w:rPr>
      </w:pPr>
    </w:p>
    <w:p>
      <w:pPr>
        <w:ind w:firstLine="656"/>
        <w:spacing w:after="0" w:line="359" w:lineRule="auto"/>
        <w:tabs>
          <w:tab w:leader="none" w:pos="1301" w:val="left"/>
        </w:tabs>
        <w:numPr>
          <w:ilvl w:val="0"/>
          <w:numId w:val="139"/>
        </w:numPr>
        <w:rPr>
          <w:rFonts w:ascii="Arial" w:cs="Arial" w:eastAsia="Arial" w:hAnsi="Arial"/>
          <w:sz w:val="22"/>
          <w:szCs w:val="22"/>
          <w:color w:val="auto"/>
        </w:rPr>
      </w:pPr>
      <w:r>
        <w:rPr>
          <w:rFonts w:ascii="Arial" w:cs="Arial" w:eastAsia="Arial" w:hAnsi="Arial"/>
          <w:sz w:val="22"/>
          <w:szCs w:val="22"/>
          <w:b w:val="1"/>
          <w:bCs w:val="1"/>
          <w:color w:val="auto"/>
        </w:rPr>
        <w:t>Reimbursement of Legal Fees</w:t>
      </w:r>
      <w:r>
        <w:rPr>
          <w:rFonts w:ascii="Arial" w:cs="Arial" w:eastAsia="Arial" w:hAnsi="Arial"/>
          <w:sz w:val="22"/>
          <w:szCs w:val="22"/>
          <w:color w:val="auto"/>
        </w:rPr>
        <w:t>. The Company will reimburse you for documented legal fees incurred</w:t>
      </w:r>
      <w:r>
        <w:rPr>
          <w:rFonts w:ascii="Arial" w:cs="Arial" w:eastAsia="Arial" w:hAnsi="Arial"/>
          <w:sz w:val="22"/>
          <w:szCs w:val="22"/>
          <w:b w:val="1"/>
          <w:bCs w:val="1"/>
          <w:color w:val="auto"/>
        </w:rPr>
        <w:t xml:space="preserve"> </w:t>
      </w:r>
      <w:r>
        <w:rPr>
          <w:rFonts w:ascii="Arial" w:cs="Arial" w:eastAsia="Arial" w:hAnsi="Arial"/>
          <w:sz w:val="22"/>
          <w:szCs w:val="22"/>
          <w:color w:val="auto"/>
        </w:rPr>
        <w:t>by you in connection with the negotiation of this Agreement up to a maximum of $10,000.</w:t>
      </w:r>
    </w:p>
    <w:p>
      <w:pPr>
        <w:spacing w:after="0" w:line="1" w:lineRule="exact"/>
        <w:rPr>
          <w:rFonts w:ascii="Arial" w:cs="Arial" w:eastAsia="Arial" w:hAnsi="Arial"/>
          <w:sz w:val="22"/>
          <w:szCs w:val="22"/>
          <w:color w:val="auto"/>
        </w:rPr>
      </w:pPr>
    </w:p>
    <w:p>
      <w:pPr>
        <w:jc w:val="both"/>
        <w:ind w:firstLine="648"/>
        <w:spacing w:after="0" w:line="361" w:lineRule="auto"/>
        <w:rPr>
          <w:rFonts w:ascii="Arial" w:cs="Arial" w:eastAsia="Arial" w:hAnsi="Arial"/>
          <w:sz w:val="22"/>
          <w:szCs w:val="22"/>
          <w:color w:val="auto"/>
        </w:rPr>
      </w:pPr>
      <w:r>
        <w:rPr>
          <w:rFonts w:ascii="Arial" w:cs="Arial" w:eastAsia="Arial" w:hAnsi="Arial"/>
          <w:sz w:val="22"/>
          <w:szCs w:val="22"/>
          <w:color w:val="auto"/>
        </w:rPr>
        <w:t>All other terms of your employment with the Company, including the terms of your offer letter with the Company dated July 1, 2024, the At-Will Employment, Confidential Information, Invention Assignment, and Arbitration Agreement dated July 1, 2024, and your Company equity award agreements in effect immediately prior to the Effective Date, will continue to apply, except as otherwise described herein. Your employment with the Company continues to be at-will, and nothing herein is intended to constitute a guarantee of future employment or service with the Company.</w:t>
      </w:r>
    </w:p>
    <w:p>
      <w:pPr>
        <w:spacing w:after="0" w:line="133"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Recursion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00" w:lineRule="exact"/>
        <w:rPr>
          <w:sz w:val="20"/>
          <w:szCs w:val="20"/>
          <w:color w:val="auto"/>
        </w:rPr>
      </w:pPr>
    </w:p>
    <w:p>
      <w:pPr>
        <w:spacing w:after="0" w:line="229"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By: /s/ Christopher Gibson</w:t>
      </w:r>
    </w:p>
    <w:p>
      <w:pPr>
        <w:spacing w:after="0" w:line="24"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Christopher Gibson</w:t>
      </w:r>
    </w:p>
    <w:p>
      <w:pPr>
        <w:spacing w:after="0" w:line="11"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22"/>
          <w:szCs w:val="22"/>
          <w:color w:val="auto"/>
        </w:rPr>
        <w:t>I have read and understood this Agreement and hereby acknowledge, accept and agree to the terms as set forth herein and further acknowledge that no other commitments were made to me as part of my employment offer except as specifically set forth herein.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 Najat Khan</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Najat Khan, Ph.D.</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Date: November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900"/>
          </w:cols>
          <w:pgMar w:left="320" w:top="1440" w:right="679" w:bottom="1440" w:gutter="0" w:footer="0" w:header="0"/>
        </w:sectPr>
      </w:pPr>
    </w:p>
    <w:bookmarkStart w:id="231" w:name="page232"/>
    <w:bookmarkEnd w:id="231"/>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pacing w:after="0" w:line="299" w:lineRule="exact"/>
        <w:rPr>
          <w:sz w:val="20"/>
          <w:szCs w:val="20"/>
          <w:color w:val="auto"/>
        </w:rPr>
      </w:pPr>
    </w:p>
    <w:p>
      <w:pPr>
        <w:jc w:val="both"/>
        <w:spacing w:after="0" w:line="356" w:lineRule="auto"/>
        <w:rPr>
          <w:sz w:val="20"/>
          <w:szCs w:val="20"/>
          <w:color w:val="auto"/>
        </w:rPr>
      </w:pPr>
      <w:r>
        <w:rPr>
          <w:rFonts w:ascii="Arial" w:cs="Arial" w:eastAsia="Arial" w:hAnsi="Arial"/>
          <w:sz w:val="22"/>
          <w:szCs w:val="22"/>
          <w:b w:val="1"/>
          <w:bCs w:val="1"/>
          <w:color w:val="auto"/>
        </w:rPr>
        <w:t>Duties and Responsibilities</w:t>
      </w:r>
      <w:r>
        <w:rPr>
          <w:rFonts w:ascii="Arial" w:cs="Arial" w:eastAsia="Arial" w:hAnsi="Arial"/>
          <w:sz w:val="22"/>
          <w:szCs w:val="22"/>
          <w:color w:val="auto"/>
        </w:rPr>
        <w:t>. As the President and Chief Executive Officer of the Company, you shall devote your</w:t>
      </w:r>
      <w:r>
        <w:rPr>
          <w:rFonts w:ascii="Arial" w:cs="Arial" w:eastAsia="Arial" w:hAnsi="Arial"/>
          <w:sz w:val="22"/>
          <w:szCs w:val="22"/>
          <w:b w:val="1"/>
          <w:bCs w:val="1"/>
          <w:color w:val="auto"/>
        </w:rPr>
        <w:t xml:space="preserve"> </w:t>
      </w:r>
      <w:r>
        <w:rPr>
          <w:rFonts w:ascii="Arial" w:cs="Arial" w:eastAsia="Arial" w:hAnsi="Arial"/>
          <w:sz w:val="22"/>
          <w:szCs w:val="22"/>
          <w:color w:val="auto"/>
        </w:rPr>
        <w:t>full business time and attention to the business and affairs of the Company, which are necessary to discharge your duties and responsibilities (excluding periods of vacation and sick leave) and shall perform your duties and responsibilities to the best of your abilities in a diligent, trustworthy, businesslike and efficient manner. You shall perform your duties primarily in the offices of the Company in New York, SLC, London/Oxford, and Montreal it being understood that you will be required to engage in travel consistent with the requirements of the business. Without limiting the generality of the foregoing, you shall engage in the duties and responsibilities reasonably assigned to you by the Board (consistent with your position), and shall have authority over management of all operations of the Company and implementation of the Company’s overall vision, mission and short and long term business strategy, capital allocation, organizational structure, talent/location strategy and communicating with external partners, stockholders and investors, which shall encompass the following areas of responsibility: (i) all personnel matters, including the authority to hire and terminate all of the Company’s employees (including officers, all of whom shall report to you); (ii) establishment or modification of salaries and target bonuses for employees of the Company, subject to compliance with applicable law or listing standards; (iii) adoption or modification of prices, terms and conditions of purchase and sale, credit policy, and advertising and promotional programs, all as consistent with the business and product development plans and annual operating budgets adopted by the Board; (iv) establishment of customer technical service policies and identification of the technological requirements of the Company; (v) coordination of the sales and marketing support efforts of the Company; and (vi) in consultation with the Board or a Board committee, and subject to compliance with applicable law, retention of auditors and key consultants (including accountants and attorneys).</w:t>
      </w:r>
    </w:p>
    <w:p>
      <w:pPr>
        <w:spacing w:after="0" w:line="17" w:lineRule="exact"/>
        <w:rPr>
          <w:sz w:val="20"/>
          <w:szCs w:val="20"/>
          <w:color w:val="auto"/>
        </w:rPr>
      </w:pPr>
    </w:p>
    <w:p>
      <w:pPr>
        <w:jc w:val="both"/>
        <w:ind w:firstLine="648"/>
        <w:spacing w:after="0" w:line="361" w:lineRule="auto"/>
        <w:rPr>
          <w:sz w:val="20"/>
          <w:szCs w:val="20"/>
          <w:color w:val="auto"/>
        </w:rPr>
      </w:pPr>
      <w:r>
        <w:rPr>
          <w:rFonts w:ascii="Arial" w:cs="Arial" w:eastAsia="Arial" w:hAnsi="Arial"/>
          <w:sz w:val="22"/>
          <w:szCs w:val="22"/>
          <w:color w:val="auto"/>
        </w:rPr>
        <w:t>You may, and it shall not be considered a violation of this Agreement for you to, (i) engage in or serve on such professional, civic, trade association, charitable, community, educational, religious or similar types of organizations or speaking engagements, as you may select; (ii) with the prior written consent of the Board, serve on the boards of directors or advisory committees of any for profit entities, or engage in other business activities; and (iii) attend to your personal matters, including personal finances, investments and business affairs, so long as such service or activities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267" w:lineRule="exact"/>
        <w:rPr>
          <w:sz w:val="20"/>
          <w:szCs w:val="20"/>
          <w:color w:val="auto"/>
        </w:rPr>
      </w:pPr>
    </w:p>
    <w:p>
      <w:pPr>
        <w:jc w:val="both"/>
        <w:spacing w:after="0" w:line="368" w:lineRule="auto"/>
        <w:rPr>
          <w:sz w:val="20"/>
          <w:szCs w:val="20"/>
          <w:color w:val="auto"/>
        </w:rPr>
      </w:pPr>
      <w:r>
        <w:rPr>
          <w:rFonts w:ascii="Arial" w:cs="Arial" w:eastAsia="Arial" w:hAnsi="Arial"/>
          <w:sz w:val="22"/>
          <w:szCs w:val="22"/>
          <w:color w:val="auto"/>
        </w:rPr>
        <w:t>described in clauses (i), (ii) and (iii) immediately preceding do not interfere with the performance of your duties and responsibilities as an employee of the Company in accordance with this Agreement. You shall also comply with all written policies, rules and regulations of the Company, as well as all reasonable directives and instructions from the Board that are consistent with this Agreement.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857250</wp:posOffset>
            </wp:positionV>
            <wp:extent cx="3094355" cy="5829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8">
                      <a:extLst>
                        <a:ext uri="{28A0092B-C50C-407E-A947-70E740481C1C}"/>
                      </a:extLst>
                    </a:blip>
                    <a:srcRect/>
                    <a:stretch>
                      <a:fillRect/>
                    </a:stretch>
                  </pic:blipFill>
                  <pic:spPr bwMode="auto">
                    <a:xfrm>
                      <a:off x="0" y="0"/>
                      <a:ext cx="30943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December 2, 2024</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David Hallet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Confirmatory Employment Letter</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Dear David:</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Exscientia AI Ltd. (the “Company,” “we,” “us,” or “our”), a wholly owned subsidiary of Recursion Pharmaceuticals, Inc. (“Recursion”) is truly excited to extend you an offer on the terms and conditions in this letter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and to confirm you will continue with us in our mission of decoding biology to radically improve lives.</w:t>
      </w:r>
    </w:p>
    <w:p>
      <w:pPr>
        <w:spacing w:after="0" w:line="176" w:lineRule="exact"/>
        <w:rPr>
          <w:sz w:val="20"/>
          <w:szCs w:val="20"/>
          <w:color w:val="auto"/>
        </w:rPr>
      </w:pPr>
    </w:p>
    <w:p>
      <w:pPr>
        <w:jc w:val="both"/>
        <w:ind w:firstLine="656"/>
        <w:spacing w:after="0" w:line="271" w:lineRule="auto"/>
        <w:tabs>
          <w:tab w:leader="none" w:pos="1299" w:val="left"/>
        </w:tabs>
        <w:numPr>
          <w:ilvl w:val="0"/>
          <w:numId w:val="140"/>
        </w:numPr>
        <w:rPr>
          <w:rFonts w:ascii="Arial" w:cs="Arial" w:eastAsia="Arial" w:hAnsi="Arial"/>
          <w:sz w:val="19"/>
          <w:szCs w:val="19"/>
          <w:color w:val="auto"/>
        </w:rPr>
      </w:pPr>
      <w:r>
        <w:rPr>
          <w:rFonts w:ascii="Arial" w:cs="Arial" w:eastAsia="Arial" w:hAnsi="Arial"/>
          <w:sz w:val="19"/>
          <w:szCs w:val="19"/>
          <w:b w:val="1"/>
          <w:bCs w:val="1"/>
          <w:color w:val="auto"/>
        </w:rPr>
        <w:t>Position</w:t>
      </w:r>
      <w:r>
        <w:rPr>
          <w:rFonts w:ascii="Arial" w:cs="Arial" w:eastAsia="Arial" w:hAnsi="Arial"/>
          <w:sz w:val="19"/>
          <w:szCs w:val="19"/>
          <w:color w:val="auto"/>
        </w:rPr>
        <w:t>. You will continue to be Recursion’s Chief Scientific Officer and will report to the Recursions’s Chief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 You will perform the duties and have the responsibilities and authority customarily performed and held by an employee in your position or as otherwise may be assigned or delegated to you by the Company or Recursion, as applicable, or such other capacity as the Company or Recursion, as applicable, may determine from time to time. You shall at all times comply with the lawful and reasonable directions of the Company and Recursion (including Recursion’s Chief Executive Officer).</w:t>
      </w:r>
    </w:p>
    <w:p>
      <w:pPr>
        <w:spacing w:after="0" w:line="170" w:lineRule="exact"/>
        <w:rPr>
          <w:rFonts w:ascii="Arial" w:cs="Arial" w:eastAsia="Arial" w:hAnsi="Arial"/>
          <w:sz w:val="19"/>
          <w:szCs w:val="19"/>
          <w:color w:val="auto"/>
        </w:rPr>
      </w:pPr>
    </w:p>
    <w:p>
      <w:pPr>
        <w:jc w:val="both"/>
        <w:ind w:firstLine="656"/>
        <w:spacing w:after="0" w:line="255" w:lineRule="auto"/>
        <w:tabs>
          <w:tab w:leader="none" w:pos="1299" w:val="left"/>
        </w:tabs>
        <w:numPr>
          <w:ilvl w:val="0"/>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Duties. </w:t>
      </w:r>
      <w:r>
        <w:rPr>
          <w:rFonts w:ascii="Arial" w:cs="Arial" w:eastAsia="Arial" w:hAnsi="Arial"/>
          <w:sz w:val="20"/>
          <w:szCs w:val="20"/>
          <w:color w:val="auto"/>
        </w:rPr>
        <w:t>Your full time and attention shall be devoted to the business and affairs of the Company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Associated Company for whom you are required to perform duties, and you shall not, without the prior written consent of Recursion, directly or indirectly carry on or be engaged, concerned or interested in any other business trade or occupation. The parties acknowledge that you have unmeasured working time for the purposes of Regulation 20 of the Working Time Regulations 1998.</w:t>
      </w:r>
    </w:p>
    <w:p>
      <w:pPr>
        <w:spacing w:after="0" w:line="182" w:lineRule="exact"/>
        <w:rPr>
          <w:rFonts w:ascii="Arial" w:cs="Arial" w:eastAsia="Arial" w:hAnsi="Arial"/>
          <w:sz w:val="20"/>
          <w:szCs w:val="20"/>
          <w:color w:val="auto"/>
        </w:rPr>
      </w:pPr>
    </w:p>
    <w:p>
      <w:pPr>
        <w:jc w:val="both"/>
        <w:ind w:firstLine="656"/>
        <w:spacing w:after="0" w:line="260" w:lineRule="auto"/>
        <w:tabs>
          <w:tab w:leader="none" w:pos="1299" w:val="left"/>
        </w:tabs>
        <w:numPr>
          <w:ilvl w:val="0"/>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Period of Employment. </w:t>
      </w:r>
      <w:r>
        <w:rPr>
          <w:rFonts w:ascii="Arial" w:cs="Arial" w:eastAsia="Arial" w:hAnsi="Arial"/>
          <w:sz w:val="20"/>
          <w:szCs w:val="20"/>
          <w:color w:val="auto"/>
        </w:rPr>
        <w:t>Employment under the terms of this Agreement shall start on December 2, 2024,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supersede any other agreements you have with the Company, Recursion, or their affiliates regarding the subject matter of this agreement. The employment shall be for an indefinite period and shall continue until either party terminates it by giving to the other not less than three months' written notice (subject as set out below). Notice may be given at any time.</w:t>
      </w:r>
    </w:p>
    <w:p>
      <w:pPr>
        <w:spacing w:after="0" w:line="164" w:lineRule="exact"/>
        <w:rPr>
          <w:rFonts w:ascii="Arial" w:cs="Arial" w:eastAsia="Arial" w:hAnsi="Arial"/>
          <w:sz w:val="20"/>
          <w:szCs w:val="20"/>
          <w:color w:val="auto"/>
        </w:rPr>
      </w:pPr>
    </w:p>
    <w:p>
      <w:pPr>
        <w:jc w:val="both"/>
        <w:ind w:firstLine="656"/>
        <w:spacing w:after="0" w:line="260" w:lineRule="auto"/>
        <w:tabs>
          <w:tab w:leader="none" w:pos="1299" w:val="left"/>
        </w:tabs>
        <w:numPr>
          <w:ilvl w:val="0"/>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Location. </w:t>
      </w:r>
      <w:r>
        <w:rPr>
          <w:rFonts w:ascii="Arial" w:cs="Arial" w:eastAsia="Arial" w:hAnsi="Arial"/>
          <w:sz w:val="20"/>
          <w:szCs w:val="20"/>
          <w:color w:val="auto"/>
        </w:rPr>
        <w:t>Your normal place of work shall be the Company's offices at The Schrödinger Building Oxford Science</w:t>
      </w:r>
      <w:r>
        <w:rPr>
          <w:rFonts w:ascii="Arial" w:cs="Arial" w:eastAsia="Arial" w:hAnsi="Arial"/>
          <w:sz w:val="20"/>
          <w:szCs w:val="20"/>
          <w:b w:val="1"/>
          <w:bCs w:val="1"/>
          <w:color w:val="auto"/>
        </w:rPr>
        <w:t xml:space="preserve"> </w:t>
      </w:r>
      <w:r>
        <w:rPr>
          <w:rFonts w:ascii="Arial" w:cs="Arial" w:eastAsia="Arial" w:hAnsi="Arial"/>
          <w:sz w:val="20"/>
          <w:szCs w:val="20"/>
          <w:color w:val="auto"/>
        </w:rPr>
        <w:t>Park, Oxford OX4 4GE or such other place of business of the Company or any Associated Company as the Company may reasonably determine from time to time within the United Kingdom. You may be required to travel both inside and outside of the UK.</w:t>
      </w:r>
    </w:p>
    <w:p>
      <w:pPr>
        <w:spacing w:after="0" w:line="177" w:lineRule="exact"/>
        <w:rPr>
          <w:rFonts w:ascii="Arial" w:cs="Arial" w:eastAsia="Arial" w:hAnsi="Arial"/>
          <w:sz w:val="20"/>
          <w:szCs w:val="20"/>
          <w:color w:val="auto"/>
        </w:rPr>
      </w:pPr>
    </w:p>
    <w:p>
      <w:pPr>
        <w:jc w:val="both"/>
        <w:ind w:firstLine="656"/>
        <w:spacing w:after="0" w:line="263" w:lineRule="auto"/>
        <w:tabs>
          <w:tab w:leader="none" w:pos="1299" w:val="left"/>
        </w:tabs>
        <w:numPr>
          <w:ilvl w:val="0"/>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Salary. </w:t>
      </w:r>
      <w:r>
        <w:rPr>
          <w:rFonts w:ascii="Arial" w:cs="Arial" w:eastAsia="Arial" w:hAnsi="Arial"/>
          <w:sz w:val="20"/>
          <w:szCs w:val="20"/>
          <w:color w:val="auto"/>
        </w:rPr>
        <w:t>Your annual base gross salary shall be £400,000 (GBP) subject to statutory deductions and paid by equal</w:t>
      </w:r>
      <w:r>
        <w:rPr>
          <w:rFonts w:ascii="Arial" w:cs="Arial" w:eastAsia="Arial" w:hAnsi="Arial"/>
          <w:sz w:val="20"/>
          <w:szCs w:val="20"/>
          <w:b w:val="1"/>
          <w:bCs w:val="1"/>
          <w:color w:val="auto"/>
        </w:rPr>
        <w:t xml:space="preserve"> </w:t>
      </w:r>
      <w:r>
        <w:rPr>
          <w:rFonts w:ascii="Arial" w:cs="Arial" w:eastAsia="Arial" w:hAnsi="Arial"/>
          <w:sz w:val="20"/>
          <w:szCs w:val="20"/>
          <w:color w:val="auto"/>
        </w:rPr>
        <w:t>monthly instalments in arrears by credit transfer to your bank account in accordance with the Company’s normal payroll practices. Your annual base salary may be modified from time to time at the discretion of the Company.</w:t>
      </w:r>
    </w:p>
    <w:p>
      <w:pPr>
        <w:spacing w:after="0" w:line="212" w:lineRule="exact"/>
        <w:rPr>
          <w:rFonts w:ascii="Arial" w:cs="Arial" w:eastAsia="Arial" w:hAnsi="Arial"/>
          <w:sz w:val="20"/>
          <w:szCs w:val="20"/>
          <w:color w:val="auto"/>
        </w:rPr>
      </w:pPr>
    </w:p>
    <w:p>
      <w:pPr>
        <w:ind w:left="5520" w:hanging="123"/>
        <w:spacing w:after="0"/>
        <w:tabs>
          <w:tab w:leader="none" w:pos="552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234" w:name="page235"/>
    <w:bookmarkEnd w:id="234"/>
    <w:p>
      <w:pPr>
        <w:spacing w:after="0" w:line="200" w:lineRule="exact"/>
        <w:rPr>
          <w:sz w:val="20"/>
          <w:szCs w:val="20"/>
          <w:color w:val="auto"/>
        </w:rPr>
      </w:pPr>
    </w:p>
    <w:p>
      <w:pPr>
        <w:spacing w:after="0" w:line="232" w:lineRule="exact"/>
        <w:rPr>
          <w:sz w:val="20"/>
          <w:szCs w:val="20"/>
          <w:color w:val="auto"/>
        </w:rPr>
      </w:pPr>
    </w:p>
    <w:p>
      <w:pPr>
        <w:jc w:val="both"/>
        <w:ind w:left="-656" w:firstLine="656"/>
        <w:spacing w:after="0" w:line="252" w:lineRule="auto"/>
        <w:tabs>
          <w:tab w:leader="none" w:pos="643" w:val="left"/>
        </w:tabs>
        <w:numPr>
          <w:ilvl w:val="0"/>
          <w:numId w:val="141"/>
        </w:numPr>
        <w:rPr>
          <w:rFonts w:ascii="Arial" w:cs="Arial" w:eastAsia="Arial" w:hAnsi="Arial"/>
          <w:sz w:val="20"/>
          <w:szCs w:val="20"/>
          <w:color w:val="auto"/>
        </w:rPr>
      </w:pPr>
      <w:r>
        <w:rPr>
          <w:rFonts w:ascii="Arial" w:cs="Arial" w:eastAsia="Arial" w:hAnsi="Arial"/>
          <w:sz w:val="20"/>
          <w:szCs w:val="20"/>
          <w:b w:val="1"/>
          <w:bCs w:val="1"/>
          <w:color w:val="auto"/>
        </w:rPr>
        <w:t>Annual Bonus</w:t>
      </w:r>
      <w:r>
        <w:rPr>
          <w:rFonts w:ascii="Arial" w:cs="Arial" w:eastAsia="Arial" w:hAnsi="Arial"/>
          <w:sz w:val="20"/>
          <w:szCs w:val="20"/>
          <w:color w:val="auto"/>
        </w:rPr>
        <w:t>. You are eligible to earn an annual cash bonus with a target value of 25% of your annual base</w:t>
      </w:r>
      <w:r>
        <w:rPr>
          <w:rFonts w:ascii="Arial" w:cs="Arial" w:eastAsia="Arial" w:hAnsi="Arial"/>
          <w:sz w:val="20"/>
          <w:szCs w:val="20"/>
          <w:b w:val="1"/>
          <w:bCs w:val="1"/>
          <w:color w:val="auto"/>
        </w:rPr>
        <w:t xml:space="preserve"> </w:t>
      </w:r>
      <w:r>
        <w:rPr>
          <w:rFonts w:ascii="Arial" w:cs="Arial" w:eastAsia="Arial" w:hAnsi="Arial"/>
          <w:sz w:val="20"/>
          <w:szCs w:val="20"/>
          <w:color w:val="auto"/>
        </w:rPr>
        <w:t>salary and an annual equity bonus with a target value of 25% of your annual base salary paid in fully vested equity awards, in each case based on achieving performance objectives established by the Board or an authorized committee thereof (the "Committee") in its sole discretion and payable upon achievement of those objectives as determined by the Committee. If any portion of any such bonus is earned, it will be paid when practicable after the Committee determines it has been earned, subject to you remaining employed with the Company, and you not having given or received notice of termination of employment, at the payment date. Your annual bonus opportunity will be subject to review and adjustment based upon the Recursion's normal performance review practices.</w:t>
      </w:r>
    </w:p>
    <w:p>
      <w:pPr>
        <w:spacing w:after="0" w:line="187" w:lineRule="exact"/>
        <w:rPr>
          <w:rFonts w:ascii="Arial" w:cs="Arial" w:eastAsia="Arial" w:hAnsi="Arial"/>
          <w:sz w:val="20"/>
          <w:szCs w:val="20"/>
          <w:color w:val="auto"/>
        </w:rPr>
      </w:pPr>
    </w:p>
    <w:p>
      <w:pPr>
        <w:ind w:left="644" w:hanging="644"/>
        <w:spacing w:after="0"/>
        <w:tabs>
          <w:tab w:leader="none" w:pos="644" w:val="left"/>
        </w:tabs>
        <w:numPr>
          <w:ilvl w:val="0"/>
          <w:numId w:val="141"/>
        </w:numPr>
        <w:rPr>
          <w:rFonts w:ascii="Arial" w:cs="Arial" w:eastAsia="Arial" w:hAnsi="Arial"/>
          <w:sz w:val="20"/>
          <w:szCs w:val="20"/>
          <w:color w:val="auto"/>
        </w:rPr>
      </w:pPr>
      <w:r>
        <w:rPr>
          <w:rFonts w:ascii="Arial" w:cs="Arial" w:eastAsia="Arial" w:hAnsi="Arial"/>
          <w:sz w:val="20"/>
          <w:szCs w:val="20"/>
          <w:b w:val="1"/>
          <w:bCs w:val="1"/>
          <w:color w:val="auto"/>
        </w:rPr>
        <w:t>Equity Awards.</w:t>
      </w:r>
    </w:p>
    <w:p>
      <w:pPr>
        <w:spacing w:after="0" w:line="217" w:lineRule="exact"/>
        <w:rPr>
          <w:rFonts w:ascii="Arial" w:cs="Arial" w:eastAsia="Arial" w:hAnsi="Arial"/>
          <w:sz w:val="20"/>
          <w:szCs w:val="20"/>
          <w:color w:val="auto"/>
        </w:rPr>
      </w:pPr>
    </w:p>
    <w:p>
      <w:pPr>
        <w:jc w:val="both"/>
        <w:ind w:left="-656" w:firstLine="1304"/>
        <w:spacing w:after="0" w:line="245" w:lineRule="auto"/>
        <w:tabs>
          <w:tab w:leader="none" w:pos="1304" w:val="left"/>
        </w:tabs>
        <w:numPr>
          <w:ilvl w:val="1"/>
          <w:numId w:val="141"/>
        </w:numPr>
        <w:rPr>
          <w:rFonts w:ascii="Arial" w:cs="Arial" w:eastAsia="Arial" w:hAnsi="Arial"/>
          <w:sz w:val="20"/>
          <w:szCs w:val="20"/>
          <w:color w:val="auto"/>
        </w:rPr>
      </w:pPr>
      <w:r>
        <w:rPr>
          <w:rFonts w:ascii="Arial" w:cs="Arial" w:eastAsia="Arial" w:hAnsi="Arial"/>
          <w:sz w:val="20"/>
          <w:szCs w:val="20"/>
          <w:color w:val="auto"/>
        </w:rPr>
        <w:t>Subject to the approval of the Committee, Recursion will grant you an award of restricted stock units ("RSUs") with a target value of $2,500,000 (USD). If the RSU award is approved by the Committee, on the grant date, the target value will be converted into a number of RSUs determined in accordance with Recursion's equity practices. Each RSU subject to the award will represent a right to receive one share of Recursion’s Class A Common Stock upon vesting. The RSU award will vest as follows: 1/16th of the RSUs subject to the award shall vest on February 15, 2025 and an additional 1/16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the RSUs subject to the award will vest every Recursion Vesting Date (each of February 15, May 15, August 15, and November 15 is a "Recursion Vesting Date") thereafter until the RSU award is fully vested, subject to your continued employment with the Company or an Associated Company, and you not having given or received notice of termination of employment, at each such Recursion Vesting Date. The RSU award will be subject to the terms and conditions of Recursion's equity incentive plan as then in effect and the applicable form of RSU agreement thereunder.</w:t>
      </w:r>
    </w:p>
    <w:p>
      <w:pPr>
        <w:spacing w:after="0" w:line="185" w:lineRule="exact"/>
        <w:rPr>
          <w:rFonts w:ascii="Arial" w:cs="Arial" w:eastAsia="Arial" w:hAnsi="Arial"/>
          <w:sz w:val="20"/>
          <w:szCs w:val="20"/>
          <w:color w:val="auto"/>
        </w:rPr>
      </w:pPr>
    </w:p>
    <w:p>
      <w:pPr>
        <w:jc w:val="both"/>
        <w:ind w:left="-656" w:firstLine="1304"/>
        <w:spacing w:after="0" w:line="252" w:lineRule="auto"/>
        <w:tabs>
          <w:tab w:leader="none" w:pos="1291" w:val="left"/>
        </w:tabs>
        <w:numPr>
          <w:ilvl w:val="1"/>
          <w:numId w:val="141"/>
        </w:numPr>
        <w:rPr>
          <w:rFonts w:ascii="Arial" w:cs="Arial" w:eastAsia="Arial" w:hAnsi="Arial"/>
          <w:sz w:val="20"/>
          <w:szCs w:val="20"/>
          <w:color w:val="auto"/>
        </w:rPr>
      </w:pPr>
      <w:r>
        <w:rPr>
          <w:rFonts w:ascii="Arial" w:cs="Arial" w:eastAsia="Arial" w:hAnsi="Arial"/>
          <w:sz w:val="20"/>
          <w:szCs w:val="20"/>
          <w:color w:val="auto"/>
        </w:rPr>
        <w:t>Subject to the approval of the Committee, Recursion will grant you an option to purchase shares of Recursion’s Class A Common Stock at a price per share equal to the fair market value of a share of Recursion’s Class A Common Stock on the date of grant (as determined by the Committee), with such option having a target value of $2,500,000 (USD). If the option is approved by the Committee, on the grant date, the target value will be converted into an option to purchase a number of shares determined in accordance with Recursion's equity practices. The option will vest as follows: 1/48th of the shares subject to the option shall vest on one full month from the start date of your employment under this Agreement and 1/48th of the shares subject to the option award will vest each month thereafter until the option award is fully vested, subject to your continued employment with the Company or an Associated Company, and you not having given or received notice of termination of employment, at each such vesting date. Your option grant shall be subject to the terms and conditions of the of Recursion's equity incentive plan as then in effect and the applicable form of option agreement thereunder.</w:t>
      </w:r>
    </w:p>
    <w:p>
      <w:pPr>
        <w:spacing w:after="0" w:line="177" w:lineRule="exact"/>
        <w:rPr>
          <w:rFonts w:ascii="Arial" w:cs="Arial" w:eastAsia="Arial" w:hAnsi="Arial"/>
          <w:sz w:val="20"/>
          <w:szCs w:val="20"/>
          <w:color w:val="auto"/>
        </w:rPr>
      </w:pPr>
    </w:p>
    <w:p>
      <w:pPr>
        <w:jc w:val="both"/>
        <w:ind w:left="-656" w:firstLine="1304"/>
        <w:spacing w:after="0" w:line="254" w:lineRule="auto"/>
        <w:tabs>
          <w:tab w:leader="none" w:pos="1307" w:val="left"/>
        </w:tabs>
        <w:numPr>
          <w:ilvl w:val="1"/>
          <w:numId w:val="141"/>
        </w:numPr>
        <w:rPr>
          <w:rFonts w:ascii="Arial" w:cs="Arial" w:eastAsia="Arial" w:hAnsi="Arial"/>
          <w:sz w:val="20"/>
          <w:szCs w:val="20"/>
          <w:color w:val="auto"/>
        </w:rPr>
      </w:pPr>
      <w:r>
        <w:rPr>
          <w:rFonts w:ascii="Arial" w:cs="Arial" w:eastAsia="Arial" w:hAnsi="Arial"/>
          <w:sz w:val="20"/>
          <w:szCs w:val="20"/>
          <w:color w:val="auto"/>
        </w:rPr>
        <w:t>In addition, you will be eligible to receive other awards of stock options, restricted stock units or other equity awards pursuant to any plans or arrangements Recursion may have in effect from time to time. The Committee will determine in its discretion whether you will be granted any such equity awards and the terms of any such award in accordance with the terms of any applicable plan or arrangement that may be in effect from time to time. The grant of any such award will not imply that any further awards will be granted to you nor that you have any right to receive any further award, which remain at the Committee's discretion.</w:t>
      </w:r>
    </w:p>
    <w:p>
      <w:pPr>
        <w:spacing w:after="0" w:line="184" w:lineRule="exact"/>
        <w:rPr>
          <w:rFonts w:ascii="Arial" w:cs="Arial" w:eastAsia="Arial" w:hAnsi="Arial"/>
          <w:sz w:val="20"/>
          <w:szCs w:val="20"/>
          <w:color w:val="auto"/>
        </w:rPr>
      </w:pPr>
    </w:p>
    <w:p>
      <w:pPr>
        <w:ind w:left="-656" w:firstLine="656"/>
        <w:spacing w:after="0" w:line="274" w:lineRule="auto"/>
        <w:tabs>
          <w:tab w:leader="none" w:pos="643" w:val="left"/>
        </w:tabs>
        <w:numPr>
          <w:ilvl w:val="0"/>
          <w:numId w:val="141"/>
        </w:numPr>
        <w:rPr>
          <w:rFonts w:ascii="Arial" w:cs="Arial" w:eastAsia="Arial" w:hAnsi="Arial"/>
          <w:sz w:val="20"/>
          <w:szCs w:val="20"/>
          <w:color w:val="auto"/>
        </w:rPr>
      </w:pPr>
      <w:r>
        <w:rPr>
          <w:rFonts w:ascii="Arial" w:cs="Arial" w:eastAsia="Arial" w:hAnsi="Arial"/>
          <w:sz w:val="20"/>
          <w:szCs w:val="20"/>
          <w:b w:val="1"/>
          <w:bCs w:val="1"/>
          <w:color w:val="auto"/>
        </w:rPr>
        <w:t xml:space="preserve">Employee Benefits. </w:t>
      </w:r>
      <w:r>
        <w:rPr>
          <w:rFonts w:ascii="Arial" w:cs="Arial" w:eastAsia="Arial" w:hAnsi="Arial"/>
          <w:sz w:val="20"/>
          <w:szCs w:val="20"/>
          <w:color w:val="auto"/>
        </w:rPr>
        <w:t>As a regular full time employee of the Company, you will be eligible to participate in</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Company-sponsored benefits, including private medical insurance with global coverage,</w:t>
      </w:r>
    </w:p>
    <w:p>
      <w:pPr>
        <w:spacing w:after="0" w:line="200" w:lineRule="exact"/>
        <w:rPr>
          <w:rFonts w:ascii="Arial" w:cs="Arial" w:eastAsia="Arial" w:hAnsi="Arial"/>
          <w:sz w:val="20"/>
          <w:szCs w:val="20"/>
          <w:color w:val="auto"/>
        </w:rPr>
      </w:pPr>
    </w:p>
    <w:p>
      <w:pPr>
        <w:spacing w:after="0" w:line="216" w:lineRule="exact"/>
        <w:rPr>
          <w:rFonts w:ascii="Arial" w:cs="Arial" w:eastAsia="Arial" w:hAnsi="Arial"/>
          <w:sz w:val="20"/>
          <w:szCs w:val="20"/>
          <w:color w:val="auto"/>
        </w:rPr>
      </w:pPr>
    </w:p>
    <w:p>
      <w:pPr>
        <w:ind w:left="4864" w:hanging="123"/>
        <w:spacing w:after="0"/>
        <w:tabs>
          <w:tab w:leader="none" w:pos="4864" w:val="left"/>
        </w:tabs>
        <w:numPr>
          <w:ilvl w:val="2"/>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40" w:right="339" w:bottom="1440" w:gutter="0" w:footer="0" w:header="0"/>
        </w:sectPr>
      </w:pPr>
    </w:p>
    <w:bookmarkStart w:id="235" w:name="page236"/>
    <w:bookmarkEnd w:id="235"/>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dental, death in service insurance subject to and in accordance with the terms of the Company’s policies and benefits plan and of the relevant scheme in force from time to time. Information regarding coverage, eligibility, and other information regarding these benefits is set forth in more detailed documents that are available from the Company. The Company may, from time to time, in its sole discretion, modify or eliminate its policies and/or benefits offered to employees.</w:t>
      </w:r>
    </w:p>
    <w:p>
      <w:pPr>
        <w:spacing w:after="0" w:line="166" w:lineRule="exact"/>
        <w:rPr>
          <w:sz w:val="20"/>
          <w:szCs w:val="20"/>
          <w:color w:val="auto"/>
        </w:rPr>
      </w:pPr>
    </w:p>
    <w:p>
      <w:pPr>
        <w:ind w:left="1300" w:hanging="644"/>
        <w:spacing w:after="0"/>
        <w:tabs>
          <w:tab w:leader="none" w:pos="1300" w:val="left"/>
        </w:tabs>
        <w:numPr>
          <w:ilvl w:val="0"/>
          <w:numId w:val="142"/>
        </w:numPr>
        <w:rPr>
          <w:rFonts w:ascii="Arial" w:cs="Arial" w:eastAsia="Arial" w:hAnsi="Arial"/>
          <w:sz w:val="20"/>
          <w:szCs w:val="20"/>
          <w:color w:val="auto"/>
        </w:rPr>
      </w:pPr>
      <w:r>
        <w:rPr>
          <w:rFonts w:ascii="Arial" w:cs="Arial" w:eastAsia="Arial" w:hAnsi="Arial"/>
          <w:sz w:val="20"/>
          <w:szCs w:val="20"/>
          <w:b w:val="1"/>
          <w:bCs w:val="1"/>
          <w:color w:val="auto"/>
        </w:rPr>
        <w:t>Holiday.</w:t>
      </w:r>
    </w:p>
    <w:p>
      <w:pPr>
        <w:spacing w:after="0" w:line="231" w:lineRule="exact"/>
        <w:rPr>
          <w:rFonts w:ascii="Arial" w:cs="Arial" w:eastAsia="Arial" w:hAnsi="Arial"/>
          <w:sz w:val="20"/>
          <w:szCs w:val="20"/>
          <w:color w:val="auto"/>
        </w:rPr>
      </w:pPr>
    </w:p>
    <w:p>
      <w:pPr>
        <w:jc w:val="both"/>
        <w:ind w:firstLine="1304"/>
        <w:spacing w:after="0" w:line="254" w:lineRule="auto"/>
        <w:tabs>
          <w:tab w:leader="none" w:pos="1960" w:val="left"/>
        </w:tabs>
        <w:numPr>
          <w:ilvl w:val="1"/>
          <w:numId w:val="142"/>
        </w:numPr>
        <w:rPr>
          <w:rFonts w:ascii="Arial" w:cs="Arial" w:eastAsia="Arial" w:hAnsi="Arial"/>
          <w:sz w:val="20"/>
          <w:szCs w:val="20"/>
          <w:color w:val="auto"/>
        </w:rPr>
      </w:pPr>
      <w:r>
        <w:rPr>
          <w:rFonts w:ascii="Arial" w:cs="Arial" w:eastAsia="Arial" w:hAnsi="Arial"/>
          <w:sz w:val="20"/>
          <w:szCs w:val="20"/>
          <w:color w:val="auto"/>
        </w:rPr>
        <w:t>You will be entitled to twenty-eight (28) days paid holiday in each of the Company's holiday years (which is the calendar year) in addition to the usual public and bank holidays. Holiday entitlement in the holiday years that the employment starts and ends shall be calculated on a pro rata basis for each complete month of employment. On termination of employment, you will be paid in lieu of any untaken holiday entitlement in respect of the holiday year in which termination takes effect (if any), or shall be obliged to repay any holiday pay received in excess of your entitlement (if any). One day's pay for the purposes of this clause shall be calculated at the rate of 1/260th of your annual base salary.</w:t>
      </w:r>
    </w:p>
    <w:p>
      <w:pPr>
        <w:spacing w:after="0" w:line="173" w:lineRule="exact"/>
        <w:rPr>
          <w:rFonts w:ascii="Arial" w:cs="Arial" w:eastAsia="Arial" w:hAnsi="Arial"/>
          <w:sz w:val="20"/>
          <w:szCs w:val="20"/>
          <w:color w:val="auto"/>
        </w:rPr>
      </w:pPr>
    </w:p>
    <w:p>
      <w:pPr>
        <w:jc w:val="both"/>
        <w:ind w:firstLine="1304"/>
        <w:spacing w:after="0" w:line="259" w:lineRule="auto"/>
        <w:tabs>
          <w:tab w:leader="none" w:pos="1947" w:val="left"/>
        </w:tabs>
        <w:numPr>
          <w:ilvl w:val="1"/>
          <w:numId w:val="142"/>
        </w:numPr>
        <w:rPr>
          <w:rFonts w:ascii="Arial" w:cs="Arial" w:eastAsia="Arial" w:hAnsi="Arial"/>
          <w:sz w:val="20"/>
          <w:szCs w:val="20"/>
          <w:color w:val="auto"/>
        </w:rPr>
      </w:pPr>
      <w:r>
        <w:rPr>
          <w:rFonts w:ascii="Arial" w:cs="Arial" w:eastAsia="Arial" w:hAnsi="Arial"/>
          <w:sz w:val="20"/>
          <w:szCs w:val="20"/>
          <w:color w:val="auto"/>
        </w:rPr>
        <w:t>Holiday shall be taken at such times as are approved by the Company and may not be carried forward from one holiday year to the next without the approval of the Company. The Company may require you to take any holiday due during any period during which you are not required to perform any duties or at any time after notice of termination has been served by either party.</w:t>
      </w:r>
    </w:p>
    <w:p>
      <w:pPr>
        <w:spacing w:after="0" w:line="179" w:lineRule="exact"/>
        <w:rPr>
          <w:rFonts w:ascii="Arial" w:cs="Arial" w:eastAsia="Arial" w:hAnsi="Arial"/>
          <w:sz w:val="20"/>
          <w:szCs w:val="20"/>
          <w:color w:val="auto"/>
        </w:rPr>
      </w:pPr>
    </w:p>
    <w:p>
      <w:pPr>
        <w:jc w:val="both"/>
        <w:ind w:firstLine="656"/>
        <w:spacing w:after="0" w:line="252" w:lineRule="auto"/>
        <w:tabs>
          <w:tab w:leader="none" w:pos="1314" w:val="left"/>
        </w:tabs>
        <w:numPr>
          <w:ilvl w:val="0"/>
          <w:numId w:val="142"/>
        </w:numPr>
        <w:rPr>
          <w:rFonts w:ascii="Arial" w:cs="Arial" w:eastAsia="Arial" w:hAnsi="Arial"/>
          <w:sz w:val="20"/>
          <w:szCs w:val="20"/>
          <w:color w:val="auto"/>
        </w:rPr>
      </w:pPr>
      <w:r>
        <w:rPr>
          <w:rFonts w:ascii="Arial" w:cs="Arial" w:eastAsia="Arial" w:hAnsi="Arial"/>
          <w:sz w:val="20"/>
          <w:szCs w:val="20"/>
          <w:b w:val="1"/>
          <w:bCs w:val="1"/>
          <w:color w:val="auto"/>
        </w:rPr>
        <w:t xml:space="preserve">Severance. </w:t>
      </w:r>
      <w:r>
        <w:rPr>
          <w:rFonts w:ascii="Arial" w:cs="Arial" w:eastAsia="Arial" w:hAnsi="Arial"/>
          <w:sz w:val="20"/>
          <w:szCs w:val="20"/>
          <w:color w:val="auto"/>
        </w:rPr>
        <w:t>You will be eligible for Recursion’s Executive Change in Control and Severance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“Severance Plan”) by entering into a Participation Agreement under the Severance Plan, which is being provided to you concurrently with this Agreement. Your Participation Agreement under the Severance Plan will specify the severance payments and benefits you could be eligible to receive in connection with certain terminations of your employment with the Company. To the extent that you become eligible to receive payments and benefits under Section 11 or 12 of this Agreement, the aggregate amount of such payments and benefits will offset the corresponding payments and benefits that you may become eligible to receive under the Severance Plan, subject to compliance with applicable law.</w:t>
      </w:r>
    </w:p>
    <w:p>
      <w:pPr>
        <w:spacing w:after="0" w:line="186" w:lineRule="exact"/>
        <w:rPr>
          <w:rFonts w:ascii="Arial" w:cs="Arial" w:eastAsia="Arial" w:hAnsi="Arial"/>
          <w:sz w:val="20"/>
          <w:szCs w:val="20"/>
          <w:color w:val="auto"/>
        </w:rPr>
      </w:pPr>
    </w:p>
    <w:p>
      <w:pPr>
        <w:jc w:val="both"/>
        <w:ind w:firstLine="656"/>
        <w:spacing w:after="0" w:line="252" w:lineRule="auto"/>
        <w:tabs>
          <w:tab w:leader="none" w:pos="1300" w:val="left"/>
        </w:tabs>
        <w:numPr>
          <w:ilvl w:val="0"/>
          <w:numId w:val="142"/>
        </w:numPr>
        <w:rPr>
          <w:rFonts w:ascii="Arial" w:cs="Arial" w:eastAsia="Arial" w:hAnsi="Arial"/>
          <w:sz w:val="20"/>
          <w:szCs w:val="20"/>
          <w:color w:val="auto"/>
        </w:rPr>
      </w:pPr>
      <w:r>
        <w:rPr>
          <w:rFonts w:ascii="Arial" w:cs="Arial" w:eastAsia="Arial" w:hAnsi="Arial"/>
          <w:sz w:val="20"/>
          <w:szCs w:val="20"/>
          <w:b w:val="1"/>
          <w:bCs w:val="1"/>
          <w:color w:val="auto"/>
        </w:rPr>
        <w:t xml:space="preserve">Garden Leave. </w:t>
      </w:r>
      <w:r>
        <w:rPr>
          <w:rFonts w:ascii="Arial" w:cs="Arial" w:eastAsia="Arial" w:hAnsi="Arial"/>
          <w:sz w:val="20"/>
          <w:szCs w:val="20"/>
          <w:color w:val="auto"/>
        </w:rPr>
        <w:t>The Company reserves the right, at any time, to require you, for such period or periods not</w:t>
      </w:r>
      <w:r>
        <w:rPr>
          <w:rFonts w:ascii="Arial" w:cs="Arial" w:eastAsia="Arial" w:hAnsi="Arial"/>
          <w:sz w:val="20"/>
          <w:szCs w:val="20"/>
          <w:b w:val="1"/>
          <w:bCs w:val="1"/>
          <w:color w:val="auto"/>
        </w:rPr>
        <w:t xml:space="preserve"> </w:t>
      </w:r>
      <w:r>
        <w:rPr>
          <w:rFonts w:ascii="Arial" w:cs="Arial" w:eastAsia="Arial" w:hAnsi="Arial"/>
          <w:sz w:val="20"/>
          <w:szCs w:val="20"/>
          <w:color w:val="auto"/>
        </w:rPr>
        <w:t>exceeding three month(s) as it sees fit, to cease carrying out your duties and/or to exclude you from any premises belonging to the Company or any Associated Company, provided that, during such period or periods, the Company continues to pay and provide your salary and contractual benefits and you must continue to comply, without exception, with all of your obligations under this Agreement. For the avoidance of doubt, during such period or periods, you will not, without the prior written consent of the Company, directly or indirectly carry on or be engaged, concerned or interested in any other business, trade, or occupation, or contact any customers, clients, suppliers, agents, professional advisers, directors, officers, employees, consultants or contractors of the Company or any Associated Company (other than for purely social contact).</w:t>
      </w:r>
    </w:p>
    <w:p>
      <w:pPr>
        <w:spacing w:after="0" w:line="187" w:lineRule="exact"/>
        <w:rPr>
          <w:rFonts w:ascii="Arial" w:cs="Arial" w:eastAsia="Arial" w:hAnsi="Arial"/>
          <w:sz w:val="20"/>
          <w:szCs w:val="20"/>
          <w:color w:val="auto"/>
        </w:rPr>
      </w:pPr>
    </w:p>
    <w:p>
      <w:pPr>
        <w:ind w:left="1320" w:hanging="664"/>
        <w:spacing w:after="0"/>
        <w:tabs>
          <w:tab w:leader="none" w:pos="1320" w:val="left"/>
        </w:tabs>
        <w:numPr>
          <w:ilvl w:val="0"/>
          <w:numId w:val="142"/>
        </w:numPr>
        <w:rPr>
          <w:rFonts w:ascii="Arial" w:cs="Arial" w:eastAsia="Arial" w:hAnsi="Arial"/>
          <w:sz w:val="20"/>
          <w:szCs w:val="20"/>
          <w:color w:val="auto"/>
        </w:rPr>
      </w:pPr>
      <w:r>
        <w:rPr>
          <w:rFonts w:ascii="Arial" w:cs="Arial" w:eastAsia="Arial" w:hAnsi="Arial"/>
          <w:sz w:val="20"/>
          <w:szCs w:val="20"/>
          <w:b w:val="1"/>
          <w:bCs w:val="1"/>
          <w:color w:val="auto"/>
        </w:rPr>
        <w:t>Termination.</w:t>
      </w:r>
    </w:p>
    <w:p>
      <w:pPr>
        <w:spacing w:after="0" w:line="217" w:lineRule="exact"/>
        <w:rPr>
          <w:rFonts w:ascii="Arial" w:cs="Arial" w:eastAsia="Arial" w:hAnsi="Arial"/>
          <w:sz w:val="20"/>
          <w:szCs w:val="20"/>
          <w:color w:val="auto"/>
        </w:rPr>
      </w:pPr>
    </w:p>
    <w:p>
      <w:pPr>
        <w:jc w:val="both"/>
        <w:ind w:firstLine="1304"/>
        <w:spacing w:after="0" w:line="259" w:lineRule="auto"/>
        <w:tabs>
          <w:tab w:leader="none" w:pos="1960" w:val="left"/>
        </w:tabs>
        <w:numPr>
          <w:ilvl w:val="1"/>
          <w:numId w:val="142"/>
        </w:numPr>
        <w:rPr>
          <w:rFonts w:ascii="Arial" w:cs="Arial" w:eastAsia="Arial" w:hAnsi="Arial"/>
          <w:sz w:val="20"/>
          <w:szCs w:val="20"/>
          <w:color w:val="auto"/>
        </w:rPr>
      </w:pPr>
      <w:r>
        <w:rPr>
          <w:rFonts w:ascii="Arial" w:cs="Arial" w:eastAsia="Arial" w:hAnsi="Arial"/>
          <w:sz w:val="20"/>
          <w:szCs w:val="20"/>
          <w:color w:val="auto"/>
        </w:rPr>
        <w:t>The Company reserves the right, in its absolute discretion, to terminate the employment with immediate effect (whether or not notice has been given by either party) by giving notice of its intention to pay to you a payment in lieu of notice and, if it does so, the Company shall make a payment of money in lieu of notice equal to your annual base salary only in respect of any</w:t>
      </w:r>
    </w:p>
    <w:p>
      <w:pPr>
        <w:spacing w:after="0" w:line="216" w:lineRule="exact"/>
        <w:rPr>
          <w:rFonts w:ascii="Arial" w:cs="Arial" w:eastAsia="Arial" w:hAnsi="Arial"/>
          <w:sz w:val="20"/>
          <w:szCs w:val="20"/>
          <w:color w:val="auto"/>
        </w:rPr>
      </w:pPr>
    </w:p>
    <w:p>
      <w:pPr>
        <w:ind w:left="5520" w:hanging="123"/>
        <w:spacing w:after="0"/>
        <w:tabs>
          <w:tab w:leader="none" w:pos="5520"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unexpired part of the notice period to which you are entitled under this Agreement, less any applicable tax and national insurance, within 60 days of such notice. For the avoidance of doubt, where your employment is terminated in accordance with this clause, this Agreement will terminate on the date the Company notifies you that it is terminating your employment in accordance with this clause.</w:t>
      </w:r>
    </w:p>
    <w:p>
      <w:pPr>
        <w:spacing w:after="0" w:line="168" w:lineRule="exact"/>
        <w:rPr>
          <w:sz w:val="20"/>
          <w:szCs w:val="20"/>
          <w:color w:val="auto"/>
        </w:rPr>
      </w:pPr>
    </w:p>
    <w:p>
      <w:pPr>
        <w:ind w:firstLine="1304"/>
        <w:spacing w:after="0" w:line="286" w:lineRule="auto"/>
        <w:tabs>
          <w:tab w:leader="none" w:pos="1947"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The Company may terminate the employment with immediate effect, at any time, without notice or payment in lieu of notice, if you:</w:t>
      </w:r>
    </w:p>
    <w:p>
      <w:pPr>
        <w:spacing w:after="0" w:line="140" w:lineRule="exact"/>
        <w:rPr>
          <w:rFonts w:ascii="Arial" w:cs="Arial" w:eastAsia="Arial" w:hAnsi="Arial"/>
          <w:sz w:val="20"/>
          <w:szCs w:val="20"/>
          <w:color w:val="auto"/>
        </w:rPr>
      </w:pPr>
    </w:p>
    <w:p>
      <w:pPr>
        <w:ind w:firstLine="1952"/>
        <w:spacing w:after="0" w:line="286" w:lineRule="auto"/>
        <w:tabs>
          <w:tab w:leader="none" w:pos="2592" w:val="left"/>
        </w:tabs>
        <w:numPr>
          <w:ilvl w:val="2"/>
          <w:numId w:val="143"/>
        </w:numPr>
        <w:rPr>
          <w:rFonts w:ascii="Arial" w:cs="Arial" w:eastAsia="Arial" w:hAnsi="Arial"/>
          <w:sz w:val="20"/>
          <w:szCs w:val="20"/>
          <w:color w:val="auto"/>
        </w:rPr>
      </w:pPr>
      <w:r>
        <w:rPr>
          <w:rFonts w:ascii="Arial" w:cs="Arial" w:eastAsia="Arial" w:hAnsi="Arial"/>
          <w:sz w:val="20"/>
          <w:szCs w:val="20"/>
          <w:color w:val="auto"/>
        </w:rPr>
        <w:t>commit any serious or persistent breach or non-observance of the terms and conditions of this Agreement or rules of any applicable regulatory authority or body;</w:t>
      </w:r>
    </w:p>
    <w:p>
      <w:pPr>
        <w:spacing w:after="0" w:line="153" w:lineRule="exact"/>
        <w:rPr>
          <w:rFonts w:ascii="Arial" w:cs="Arial" w:eastAsia="Arial" w:hAnsi="Arial"/>
          <w:sz w:val="20"/>
          <w:szCs w:val="20"/>
          <w:color w:val="auto"/>
        </w:rPr>
      </w:pPr>
    </w:p>
    <w:p>
      <w:pPr>
        <w:ind w:firstLine="1952"/>
        <w:spacing w:after="0" w:line="271" w:lineRule="auto"/>
        <w:tabs>
          <w:tab w:leader="none" w:pos="2596" w:val="left"/>
        </w:tabs>
        <w:numPr>
          <w:ilvl w:val="2"/>
          <w:numId w:val="143"/>
        </w:numPr>
        <w:rPr>
          <w:rFonts w:ascii="Arial" w:cs="Arial" w:eastAsia="Arial" w:hAnsi="Arial"/>
          <w:sz w:val="20"/>
          <w:szCs w:val="20"/>
          <w:color w:val="auto"/>
        </w:rPr>
      </w:pPr>
      <w:r>
        <w:rPr>
          <w:rFonts w:ascii="Arial" w:cs="Arial" w:eastAsia="Arial" w:hAnsi="Arial"/>
          <w:sz w:val="20"/>
          <w:szCs w:val="20"/>
          <w:color w:val="auto"/>
        </w:rPr>
        <w:t>are guilty of gross misconduct or gross negligence in connection with or affecting the business or affairs of the Company or any Associated Company;</w:t>
      </w:r>
    </w:p>
    <w:p>
      <w:pPr>
        <w:spacing w:after="0" w:line="169" w:lineRule="exact"/>
        <w:rPr>
          <w:rFonts w:ascii="Arial" w:cs="Arial" w:eastAsia="Arial" w:hAnsi="Arial"/>
          <w:sz w:val="20"/>
          <w:szCs w:val="20"/>
          <w:color w:val="auto"/>
        </w:rPr>
      </w:pPr>
    </w:p>
    <w:p>
      <w:pPr>
        <w:ind w:left="2600" w:hanging="648"/>
        <w:spacing w:after="0"/>
        <w:tabs>
          <w:tab w:leader="none" w:pos="2600" w:val="left"/>
        </w:tabs>
        <w:numPr>
          <w:ilvl w:val="2"/>
          <w:numId w:val="143"/>
        </w:numPr>
        <w:rPr>
          <w:rFonts w:ascii="Arial" w:cs="Arial" w:eastAsia="Arial" w:hAnsi="Arial"/>
          <w:sz w:val="20"/>
          <w:szCs w:val="20"/>
          <w:color w:val="auto"/>
        </w:rPr>
      </w:pPr>
      <w:r>
        <w:rPr>
          <w:rFonts w:ascii="Arial" w:cs="Arial" w:eastAsia="Arial" w:hAnsi="Arial"/>
          <w:sz w:val="20"/>
          <w:szCs w:val="20"/>
          <w:color w:val="auto"/>
        </w:rPr>
        <w:t>are guilty of conduct which brings or is likely to bring you or the Company or any Associated</w:t>
      </w:r>
    </w:p>
    <w:p>
      <w:pPr>
        <w:spacing w:after="0" w:line="1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Company into disrepute;</w:t>
      </w:r>
    </w:p>
    <w:p>
      <w:pPr>
        <w:spacing w:after="0" w:line="211" w:lineRule="exact"/>
        <w:rPr>
          <w:rFonts w:ascii="Arial" w:cs="Arial" w:eastAsia="Arial" w:hAnsi="Arial"/>
          <w:sz w:val="20"/>
          <w:szCs w:val="20"/>
          <w:color w:val="auto"/>
        </w:rPr>
      </w:pPr>
    </w:p>
    <w:p>
      <w:pPr>
        <w:ind w:left="2620" w:hanging="668"/>
        <w:spacing w:after="0"/>
        <w:tabs>
          <w:tab w:leader="none" w:pos="2620" w:val="left"/>
        </w:tabs>
        <w:numPr>
          <w:ilvl w:val="2"/>
          <w:numId w:val="143"/>
        </w:numPr>
        <w:rPr>
          <w:rFonts w:ascii="Arial" w:cs="Arial" w:eastAsia="Arial" w:hAnsi="Arial"/>
          <w:sz w:val="20"/>
          <w:szCs w:val="20"/>
          <w:color w:val="auto"/>
        </w:rPr>
      </w:pPr>
      <w:r>
        <w:rPr>
          <w:rFonts w:ascii="Arial" w:cs="Arial" w:eastAsia="Arial" w:hAnsi="Arial"/>
          <w:sz w:val="20"/>
          <w:szCs w:val="20"/>
          <w:color w:val="auto"/>
        </w:rPr>
        <w:t>are convicted of a criminal offence (other than a road traffic offence for which a non-custodial</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penalty is imposed); and/or</w:t>
      </w:r>
    </w:p>
    <w:p>
      <w:pPr>
        <w:spacing w:after="0" w:line="197" w:lineRule="exact"/>
        <w:rPr>
          <w:rFonts w:ascii="Arial" w:cs="Arial" w:eastAsia="Arial" w:hAnsi="Arial"/>
          <w:sz w:val="20"/>
          <w:szCs w:val="20"/>
          <w:color w:val="auto"/>
        </w:rPr>
      </w:pPr>
    </w:p>
    <w:p>
      <w:pPr>
        <w:ind w:firstLine="1952"/>
        <w:spacing w:after="0" w:line="286" w:lineRule="auto"/>
        <w:tabs>
          <w:tab w:leader="none" w:pos="2607" w:val="left"/>
        </w:tabs>
        <w:numPr>
          <w:ilvl w:val="2"/>
          <w:numId w:val="143"/>
        </w:numPr>
        <w:rPr>
          <w:rFonts w:ascii="Arial" w:cs="Arial" w:eastAsia="Arial" w:hAnsi="Arial"/>
          <w:sz w:val="20"/>
          <w:szCs w:val="20"/>
          <w:color w:val="auto"/>
        </w:rPr>
      </w:pPr>
      <w:r>
        <w:rPr>
          <w:rFonts w:ascii="Arial" w:cs="Arial" w:eastAsia="Arial" w:hAnsi="Arial"/>
          <w:sz w:val="20"/>
          <w:szCs w:val="20"/>
          <w:color w:val="auto"/>
        </w:rPr>
        <w:t>are or become prohibited or disqualified (by law or the articles of association of the Company or any regulatory authority or body) from being a director or voluntarily resign as a director of the Company.</w:t>
      </w:r>
    </w:p>
    <w:p>
      <w:pPr>
        <w:spacing w:after="0" w:line="140" w:lineRule="exact"/>
        <w:rPr>
          <w:rFonts w:ascii="Arial" w:cs="Arial" w:eastAsia="Arial" w:hAnsi="Arial"/>
          <w:sz w:val="20"/>
          <w:szCs w:val="20"/>
          <w:color w:val="auto"/>
        </w:rPr>
      </w:pPr>
    </w:p>
    <w:p>
      <w:pPr>
        <w:ind w:left="1980" w:hanging="676"/>
        <w:spacing w:after="0"/>
        <w:tabs>
          <w:tab w:leader="none" w:pos="198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On termination of employment, you shall:</w:t>
      </w:r>
    </w:p>
    <w:p>
      <w:pPr>
        <w:spacing w:after="0" w:line="229" w:lineRule="exact"/>
        <w:rPr>
          <w:rFonts w:ascii="Arial" w:cs="Arial" w:eastAsia="Arial" w:hAnsi="Arial"/>
          <w:sz w:val="20"/>
          <w:szCs w:val="20"/>
          <w:color w:val="auto"/>
        </w:rPr>
      </w:pPr>
    </w:p>
    <w:p>
      <w:pPr>
        <w:jc w:val="both"/>
        <w:ind w:firstLine="1952"/>
        <w:spacing w:after="0" w:line="259" w:lineRule="auto"/>
        <w:tabs>
          <w:tab w:leader="none" w:pos="2592" w:val="left"/>
        </w:tabs>
        <w:numPr>
          <w:ilvl w:val="2"/>
          <w:numId w:val="143"/>
        </w:numPr>
        <w:rPr>
          <w:rFonts w:ascii="Arial" w:cs="Arial" w:eastAsia="Arial" w:hAnsi="Arial"/>
          <w:sz w:val="20"/>
          <w:szCs w:val="20"/>
          <w:color w:val="auto"/>
        </w:rPr>
      </w:pPr>
      <w:r>
        <w:rPr>
          <w:rFonts w:ascii="Arial" w:cs="Arial" w:eastAsia="Arial" w:hAnsi="Arial"/>
          <w:sz w:val="20"/>
          <w:szCs w:val="20"/>
          <w:color w:val="auto"/>
        </w:rPr>
        <w:t>at the request of the Company, immediately resign from any office you hold in the Company or any Associated Company without claim for compensation (without prejudice to any claims you may have for damages for breach of this Agreement) and, in the event of your failure to do so, the Company is irrevocably authorised to appoint some person in your name and on your behalf to sign and deliver such resignations to the Company;</w:t>
      </w:r>
    </w:p>
    <w:p>
      <w:pPr>
        <w:spacing w:after="0" w:line="168" w:lineRule="exact"/>
        <w:rPr>
          <w:rFonts w:ascii="Arial" w:cs="Arial" w:eastAsia="Arial" w:hAnsi="Arial"/>
          <w:sz w:val="20"/>
          <w:szCs w:val="20"/>
          <w:color w:val="auto"/>
        </w:rPr>
      </w:pPr>
    </w:p>
    <w:p>
      <w:pPr>
        <w:jc w:val="both"/>
        <w:ind w:firstLine="1952"/>
        <w:spacing w:after="0" w:line="269" w:lineRule="auto"/>
        <w:tabs>
          <w:tab w:leader="none" w:pos="2596" w:val="left"/>
        </w:tabs>
        <w:numPr>
          <w:ilvl w:val="2"/>
          <w:numId w:val="143"/>
        </w:numPr>
        <w:rPr>
          <w:rFonts w:ascii="Arial" w:cs="Arial" w:eastAsia="Arial" w:hAnsi="Arial"/>
          <w:sz w:val="20"/>
          <w:szCs w:val="20"/>
          <w:color w:val="auto"/>
        </w:rPr>
      </w:pPr>
      <w:r>
        <w:rPr>
          <w:rFonts w:ascii="Arial" w:cs="Arial" w:eastAsia="Arial" w:hAnsi="Arial"/>
          <w:sz w:val="20"/>
          <w:szCs w:val="20"/>
          <w:color w:val="auto"/>
        </w:rPr>
        <w:t>immediately repay all outstanding debts and loans due to the Company or any Associated Company, and the Company is hereby authorised to deduct from any monies due to you a sum in repayment of all or any part of any such debts or loans;</w:t>
      </w:r>
    </w:p>
    <w:p>
      <w:pPr>
        <w:spacing w:after="0" w:line="158" w:lineRule="exact"/>
        <w:rPr>
          <w:rFonts w:ascii="Arial" w:cs="Arial" w:eastAsia="Arial" w:hAnsi="Arial"/>
          <w:sz w:val="20"/>
          <w:szCs w:val="20"/>
          <w:color w:val="auto"/>
        </w:rPr>
      </w:pPr>
    </w:p>
    <w:p>
      <w:pPr>
        <w:ind w:firstLine="1952"/>
        <w:spacing w:after="0" w:line="286" w:lineRule="auto"/>
        <w:tabs>
          <w:tab w:leader="none" w:pos="2599" w:val="left"/>
        </w:tabs>
        <w:numPr>
          <w:ilvl w:val="2"/>
          <w:numId w:val="143"/>
        </w:numPr>
        <w:rPr>
          <w:rFonts w:ascii="Arial" w:cs="Arial" w:eastAsia="Arial" w:hAnsi="Arial"/>
          <w:sz w:val="20"/>
          <w:szCs w:val="20"/>
          <w:color w:val="auto"/>
        </w:rPr>
      </w:pPr>
      <w:r>
        <w:rPr>
          <w:rFonts w:ascii="Arial" w:cs="Arial" w:eastAsia="Arial" w:hAnsi="Arial"/>
          <w:sz w:val="20"/>
          <w:szCs w:val="20"/>
          <w:color w:val="auto"/>
        </w:rPr>
        <w:t>not, at any time thereafter, make any untrue or misleading statement concerning the business or affairs of the Company or any Associated Company;</w:t>
      </w:r>
    </w:p>
    <w:p>
      <w:pPr>
        <w:spacing w:after="0" w:line="140" w:lineRule="exact"/>
        <w:rPr>
          <w:rFonts w:ascii="Arial" w:cs="Arial" w:eastAsia="Arial" w:hAnsi="Arial"/>
          <w:sz w:val="20"/>
          <w:szCs w:val="20"/>
          <w:color w:val="auto"/>
        </w:rPr>
      </w:pPr>
    </w:p>
    <w:p>
      <w:pPr>
        <w:jc w:val="both"/>
        <w:ind w:firstLine="1952"/>
        <w:spacing w:after="0" w:line="276" w:lineRule="auto"/>
        <w:tabs>
          <w:tab w:leader="none" w:pos="2610" w:val="left"/>
        </w:tabs>
        <w:numPr>
          <w:ilvl w:val="2"/>
          <w:numId w:val="143"/>
        </w:numPr>
        <w:rPr>
          <w:rFonts w:ascii="Arial" w:cs="Arial" w:eastAsia="Arial" w:hAnsi="Arial"/>
          <w:sz w:val="19"/>
          <w:szCs w:val="19"/>
          <w:color w:val="auto"/>
        </w:rPr>
      </w:pPr>
      <w:r>
        <w:rPr>
          <w:rFonts w:ascii="Arial" w:cs="Arial" w:eastAsia="Arial" w:hAnsi="Arial"/>
          <w:sz w:val="19"/>
          <w:szCs w:val="19"/>
          <w:color w:val="auto"/>
        </w:rPr>
        <w:t>return to the Company all property (belonging to the Company or entrusted to it by third parties) which is in your possession, custody or control by virtue of your employment, including (without limitation) mobile phones, laptop</w:t>
      </w:r>
    </w:p>
    <w:p>
      <w:pPr>
        <w:spacing w:after="0" w:line="1" w:lineRule="exact"/>
        <w:rPr>
          <w:rFonts w:ascii="Arial" w:cs="Arial" w:eastAsia="Arial" w:hAnsi="Arial"/>
          <w:sz w:val="19"/>
          <w:szCs w:val="19"/>
          <w:color w:val="auto"/>
        </w:rPr>
      </w:pPr>
    </w:p>
    <w:p>
      <w:pPr>
        <w:ind w:firstLine="8"/>
        <w:spacing w:after="0" w:line="253" w:lineRule="auto"/>
        <w:tabs>
          <w:tab w:leader="none" w:pos="118"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tablet computers, documents, correspondence, lists of customers or clients, and Company data, and all copies and duplicates of such items, whether in a physical or electronic form; and</w:t>
      </w:r>
    </w:p>
    <w:p>
      <w:pPr>
        <w:spacing w:after="0" w:line="185" w:lineRule="exact"/>
        <w:rPr>
          <w:rFonts w:ascii="Arial" w:cs="Arial" w:eastAsia="Arial" w:hAnsi="Arial"/>
          <w:sz w:val="20"/>
          <w:szCs w:val="20"/>
          <w:color w:val="auto"/>
        </w:rPr>
      </w:pPr>
    </w:p>
    <w:p>
      <w:pPr>
        <w:jc w:val="both"/>
        <w:ind w:firstLine="1952"/>
        <w:spacing w:after="0" w:line="262" w:lineRule="auto"/>
        <w:tabs>
          <w:tab w:leader="none" w:pos="2607" w:val="left"/>
        </w:tabs>
        <w:numPr>
          <w:ilvl w:val="2"/>
          <w:numId w:val="144"/>
        </w:numPr>
        <w:rPr>
          <w:rFonts w:ascii="Arial" w:cs="Arial" w:eastAsia="Arial" w:hAnsi="Arial"/>
          <w:sz w:val="20"/>
          <w:szCs w:val="20"/>
          <w:color w:val="auto"/>
        </w:rPr>
      </w:pPr>
      <w:r>
        <w:rPr>
          <w:rFonts w:ascii="Arial" w:cs="Arial" w:eastAsia="Arial" w:hAnsi="Arial"/>
          <w:sz w:val="20"/>
          <w:szCs w:val="20"/>
          <w:color w:val="auto"/>
        </w:rPr>
        <w:t>irretrievably delete all Confidential Information from any electronic devices and other data storage facilities or other re-usable material in your possession custody or control but which do not belong to the Company or any Associated Company, after first having forwarded a copy to the Company.</w:t>
      </w:r>
    </w:p>
    <w:p>
      <w:pPr>
        <w:spacing w:after="0" w:line="212" w:lineRule="exact"/>
        <w:rPr>
          <w:rFonts w:ascii="Arial" w:cs="Arial" w:eastAsia="Arial" w:hAnsi="Arial"/>
          <w:sz w:val="20"/>
          <w:szCs w:val="20"/>
          <w:color w:val="auto"/>
        </w:rPr>
      </w:pPr>
    </w:p>
    <w:p>
      <w:pPr>
        <w:ind w:left="5520" w:hanging="123"/>
        <w:spacing w:after="0"/>
        <w:tabs>
          <w:tab w:leader="none" w:pos="5520" w:val="left"/>
        </w:tabs>
        <w:numPr>
          <w:ilvl w:val="3"/>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00" w:lineRule="exact"/>
        <w:rPr>
          <w:sz w:val="20"/>
          <w:szCs w:val="20"/>
          <w:color w:val="auto"/>
        </w:rPr>
      </w:pPr>
    </w:p>
    <w:p>
      <w:pPr>
        <w:spacing w:after="0" w:line="234" w:lineRule="exact"/>
        <w:rPr>
          <w:sz w:val="20"/>
          <w:szCs w:val="20"/>
          <w:color w:val="auto"/>
        </w:rPr>
      </w:pPr>
    </w:p>
    <w:p>
      <w:pPr>
        <w:jc w:val="both"/>
        <w:ind w:left="-656" w:firstLine="1304"/>
        <w:spacing w:after="0" w:line="252" w:lineRule="auto"/>
        <w:tabs>
          <w:tab w:leader="none" w:pos="1291" w:val="left"/>
        </w:tabs>
        <w:numPr>
          <w:ilvl w:val="1"/>
          <w:numId w:val="145"/>
        </w:numPr>
        <w:rPr>
          <w:rFonts w:ascii="Arial" w:cs="Arial" w:eastAsia="Arial" w:hAnsi="Arial"/>
          <w:sz w:val="20"/>
          <w:szCs w:val="20"/>
          <w:color w:val="auto"/>
        </w:rPr>
      </w:pPr>
      <w:r>
        <w:rPr>
          <w:rFonts w:ascii="Arial" w:cs="Arial" w:eastAsia="Arial" w:hAnsi="Arial"/>
          <w:sz w:val="20"/>
          <w:szCs w:val="20"/>
          <w:color w:val="auto"/>
        </w:rPr>
        <w:t>You shall, on request, co-operate and provide such assistance and/or documents to the Company or any Associated Company, its or their financial or legal advisers or otherwise as required by law or regulatory authority or body in any internal investigation, administrative, regulatory, quasi-judicial proceedings or any threatened or actual litigation concerning it or them where you have, in your possession or knowledge, any facts or other matters which the Company or any Associated Company considers relevant to such investigation, proceedings or litigation. You acknowledge this may involve responding to or defending any regulatory or legal process, attending interviews, providing witness statements, providing information in relation to any such process and giving evidence in person. To the extent permitted by law, the Company or relevant Associated Company will reimburse your reasonable expenses incurred in providing such assistance and/or documents subject to the Company's applicable policies and procedures.</w:t>
      </w:r>
    </w:p>
    <w:p>
      <w:pPr>
        <w:spacing w:after="0" w:line="173" w:lineRule="exact"/>
        <w:rPr>
          <w:rFonts w:ascii="Arial" w:cs="Arial" w:eastAsia="Arial" w:hAnsi="Arial"/>
          <w:sz w:val="20"/>
          <w:szCs w:val="20"/>
          <w:color w:val="auto"/>
        </w:rPr>
      </w:pPr>
    </w:p>
    <w:p>
      <w:pPr>
        <w:jc w:val="both"/>
        <w:ind w:left="-656" w:firstLine="656"/>
        <w:spacing w:after="0" w:line="252" w:lineRule="auto"/>
        <w:tabs>
          <w:tab w:leader="none" w:pos="658" w:val="left"/>
        </w:tabs>
        <w:numPr>
          <w:ilvl w:val="0"/>
          <w:numId w:val="146"/>
        </w:numPr>
        <w:rPr>
          <w:rFonts w:ascii="Arial" w:cs="Arial" w:eastAsia="Arial" w:hAnsi="Arial"/>
          <w:sz w:val="20"/>
          <w:szCs w:val="20"/>
          <w:color w:val="auto"/>
        </w:rPr>
      </w:pPr>
      <w:r>
        <w:rPr>
          <w:rFonts w:ascii="Arial" w:cs="Arial" w:eastAsia="Arial" w:hAnsi="Arial"/>
          <w:sz w:val="20"/>
          <w:szCs w:val="20"/>
          <w:b w:val="1"/>
          <w:bCs w:val="1"/>
          <w:color w:val="auto"/>
        </w:rPr>
        <w:t xml:space="preserve">Prior Employment/Third Party Information/Conflicting Obligations. </w:t>
      </w:r>
      <w:r>
        <w:rPr>
          <w:rFonts w:ascii="Arial" w:cs="Arial" w:eastAsia="Arial" w:hAnsi="Arial"/>
          <w:sz w:val="20"/>
          <w:szCs w:val="20"/>
          <w:color w:val="auto"/>
        </w:rPr>
        <w:t>We ask that, if you have not already</w:t>
      </w:r>
      <w:r>
        <w:rPr>
          <w:rFonts w:ascii="Arial" w:cs="Arial" w:eastAsia="Arial" w:hAnsi="Arial"/>
          <w:sz w:val="20"/>
          <w:szCs w:val="20"/>
          <w:b w:val="1"/>
          <w:bCs w:val="1"/>
          <w:color w:val="auto"/>
        </w:rPr>
        <w:t xml:space="preserve"> </w:t>
      </w:r>
      <w:r>
        <w:rPr>
          <w:rFonts w:ascii="Arial" w:cs="Arial" w:eastAsia="Arial" w:hAnsi="Arial"/>
          <w:sz w:val="20"/>
          <w:szCs w:val="20"/>
          <w:color w:val="auto"/>
        </w:rPr>
        <w:t>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Similarly, you agree not to bring any third-party confidential information to the Company, including that of any former employer, and that you will not in any way utilize any such information in performing your duties for the Company.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w:t>
      </w:r>
    </w:p>
    <w:p>
      <w:pPr>
        <w:spacing w:after="0" w:line="177" w:lineRule="exact"/>
        <w:rPr>
          <w:rFonts w:ascii="Arial" w:cs="Arial" w:eastAsia="Arial" w:hAnsi="Arial"/>
          <w:sz w:val="20"/>
          <w:szCs w:val="20"/>
          <w:color w:val="auto"/>
        </w:rPr>
      </w:pPr>
    </w:p>
    <w:p>
      <w:pPr>
        <w:ind w:left="664" w:hanging="664"/>
        <w:spacing w:after="0"/>
        <w:tabs>
          <w:tab w:leader="none" w:pos="664" w:val="left"/>
        </w:tabs>
        <w:numPr>
          <w:ilvl w:val="0"/>
          <w:numId w:val="146"/>
        </w:numPr>
        <w:rPr>
          <w:rFonts w:ascii="Arial" w:cs="Arial" w:eastAsia="Arial" w:hAnsi="Arial"/>
          <w:sz w:val="20"/>
          <w:szCs w:val="20"/>
          <w:color w:val="auto"/>
        </w:rPr>
      </w:pPr>
      <w:r>
        <w:rPr>
          <w:rFonts w:ascii="Arial" w:cs="Arial" w:eastAsia="Arial" w:hAnsi="Arial"/>
          <w:sz w:val="20"/>
          <w:szCs w:val="20"/>
          <w:b w:val="1"/>
          <w:bCs w:val="1"/>
          <w:color w:val="auto"/>
        </w:rPr>
        <w:t>Intellectual Property</w:t>
      </w:r>
    </w:p>
    <w:p>
      <w:pPr>
        <w:spacing w:after="0" w:line="231" w:lineRule="exact"/>
        <w:rPr>
          <w:rFonts w:ascii="Arial" w:cs="Arial" w:eastAsia="Arial" w:hAnsi="Arial"/>
          <w:sz w:val="20"/>
          <w:szCs w:val="20"/>
          <w:color w:val="auto"/>
        </w:rPr>
      </w:pPr>
    </w:p>
    <w:p>
      <w:pPr>
        <w:jc w:val="both"/>
        <w:ind w:left="-656" w:firstLine="1304"/>
        <w:spacing w:after="0" w:line="259" w:lineRule="auto"/>
        <w:tabs>
          <w:tab w:leader="none" w:pos="1304" w:val="left"/>
        </w:tabs>
        <w:numPr>
          <w:ilvl w:val="1"/>
          <w:numId w:val="146"/>
        </w:numPr>
        <w:rPr>
          <w:rFonts w:ascii="Arial" w:cs="Arial" w:eastAsia="Arial" w:hAnsi="Arial"/>
          <w:sz w:val="20"/>
          <w:szCs w:val="20"/>
          <w:color w:val="auto"/>
        </w:rPr>
      </w:pPr>
      <w:r>
        <w:rPr>
          <w:rFonts w:ascii="Arial" w:cs="Arial" w:eastAsia="Arial" w:hAnsi="Arial"/>
          <w:sz w:val="20"/>
          <w:szCs w:val="20"/>
          <w:color w:val="auto"/>
        </w:rPr>
        <w:t>You represent and warrant that you have disclosed to the Company in writing to us all Intellectual Property Rights or Inventions created prior to the start date of your original employment with Exscientia AI Ltd. that are owned by you or in which you have any interest which relate to, or are reasonably capable of being used in, the business of Company (or if no disclosure has been made, you represent and warrant that none exist).</w:t>
      </w:r>
    </w:p>
    <w:p>
      <w:pPr>
        <w:spacing w:after="0" w:line="168" w:lineRule="exact"/>
        <w:rPr>
          <w:rFonts w:ascii="Arial" w:cs="Arial" w:eastAsia="Arial" w:hAnsi="Arial"/>
          <w:sz w:val="20"/>
          <w:szCs w:val="20"/>
          <w:color w:val="auto"/>
        </w:rPr>
      </w:pPr>
    </w:p>
    <w:p>
      <w:pPr>
        <w:jc w:val="both"/>
        <w:ind w:left="-656" w:firstLine="1304"/>
        <w:spacing w:after="0" w:line="270" w:lineRule="auto"/>
        <w:tabs>
          <w:tab w:leader="none" w:pos="1291" w:val="left"/>
        </w:tabs>
        <w:numPr>
          <w:ilvl w:val="1"/>
          <w:numId w:val="146"/>
        </w:numPr>
        <w:rPr>
          <w:rFonts w:ascii="Arial" w:cs="Arial" w:eastAsia="Arial" w:hAnsi="Arial"/>
          <w:sz w:val="19"/>
          <w:szCs w:val="19"/>
          <w:color w:val="auto"/>
        </w:rPr>
      </w:pPr>
      <w:r>
        <w:rPr>
          <w:rFonts w:ascii="Arial" w:cs="Arial" w:eastAsia="Arial" w:hAnsi="Arial"/>
          <w:sz w:val="19"/>
          <w:szCs w:val="19"/>
          <w:color w:val="auto"/>
        </w:rPr>
        <w:t>You shall promptly continue to provide to us full written details of all Inventions and of all works embodying Intellectual Property Rights made wholly or partially by you at any time during the course of your employment with us or Company which relate to, or are reasonably capable of being used in, the business of Company. You acknowledge that all Intellectual Property Rights subsisting (or which may in the future subsist) in all such Inventions and works shall automatically, on creation, vest in us absolutely. To the extent that they do not vest automatically, you hold them on trust for us. You agree promptly to execute all documents and do all acts as may, in our opinion, be necessary to give effect to this clause 14.</w:t>
      </w:r>
    </w:p>
    <w:p>
      <w:pPr>
        <w:spacing w:after="0" w:line="172" w:lineRule="exact"/>
        <w:rPr>
          <w:rFonts w:ascii="Arial" w:cs="Arial" w:eastAsia="Arial" w:hAnsi="Arial"/>
          <w:sz w:val="19"/>
          <w:szCs w:val="19"/>
          <w:color w:val="auto"/>
        </w:rPr>
      </w:pPr>
    </w:p>
    <w:p>
      <w:pPr>
        <w:ind w:left="-656" w:right="20" w:firstLine="1304"/>
        <w:spacing w:after="0" w:line="271" w:lineRule="auto"/>
        <w:tabs>
          <w:tab w:leader="none" w:pos="1307" w:val="left"/>
        </w:tabs>
        <w:numPr>
          <w:ilvl w:val="1"/>
          <w:numId w:val="146"/>
        </w:numPr>
        <w:rPr>
          <w:rFonts w:ascii="Arial" w:cs="Arial" w:eastAsia="Arial" w:hAnsi="Arial"/>
          <w:sz w:val="20"/>
          <w:szCs w:val="20"/>
          <w:color w:val="auto"/>
        </w:rPr>
      </w:pPr>
      <w:r>
        <w:rPr>
          <w:rFonts w:ascii="Arial" w:cs="Arial" w:eastAsia="Arial" w:hAnsi="Arial"/>
          <w:sz w:val="20"/>
          <w:szCs w:val="20"/>
          <w:color w:val="auto"/>
        </w:rPr>
        <w:t>You hereby irrevocably waive all moral rights under the Copyright, Designs and Patents Act 1988 (and all similar rights in other jurisdictions) which you have or will have in any existing or future works referred to in clause 14.</w:t>
      </w:r>
    </w:p>
    <w:p>
      <w:pPr>
        <w:spacing w:after="0" w:line="169" w:lineRule="exact"/>
        <w:rPr>
          <w:rFonts w:ascii="Arial" w:cs="Arial" w:eastAsia="Arial" w:hAnsi="Arial"/>
          <w:sz w:val="20"/>
          <w:szCs w:val="20"/>
          <w:color w:val="auto"/>
        </w:rPr>
      </w:pPr>
    </w:p>
    <w:p>
      <w:pPr>
        <w:ind w:left="-656" w:firstLine="1304"/>
        <w:spacing w:after="0" w:line="286" w:lineRule="auto"/>
        <w:tabs>
          <w:tab w:leader="none" w:pos="1291" w:val="left"/>
        </w:tabs>
        <w:numPr>
          <w:ilvl w:val="1"/>
          <w:numId w:val="146"/>
        </w:numPr>
        <w:rPr>
          <w:rFonts w:ascii="Arial" w:cs="Arial" w:eastAsia="Arial" w:hAnsi="Arial"/>
          <w:sz w:val="20"/>
          <w:szCs w:val="20"/>
          <w:color w:val="auto"/>
        </w:rPr>
      </w:pPr>
      <w:r>
        <w:rPr>
          <w:rFonts w:ascii="Arial" w:cs="Arial" w:eastAsia="Arial" w:hAnsi="Arial"/>
          <w:sz w:val="20"/>
          <w:szCs w:val="20"/>
          <w:color w:val="auto"/>
        </w:rPr>
        <w:t>You acknowledge that, except as provided by law, no further remuneration or compensation other than that provided for in this Agreement is or may become due to you in respect of</w:t>
      </w:r>
    </w:p>
    <w:p>
      <w:pPr>
        <w:spacing w:after="0" w:line="175" w:lineRule="exact"/>
        <w:rPr>
          <w:rFonts w:ascii="Arial" w:cs="Arial" w:eastAsia="Arial" w:hAnsi="Arial"/>
          <w:sz w:val="20"/>
          <w:szCs w:val="20"/>
          <w:color w:val="auto"/>
        </w:rPr>
      </w:pPr>
    </w:p>
    <w:p>
      <w:pPr>
        <w:ind w:left="4864" w:hanging="123"/>
        <w:spacing w:after="0"/>
        <w:tabs>
          <w:tab w:leader="none" w:pos="4864"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w:t>
      </w:r>
    </w:p>
    <w:p>
      <w:pPr>
        <w:sectPr>
          <w:pgSz w:w="11900" w:h="16838" w:orient="portrait"/>
          <w:cols w:equalWidth="0" w:num="1">
            <w:col w:w="10584"/>
          </w:cols>
          <w:pgMar w:left="976" w:top="1440" w:right="339" w:bottom="1440" w:gutter="0" w:footer="0" w:header="0"/>
        </w:sectPr>
      </w:pPr>
    </w:p>
    <w:bookmarkStart w:id="238" w:name="page239"/>
    <w:bookmarkEnd w:id="238"/>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your compliance with this clause 14. This clause 14 is without prejudice to your rights under the Patents Act 1977.</w:t>
      </w:r>
    </w:p>
    <w:p>
      <w:pPr>
        <w:spacing w:after="0" w:line="229" w:lineRule="exact"/>
        <w:rPr>
          <w:sz w:val="20"/>
          <w:szCs w:val="20"/>
          <w:color w:val="auto"/>
        </w:rPr>
      </w:pPr>
    </w:p>
    <w:p>
      <w:pPr>
        <w:jc w:val="both"/>
        <w:ind w:firstLine="1304"/>
        <w:spacing w:after="0" w:line="262" w:lineRule="auto"/>
        <w:tabs>
          <w:tab w:leader="none" w:pos="196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The provisions of this clause 14 will continue in force after the termination of this agreement in respect of all Inventions and all works embodying Intellectual Property Rights made by you during the course of your employment with us or Company and will be binding on your personal representatives.</w:t>
      </w:r>
    </w:p>
    <w:p>
      <w:pPr>
        <w:spacing w:after="0" w:line="162" w:lineRule="exact"/>
        <w:rPr>
          <w:rFonts w:ascii="Arial" w:cs="Arial" w:eastAsia="Arial" w:hAnsi="Arial"/>
          <w:sz w:val="20"/>
          <w:szCs w:val="20"/>
          <w:color w:val="auto"/>
        </w:rPr>
      </w:pPr>
    </w:p>
    <w:p>
      <w:pPr>
        <w:ind w:left="1320" w:hanging="664"/>
        <w:spacing w:after="0"/>
        <w:tabs>
          <w:tab w:leader="none" w:pos="1320" w:val="left"/>
        </w:tabs>
        <w:numPr>
          <w:ilvl w:val="0"/>
          <w:numId w:val="148"/>
        </w:numPr>
        <w:rPr>
          <w:rFonts w:ascii="Arial" w:cs="Arial" w:eastAsia="Arial" w:hAnsi="Arial"/>
          <w:sz w:val="20"/>
          <w:szCs w:val="20"/>
          <w:color w:val="auto"/>
        </w:rPr>
      </w:pPr>
      <w:r>
        <w:rPr>
          <w:rFonts w:ascii="Arial" w:cs="Arial" w:eastAsia="Arial" w:hAnsi="Arial"/>
          <w:sz w:val="20"/>
          <w:szCs w:val="20"/>
          <w:b w:val="1"/>
          <w:bCs w:val="1"/>
          <w:color w:val="auto"/>
        </w:rPr>
        <w:t>Company Property and Confidentiality.</w:t>
      </w:r>
    </w:p>
    <w:p>
      <w:pPr>
        <w:spacing w:after="0" w:line="231" w:lineRule="exact"/>
        <w:rPr>
          <w:rFonts w:ascii="Arial" w:cs="Arial" w:eastAsia="Arial" w:hAnsi="Arial"/>
          <w:sz w:val="20"/>
          <w:szCs w:val="20"/>
          <w:color w:val="auto"/>
        </w:rPr>
      </w:pPr>
    </w:p>
    <w:p>
      <w:pPr>
        <w:jc w:val="both"/>
        <w:ind w:firstLine="1304"/>
        <w:spacing w:after="0" w:line="259" w:lineRule="auto"/>
        <w:tabs>
          <w:tab w:leader="none" w:pos="1960" w:val="left"/>
        </w:tabs>
        <w:numPr>
          <w:ilvl w:val="1"/>
          <w:numId w:val="148"/>
        </w:numPr>
        <w:rPr>
          <w:rFonts w:ascii="Arial" w:cs="Arial" w:eastAsia="Arial" w:hAnsi="Arial"/>
          <w:sz w:val="20"/>
          <w:szCs w:val="20"/>
          <w:color w:val="auto"/>
        </w:rPr>
      </w:pPr>
      <w:r>
        <w:rPr>
          <w:rFonts w:ascii="Arial" w:cs="Arial" w:eastAsia="Arial" w:hAnsi="Arial"/>
          <w:sz w:val="20"/>
          <w:szCs w:val="20"/>
          <w:color w:val="auto"/>
        </w:rPr>
        <w:t>All documents and other things (in whatever form or media) relating to the business or affairs of the Company or any Associated Company which you acquire, receive or create during the employment shall be the property of the Company and shall be surrendered to the Company (together with all copies) on demand at any time and, in any event, upon termination of employment.</w:t>
      </w:r>
    </w:p>
    <w:p>
      <w:pPr>
        <w:spacing w:after="0" w:line="168" w:lineRule="exact"/>
        <w:rPr>
          <w:rFonts w:ascii="Arial" w:cs="Arial" w:eastAsia="Arial" w:hAnsi="Arial"/>
          <w:sz w:val="20"/>
          <w:szCs w:val="20"/>
          <w:color w:val="auto"/>
        </w:rPr>
      </w:pPr>
    </w:p>
    <w:p>
      <w:pPr>
        <w:jc w:val="both"/>
        <w:ind w:firstLine="1304"/>
        <w:spacing w:after="0" w:line="254" w:lineRule="auto"/>
        <w:tabs>
          <w:tab w:leader="none" w:pos="1947" w:val="left"/>
        </w:tabs>
        <w:numPr>
          <w:ilvl w:val="1"/>
          <w:numId w:val="148"/>
        </w:numPr>
        <w:rPr>
          <w:rFonts w:ascii="Arial" w:cs="Arial" w:eastAsia="Arial" w:hAnsi="Arial"/>
          <w:sz w:val="20"/>
          <w:szCs w:val="20"/>
          <w:color w:val="auto"/>
        </w:rPr>
      </w:pPr>
      <w:r>
        <w:rPr>
          <w:rFonts w:ascii="Arial" w:cs="Arial" w:eastAsia="Arial" w:hAnsi="Arial"/>
          <w:sz w:val="20"/>
          <w:szCs w:val="20"/>
          <w:color w:val="auto"/>
        </w:rPr>
        <w:t>You shall not, at any time, either during or after the termination of the employment, disclose to any person or use for your own purposes any Confidential Information you acquire during the employment other than in the proper performance of your duties or as ordered by a competent court. This clause shall not apply to disclosure or use: arising in the proper performance of your duties; previously authorised in writing by the Company; of information already in the public domain other than as a consequence of your unauthorised disclosure; relating to criminal offences to law enforcement agencies; made in accordance with the Public Interest Disclosure Act 1998; ordered by a court of competent jurisdiction; or required by any statutory or regulatory authority.</w:t>
      </w:r>
    </w:p>
    <w:p>
      <w:pPr>
        <w:spacing w:after="0" w:line="170" w:lineRule="exact"/>
        <w:rPr>
          <w:rFonts w:ascii="Arial" w:cs="Arial" w:eastAsia="Arial" w:hAnsi="Arial"/>
          <w:sz w:val="20"/>
          <w:szCs w:val="20"/>
          <w:color w:val="auto"/>
        </w:rPr>
      </w:pPr>
    </w:p>
    <w:p>
      <w:pPr>
        <w:jc w:val="both"/>
        <w:ind w:firstLine="656"/>
        <w:spacing w:after="0" w:line="258" w:lineRule="auto"/>
        <w:tabs>
          <w:tab w:leader="none" w:pos="1314" w:val="left"/>
        </w:tabs>
        <w:numPr>
          <w:ilvl w:val="0"/>
          <w:numId w:val="148"/>
        </w:numPr>
        <w:rPr>
          <w:rFonts w:ascii="Arial" w:cs="Arial" w:eastAsia="Arial" w:hAnsi="Arial"/>
          <w:sz w:val="20"/>
          <w:szCs w:val="20"/>
          <w:color w:val="auto"/>
        </w:rPr>
      </w:pPr>
      <w:r>
        <w:rPr>
          <w:rFonts w:ascii="Arial" w:cs="Arial" w:eastAsia="Arial" w:hAnsi="Arial"/>
          <w:sz w:val="20"/>
          <w:szCs w:val="20"/>
          <w:b w:val="1"/>
          <w:bCs w:val="1"/>
          <w:color w:val="auto"/>
        </w:rPr>
        <w:t>Company Policies</w:t>
      </w:r>
      <w:r>
        <w:rPr>
          <w:rFonts w:ascii="Arial" w:cs="Arial" w:eastAsia="Arial" w:hAnsi="Arial"/>
          <w:sz w:val="20"/>
          <w:szCs w:val="20"/>
          <w:color w:val="auto"/>
        </w:rPr>
        <w:t>. You shall be familiar with and comply with all policies, procedures, rules or codes of conduct</w:t>
      </w:r>
      <w:r>
        <w:rPr>
          <w:rFonts w:ascii="Arial" w:cs="Arial" w:eastAsia="Arial" w:hAnsi="Arial"/>
          <w:sz w:val="20"/>
          <w:szCs w:val="20"/>
          <w:b w:val="1"/>
          <w:bCs w:val="1"/>
          <w:color w:val="auto"/>
        </w:rPr>
        <w:t xml:space="preserve"> </w:t>
      </w:r>
      <w:r>
        <w:rPr>
          <w:rFonts w:ascii="Arial" w:cs="Arial" w:eastAsia="Arial" w:hAnsi="Arial"/>
          <w:sz w:val="20"/>
          <w:szCs w:val="20"/>
          <w:color w:val="auto"/>
        </w:rPr>
        <w:t>in force from time to time required by any regulatory body in relation to the business of the Company or any Associated Company or which the Company shall reasonably determine are necessary for the proper functioning of its business, including your contractual, fiduciary and common law duties, and you shall at all times carry out your duties under this Agreement in accordance with the same.</w:t>
      </w:r>
    </w:p>
    <w:p>
      <w:pPr>
        <w:spacing w:after="0" w:line="167" w:lineRule="exact"/>
        <w:rPr>
          <w:rFonts w:ascii="Arial" w:cs="Arial" w:eastAsia="Arial" w:hAnsi="Arial"/>
          <w:sz w:val="20"/>
          <w:szCs w:val="20"/>
          <w:color w:val="auto"/>
        </w:rPr>
      </w:pPr>
    </w:p>
    <w:p>
      <w:pPr>
        <w:jc w:val="both"/>
        <w:ind w:firstLine="656"/>
        <w:spacing w:after="0" w:line="258" w:lineRule="auto"/>
        <w:tabs>
          <w:tab w:leader="none" w:pos="1314" w:val="left"/>
        </w:tabs>
        <w:numPr>
          <w:ilvl w:val="0"/>
          <w:numId w:val="148"/>
        </w:numPr>
        <w:rPr>
          <w:rFonts w:ascii="Arial" w:cs="Arial" w:eastAsia="Arial" w:hAnsi="Arial"/>
          <w:sz w:val="20"/>
          <w:szCs w:val="20"/>
          <w:color w:val="auto"/>
        </w:rPr>
      </w:pPr>
      <w:r>
        <w:rPr>
          <w:rFonts w:ascii="Arial" w:cs="Arial" w:eastAsia="Arial" w:hAnsi="Arial"/>
          <w:sz w:val="20"/>
          <w:szCs w:val="20"/>
          <w:b w:val="1"/>
          <w:bCs w:val="1"/>
          <w:color w:val="auto"/>
        </w:rPr>
        <w:t>FDA Disbarment</w:t>
      </w:r>
      <w:r>
        <w:rPr>
          <w:rFonts w:ascii="Arial" w:cs="Arial" w:eastAsia="Arial" w:hAnsi="Arial"/>
          <w:sz w:val="20"/>
          <w:szCs w:val="20"/>
          <w:color w:val="auto"/>
        </w:rPr>
        <w:t>. As a condition of the acceptance of this Agreement, you certify that you are not and have</w:t>
      </w:r>
      <w:r>
        <w:rPr>
          <w:rFonts w:ascii="Arial" w:cs="Arial" w:eastAsia="Arial" w:hAnsi="Arial"/>
          <w:sz w:val="20"/>
          <w:szCs w:val="20"/>
          <w:b w:val="1"/>
          <w:bCs w:val="1"/>
          <w:color w:val="auto"/>
        </w:rPr>
        <w:t xml:space="preserve"> </w:t>
      </w:r>
      <w:r>
        <w:rPr>
          <w:rFonts w:ascii="Arial" w:cs="Arial" w:eastAsia="Arial" w:hAnsi="Arial"/>
          <w:sz w:val="20"/>
          <w:szCs w:val="20"/>
          <w:color w:val="auto"/>
        </w:rPr>
        <w:t>never been debarred by the FDA pursuant to 21 USC 335, are not listed on the FDA’s disqualified/restricted list, are not excluded from participating in federal health care programs, and have not committed any actions that could lead to FDA debarment or exclusion from federal health care programs. If you become aware of a proceeding that could lead to debarment or disqualification/restriction by FDA or exclusion from federal health care programs, you will immediately inform the Company.</w:t>
      </w:r>
    </w:p>
    <w:p>
      <w:pPr>
        <w:spacing w:after="0" w:line="167" w:lineRule="exact"/>
        <w:rPr>
          <w:rFonts w:ascii="Arial" w:cs="Arial" w:eastAsia="Arial" w:hAnsi="Arial"/>
          <w:sz w:val="20"/>
          <w:szCs w:val="20"/>
          <w:color w:val="auto"/>
        </w:rPr>
      </w:pPr>
    </w:p>
    <w:p>
      <w:pPr>
        <w:ind w:left="1320" w:hanging="664"/>
        <w:spacing w:after="0"/>
        <w:tabs>
          <w:tab w:leader="none" w:pos="1320" w:val="left"/>
        </w:tabs>
        <w:numPr>
          <w:ilvl w:val="0"/>
          <w:numId w:val="148"/>
        </w:numPr>
        <w:rPr>
          <w:rFonts w:ascii="Arial" w:cs="Arial" w:eastAsia="Arial" w:hAnsi="Arial"/>
          <w:sz w:val="20"/>
          <w:szCs w:val="20"/>
          <w:color w:val="auto"/>
        </w:rPr>
      </w:pPr>
      <w:r>
        <w:rPr>
          <w:rFonts w:ascii="Arial" w:cs="Arial" w:eastAsia="Arial" w:hAnsi="Arial"/>
          <w:sz w:val="20"/>
          <w:szCs w:val="20"/>
          <w:b w:val="1"/>
          <w:bCs w:val="1"/>
          <w:color w:val="auto"/>
        </w:rPr>
        <w:t>Post-Termination Undertakings.</w:t>
      </w:r>
    </w:p>
    <w:p>
      <w:pPr>
        <w:spacing w:after="0" w:line="231" w:lineRule="exact"/>
        <w:rPr>
          <w:rFonts w:ascii="Arial" w:cs="Arial" w:eastAsia="Arial" w:hAnsi="Arial"/>
          <w:sz w:val="20"/>
          <w:szCs w:val="20"/>
          <w:color w:val="auto"/>
        </w:rPr>
      </w:pPr>
    </w:p>
    <w:p>
      <w:pPr>
        <w:jc w:val="both"/>
        <w:ind w:firstLine="1304"/>
        <w:spacing w:after="0" w:line="254" w:lineRule="auto"/>
        <w:tabs>
          <w:tab w:leader="none" w:pos="1960" w:val="left"/>
        </w:tabs>
        <w:numPr>
          <w:ilvl w:val="1"/>
          <w:numId w:val="148"/>
        </w:numPr>
        <w:rPr>
          <w:rFonts w:ascii="Arial" w:cs="Arial" w:eastAsia="Arial" w:hAnsi="Arial"/>
          <w:sz w:val="20"/>
          <w:szCs w:val="20"/>
          <w:color w:val="auto"/>
        </w:rPr>
      </w:pPr>
      <w:r>
        <w:rPr>
          <w:rFonts w:ascii="Arial" w:cs="Arial" w:eastAsia="Arial" w:hAnsi="Arial"/>
          <w:sz w:val="20"/>
          <w:szCs w:val="20"/>
          <w:color w:val="auto"/>
        </w:rPr>
        <w:t>You undertake that you will not, for the period of six months after the termination of your employment, without the prior written consent of the Company, either alone or jointly with or on behalf of any person, directly or indirectly solicit or entice away, or endeavour to solicit or entice away, from the Company or any Associated Company any person who, at the date of termination of the employment, is employed or engaged by the Company or any Associated Company and: (i) with whom you had material contact during the course of the employment; or (ii) is or was, at the date of termination of the employment, or at any time during the period of 12 months immediately</w:t>
      </w:r>
    </w:p>
    <w:p>
      <w:pPr>
        <w:spacing w:after="0" w:line="221" w:lineRule="exact"/>
        <w:rPr>
          <w:rFonts w:ascii="Arial" w:cs="Arial" w:eastAsia="Arial" w:hAnsi="Arial"/>
          <w:sz w:val="20"/>
          <w:szCs w:val="20"/>
          <w:color w:val="auto"/>
        </w:rPr>
      </w:pPr>
    </w:p>
    <w:p>
      <w:pPr>
        <w:ind w:left="5520" w:hanging="123"/>
        <w:spacing w:after="0"/>
        <w:tabs>
          <w:tab w:leader="none" w:pos="5520" w:val="left"/>
        </w:tabs>
        <w:numPr>
          <w:ilvl w:val="2"/>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00" w:lineRule="exact"/>
        <w:rPr>
          <w:sz w:val="20"/>
          <w:szCs w:val="20"/>
          <w:color w:val="auto"/>
        </w:rPr>
      </w:pPr>
    </w:p>
    <w:p>
      <w:pPr>
        <w:spacing w:after="0" w:line="234"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prior to that date, directly managed by or reports to you (in both cases whether or not such person would commit a breach of contract by so doing);</w:t>
      </w:r>
    </w:p>
    <w:p>
      <w:pPr>
        <w:spacing w:after="0" w:line="140" w:lineRule="exact"/>
        <w:rPr>
          <w:sz w:val="20"/>
          <w:szCs w:val="20"/>
          <w:color w:val="auto"/>
        </w:rPr>
      </w:pPr>
    </w:p>
    <w:p>
      <w:pPr>
        <w:jc w:val="both"/>
        <w:ind w:right="20" w:firstLine="1304"/>
        <w:spacing w:after="0" w:line="262" w:lineRule="auto"/>
        <w:tabs>
          <w:tab w:leader="none" w:pos="1947" w:val="left"/>
        </w:tabs>
        <w:numPr>
          <w:ilvl w:val="1"/>
          <w:numId w:val="149"/>
        </w:numPr>
        <w:rPr>
          <w:rFonts w:ascii="Arial" w:cs="Arial" w:eastAsia="Arial" w:hAnsi="Arial"/>
          <w:sz w:val="20"/>
          <w:szCs w:val="20"/>
          <w:color w:val="auto"/>
        </w:rPr>
      </w:pPr>
      <w:r>
        <w:rPr>
          <w:rFonts w:ascii="Arial" w:cs="Arial" w:eastAsia="Arial" w:hAnsi="Arial"/>
          <w:sz w:val="20"/>
          <w:szCs w:val="20"/>
          <w:color w:val="auto"/>
        </w:rPr>
        <w:t>The period during which clause 18(a) is expressed to operate shall be reduced by such period as you shall have complied with a direction to perform no duties and/or not to enter all or any premises of the Company or any Associated Company pursuant to clause 11.</w:t>
      </w:r>
    </w:p>
    <w:p>
      <w:pPr>
        <w:spacing w:after="0" w:line="178" w:lineRule="exact"/>
        <w:rPr>
          <w:rFonts w:ascii="Arial" w:cs="Arial" w:eastAsia="Arial" w:hAnsi="Arial"/>
          <w:sz w:val="20"/>
          <w:szCs w:val="20"/>
          <w:color w:val="auto"/>
        </w:rPr>
      </w:pPr>
    </w:p>
    <w:p>
      <w:pPr>
        <w:ind w:left="1980" w:hanging="676"/>
        <w:spacing w:after="0"/>
        <w:tabs>
          <w:tab w:leader="none" w:pos="1980" w:val="left"/>
        </w:tabs>
        <w:numPr>
          <w:ilvl w:val="1"/>
          <w:numId w:val="149"/>
        </w:numPr>
        <w:rPr>
          <w:rFonts w:ascii="Arial" w:cs="Arial" w:eastAsia="Arial" w:hAnsi="Arial"/>
          <w:sz w:val="20"/>
          <w:szCs w:val="20"/>
          <w:color w:val="auto"/>
        </w:rPr>
      </w:pPr>
      <w:r>
        <w:rPr>
          <w:rFonts w:ascii="Arial" w:cs="Arial" w:eastAsia="Arial" w:hAnsi="Arial"/>
          <w:sz w:val="20"/>
          <w:szCs w:val="20"/>
          <w:color w:val="auto"/>
        </w:rPr>
        <w:t>The undertakings contained in clause 18(a) are intended to be separate and severable and enforceable</w:t>
      </w:r>
    </w:p>
    <w:p>
      <w:pPr>
        <w:spacing w:after="0" w:line="1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as such.</w:t>
      </w:r>
    </w:p>
    <w:p>
      <w:pPr>
        <w:spacing w:after="0" w:line="209" w:lineRule="exact"/>
        <w:rPr>
          <w:rFonts w:ascii="Arial" w:cs="Arial" w:eastAsia="Arial" w:hAnsi="Arial"/>
          <w:sz w:val="20"/>
          <w:szCs w:val="20"/>
          <w:color w:val="auto"/>
        </w:rPr>
      </w:pPr>
    </w:p>
    <w:p>
      <w:pPr>
        <w:ind w:right="20" w:firstLine="656"/>
        <w:spacing w:after="0" w:line="288" w:lineRule="auto"/>
        <w:tabs>
          <w:tab w:leader="none" w:pos="1314" w:val="left"/>
        </w:tabs>
        <w:numPr>
          <w:ilvl w:val="0"/>
          <w:numId w:val="150"/>
        </w:numPr>
        <w:rPr>
          <w:rFonts w:ascii="Arial" w:cs="Arial" w:eastAsia="Arial" w:hAnsi="Arial"/>
          <w:sz w:val="20"/>
          <w:szCs w:val="20"/>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This Agreement is governed by and shall be construed in accordance with English law and is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non-exclusive jurisdiction of the English Courts.</w:t>
      </w:r>
    </w:p>
    <w:p>
      <w:pPr>
        <w:spacing w:after="0" w:line="136" w:lineRule="exact"/>
        <w:rPr>
          <w:rFonts w:ascii="Arial" w:cs="Arial" w:eastAsia="Arial" w:hAnsi="Arial"/>
          <w:sz w:val="20"/>
          <w:szCs w:val="20"/>
          <w:color w:val="auto"/>
        </w:rPr>
      </w:pPr>
    </w:p>
    <w:p>
      <w:pPr>
        <w:ind w:left="1320" w:hanging="664"/>
        <w:spacing w:after="0"/>
        <w:tabs>
          <w:tab w:leader="none" w:pos="1320" w:val="left"/>
        </w:tabs>
        <w:numPr>
          <w:ilvl w:val="0"/>
          <w:numId w:val="150"/>
        </w:numPr>
        <w:rPr>
          <w:rFonts w:ascii="Arial" w:cs="Arial" w:eastAsia="Arial" w:hAnsi="Arial"/>
          <w:sz w:val="20"/>
          <w:szCs w:val="20"/>
          <w:color w:val="auto"/>
        </w:rPr>
      </w:pPr>
      <w:r>
        <w:rPr>
          <w:rFonts w:ascii="Arial" w:cs="Arial" w:eastAsia="Arial" w:hAnsi="Arial"/>
          <w:sz w:val="20"/>
          <w:szCs w:val="20"/>
          <w:b w:val="1"/>
          <w:bCs w:val="1"/>
          <w:color w:val="auto"/>
        </w:rPr>
        <w:t>Miscellaneous.</w:t>
      </w:r>
    </w:p>
    <w:p>
      <w:pPr>
        <w:spacing w:after="0" w:line="231" w:lineRule="exact"/>
        <w:rPr>
          <w:rFonts w:ascii="Arial" w:cs="Arial" w:eastAsia="Arial" w:hAnsi="Arial"/>
          <w:sz w:val="20"/>
          <w:szCs w:val="20"/>
          <w:color w:val="auto"/>
        </w:rPr>
      </w:pPr>
    </w:p>
    <w:p>
      <w:pPr>
        <w:ind w:left="1960" w:hanging="656"/>
        <w:spacing w:after="0"/>
        <w:tabs>
          <w:tab w:leader="none" w:pos="196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You warrant that you have lawful authority to work in the UK.</w:t>
      </w:r>
    </w:p>
    <w:p>
      <w:pPr>
        <w:spacing w:after="0" w:line="215" w:lineRule="exact"/>
        <w:rPr>
          <w:rFonts w:ascii="Arial" w:cs="Arial" w:eastAsia="Arial" w:hAnsi="Arial"/>
          <w:sz w:val="20"/>
          <w:szCs w:val="20"/>
          <w:color w:val="auto"/>
        </w:rPr>
      </w:pPr>
    </w:p>
    <w:p>
      <w:pPr>
        <w:jc w:val="both"/>
        <w:ind w:right="20" w:firstLine="1304"/>
        <w:spacing w:after="0" w:line="269" w:lineRule="auto"/>
        <w:tabs>
          <w:tab w:leader="none" w:pos="1947" w:val="left"/>
        </w:tabs>
        <w:numPr>
          <w:ilvl w:val="1"/>
          <w:numId w:val="150"/>
        </w:numPr>
        <w:rPr>
          <w:rFonts w:ascii="Arial" w:cs="Arial" w:eastAsia="Arial" w:hAnsi="Arial"/>
          <w:sz w:val="20"/>
          <w:szCs w:val="20"/>
          <w:color w:val="auto"/>
        </w:rPr>
      </w:pPr>
      <w:r>
        <w:rPr>
          <w:rFonts w:ascii="Arial" w:cs="Arial" w:eastAsia="Arial" w:hAnsi="Arial"/>
          <w:sz w:val="20"/>
          <w:szCs w:val="20"/>
          <w:color w:val="auto"/>
        </w:rPr>
        <w:t>The Company shall be entitled at any time during the employment to set off and/or make deductions from your salary or other sums due to you monies due to the Company or any Associated Company in respect of any overpayment debt or other monies due from you.</w:t>
      </w:r>
    </w:p>
    <w:p>
      <w:pPr>
        <w:spacing w:after="0" w:line="158" w:lineRule="exact"/>
        <w:rPr>
          <w:rFonts w:ascii="Arial" w:cs="Arial" w:eastAsia="Arial" w:hAnsi="Arial"/>
          <w:sz w:val="20"/>
          <w:szCs w:val="20"/>
          <w:color w:val="auto"/>
        </w:rPr>
      </w:pPr>
    </w:p>
    <w:p>
      <w:pPr>
        <w:jc w:val="both"/>
        <w:ind w:firstLine="1304"/>
        <w:spacing w:after="0" w:line="262" w:lineRule="auto"/>
        <w:tabs>
          <w:tab w:leader="none" w:pos="1963" w:val="left"/>
        </w:tabs>
        <w:numPr>
          <w:ilvl w:val="1"/>
          <w:numId w:val="150"/>
        </w:numPr>
        <w:rPr>
          <w:rFonts w:ascii="Arial" w:cs="Arial" w:eastAsia="Arial" w:hAnsi="Arial"/>
          <w:sz w:val="20"/>
          <w:szCs w:val="20"/>
          <w:color w:val="auto"/>
        </w:rPr>
      </w:pPr>
      <w:r>
        <w:rPr>
          <w:rFonts w:ascii="Arial" w:cs="Arial" w:eastAsia="Arial" w:hAnsi="Arial"/>
          <w:sz w:val="20"/>
          <w:szCs w:val="20"/>
          <w:color w:val="auto"/>
        </w:rPr>
        <w:t>The Schedule to this Agreement (which does not form part of the Agreement and it is not intended to have contractual effect) sets out those particulars of employment required by s.1 Employment Rights Act 1996 which are not otherwise provided for in this Agreement.</w:t>
      </w:r>
    </w:p>
    <w:p>
      <w:pPr>
        <w:spacing w:after="0" w:line="178" w:lineRule="exact"/>
        <w:rPr>
          <w:rFonts w:ascii="Arial" w:cs="Arial" w:eastAsia="Arial" w:hAnsi="Arial"/>
          <w:sz w:val="20"/>
          <w:szCs w:val="20"/>
          <w:color w:val="auto"/>
        </w:rPr>
      </w:pPr>
    </w:p>
    <w:p>
      <w:pPr>
        <w:ind w:firstLine="1304"/>
        <w:spacing w:after="0" w:line="286" w:lineRule="auto"/>
        <w:tabs>
          <w:tab w:leader="none" w:pos="1947" w:val="left"/>
        </w:tabs>
        <w:numPr>
          <w:ilvl w:val="1"/>
          <w:numId w:val="150"/>
        </w:numPr>
        <w:rPr>
          <w:rFonts w:ascii="Arial" w:cs="Arial" w:eastAsia="Arial" w:hAnsi="Arial"/>
          <w:sz w:val="20"/>
          <w:szCs w:val="20"/>
          <w:color w:val="auto"/>
        </w:rPr>
      </w:pPr>
      <w:r>
        <w:rPr>
          <w:rFonts w:ascii="Arial" w:cs="Arial" w:eastAsia="Arial" w:hAnsi="Arial"/>
          <w:sz w:val="20"/>
          <w:szCs w:val="20"/>
          <w:color w:val="auto"/>
        </w:rPr>
        <w:t>Save for any Associated Company, a person who is not a party to this Agreement has no right under the Contracts (Rights of Third Parties) Act 1999 to enforce any term of this Agreement.</w:t>
      </w:r>
    </w:p>
    <w:p>
      <w:pPr>
        <w:spacing w:after="0" w:line="165" w:lineRule="exact"/>
        <w:rPr>
          <w:rFonts w:ascii="Arial" w:cs="Arial" w:eastAsia="Arial" w:hAnsi="Arial"/>
          <w:sz w:val="20"/>
          <w:szCs w:val="20"/>
          <w:color w:val="auto"/>
        </w:rPr>
      </w:pPr>
    </w:p>
    <w:p>
      <w:pPr>
        <w:jc w:val="both"/>
        <w:ind w:firstLine="656"/>
        <w:spacing w:after="0" w:line="266" w:lineRule="auto"/>
        <w:tabs>
          <w:tab w:leader="none" w:pos="1314" w:val="left"/>
        </w:tabs>
        <w:numPr>
          <w:ilvl w:val="0"/>
          <w:numId w:val="150"/>
        </w:numPr>
        <w:rPr>
          <w:rFonts w:ascii="Arial" w:cs="Arial" w:eastAsia="Arial" w:hAnsi="Arial"/>
          <w:sz w:val="19"/>
          <w:szCs w:val="19"/>
          <w:color w:val="auto"/>
        </w:rPr>
      </w:pPr>
      <w:r>
        <w:rPr>
          <w:rFonts w:ascii="Arial" w:cs="Arial" w:eastAsia="Arial" w:hAnsi="Arial"/>
          <w:sz w:val="19"/>
          <w:szCs w:val="19"/>
          <w:b w:val="1"/>
          <w:bCs w:val="1"/>
          <w:color w:val="auto"/>
        </w:rPr>
        <w:t xml:space="preserve">Definitions. </w:t>
      </w:r>
      <w:r>
        <w:rPr>
          <w:rFonts w:ascii="Arial" w:cs="Arial" w:eastAsia="Arial" w:hAnsi="Arial"/>
          <w:sz w:val="19"/>
          <w:szCs w:val="19"/>
          <w:color w:val="auto"/>
        </w:rPr>
        <w:t>In this Agreement unless the context otherwise requires "</w:t>
      </w:r>
      <w:r>
        <w:rPr>
          <w:rFonts w:ascii="Arial" w:cs="Arial" w:eastAsia="Arial" w:hAnsi="Arial"/>
          <w:sz w:val="19"/>
          <w:szCs w:val="19"/>
          <w:b w:val="1"/>
          <w:bCs w:val="1"/>
          <w:color w:val="auto"/>
        </w:rPr>
        <w:t>Associated Company</w:t>
      </w:r>
      <w:r>
        <w:rPr>
          <w:rFonts w:ascii="Arial" w:cs="Arial" w:eastAsia="Arial" w:hAnsi="Arial"/>
          <w:sz w:val="19"/>
          <w:szCs w:val="19"/>
          <w:color w:val="auto"/>
        </w:rPr>
        <w:t>" means any entity</w:t>
      </w:r>
      <w:r>
        <w:rPr>
          <w:rFonts w:ascii="Arial" w:cs="Arial" w:eastAsia="Arial" w:hAnsi="Arial"/>
          <w:sz w:val="19"/>
          <w:szCs w:val="19"/>
          <w:b w:val="1"/>
          <w:bCs w:val="1"/>
          <w:color w:val="auto"/>
        </w:rPr>
        <w:t xml:space="preserve"> </w:t>
      </w:r>
      <w:r>
        <w:rPr>
          <w:rFonts w:ascii="Arial" w:cs="Arial" w:eastAsia="Arial" w:hAnsi="Arial"/>
          <w:sz w:val="19"/>
          <w:szCs w:val="19"/>
          <w:color w:val="auto"/>
        </w:rPr>
        <w:t>that directly or indirectly controls, is controlled by, or is under common control with, the Company (and "</w:t>
      </w:r>
      <w:r>
        <w:rPr>
          <w:rFonts w:ascii="Arial" w:cs="Arial" w:eastAsia="Arial" w:hAnsi="Arial"/>
          <w:sz w:val="19"/>
          <w:szCs w:val="19"/>
          <w:b w:val="1"/>
          <w:bCs w:val="1"/>
          <w:color w:val="auto"/>
        </w:rPr>
        <w:t>control</w:t>
      </w:r>
      <w:r>
        <w:rPr>
          <w:rFonts w:ascii="Arial" w:cs="Arial" w:eastAsia="Arial" w:hAnsi="Arial"/>
          <w:sz w:val="19"/>
          <w:szCs w:val="19"/>
          <w:color w:val="auto"/>
        </w:rPr>
        <w:t>" means the beneficial ownership of more than 50% of the issued share capital of a company or the legal power to direct or cause the direction of the general management of a company) provided that in clause 20(a), an "</w:t>
      </w:r>
      <w:r>
        <w:rPr>
          <w:rFonts w:ascii="Arial" w:cs="Arial" w:eastAsia="Arial" w:hAnsi="Arial"/>
          <w:sz w:val="19"/>
          <w:szCs w:val="19"/>
          <w:b w:val="1"/>
          <w:bCs w:val="1"/>
          <w:color w:val="auto"/>
        </w:rPr>
        <w:t>Associated Company</w:t>
      </w:r>
      <w:r>
        <w:rPr>
          <w:rFonts w:ascii="Arial" w:cs="Arial" w:eastAsia="Arial" w:hAnsi="Arial"/>
          <w:sz w:val="19"/>
          <w:szCs w:val="19"/>
          <w:color w:val="auto"/>
        </w:rPr>
        <w:t>" shall not extend to cover any entity in respect of which you did not carry out material duties in the period of 12 months prior to the termination of the employment; "</w:t>
      </w:r>
      <w:r>
        <w:rPr>
          <w:rFonts w:ascii="Arial" w:cs="Arial" w:eastAsia="Arial" w:hAnsi="Arial"/>
          <w:sz w:val="19"/>
          <w:szCs w:val="19"/>
          <w:b w:val="1"/>
          <w:bCs w:val="1"/>
          <w:color w:val="auto"/>
        </w:rPr>
        <w:t>Board</w:t>
      </w:r>
      <w:r>
        <w:rPr>
          <w:rFonts w:ascii="Arial" w:cs="Arial" w:eastAsia="Arial" w:hAnsi="Arial"/>
          <w:sz w:val="19"/>
          <w:szCs w:val="19"/>
          <w:color w:val="auto"/>
        </w:rPr>
        <w:t>" means the Board of Directors for the time being of Recursion or the directors present at a meeting of the directors of Recursion at which a quorum is present; "</w:t>
      </w:r>
      <w:r>
        <w:rPr>
          <w:rFonts w:ascii="Arial" w:cs="Arial" w:eastAsia="Arial" w:hAnsi="Arial"/>
          <w:sz w:val="19"/>
          <w:szCs w:val="19"/>
          <w:b w:val="1"/>
          <w:bCs w:val="1"/>
          <w:color w:val="auto"/>
        </w:rPr>
        <w:t>Business</w:t>
      </w:r>
      <w:r>
        <w:rPr>
          <w:rFonts w:ascii="Arial" w:cs="Arial" w:eastAsia="Arial" w:hAnsi="Arial"/>
          <w:sz w:val="19"/>
          <w:szCs w:val="19"/>
          <w:color w:val="auto"/>
        </w:rPr>
        <w:t xml:space="preserve">" means any business carried on by the Company or any Associated Company at the date of termination of the employment and with which you were concerned to a material extent in the 12 months immediately preceding the termination of employment;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xml:space="preserve"> means in relation to or in connection with the Company or any Associated Company or any client or customer of the Company or an Associated Company any secret or confidential information including, without limitation, account details, business plans, financial information, technical processes, systems designs, finances, computer programs, cost and pricing data, client customer lists and details, inventions, business strategies, sales and marketing strategies, products services, profit plans, personal details, remuneration arrangements and intellectual property; and </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xml:space="preserve"> means patents, rights to Inventions, copyright and related rights, trademarks, trade names, domain names, social media handles/assets, rights in get-up, goodwill and the right to sue for passing off or unfair competition, rights in designs, rights in computer software, database rights, rights to preserve the</w:t>
      </w:r>
    </w:p>
    <w:p>
      <w:pPr>
        <w:spacing w:after="0" w:line="212" w:lineRule="exact"/>
        <w:rPr>
          <w:rFonts w:ascii="Arial" w:cs="Arial" w:eastAsia="Arial" w:hAnsi="Arial"/>
          <w:sz w:val="19"/>
          <w:szCs w:val="19"/>
          <w:color w:val="auto"/>
        </w:rPr>
      </w:pPr>
    </w:p>
    <w:p>
      <w:pPr>
        <w:ind w:left="5520" w:hanging="123"/>
        <w:spacing w:after="0"/>
        <w:tabs>
          <w:tab w:leader="none" w:pos="5520" w:val="left"/>
        </w:tabs>
        <w:numPr>
          <w:ilvl w:val="2"/>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confidentiality of information (including know-how and trade secrets) and any other intellectual property rights, in each case whether registered or unregistered and including all applications (or rights to apply) for and be granted, renewals or extensions of, and rights to claim priority from, such rights and all similar or equivalent rights or forms of protection which may now or in the future subsist in any part of the world; </w:t>
      </w:r>
      <w:r>
        <w:rPr>
          <w:rFonts w:ascii="Arial" w:cs="Arial" w:eastAsia="Arial" w:hAnsi="Arial"/>
          <w:sz w:val="20"/>
          <w:szCs w:val="20"/>
          <w:b w:val="1"/>
          <w:bCs w:val="1"/>
          <w:color w:val="auto"/>
        </w:rPr>
        <w:t>“Inventions”</w:t>
      </w:r>
      <w:r>
        <w:rPr>
          <w:rFonts w:ascii="Arial" w:cs="Arial" w:eastAsia="Arial" w:hAnsi="Arial"/>
          <w:sz w:val="20"/>
          <w:szCs w:val="20"/>
          <w:color w:val="auto"/>
        </w:rPr>
        <w:t xml:space="preserve"> means inventions, ideas and improvements, whether or not patentable, and whether or not recorded in any medium;</w:t>
      </w:r>
    </w:p>
    <w:p>
      <w:pPr>
        <w:spacing w:after="0" w:line="185" w:lineRule="exact"/>
        <w:rPr>
          <w:sz w:val="20"/>
          <w:szCs w:val="20"/>
          <w:color w:val="auto"/>
        </w:rPr>
      </w:pPr>
    </w:p>
    <w:p>
      <w:pPr>
        <w:jc w:val="both"/>
        <w:ind w:firstLine="656"/>
        <w:spacing w:after="0" w:line="254" w:lineRule="auto"/>
        <w:tabs>
          <w:tab w:leader="none" w:pos="1314" w:val="left"/>
        </w:tabs>
        <w:numPr>
          <w:ilvl w:val="0"/>
          <w:numId w:val="151"/>
        </w:numPr>
        <w:rPr>
          <w:rFonts w:ascii="Arial" w:cs="Arial" w:eastAsia="Arial" w:hAnsi="Arial"/>
          <w:sz w:val="20"/>
          <w:szCs w:val="20"/>
          <w:color w:val="auto"/>
        </w:rPr>
      </w:pPr>
      <w:r>
        <w:rPr>
          <w:rFonts w:ascii="Arial" w:cs="Arial" w:eastAsia="Arial" w:hAnsi="Arial"/>
          <w:sz w:val="20"/>
          <w:szCs w:val="20"/>
          <w:b w:val="1"/>
          <w:bCs w:val="1"/>
          <w:color w:val="auto"/>
        </w:rPr>
        <w:t xml:space="preserve">Interpretation. </w:t>
      </w:r>
      <w:r>
        <w:rPr>
          <w:rFonts w:ascii="Arial" w:cs="Arial" w:eastAsia="Arial" w:hAnsi="Arial"/>
          <w:sz w:val="20"/>
          <w:szCs w:val="20"/>
          <w:color w:val="auto"/>
        </w:rPr>
        <w:t>In this Agreement, the headings are for convenience only and shall not affect its construction or</w:t>
      </w:r>
      <w:r>
        <w:rPr>
          <w:rFonts w:ascii="Arial" w:cs="Arial" w:eastAsia="Arial" w:hAnsi="Arial"/>
          <w:sz w:val="20"/>
          <w:szCs w:val="20"/>
          <w:b w:val="1"/>
          <w:bCs w:val="1"/>
          <w:color w:val="auto"/>
        </w:rPr>
        <w:t xml:space="preserve"> </w:t>
      </w:r>
      <w:r>
        <w:rPr>
          <w:rFonts w:ascii="Arial" w:cs="Arial" w:eastAsia="Arial" w:hAnsi="Arial"/>
          <w:sz w:val="20"/>
          <w:szCs w:val="20"/>
          <w:color w:val="auto"/>
        </w:rPr>
        <w:t>interpretation. References to clauses are references to clauses in this Agreement and references to a person shall, where the context permits, include reference to a corporate body or an unincorporated body of persons. Any word which denotes the singular shall, where the context permits, include the plural and vice versa, and any word which denotes the masculine gender shall, where the context permits, include the feminine and/or the neuter genders and vice versa. Any reference to a statutory provision shall be deemed to include a reference to any statutory amendment, modification or re-enactment.</w:t>
      </w:r>
    </w:p>
    <w:p>
      <w:pPr>
        <w:spacing w:after="0" w:line="173" w:lineRule="exact"/>
        <w:rPr>
          <w:rFonts w:ascii="Arial" w:cs="Arial" w:eastAsia="Arial" w:hAnsi="Arial"/>
          <w:sz w:val="20"/>
          <w:szCs w:val="20"/>
          <w:color w:val="auto"/>
        </w:rPr>
      </w:pPr>
    </w:p>
    <w:p>
      <w:pPr>
        <w:jc w:val="both"/>
        <w:ind w:firstLine="656"/>
        <w:spacing w:after="0" w:line="260" w:lineRule="auto"/>
        <w:tabs>
          <w:tab w:leader="none" w:pos="1314" w:val="left"/>
        </w:tabs>
        <w:numPr>
          <w:ilvl w:val="0"/>
          <w:numId w:val="151"/>
        </w:numPr>
        <w:rPr>
          <w:rFonts w:ascii="Arial" w:cs="Arial" w:eastAsia="Arial" w:hAnsi="Arial"/>
          <w:sz w:val="20"/>
          <w:szCs w:val="20"/>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This Agreement, together with the other plans and agreements referenced herein, contains</w:t>
      </w:r>
      <w:r>
        <w:rPr>
          <w:rFonts w:ascii="Arial" w:cs="Arial" w:eastAsia="Arial" w:hAnsi="Arial"/>
          <w:sz w:val="20"/>
          <w:szCs w:val="20"/>
          <w:b w:val="1"/>
          <w:bCs w:val="1"/>
          <w:color w:val="auto"/>
        </w:rPr>
        <w:t xml:space="preserve"> </w:t>
      </w:r>
      <w:r>
        <w:rPr>
          <w:rFonts w:ascii="Arial" w:cs="Arial" w:eastAsia="Arial" w:hAnsi="Arial"/>
          <w:sz w:val="20"/>
          <w:szCs w:val="20"/>
          <w:color w:val="auto"/>
        </w:rPr>
        <w:t>the entire understanding between the parties and supersedes all (if any) subsisting agreements, arrangements and understandings (written or oral) relating to your employment, and all such agreements, arrangements and understandings shall be deemed to have been terminated by mutual consent.</w:t>
      </w:r>
    </w:p>
    <w:p>
      <w:pPr>
        <w:spacing w:after="0" w:line="177" w:lineRule="exact"/>
        <w:rPr>
          <w:rFonts w:ascii="Arial" w:cs="Arial" w:eastAsia="Arial" w:hAnsi="Arial"/>
          <w:sz w:val="20"/>
          <w:szCs w:val="20"/>
          <w:color w:val="auto"/>
        </w:rPr>
      </w:pPr>
    </w:p>
    <w:p>
      <w:pPr>
        <w:jc w:val="both"/>
        <w:ind w:firstLine="656"/>
        <w:spacing w:after="0" w:line="263" w:lineRule="auto"/>
        <w:tabs>
          <w:tab w:leader="none" w:pos="1314" w:val="left"/>
        </w:tabs>
        <w:numPr>
          <w:ilvl w:val="0"/>
          <w:numId w:val="151"/>
        </w:numPr>
        <w:rPr>
          <w:rFonts w:ascii="Arial" w:cs="Arial" w:eastAsia="Arial" w:hAnsi="Arial"/>
          <w:sz w:val="20"/>
          <w:szCs w:val="20"/>
          <w:color w:val="auto"/>
        </w:rPr>
      </w:pPr>
      <w:r>
        <w:rPr>
          <w:rFonts w:ascii="Arial" w:cs="Arial" w:eastAsia="Arial" w:hAnsi="Arial"/>
          <w:sz w:val="20"/>
          <w:szCs w:val="20"/>
          <w:b w:val="1"/>
          <w:bCs w:val="1"/>
          <w:color w:val="auto"/>
        </w:rPr>
        <w:t xml:space="preserve">Amendments. </w:t>
      </w:r>
      <w:r>
        <w:rPr>
          <w:rFonts w:ascii="Arial" w:cs="Arial" w:eastAsia="Arial" w:hAnsi="Arial"/>
          <w:sz w:val="20"/>
          <w:szCs w:val="20"/>
          <w:color w:val="auto"/>
        </w:rPr>
        <w:t>Any amendments to this Agreement shall only be valid if set out in writing and signed by both</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The Company reserves the right to amend or replace any term of this Agreement and any such amendments shall be notified to you in writing.</w:t>
      </w:r>
    </w:p>
    <w:p>
      <w:pPr>
        <w:spacing w:after="0" w:line="175" w:lineRule="exact"/>
        <w:rPr>
          <w:rFonts w:ascii="Arial" w:cs="Arial" w:eastAsia="Arial" w:hAnsi="Arial"/>
          <w:sz w:val="20"/>
          <w:szCs w:val="20"/>
          <w:color w:val="auto"/>
        </w:rPr>
      </w:pPr>
    </w:p>
    <w:p>
      <w:pPr>
        <w:ind w:right="340" w:firstLine="656"/>
        <w:spacing w:after="0" w:line="274" w:lineRule="auto"/>
        <w:tabs>
          <w:tab w:leader="none" w:pos="1314" w:val="left"/>
        </w:tabs>
        <w:numPr>
          <w:ilvl w:val="0"/>
          <w:numId w:val="151"/>
        </w:numPr>
        <w:rPr>
          <w:rFonts w:ascii="Arial" w:cs="Arial" w:eastAsia="Arial" w:hAnsi="Arial"/>
          <w:sz w:val="20"/>
          <w:szCs w:val="20"/>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Agreement may be executed in two counterparts, each of which is an original and both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together evidence the same agreement.</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Christopher Gibson</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Chris Gibson</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Chief Executive Officer, Recursion Pharmaceuticals, Inc.</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I have read and understood this Agreement and hereby acknowledge, accept and agree to the terms as set forth herein and further acknowledge that no other commitments were made to me as part of my employment offer except as specifically set forth herein.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By: /s/ David Hallet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David Hallet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December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- 8-</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color w:val="auto"/>
        </w:rPr>
        <w:t>- 9-</w:t>
      </w:r>
    </w:p>
    <w:p>
      <w:pPr>
        <w:sectPr>
          <w:pgSz w:w="11900" w:h="16838" w:orient="portrait"/>
          <w:cols w:equalWidth="0" w:num="1">
            <w:col w:w="9019"/>
          </w:cols>
          <w:pgMar w:left="1440" w:top="1440" w:right="1440" w:bottom="1440" w:gutter="0" w:footer="0" w:header="0"/>
        </w:sectPr>
      </w:pPr>
    </w:p>
    <w:bookmarkStart w:id="242" w:name="page243"/>
    <w:bookmarkEnd w:id="242"/>
    <w:p>
      <w:pPr>
        <w:spacing w:after="0" w:line="200" w:lineRule="exact"/>
        <w:rPr>
          <w:sz w:val="20"/>
          <w:szCs w:val="20"/>
          <w:color w:val="auto"/>
        </w:rPr>
      </w:pPr>
    </w:p>
    <w:p>
      <w:pPr>
        <w:spacing w:after="0" w:line="234"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SCHEDULE 1 - Additional Particulars of Employment under s.1 Employment Rights Act 1996</w:t>
      </w:r>
    </w:p>
    <w:p>
      <w:pPr>
        <w:spacing w:after="0" w:line="216" w:lineRule="exact"/>
        <w:rPr>
          <w:sz w:val="20"/>
          <w:szCs w:val="20"/>
          <w:color w:val="auto"/>
        </w:rPr>
      </w:pPr>
    </w:p>
    <w:p>
      <w:pPr>
        <w:ind w:left="652" w:hanging="652"/>
        <w:spacing w:after="0"/>
        <w:tabs>
          <w:tab w:leader="none" w:pos="652" w:val="left"/>
        </w:tabs>
        <w:numPr>
          <w:ilvl w:val="0"/>
          <w:numId w:val="152"/>
        </w:numPr>
        <w:rPr>
          <w:rFonts w:ascii="Arial" w:cs="Arial" w:eastAsia="Arial" w:hAnsi="Arial"/>
          <w:sz w:val="20"/>
          <w:szCs w:val="20"/>
          <w:color w:val="auto"/>
        </w:rPr>
      </w:pPr>
      <w:r>
        <w:rPr>
          <w:rFonts w:ascii="Arial" w:cs="Arial" w:eastAsia="Arial" w:hAnsi="Arial"/>
          <w:sz w:val="20"/>
          <w:szCs w:val="20"/>
          <w:color w:val="auto"/>
        </w:rPr>
        <w:t>Your period of continuous employment starts on the same date as the employment under the Agreement.</w:t>
      </w:r>
    </w:p>
    <w:p>
      <w:pPr>
        <w:spacing w:after="0" w:line="175" w:lineRule="exact"/>
        <w:rPr>
          <w:rFonts w:ascii="Arial" w:cs="Arial" w:eastAsia="Arial" w:hAnsi="Arial"/>
          <w:sz w:val="20"/>
          <w:szCs w:val="20"/>
          <w:color w:val="auto"/>
        </w:rPr>
      </w:pPr>
    </w:p>
    <w:p>
      <w:pPr>
        <w:ind w:left="652" w:hanging="652"/>
        <w:spacing w:after="0" w:line="243" w:lineRule="auto"/>
        <w:tabs>
          <w:tab w:leader="none" w:pos="655" w:val="left"/>
        </w:tabs>
        <w:numPr>
          <w:ilvl w:val="0"/>
          <w:numId w:val="152"/>
        </w:numPr>
        <w:rPr>
          <w:rFonts w:ascii="Arial" w:cs="Arial" w:eastAsia="Arial" w:hAnsi="Arial"/>
          <w:sz w:val="20"/>
          <w:szCs w:val="20"/>
          <w:color w:val="auto"/>
        </w:rPr>
      </w:pPr>
      <w:r>
        <w:rPr>
          <w:rFonts w:ascii="Arial" w:cs="Arial" w:eastAsia="Arial" w:hAnsi="Arial"/>
          <w:sz w:val="20"/>
          <w:szCs w:val="20"/>
          <w:color w:val="auto"/>
        </w:rPr>
        <w:t>Your normal working hours are usual business hours and such other hours as are required for the proper performance of your duties.</w:t>
      </w:r>
    </w:p>
    <w:p>
      <w:pPr>
        <w:spacing w:after="0" w:line="141" w:lineRule="exact"/>
        <w:rPr>
          <w:rFonts w:ascii="Arial" w:cs="Arial" w:eastAsia="Arial" w:hAnsi="Arial"/>
          <w:sz w:val="20"/>
          <w:szCs w:val="20"/>
          <w:color w:val="auto"/>
        </w:rPr>
      </w:pPr>
    </w:p>
    <w:p>
      <w:pPr>
        <w:ind w:left="652" w:hanging="652"/>
        <w:spacing w:after="0"/>
        <w:tabs>
          <w:tab w:leader="none" w:pos="652"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There is no probationary period applicable to the employment.</w:t>
      </w:r>
    </w:p>
    <w:p>
      <w:pPr>
        <w:spacing w:after="0" w:line="188" w:lineRule="exact"/>
        <w:rPr>
          <w:rFonts w:ascii="Arial" w:cs="Arial" w:eastAsia="Arial" w:hAnsi="Arial"/>
          <w:sz w:val="20"/>
          <w:szCs w:val="20"/>
          <w:color w:val="auto"/>
        </w:rPr>
      </w:pPr>
    </w:p>
    <w:p>
      <w:pPr>
        <w:ind w:left="652" w:right="820" w:hanging="652"/>
        <w:spacing w:after="0" w:line="243" w:lineRule="auto"/>
        <w:tabs>
          <w:tab w:leader="none" w:pos="655" w:val="left"/>
        </w:tabs>
        <w:numPr>
          <w:ilvl w:val="0"/>
          <w:numId w:val="152"/>
        </w:numPr>
        <w:rPr>
          <w:rFonts w:ascii="Arial" w:cs="Arial" w:eastAsia="Arial" w:hAnsi="Arial"/>
          <w:sz w:val="20"/>
          <w:szCs w:val="20"/>
          <w:color w:val="auto"/>
        </w:rPr>
      </w:pPr>
      <w:r>
        <w:rPr>
          <w:rFonts w:ascii="Arial" w:cs="Arial" w:eastAsia="Arial" w:hAnsi="Arial"/>
          <w:sz w:val="20"/>
          <w:szCs w:val="20"/>
          <w:color w:val="auto"/>
        </w:rPr>
        <w:t>You may be provided with training from time to time either in house or externally as considered appropriate and necessary from time to time.</w:t>
      </w:r>
    </w:p>
    <w:p>
      <w:pPr>
        <w:spacing w:after="0" w:line="141" w:lineRule="exact"/>
        <w:rPr>
          <w:rFonts w:ascii="Arial" w:cs="Arial" w:eastAsia="Arial" w:hAnsi="Arial"/>
          <w:sz w:val="20"/>
          <w:szCs w:val="20"/>
          <w:color w:val="auto"/>
        </w:rPr>
      </w:pPr>
    </w:p>
    <w:p>
      <w:pPr>
        <w:ind w:left="652" w:right="180" w:hanging="652"/>
        <w:spacing w:after="0" w:line="231" w:lineRule="auto"/>
        <w:tabs>
          <w:tab w:leader="none" w:pos="655" w:val="left"/>
        </w:tabs>
        <w:numPr>
          <w:ilvl w:val="0"/>
          <w:numId w:val="152"/>
        </w:numPr>
        <w:rPr>
          <w:rFonts w:ascii="Arial" w:cs="Arial" w:eastAsia="Arial" w:hAnsi="Arial"/>
          <w:sz w:val="20"/>
          <w:szCs w:val="20"/>
          <w:color w:val="auto"/>
        </w:rPr>
      </w:pPr>
      <w:r>
        <w:rPr>
          <w:rFonts w:ascii="Arial" w:cs="Arial" w:eastAsia="Arial" w:hAnsi="Arial"/>
          <w:sz w:val="20"/>
          <w:szCs w:val="20"/>
          <w:color w:val="auto"/>
        </w:rPr>
        <w:t>Subject to satisfying the requisite statutory requirements, you may be eligible to take paid statutory leave including: maternity, paternity, shared parental, adoption, and bereavement leave and any other statutory leave for which you are eligible from time to time as a matter of law.</w:t>
      </w:r>
    </w:p>
    <w:p>
      <w:pPr>
        <w:spacing w:after="0" w:line="145" w:lineRule="exact"/>
        <w:rPr>
          <w:rFonts w:ascii="Arial" w:cs="Arial" w:eastAsia="Arial" w:hAnsi="Arial"/>
          <w:sz w:val="20"/>
          <w:szCs w:val="20"/>
          <w:color w:val="auto"/>
        </w:rPr>
      </w:pPr>
    </w:p>
    <w:p>
      <w:pPr>
        <w:ind w:left="652" w:hanging="652"/>
        <w:spacing w:after="0"/>
        <w:tabs>
          <w:tab w:leader="none" w:pos="652"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There is no formal Company disciplinary or grievance procedure applicable to the employment.</w:t>
      </w:r>
    </w:p>
    <w:p>
      <w:pPr>
        <w:spacing w:after="0" w:line="188" w:lineRule="exact"/>
        <w:rPr>
          <w:rFonts w:ascii="Arial" w:cs="Arial" w:eastAsia="Arial" w:hAnsi="Arial"/>
          <w:sz w:val="20"/>
          <w:szCs w:val="20"/>
          <w:color w:val="auto"/>
        </w:rPr>
      </w:pPr>
    </w:p>
    <w:p>
      <w:pPr>
        <w:ind w:left="652" w:hanging="652"/>
        <w:spacing w:after="0"/>
        <w:tabs>
          <w:tab w:leader="none" w:pos="652"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There are no collective agreements applicable to the employment.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11" w:lineRule="exact"/>
        <w:rPr>
          <w:rFonts w:ascii="Arial" w:cs="Arial" w:eastAsia="Arial" w:hAnsi="Arial"/>
          <w:sz w:val="20"/>
          <w:szCs w:val="20"/>
          <w:color w:val="auto"/>
        </w:rPr>
      </w:pPr>
    </w:p>
    <w:p>
      <w:pPr>
        <w:ind w:left="5452" w:hanging="117"/>
        <w:spacing w:after="0"/>
        <w:tabs>
          <w:tab w:leader="none" w:pos="5452"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w:t>
      </w:r>
    </w:p>
    <w:p>
      <w:pPr>
        <w:sectPr>
          <w:pgSz w:w="11900" w:h="16838" w:orient="portrait"/>
          <w:cols w:equalWidth="0" w:num="1">
            <w:col w:w="11172"/>
          </w:cols>
          <w:pgMar w:left="328" w:top="1440" w:right="399" w:bottom="1440" w:gutter="0" w:footer="0" w:header="0"/>
        </w:sectPr>
      </w:pPr>
    </w:p>
    <w:bookmarkStart w:id="243" w:name="page244"/>
    <w:bookmarkEnd w:id="243"/>
    <w:p>
      <w:pPr>
        <w:ind w:left="9900"/>
        <w:spacing w:after="0"/>
        <w:rPr>
          <w:sz w:val="20"/>
          <w:szCs w:val="20"/>
          <w:color w:val="auto"/>
        </w:rPr>
      </w:pPr>
      <w:r>
        <w:rPr>
          <w:rFonts w:ascii="Times New Roman" w:cs="Times New Roman" w:eastAsia="Times New Roman" w:hAnsi="Times New Roman"/>
          <w:sz w:val="22"/>
          <w:szCs w:val="22"/>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RECURSION PHARMACEUTICALS,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$300,000,000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SALES AGREEMENT</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February 25, 2026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TD Securities (USA)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Vanderbilt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10017</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Recursion Pharmaceuticals, Inc. (the “</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confirms its agreement (this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with TD Securities (USA)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LLC (“</w:t>
      </w:r>
      <w:r>
        <w:rPr>
          <w:rFonts w:ascii="Times New Roman" w:cs="Times New Roman" w:eastAsia="Times New Roman" w:hAnsi="Times New Roman"/>
          <w:sz w:val="22"/>
          <w:szCs w:val="22"/>
          <w:b w:val="1"/>
          <w:bCs w:val="1"/>
          <w:u w:val="single" w:color="auto"/>
          <w:color w:val="auto"/>
        </w:rPr>
        <w:t>TD Cowen</w:t>
      </w:r>
      <w:r>
        <w:rPr>
          <w:rFonts w:ascii="Times New Roman" w:cs="Times New Roman" w:eastAsia="Times New Roman" w:hAnsi="Times New Roman"/>
          <w:sz w:val="22"/>
          <w:szCs w:val="22"/>
          <w:color w:val="auto"/>
        </w:rPr>
        <w:t>”), as follows:</w:t>
      </w:r>
    </w:p>
    <w:p>
      <w:pPr>
        <w:spacing w:after="0" w:line="169" w:lineRule="exact"/>
        <w:rPr>
          <w:sz w:val="20"/>
          <w:szCs w:val="20"/>
          <w:color w:val="auto"/>
        </w:rPr>
      </w:pPr>
    </w:p>
    <w:p>
      <w:pPr>
        <w:jc w:val="both"/>
        <w:ind w:firstLine="656"/>
        <w:spacing w:after="0" w:line="209" w:lineRule="auto"/>
        <w:tabs>
          <w:tab w:leader="none" w:pos="130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and Sale of Shares</w:t>
      </w:r>
      <w:r>
        <w:rPr>
          <w:rFonts w:ascii="Times New Roman" w:cs="Times New Roman" w:eastAsia="Times New Roman" w:hAnsi="Times New Roman"/>
          <w:sz w:val="22"/>
          <w:szCs w:val="22"/>
          <w:color w:val="auto"/>
        </w:rPr>
        <w:t>. The Company agrees that, from time to time during the term of this Agreement, on the terms and subject to the conditions set forth herein, it may issue and sell through TD Cowen, acting as agent and/or principal, shares (the “</w:t>
      </w:r>
      <w:r>
        <w:rPr>
          <w:rFonts w:ascii="Times New Roman" w:cs="Times New Roman" w:eastAsia="Times New Roman" w:hAnsi="Times New Roman"/>
          <w:sz w:val="22"/>
          <w:szCs w:val="22"/>
          <w:b w:val="1"/>
          <w:bCs w:val="1"/>
          <w:u w:val="single" w:color="auto"/>
          <w:color w:val="auto"/>
        </w:rPr>
        <w:t>Placement Shares</w:t>
      </w:r>
      <w:r>
        <w:rPr>
          <w:rFonts w:ascii="Times New Roman" w:cs="Times New Roman" w:eastAsia="Times New Roman" w:hAnsi="Times New Roman"/>
          <w:sz w:val="22"/>
          <w:szCs w:val="22"/>
          <w:color w:val="auto"/>
        </w:rPr>
        <w:t>”) of the Company’s Class A common stock, par value $0.00001 per share (the “</w:t>
      </w:r>
      <w:r>
        <w:rPr>
          <w:rFonts w:ascii="Times New Roman" w:cs="Times New Roman" w:eastAsia="Times New Roman" w:hAnsi="Times New Roman"/>
          <w:sz w:val="22"/>
          <w:szCs w:val="22"/>
          <w:b w:val="1"/>
          <w:bCs w:val="1"/>
          <w:u w:val="single" w:color="auto"/>
          <w:color w:val="auto"/>
        </w:rPr>
        <w:t>Class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color w:val="auto"/>
        </w:rPr>
        <w:t>”), having an aggregate offering price of up to $300,000,000 (the “</w:t>
      </w:r>
      <w:r>
        <w:rPr>
          <w:rFonts w:ascii="Times New Roman" w:cs="Times New Roman" w:eastAsia="Times New Roman" w:hAnsi="Times New Roman"/>
          <w:sz w:val="22"/>
          <w:szCs w:val="22"/>
          <w:b w:val="1"/>
          <w:bCs w:val="1"/>
          <w:u w:val="single" w:color="auto"/>
          <w:color w:val="auto"/>
        </w:rPr>
        <w:t>Maximum Amount</w:t>
      </w:r>
      <w:r>
        <w:rPr>
          <w:rFonts w:ascii="Times New Roman" w:cs="Times New Roman" w:eastAsia="Times New Roman" w:hAnsi="Times New Roman"/>
          <w:sz w:val="22"/>
          <w:szCs w:val="22"/>
          <w:color w:val="auto"/>
        </w:rPr>
        <w:t>”). The Class A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and the shares of the Company’s Class B common stock, par value $0.00001 per share, are referred to herein as the “</w:t>
      </w: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color w:val="auto"/>
        </w:rPr>
        <w:t xml:space="preserve">.” Notwithstanding anything to the contrary contained herein, the parties hereto agree that compliance with the limitation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on the number of shares of Class A Common Stock issued and sold under this Agreement shall be the sole responsibility of the Company, and TD Cowen shall have no obligation in connection with such compliance. The issuance and sale of Class A Common Stock through TD Cowen will be effected pursuant to the Registration Statement (as defined below) that became automatically effective upon its filing with the Securities and Exchange Commission (the “</w:t>
      </w:r>
      <w:r>
        <w:rPr>
          <w:rFonts w:ascii="Times New Roman" w:cs="Times New Roman" w:eastAsia="Times New Roman" w:hAnsi="Times New Roman"/>
          <w:sz w:val="22"/>
          <w:szCs w:val="22"/>
          <w:b w:val="1"/>
          <w:bCs w:val="1"/>
          <w:u w:val="single" w:color="auto"/>
          <w:color w:val="auto"/>
        </w:rPr>
        <w:t>Commission</w:t>
      </w:r>
      <w:r>
        <w:rPr>
          <w:rFonts w:ascii="Times New Roman" w:cs="Times New Roman" w:eastAsia="Times New Roman" w:hAnsi="Times New Roman"/>
          <w:sz w:val="22"/>
          <w:szCs w:val="22"/>
          <w:color w:val="auto"/>
        </w:rPr>
        <w:t>”), although nothing in this Agreement shall be construed as requiring the Company to use the Registration Statement (as defined below) to issue the Class A Common Stock. The Company acknowledges and agrees that sales of Class A Common Stock under this Agreement may be made through affiliates of TD Cowen, and that TD Cowen may otherwise fulfill its obligations pursuant to this Agreement to or through an affiliated broker-dealer.</w:t>
      </w:r>
    </w:p>
    <w:p>
      <w:pPr>
        <w:spacing w:after="0" w:line="18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Company has filed, in accordance with the provisions of the Securities Act of 1933, as amended, and the rules and regulations thereunder (collectively, the “</w:t>
      </w:r>
      <w:r>
        <w:rPr>
          <w:rFonts w:ascii="Times New Roman" w:cs="Times New Roman" w:eastAsia="Times New Roman" w:hAnsi="Times New Roman"/>
          <w:sz w:val="21"/>
          <w:szCs w:val="21"/>
          <w:b w:val="1"/>
          <w:bCs w:val="1"/>
          <w:u w:val="single" w:color="auto"/>
          <w:color w:val="auto"/>
        </w:rPr>
        <w:t>Securities Act</w:t>
      </w:r>
      <w:r>
        <w:rPr>
          <w:rFonts w:ascii="Times New Roman" w:cs="Times New Roman" w:eastAsia="Times New Roman" w:hAnsi="Times New Roman"/>
          <w:sz w:val="21"/>
          <w:szCs w:val="21"/>
          <w:color w:val="auto"/>
        </w:rPr>
        <w:t>”), with the Commission a registration statement on Form S-3ASR (File No. 333-284878) including a base prospectus, relating to certain securities, including the Class A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21"/>
          <w:szCs w:val="21"/>
          <w:b w:val="1"/>
          <w:bCs w:val="1"/>
          <w:u w:val="single" w:color="auto"/>
          <w:color w:val="auto"/>
        </w:rPr>
        <w:t>Exchange Act</w:t>
      </w:r>
      <w:r>
        <w:rPr>
          <w:rFonts w:ascii="Times New Roman" w:cs="Times New Roman" w:eastAsia="Times New Roman" w:hAnsi="Times New Roman"/>
          <w:sz w:val="21"/>
          <w:szCs w:val="21"/>
          <w:color w:val="auto"/>
        </w:rPr>
        <w:t>”). The Company has prepared and will file with the Commission a prospectus supplement to</w:t>
      </w:r>
    </w:p>
    <w:p>
      <w:pPr>
        <w:sectPr>
          <w:pgSz w:w="11900" w:h="16838" w:orient="portrait"/>
          <w:cols w:equalWidth="0" w:num="1">
            <w:col w:w="11240"/>
          </w:cols>
          <w:pgMar w:left="320" w:top="122" w:right="339" w:bottom="1440" w:gutter="0" w:footer="0" w:header="0"/>
        </w:sectPr>
      </w:pPr>
    </w:p>
    <w:bookmarkStart w:id="244" w:name="page245"/>
    <w:bookmarkEnd w:id="244"/>
    <w:p>
      <w:pPr>
        <w:jc w:val="both"/>
        <w:spacing w:after="0" w:line="259" w:lineRule="auto"/>
        <w:rPr>
          <w:sz w:val="20"/>
          <w:szCs w:val="20"/>
          <w:color w:val="auto"/>
        </w:rPr>
      </w:pPr>
      <w:r>
        <w:rPr>
          <w:rFonts w:ascii="Times New Roman" w:cs="Times New Roman" w:eastAsia="Times New Roman" w:hAnsi="Times New Roman"/>
          <w:sz w:val="21"/>
          <w:szCs w:val="21"/>
          <w:color w:val="auto"/>
        </w:rPr>
        <w:t>such base prospectus specifically relating to the Placement Shares (the “</w:t>
      </w:r>
      <w:r>
        <w:rPr>
          <w:rFonts w:ascii="Times New Roman" w:cs="Times New Roman" w:eastAsia="Times New Roman" w:hAnsi="Times New Roman"/>
          <w:sz w:val="21"/>
          <w:szCs w:val="21"/>
          <w:b w:val="1"/>
          <w:bCs w:val="1"/>
          <w:u w:val="single" w:color="auto"/>
          <w:color w:val="auto"/>
        </w:rPr>
        <w:t>Prospectus Supplement</w:t>
      </w:r>
      <w:r>
        <w:rPr>
          <w:rFonts w:ascii="Times New Roman" w:cs="Times New Roman" w:eastAsia="Times New Roman" w:hAnsi="Times New Roman"/>
          <w:sz w:val="21"/>
          <w:szCs w:val="21"/>
          <w:color w:val="auto"/>
        </w:rPr>
        <w:t>”). The Company has furnished to TD Cowen, for use by TD Cowen, copies of the prospectus included as part of such registration statement, as supplemented by the Prospectus Supplement, relating to the Placement Shares. Except where the context otherwise requires, such registration statement, and any post-effective amendment thereto,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with respect to the Placement Shares, is herein called the “</w:t>
      </w:r>
      <w:r>
        <w:rPr>
          <w:rFonts w:ascii="Times New Roman" w:cs="Times New Roman" w:eastAsia="Times New Roman" w:hAnsi="Times New Roman"/>
          <w:sz w:val="21"/>
          <w:szCs w:val="21"/>
          <w:b w:val="1"/>
          <w:bCs w:val="1"/>
          <w:u w:val="single" w:color="auto"/>
          <w:color w:val="auto"/>
        </w:rPr>
        <w:t>Registration Statement.</w:t>
      </w:r>
      <w:r>
        <w:rPr>
          <w:rFonts w:ascii="Times New Roman" w:cs="Times New Roman" w:eastAsia="Times New Roman" w:hAnsi="Times New Roman"/>
          <w:sz w:val="21"/>
          <w:szCs w:val="21"/>
          <w:color w:val="auto"/>
        </w:rPr>
        <w:t>” Any registration statement and amendments thereto filed pursuant to Rule 462(b) of the Securities Act and relating to the offering covered by the Registration Statement is herein called a “</w:t>
      </w:r>
      <w:r>
        <w:rPr>
          <w:rFonts w:ascii="Times New Roman" w:cs="Times New Roman" w:eastAsia="Times New Roman" w:hAnsi="Times New Roman"/>
          <w:sz w:val="21"/>
          <w:szCs w:val="21"/>
          <w:b w:val="1"/>
          <w:bCs w:val="1"/>
          <w:color w:val="auto"/>
        </w:rPr>
        <w:t>Rule 462(b) Registration Statement</w:t>
      </w:r>
      <w:r>
        <w:rPr>
          <w:rFonts w:ascii="Times New Roman" w:cs="Times New Roman" w:eastAsia="Times New Roman" w:hAnsi="Times New Roman"/>
          <w:sz w:val="21"/>
          <w:szCs w:val="21"/>
          <w:color w:val="auto"/>
        </w:rPr>
        <w:t>” and, after such filing, the “Registration Statement” shall include any Rule 462(b) Registration Statement.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under the Securities Act (“</w:t>
      </w:r>
      <w:r>
        <w:rPr>
          <w:rFonts w:ascii="Times New Roman" w:cs="Times New Roman" w:eastAsia="Times New Roman" w:hAnsi="Times New Roman"/>
          <w:sz w:val="21"/>
          <w:szCs w:val="21"/>
          <w:b w:val="1"/>
          <w:bCs w:val="1"/>
          <w:u w:val="single" w:color="auto"/>
          <w:color w:val="auto"/>
        </w:rPr>
        <w:t>Rule 433</w:t>
      </w:r>
      <w:r>
        <w:rPr>
          <w:rFonts w:ascii="Times New Roman" w:cs="Times New Roman" w:eastAsia="Times New Roman" w:hAnsi="Times New Roman"/>
          <w:sz w:val="21"/>
          <w:szCs w:val="21"/>
          <w:color w:val="auto"/>
        </w:rPr>
        <w:t>”), relating to the Placement Shares that (i) is consented to by TD Cowen, hereinafter referred to as a “</w:t>
      </w:r>
      <w:r>
        <w:rPr>
          <w:rFonts w:ascii="Times New Roman" w:cs="Times New Roman" w:eastAsia="Times New Roman" w:hAnsi="Times New Roman"/>
          <w:sz w:val="21"/>
          <w:szCs w:val="21"/>
          <w:b w:val="1"/>
          <w:bCs w:val="1"/>
          <w:u w:val="single" w:color="auto"/>
          <w:color w:val="auto"/>
        </w:rPr>
        <w:t>Permitted Free Writing Prospectus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21"/>
          <w:szCs w:val="21"/>
          <w:b w:val="1"/>
          <w:bCs w:val="1"/>
          <w:u w:val="single" w:color="auto"/>
          <w:color w:val="auto"/>
        </w:rPr>
        <w:t>Prospectus</w:t>
      </w:r>
      <w:r>
        <w:rPr>
          <w:rFonts w:ascii="Times New Roman" w:cs="Times New Roman" w:eastAsia="Times New Roman" w:hAnsi="Times New Roman"/>
          <w:sz w:val="21"/>
          <w:szCs w:val="21"/>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cs="Times New Roman" w:eastAsia="Times New Roman" w:hAnsi="Times New Roman"/>
          <w:sz w:val="21"/>
          <w:szCs w:val="21"/>
          <w:b w:val="1"/>
          <w:bCs w:val="1"/>
          <w:u w:val="single" w:color="auto"/>
          <w:color w:val="auto"/>
        </w:rPr>
        <w:t>EDGAR</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9" w:lineRule="exact"/>
        <w:rPr>
          <w:sz w:val="20"/>
          <w:szCs w:val="20"/>
          <w:color w:val="auto"/>
        </w:rPr>
      </w:pPr>
    </w:p>
    <w:p>
      <w:pPr>
        <w:jc w:val="both"/>
        <w:ind w:firstLine="656"/>
        <w:spacing w:after="0" w:line="222" w:lineRule="auto"/>
        <w:tabs>
          <w:tab w:leader="none" w:pos="1377"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Placements</w:t>
      </w:r>
      <w:r>
        <w:rPr>
          <w:rFonts w:ascii="Times New Roman" w:cs="Times New Roman" w:eastAsia="Times New Roman" w:hAnsi="Times New Roman"/>
          <w:sz w:val="21"/>
          <w:szCs w:val="21"/>
          <w:color w:val="auto"/>
        </w:rPr>
        <w:t>. Each time that the Company wishes to issue and sell the Placement Shares hereunder (each, a “</w:t>
      </w:r>
      <w:r>
        <w:rPr>
          <w:rFonts w:ascii="Times New Roman" w:cs="Times New Roman" w:eastAsia="Times New Roman" w:hAnsi="Times New Roman"/>
          <w:sz w:val="21"/>
          <w:szCs w:val="21"/>
          <w:b w:val="1"/>
          <w:bCs w:val="1"/>
          <w:u w:val="single" w:color="auto"/>
          <w:color w:val="auto"/>
        </w:rPr>
        <w:t>Placement</w:t>
      </w:r>
      <w:r>
        <w:rPr>
          <w:rFonts w:ascii="Times New Roman" w:cs="Times New Roman" w:eastAsia="Times New Roman" w:hAnsi="Times New Roman"/>
          <w:sz w:val="21"/>
          <w:szCs w:val="21"/>
          <w:color w:val="auto"/>
        </w:rPr>
        <w:t>”), it will notify TD Cowen by email notice (or other method mutually agreed to in writing by the parties) (a “</w:t>
      </w:r>
      <w:r>
        <w:rPr>
          <w:rFonts w:ascii="Times New Roman" w:cs="Times New Roman" w:eastAsia="Times New Roman" w:hAnsi="Times New Roman"/>
          <w:sz w:val="21"/>
          <w:szCs w:val="21"/>
          <w:b w:val="1"/>
          <w:bCs w:val="1"/>
          <w:u w:val="single" w:color="auto"/>
          <w:color w:val="auto"/>
        </w:rPr>
        <w:t>Placement Notice</w:t>
      </w:r>
      <w:r>
        <w:rPr>
          <w:rFonts w:ascii="Times New Roman" w:cs="Times New Roman" w:eastAsia="Times New Roman" w:hAnsi="Times New Roman"/>
          <w:sz w:val="21"/>
          <w:szCs w:val="21"/>
          <w:color w:val="auto"/>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and any minimum price below which sales may not be made, a form of which containing such minimum sales parameters necessary is attached hereto as </w:t>
      </w:r>
      <w:r>
        <w:rPr>
          <w:rFonts w:ascii="Times New Roman" w:cs="Times New Roman" w:eastAsia="Times New Roman" w:hAnsi="Times New Roman"/>
          <w:sz w:val="21"/>
          <w:szCs w:val="21"/>
          <w:b w:val="1"/>
          <w:bCs w:val="1"/>
          <w:u w:val="single" w:color="auto"/>
          <w:color w:val="auto"/>
        </w:rPr>
        <w:t>Schedule 1</w:t>
      </w:r>
      <w:r>
        <w:rPr>
          <w:rFonts w:ascii="Times New Roman" w:cs="Times New Roman" w:eastAsia="Times New Roman" w:hAnsi="Times New Roman"/>
          <w:sz w:val="21"/>
          <w:szCs w:val="21"/>
          <w:color w:val="auto"/>
        </w:rPr>
        <w:t xml:space="preserve">. The Placement Notice shall originate from any of the individuals from the Company set forth on </w:t>
      </w: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a copy to each of the other individuals from the Company listed on such schedule), and shall be addressed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each of the individuals from TD Cowen set forth on </w:t>
      </w: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color w:val="auto"/>
        </w:rPr>
        <w:t xml:space="preserve">, as such </w:t>
      </w: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color w:val="auto"/>
        </w:rPr>
        <w:t xml:space="preserve"> may be amended from time to time. The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245" w:name="page246"/>
    <w:bookmarkEnd w:id="245"/>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Placement Notice shall be effective upon receipt by TD Cowen unless and until (i) in accordance with the notice requirements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TD Cowen declines to accept the terms contained therein for any reason, (ii) the entire amount of the Placement Shares have been sold, (iii) in accordance with the notice requirements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the Company suspends or terminates the Placement Notice for any reason, (iv) the Company issues a subsequent Placement Notice with parameters superseding those on the earlier dated Placement Notice, or (v) this Agreement has been terminated under the provisions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 w:cs="Times New Roman" w:eastAsia="Times New Roman" w:hAnsi="Times New Roman"/>
          <w:sz w:val="22"/>
          <w:szCs w:val="22"/>
          <w:b w:val="1"/>
          <w:bCs w:val="1"/>
          <w:u w:val="single" w:color="auto"/>
          <w:color w:val="auto"/>
        </w:rPr>
        <w:t>Schedule 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52" w:lineRule="exact"/>
        <w:rPr>
          <w:sz w:val="20"/>
          <w:szCs w:val="20"/>
          <w:color w:val="auto"/>
        </w:rPr>
      </w:pPr>
    </w:p>
    <w:p>
      <w:pPr>
        <w:jc w:val="both"/>
        <w:ind w:firstLine="656"/>
        <w:spacing w:after="0" w:line="217" w:lineRule="auto"/>
        <w:tabs>
          <w:tab w:leader="none" w:pos="1296"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 of Placement Shares by TD Cowen.</w:t>
      </w:r>
      <w:r>
        <w:rPr>
          <w:rFonts w:ascii="Times New Roman" w:cs="Times New Roman" w:eastAsia="Times New Roman" w:hAnsi="Times New Roman"/>
          <w:sz w:val="21"/>
          <w:szCs w:val="21"/>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Times New Roman" w:cs="Times New Roman" w:eastAsia="Times New Roman" w:hAnsi="Times New Roman"/>
          <w:sz w:val="21"/>
          <w:szCs w:val="21"/>
          <w:b w:val="1"/>
          <w:bCs w:val="1"/>
          <w:u w:val="single" w:color="auto"/>
          <w:color w:val="auto"/>
        </w:rPr>
        <w:t>Nasdaq</w:t>
      </w:r>
      <w:r>
        <w:rPr>
          <w:rFonts w:ascii="Times New Roman" w:cs="Times New Roman" w:eastAsia="Times New Roman" w:hAnsi="Times New Roman"/>
          <w:sz w:val="21"/>
          <w:szCs w:val="21"/>
          <w:color w:val="auto"/>
        </w:rPr>
        <w:t xml:space="preserve">”) to sell such Placement Shares up to the amount specified, and otherwise in accordance with the terms of such Placement Notice. TD Cowen will provide written confirmation to the Company (including by email correspondence to each of the individuals of the Company set forth on </w:t>
      </w: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color w:val="auto"/>
        </w:rPr>
        <w:t>, if receipt of such correspondence is actually acknowledged by any of the individuals to whom the notice is sent,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 w:cs="Times New Roman" w:eastAsia="Times New Roman" w:hAnsi="Times New Roman"/>
          <w:sz w:val="21"/>
          <w:szCs w:val="21"/>
          <w:b w:val="1"/>
          <w:bCs w:val="1"/>
          <w:u w:val="single" w:color="auto"/>
          <w:color w:val="auto"/>
        </w:rPr>
        <w:t>Block Sale</w:t>
      </w:r>
      <w:r>
        <w:rPr>
          <w:rFonts w:ascii="Times New Roman" w:cs="Times New Roman" w:eastAsia="Times New Roman" w:hAnsi="Times New Roman"/>
          <w:sz w:val="21"/>
          <w:szCs w:val="21"/>
          <w:color w:val="auto"/>
        </w:rPr>
        <w:t xml:space="preserve">”), the Company will provide TD Cowen, at TD Cowen’s written request and upon reasonable advance written notice to the Company, on or prior to the Settlement Date (as defined below), the opinions of counsel, accountant’s letter and officers’ certificates set forth in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hereof, each dated the Settlement Date, and such other documents and information as TD Cowen shall reasonably request. Subject to the terms of the Placement Notice, TD Cowen may sell Placement Shares in negotiated transactions, including block trades or Block Sales, or by any method permitted by law deemed to be an “at the market” offering as defined in Rule 415 of the Securities Act, including without limitation sales made through Nasdaq or on any other existing trading market for the Class A Common Stock, or by any other method permitted by law.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For the purposes hereof, “</w:t>
      </w:r>
      <w:r>
        <w:rPr>
          <w:rFonts w:ascii="Times New Roman" w:cs="Times New Roman" w:eastAsia="Times New Roman" w:hAnsi="Times New Roman"/>
          <w:sz w:val="21"/>
          <w:szCs w:val="21"/>
          <w:b w:val="1"/>
          <w:bCs w:val="1"/>
          <w:u w:val="single" w:color="auto"/>
          <w:color w:val="auto"/>
        </w:rPr>
        <w:t>Trading Day</w:t>
      </w:r>
      <w:r>
        <w:rPr>
          <w:rFonts w:ascii="Times New Roman" w:cs="Times New Roman" w:eastAsia="Times New Roman" w:hAnsi="Times New Roman"/>
          <w:sz w:val="21"/>
          <w:szCs w:val="21"/>
          <w:color w:val="auto"/>
        </w:rPr>
        <w:t>” means any day on which the Company’s Class A Common Stock is purchased and sold on the principal market on which the Class A Common Stock is listed or quoted.</w:t>
      </w:r>
    </w:p>
    <w:p>
      <w:pPr>
        <w:spacing w:after="0" w:line="182" w:lineRule="exact"/>
        <w:rPr>
          <w:rFonts w:ascii="Times New Roman" w:cs="Times New Roman" w:eastAsia="Times New Roman" w:hAnsi="Times New Roman"/>
          <w:sz w:val="21"/>
          <w:szCs w:val="21"/>
          <w:color w:val="auto"/>
        </w:rPr>
      </w:pPr>
    </w:p>
    <w:p>
      <w:pPr>
        <w:ind w:firstLine="8"/>
        <w:spacing w:after="0" w:line="271" w:lineRule="auto"/>
        <w:tabs>
          <w:tab w:leader="none" w:pos="64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Company shall not offer, sell or deliver, or request the offer or sale, of any Placement Shares pursuant to this Agreement and,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246" w:name="page247"/>
    <w:bookmarkEnd w:id="246"/>
    <w:p>
      <w:pPr>
        <w:jc w:val="both"/>
        <w:spacing w:after="0" w:line="250" w:lineRule="auto"/>
        <w:rPr>
          <w:sz w:val="20"/>
          <w:szCs w:val="20"/>
          <w:color w:val="auto"/>
        </w:rPr>
      </w:pPr>
      <w:r>
        <w:rPr>
          <w:rFonts w:ascii="Times New Roman" w:cs="Times New Roman" w:eastAsia="Times New Roman" w:hAnsi="Times New Roman"/>
          <w:sz w:val="22"/>
          <w:szCs w:val="22"/>
          <w:color w:val="auto"/>
        </w:rPr>
        <w:t>by notice to TD Cowen given by telephone (confirmed promptly by email), shall cancel any instructions for the offer or sale of any Placement Shares, and TD Cowen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22"/>
          <w:szCs w:val="22"/>
          <w:b w:val="1"/>
          <w:bCs w:val="1"/>
          <w:u w:val="single" w:color="auto"/>
          <w:color w:val="auto"/>
        </w:rPr>
        <w:t>Earnings Announcement</w:t>
      </w:r>
      <w:r>
        <w:rPr>
          <w:rFonts w:ascii="Times New Roman" w:cs="Times New Roman" w:eastAsia="Times New Roman" w:hAnsi="Times New Roman"/>
          <w:sz w:val="22"/>
          <w:szCs w:val="22"/>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spacing w:after="0" w:line="153" w:lineRule="exact"/>
        <w:rPr>
          <w:sz w:val="20"/>
          <w:szCs w:val="20"/>
          <w:color w:val="auto"/>
        </w:rPr>
      </w:pPr>
    </w:p>
    <w:p>
      <w:pPr>
        <w:ind w:left="1300" w:hanging="644"/>
        <w:spacing w:after="0"/>
        <w:tabs>
          <w:tab w:leader="none" w:pos="1300" w:val="left"/>
        </w:tabs>
        <w:numPr>
          <w:ilvl w:val="2"/>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Sales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656"/>
        <w:spacing w:after="0" w:line="249" w:lineRule="auto"/>
        <w:tabs>
          <w:tab w:leader="none" w:pos="1404" w:val="left"/>
        </w:tabs>
        <w:numPr>
          <w:ilvl w:val="2"/>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The Company or TD Cowen may, upon notice to the other party in writing (including by email correspondence to each of the individuals of the other party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suspend any sale of Placement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suspension shall not affect or impair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party’s obligations with respect to any Placement Shares sold hereunder prior to the receipt of such notice. While a suspension is in effect, any obligation under Sections 7(m), 7(n), 7(o), and 7(p) with respect to the delivery of certificates, opinions, or comfort letters to TD Cowen, shall be waived. Each of the parties agrees that no such notice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effective against the other unless it is made to one of the individuals named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hereto, as such schedule may be amended in writing from time to time.</w:t>
      </w: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jc w:val="both"/>
        <w:ind w:firstLine="278"/>
        <w:spacing w:after="0" w:line="256" w:lineRule="auto"/>
        <w:tabs>
          <w:tab w:leader="none" w:pos="792"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TD Cowen or the Company has reason to believe that the exemptive provisions set forth in Rule 101(c)(1) of Regulation M under the Exchange Act are not satisfied with respect to the Class A Common Stock, it shall promptly notify the other party, and TD Cowen or the Company may, at its sole discretion, suspend sales of the Placement Shares under this Agreement.</w:t>
      </w:r>
    </w:p>
    <w:p>
      <w:pPr>
        <w:spacing w:after="0" w:line="203" w:lineRule="exact"/>
        <w:rPr>
          <w:rFonts w:ascii="Times New Roman" w:cs="Times New Roman" w:eastAsia="Times New Roman" w:hAnsi="Times New Roman"/>
          <w:sz w:val="22"/>
          <w:szCs w:val="22"/>
          <w:color w:val="auto"/>
        </w:rPr>
      </w:pPr>
    </w:p>
    <w:p>
      <w:pPr>
        <w:jc w:val="both"/>
        <w:ind w:firstLine="227"/>
        <w:spacing w:after="0" w:line="256" w:lineRule="auto"/>
        <w:tabs>
          <w:tab w:leader="none" w:pos="67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became automatically effective on February 12, 2025. 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2"/>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p>
    <w:p>
      <w:pPr>
        <w:spacing w:after="0" w:line="179" w:lineRule="exact"/>
        <w:rPr>
          <w:sz w:val="20"/>
          <w:szCs w:val="20"/>
          <w:color w:val="auto"/>
        </w:rPr>
      </w:pPr>
    </w:p>
    <w:p>
      <w:pPr>
        <w:jc w:val="both"/>
        <w:ind w:firstLine="656"/>
        <w:spacing w:after="0" w:line="206" w:lineRule="auto"/>
        <w:tabs>
          <w:tab w:leader="none" w:pos="154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Placement Shares</w:t>
      </w:r>
      <w:r>
        <w:rPr>
          <w:rFonts w:ascii="Times New Roman" w:cs="Times New Roman" w:eastAsia="Times New Roman" w:hAnsi="Times New Roman"/>
          <w:sz w:val="22"/>
          <w:szCs w:val="22"/>
          <w:color w:val="auto"/>
        </w:rPr>
        <w:t>. Unless otherwise specified in the applicable Placement Notice, settlement for sales of Placement Shares will occur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Trading Day following the date on which such sales are made (each, a “</w:t>
      </w:r>
      <w:r>
        <w:rPr>
          <w:rFonts w:ascii="Times New Roman" w:cs="Times New Roman" w:eastAsia="Times New Roman" w:hAnsi="Times New Roman"/>
          <w:sz w:val="22"/>
          <w:szCs w:val="22"/>
          <w:b w:val="1"/>
          <w:bCs w:val="1"/>
          <w:u w:val="single" w:color="auto"/>
          <w:color w:val="auto"/>
        </w:rPr>
        <w:t>Settlement Date</w:t>
      </w:r>
      <w:r>
        <w:rPr>
          <w:rFonts w:ascii="Times New Roman" w:cs="Times New Roman" w:eastAsia="Times New Roman" w:hAnsi="Times New Roman"/>
          <w:sz w:val="22"/>
          <w:szCs w:val="22"/>
          <w:color w:val="auto"/>
        </w:rPr>
        <w:t>” and the first such settlement date, the “</w:t>
      </w:r>
      <w:r>
        <w:rPr>
          <w:rFonts w:ascii="Times New Roman" w:cs="Times New Roman" w:eastAsia="Times New Roman" w:hAnsi="Times New Roman"/>
          <w:sz w:val="22"/>
          <w:szCs w:val="22"/>
          <w:b w:val="1"/>
          <w:bCs w:val="1"/>
          <w:u w:val="single" w:color="auto"/>
          <w:color w:val="auto"/>
        </w:rPr>
        <w:t>First Delivery Date</w:t>
      </w:r>
      <w:r>
        <w:rPr>
          <w:rFonts w:ascii="Times New Roman" w:cs="Times New Roman" w:eastAsia="Times New Roman" w:hAnsi="Times New Roman"/>
          <w:sz w:val="22"/>
          <w:szCs w:val="22"/>
          <w:color w:val="auto"/>
        </w:rPr>
        <w:t>”). The amount of proceeds to be delivered to the Company on a Settlement Date against receipt of the Placement Shares sold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247" w:name="page248"/>
    <w:bookmarkEnd w:id="247"/>
    <w:p>
      <w:pPr>
        <w:jc w:val="both"/>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Net Proceeds</w:t>
      </w:r>
      <w:r>
        <w:rPr>
          <w:rFonts w:ascii="Times New Roman" w:cs="Times New Roman" w:eastAsia="Times New Roman" w:hAnsi="Times New Roman"/>
          <w:sz w:val="22"/>
          <w:szCs w:val="22"/>
          <w:color w:val="auto"/>
        </w:rPr>
        <w:t xml:space="preserve">”) will be equal to the aggregate sales price received by TD Cowen at which such Placement Shares were sold, after deducting (i) TD Cowen’s commission, discount or other compensation for such sales payable by the Company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(ii) any other amounts due and payable by the Company to TD Cowen hereunder pursuant to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(Expenses) hereof, and (iii) any transaction fees imposed by any governmental or self-regulatory organization in respect of such sales.</w:t>
      </w:r>
    </w:p>
    <w:p>
      <w:pPr>
        <w:spacing w:after="0" w:line="151" w:lineRule="exact"/>
        <w:rPr>
          <w:sz w:val="20"/>
          <w:szCs w:val="20"/>
          <w:color w:val="auto"/>
        </w:rPr>
      </w:pPr>
    </w:p>
    <w:p>
      <w:pPr>
        <w:jc w:val="both"/>
        <w:ind w:firstLine="656"/>
        <w:spacing w:after="0" w:line="209" w:lineRule="auto"/>
        <w:tabs>
          <w:tab w:leader="none" w:pos="153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Placement Shares</w:t>
      </w:r>
      <w:r>
        <w:rPr>
          <w:rFonts w:ascii="Times New Roman" w:cs="Times New Roman" w:eastAsia="Times New Roman" w:hAnsi="Times New Roman"/>
          <w:sz w:val="22"/>
          <w:szCs w:val="22"/>
          <w:color w:val="auto"/>
        </w:rPr>
        <w:t>. On or before each Settlement Date, the Company will, or will cause its transfer agent to, electronically transfer the Placement Shares being sold by crediting TD Cowen’s or its designee’s account (provided TD Cowen shall have given the Company written notice of such designee prior to the Settlement Date) at The Depository Trust Company through its Deposit and Withdrawal at Custodian System (“</w:t>
      </w:r>
      <w:r>
        <w:rPr>
          <w:rFonts w:ascii="Times New Roman" w:cs="Times New Roman" w:eastAsia="Times New Roman" w:hAnsi="Times New Roman"/>
          <w:sz w:val="22"/>
          <w:szCs w:val="22"/>
          <w:b w:val="1"/>
          <w:bCs w:val="1"/>
          <w:u w:val="single" w:color="auto"/>
          <w:color w:val="auto"/>
        </w:rPr>
        <w:t>DWAC</w:t>
      </w:r>
      <w:r>
        <w:rPr>
          <w:rFonts w:ascii="Times New Roman" w:cs="Times New Roman" w:eastAsia="Times New Roman" w:hAnsi="Times New Roman"/>
          <w:sz w:val="22"/>
          <w:szCs w:val="22"/>
          <w:color w:val="auto"/>
        </w:rPr>
        <w:t xml:space="preserve">”)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TD Cowen will be responsible for providing DWAC instructions or instructions for delivery by other means with regard to the transfer of the Placement Shares being sold. The Company agrees that if the Company, or its transfer agent (if applicable), defaults in its obligation to deliver duly authorized Placement Shares on a Settlement Date (other than as a result of a failure by TD Cowen to provide instructions for delivery), the Company agrees that in addition to and in no way limiting the rights and obligations set forth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(Indemnification and Contribution) hereto, it will (i) hold TD Cowen harmless against any loss, claim, damage, or reasonable and documented expense (including reasonable and documented legal fees and expenses), as incurred, arising out of or in connection with such default by the Company and (ii) pay to TD Cowen (without duplication) any commission, discount, or other compensation to which it would otherwise have been entitled absent such default.</w:t>
      </w:r>
    </w:p>
    <w:p>
      <w:pPr>
        <w:spacing w:after="0" w:line="151" w:lineRule="exact"/>
        <w:rPr>
          <w:sz w:val="20"/>
          <w:szCs w:val="20"/>
          <w:color w:val="auto"/>
        </w:rPr>
      </w:pPr>
    </w:p>
    <w:p>
      <w:pPr>
        <w:jc w:val="both"/>
        <w:ind w:firstLine="656"/>
        <w:spacing w:after="0" w:line="220" w:lineRule="auto"/>
        <w:tabs>
          <w:tab w:leader="none" w:pos="1323"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The Company represents and warrants to, and agrees with, TD Cowen that, unless such representation, warranty or agreement specifies a different time, as of (i) the date of this Agreement, (ii) each Time of Sale (as defined below), (iii) each Settlement Date, and (iv) each Bring-Down Date (as defined below) (each date included in (i) through (iv), a “</w:t>
      </w:r>
      <w:r>
        <w:rPr>
          <w:rFonts w:ascii="Times New Roman" w:cs="Times New Roman" w:eastAsia="Times New Roman" w:hAnsi="Times New Roman"/>
          <w:sz w:val="22"/>
          <w:szCs w:val="22"/>
          <w:b w:val="1"/>
          <w:bCs w:val="1"/>
          <w:u w:val="single" w:color="auto"/>
          <w:color w:val="auto"/>
        </w:rPr>
        <w:t>Representation Date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56"/>
        <w:spacing w:after="0" w:line="213" w:lineRule="auto"/>
        <w:tabs>
          <w:tab w:leader="none" w:pos="16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Registration Requirements</w:t>
      </w:r>
      <w:r>
        <w:rPr>
          <w:rFonts w:ascii="Times New Roman" w:cs="Times New Roman" w:eastAsia="Times New Roman" w:hAnsi="Times New Roman"/>
          <w:sz w:val="22"/>
          <w:szCs w:val="22"/>
          <w:color w:val="auto"/>
        </w:rPr>
        <w:t>. The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contemplated or threatened by the Commission. The Company meets the requirements for use of Form S-3 under the Securities Act. The sale of the Placement Shares hereunder meets the requirements of General Instruction I.B.1 of Form S-3.</w:t>
      </w:r>
    </w:p>
    <w:p>
      <w:pPr>
        <w:spacing w:after="0" w:line="156" w:lineRule="exact"/>
        <w:rPr>
          <w:rFonts w:ascii="Times New Roman" w:cs="Times New Roman" w:eastAsia="Times New Roman" w:hAnsi="Times New Roman"/>
          <w:sz w:val="22"/>
          <w:szCs w:val="22"/>
          <w:color w:val="auto"/>
        </w:rPr>
      </w:pPr>
    </w:p>
    <w:p>
      <w:pPr>
        <w:jc w:val="both"/>
        <w:ind w:firstLine="656"/>
        <w:spacing w:after="0" w:line="212" w:lineRule="auto"/>
        <w:tabs>
          <w:tab w:leader="none" w:pos="173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Omission</w:t>
      </w:r>
      <w:r>
        <w:rPr>
          <w:rFonts w:ascii="Times New Roman" w:cs="Times New Roman" w:eastAsia="Times New Roman" w:hAnsi="Times New Roman"/>
          <w:sz w:val="22"/>
          <w:szCs w:val="22"/>
          <w:color w:val="auto"/>
        </w:rPr>
        <w:t>.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248" w:name="page249"/>
    <w:bookmarkEnd w:id="248"/>
    <w:p>
      <w:pPr>
        <w:jc w:val="both"/>
        <w:spacing w:after="0" w:line="212" w:lineRule="auto"/>
        <w:rPr>
          <w:sz w:val="20"/>
          <w:szCs w:val="20"/>
          <w:color w:val="auto"/>
        </w:rPr>
      </w:pPr>
      <w:r>
        <w:rPr>
          <w:rFonts w:ascii="Times New Roman" w:cs="Times New Roman" w:eastAsia="Times New Roman" w:hAnsi="Times New Roman"/>
          <w:sz w:val="22"/>
          <w:szCs w:val="22"/>
          <w:color w:val="auto"/>
        </w:rPr>
        <w:t>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cs="Times New Roman" w:eastAsia="Times New Roman" w:hAnsi="Times New Roman"/>
          <w:sz w:val="22"/>
          <w:szCs w:val="22"/>
          <w:b w:val="1"/>
          <w:bCs w:val="1"/>
          <w:u w:val="single" w:color="auto"/>
          <w:color w:val="auto"/>
        </w:rPr>
        <w:t>Time of Sale</w:t>
      </w:r>
      <w:r>
        <w:rPr>
          <w:rFonts w:ascii="Times New Roman" w:cs="Times New Roman" w:eastAsia="Times New Roman" w:hAnsi="Times New Roman"/>
          <w:sz w:val="22"/>
          <w:szCs w:val="22"/>
          <w:color w:val="auto"/>
        </w:rPr>
        <w:t>” means with respect to each offering of Placement Shares pursuant to this Agreement, the time of TD Cowen’s initial entry into contracts with purchasers for the sale of such Placement Shares.</w:t>
      </w:r>
    </w:p>
    <w:p>
      <w:pPr>
        <w:spacing w:after="0" w:line="156" w:lineRule="exact"/>
        <w:rPr>
          <w:sz w:val="20"/>
          <w:szCs w:val="20"/>
          <w:color w:val="auto"/>
        </w:rPr>
      </w:pPr>
    </w:p>
    <w:p>
      <w:pPr>
        <w:jc w:val="both"/>
        <w:ind w:firstLine="656"/>
        <w:spacing w:after="0" w:line="212" w:lineRule="auto"/>
        <w:tabs>
          <w:tab w:leader="none" w:pos="156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Materials Furnished to TD Cowen</w:t>
      </w:r>
      <w:r>
        <w:rPr>
          <w:rFonts w:ascii="Times New Roman" w:cs="Times New Roman" w:eastAsia="Times New Roman" w:hAnsi="Times New Roman"/>
          <w:sz w:val="22"/>
          <w:szCs w:val="22"/>
          <w:color w:val="auto"/>
        </w:rPr>
        <w:t>.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The Registration Statement, the Prospectus and any Permitted Free Writing Prospectus (to the extent any such Permitted Free Writing Prospectus was required to be filed with the Commission) delivered to TD Cowen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156" w:lineRule="exact"/>
        <w:rPr>
          <w:rFonts w:ascii="Times New Roman" w:cs="Times New Roman" w:eastAsia="Times New Roman" w:hAnsi="Times New Roman"/>
          <w:sz w:val="22"/>
          <w:szCs w:val="22"/>
          <w:color w:val="auto"/>
        </w:rPr>
      </w:pPr>
    </w:p>
    <w:p>
      <w:pPr>
        <w:ind w:firstLine="656"/>
        <w:spacing w:after="0" w:line="236" w:lineRule="auto"/>
        <w:tabs>
          <w:tab w:leader="none" w:pos="153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an Ineligible Issuer</w:t>
      </w:r>
      <w:r>
        <w:rPr>
          <w:rFonts w:ascii="Times New Roman" w:cs="Times New Roman" w:eastAsia="Times New Roman" w:hAnsi="Times New Roman"/>
          <w:sz w:val="22"/>
          <w:szCs w:val="22"/>
          <w:color w:val="auto"/>
        </w:rPr>
        <w:t>. The Company currently is not an “ineligible issuer,” as defined in Rule 405 under the Securities Act. The Company agrees to notify TD Cowen promptly upon the Company becoming an “ineligible issuer.”</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59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 of Offering Material By the Company</w:t>
      </w:r>
      <w:r>
        <w:rPr>
          <w:rFonts w:ascii="Times New Roman" w:cs="Times New Roman" w:eastAsia="Times New Roman" w:hAnsi="Times New Roman"/>
          <w:sz w:val="22"/>
          <w:szCs w:val="22"/>
          <w:color w:val="auto"/>
        </w:rPr>
        <w:t>. The Company has not distributed and will not distribute, prior to the completion of TD Cowen’s distribution of the Placement Shares, any offering material in connection with the offering and sale of the Placement Shares other than the Prospectus, the Registration Statement or any applicable Permitted Free Writing Prospectus.</w:t>
      </w:r>
    </w:p>
    <w:p>
      <w:pPr>
        <w:spacing w:after="0" w:line="152" w:lineRule="exact"/>
        <w:rPr>
          <w:rFonts w:ascii="Times New Roman" w:cs="Times New Roman" w:eastAsia="Times New Roman" w:hAnsi="Times New Roman"/>
          <w:sz w:val="22"/>
          <w:szCs w:val="22"/>
          <w:color w:val="auto"/>
        </w:rPr>
      </w:pPr>
    </w:p>
    <w:p>
      <w:pPr>
        <w:jc w:val="both"/>
        <w:ind w:firstLine="656"/>
        <w:spacing w:after="0" w:line="231" w:lineRule="auto"/>
        <w:tabs>
          <w:tab w:leader="none" w:pos="1539"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Sales Agreement</w:t>
      </w:r>
      <w:r>
        <w:rPr>
          <w:rFonts w:ascii="Times New Roman" w:cs="Times New Roman" w:eastAsia="Times New Roman" w:hAnsi="Times New Roman"/>
          <w:sz w:val="21"/>
          <w:szCs w:val="21"/>
          <w:color w:val="auto"/>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150" w:lineRule="exact"/>
        <w:rPr>
          <w:rFonts w:ascii="Times New Roman" w:cs="Times New Roman" w:eastAsia="Times New Roman" w:hAnsi="Times New Roman"/>
          <w:sz w:val="21"/>
          <w:szCs w:val="21"/>
          <w:color w:val="auto"/>
        </w:rPr>
      </w:pPr>
    </w:p>
    <w:p>
      <w:pPr>
        <w:jc w:val="both"/>
        <w:ind w:firstLine="656"/>
        <w:spacing w:after="0" w:line="217" w:lineRule="auto"/>
        <w:tabs>
          <w:tab w:leader="none" w:pos="1507"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of the Class A Common Stock</w:t>
      </w:r>
      <w:r>
        <w:rPr>
          <w:rFonts w:ascii="Times New Roman" w:cs="Times New Roman" w:eastAsia="Times New Roman" w:hAnsi="Times New Roman"/>
          <w:sz w:val="22"/>
          <w:szCs w:val="22"/>
          <w:color w:val="auto"/>
        </w:rPr>
        <w:t>. The Class A Common Stock to be issued and sold pursuant to this Agreement has been duly and validly authorized and, when issued and delivered against payment therefor as provided herein, will be duly and validly issued and fully paid and non-assessable and will conform in all material respects to the description of the Class A Common Stock contained in the Registration Statement and the Prospectus; and the issuance of the Placement Shares is not subject to any preemptive or similar rights that have not been duly waived.</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615"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Applicable Registration or Other Similar Rights</w:t>
      </w:r>
      <w:r>
        <w:rPr>
          <w:rFonts w:ascii="Times New Roman" w:cs="Times New Roman" w:eastAsia="Times New Roman" w:hAnsi="Times New Roman"/>
          <w:sz w:val="22"/>
          <w:szCs w:val="22"/>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 or satisfied and have been disclosed in the Registration Statement and Prospectus.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249" w:name="page250"/>
    <w:bookmarkEnd w:id="249"/>
    <w:p>
      <w:pPr>
        <w:jc w:val="both"/>
        <w:ind w:firstLine="656"/>
        <w:spacing w:after="0" w:line="208" w:lineRule="auto"/>
        <w:tabs>
          <w:tab w:leader="none" w:pos="1581"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Neither the Company nor any of its subsidiaries has, since the date of the latest audited financial statements included or incorporated by reference in the Registration Statement and the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Registration Statement and the Prospectus; and, since the respective dates as of which information is given in the Registration Statement and the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Registration Statement and the Prospectus or (ii) the issuance, if any, of stock upon conversion or settlement of Company securities as described in the Registration Statement and the Prospectus) or long term debt of the Company or any of its subsidiaries or (y) any Material Adverse Effect (as defined below); as used in this Agreement, “</w:t>
      </w:r>
      <w:r>
        <w:rPr>
          <w:rFonts w:ascii="Times New Roman" w:cs="Times New Roman" w:eastAsia="Times New Roman" w:hAnsi="Times New Roman"/>
          <w:sz w:val="22"/>
          <w:szCs w:val="22"/>
          <w:b w:val="1"/>
          <w:bCs w:val="1"/>
          <w:u w:val="single" w:color="auto"/>
          <w:color w:val="auto"/>
        </w:rPr>
        <w:t>Material Adverse Effect</w:t>
      </w:r>
      <w:r>
        <w:rPr>
          <w:rFonts w:ascii="Times New Roman" w:cs="Times New Roman" w:eastAsia="Times New Roman" w:hAnsi="Times New Roman"/>
          <w:sz w:val="22"/>
          <w:szCs w:val="22"/>
          <w:color w:val="auto"/>
        </w:rPr>
        <w:t>” shall mean any material adverse change or effect, or any development that would reasonably be expected to result in a material adverse change or effect, in or affecting (i) the business, properties, general affairs, management, financial position, stockholders’ equity, results of operations or prospects of the Company and its subsidiaries, taken as a whole, except as set forth or contemplated in the Registration Statement and the Prospectus, or (ii) the ability of the Company to perform its obligations under this Agreement, including the issuance and sale of the Placement Shares, or to consummate the transactions contemplated in the Registration Statement and the Prospectus.</w:t>
      </w:r>
    </w:p>
    <w:p>
      <w:pPr>
        <w:spacing w:after="0" w:line="154" w:lineRule="exact"/>
        <w:rPr>
          <w:rFonts w:ascii="Times New Roman" w:cs="Times New Roman" w:eastAsia="Times New Roman" w:hAnsi="Times New Roman"/>
          <w:sz w:val="22"/>
          <w:szCs w:val="22"/>
          <w:color w:val="auto"/>
        </w:rPr>
      </w:pPr>
    </w:p>
    <w:p>
      <w:pPr>
        <w:jc w:val="both"/>
        <w:ind w:right="20" w:firstLine="656"/>
        <w:spacing w:after="0" w:line="226" w:lineRule="auto"/>
        <w:tabs>
          <w:tab w:leader="none" w:pos="1675"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Independent Accountants</w:t>
      </w:r>
      <w:r>
        <w:rPr>
          <w:rFonts w:ascii="Times New Roman" w:cs="Times New Roman" w:eastAsia="Times New Roman" w:hAnsi="Times New Roman"/>
          <w:sz w:val="21"/>
          <w:szCs w:val="21"/>
          <w:color w:val="auto"/>
        </w:rPr>
        <w:t>. The accountants who have audited the consolidated financial statements of the Company and its subsidiaries included or incorporated by reference in each of the Registration Statement and the Prospectus are</w:t>
      </w:r>
    </w:p>
    <w:p>
      <w:pPr>
        <w:spacing w:after="0" w:line="1" w:lineRule="exact"/>
        <w:rPr>
          <w:rFonts w:ascii="Times New Roman" w:cs="Times New Roman" w:eastAsia="Times New Roman" w:hAnsi="Times New Roman"/>
          <w:sz w:val="21"/>
          <w:szCs w:val="21"/>
          <w:color w:val="auto"/>
        </w:rPr>
      </w:pPr>
    </w:p>
    <w:p>
      <w:pPr>
        <w:jc w:val="both"/>
        <w:ind w:firstLine="8"/>
        <w:spacing w:after="0" w:line="214" w:lineRule="auto"/>
        <w:tabs>
          <w:tab w:leader="none" w:pos="292"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public accountants as required by the Securities Act, the Exchange Act and the rules and regulations of the Commission thereunder and (ii) are registered public accounting firms as defined by the Public Company Accounting Oversight Board (“</w:t>
      </w:r>
      <w:r>
        <w:rPr>
          <w:rFonts w:ascii="Times New Roman" w:cs="Times New Roman" w:eastAsia="Times New Roman" w:hAnsi="Times New Roman"/>
          <w:sz w:val="22"/>
          <w:szCs w:val="22"/>
          <w:b w:val="1"/>
          <w:bCs w:val="1"/>
          <w:u w:val="single" w:color="auto"/>
          <w:color w:val="auto"/>
        </w:rPr>
        <w:t>PCAOB</w:t>
      </w:r>
      <w:r>
        <w:rPr>
          <w:rFonts w:ascii="Times New Roman" w:cs="Times New Roman" w:eastAsia="Times New Roman" w:hAnsi="Times New Roman"/>
          <w:sz w:val="22"/>
          <w:szCs w:val="22"/>
          <w:color w:val="auto"/>
        </w:rPr>
        <w:t>”) whose registration has not been suspended or revoked and who has not requested such registration to be withdrawn.</w:t>
      </w:r>
    </w:p>
    <w:p>
      <w:pPr>
        <w:spacing w:after="0" w:line="153" w:lineRule="exact"/>
        <w:rPr>
          <w:rFonts w:ascii="Times New Roman" w:cs="Times New Roman" w:eastAsia="Times New Roman" w:hAnsi="Times New Roman"/>
          <w:sz w:val="22"/>
          <w:szCs w:val="22"/>
          <w:color w:val="auto"/>
        </w:rPr>
      </w:pPr>
    </w:p>
    <w:p>
      <w:pPr>
        <w:jc w:val="both"/>
        <w:ind w:firstLine="656"/>
        <w:spacing w:after="0" w:line="219" w:lineRule="auto"/>
        <w:tabs>
          <w:tab w:leader="none" w:pos="1561"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Preparation of the Financial Statements</w:t>
      </w:r>
      <w:r>
        <w:rPr>
          <w:rFonts w:ascii="Times New Roman" w:cs="Times New Roman" w:eastAsia="Times New Roman" w:hAnsi="Times New Roman"/>
          <w:sz w:val="21"/>
          <w:szCs w:val="21"/>
          <w:color w:val="auto"/>
        </w:rPr>
        <w:t>. The financial statements included or incorporated by reference in the Registration Statement and the Prospectus, together with the related schedules and notes, present fairly, in all material respects, the financial position of the Company and its subsidiaries at the dates indicated and the statement of operations, comprehensive loss, convertible preferred stock and stockholders’ equity (deficit) and cash flows of the Company and its subsidiaries for the periods specified; said financial statements have been prepared in conformity with U.S. generally accepted accounting principles (“</w:t>
      </w:r>
      <w:r>
        <w:rPr>
          <w:rFonts w:ascii="Times New Roman" w:cs="Times New Roman" w:eastAsia="Times New Roman" w:hAnsi="Times New Roman"/>
          <w:sz w:val="21"/>
          <w:szCs w:val="21"/>
          <w:b w:val="1"/>
          <w:bCs w:val="1"/>
          <w:u w:val="single" w:color="auto"/>
          <w:color w:val="auto"/>
        </w:rPr>
        <w:t>GAAP</w:t>
      </w:r>
      <w:r>
        <w:rPr>
          <w:rFonts w:ascii="Times New Roman" w:cs="Times New Roman" w:eastAsia="Times New Roman" w:hAnsi="Times New Roman"/>
          <w:sz w:val="21"/>
          <w:szCs w:val="21"/>
          <w:color w:val="auto"/>
        </w:rPr>
        <w:t>”) applied on a consistent basis throughout the periods involved. The supporting schedules, if any, present fairly in all material respects and in accordance with GAAP the information required to be stated therein. The selected financial data and the summary financial information included or incorporated by reference in the Registration Statement and the Prospectus present fairly, in all material respects the information shown therein and have been compiled on a basis consistent with that of the audited financial statements included therein.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250" w:name="page251"/>
    <w:bookmarkEnd w:id="250"/>
    <w:p>
      <w:pPr>
        <w:jc w:val="both"/>
        <w:ind w:firstLine="656"/>
        <w:spacing w:after="0" w:line="225" w:lineRule="auto"/>
        <w:tabs>
          <w:tab w:leader="none" w:pos="154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XBRL</w:t>
      </w:r>
      <w:r>
        <w:rPr>
          <w:rFonts w:ascii="Times New Roman" w:cs="Times New Roman" w:eastAsia="Times New Roman" w:hAnsi="Times New Roman"/>
          <w:sz w:val="22"/>
          <w:szCs w:val="22"/>
          <w:color w:val="auto"/>
        </w:rPr>
        <w:t>. The interactive data in eXtensible Business Reporting Language included or incorporated by reference in each Registration Statement fairly presents the information called for in all material respects and has been prepared in accordance with the Commission’s rules and guidelines applicable thereto.</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8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and Good Standing of the Company and its Subsidiaries</w:t>
      </w:r>
      <w:r>
        <w:rPr>
          <w:rFonts w:ascii="Times New Roman" w:cs="Times New Roman" w:eastAsia="Times New Roman" w:hAnsi="Times New Roman"/>
          <w:sz w:val="22"/>
          <w:szCs w:val="22"/>
          <w:color w:val="auto"/>
        </w:rPr>
        <w:t>. Each of the Company and its subsidiaries (each a “</w:t>
      </w:r>
      <w:r>
        <w:rPr>
          <w:rFonts w:ascii="Times New Roman" w:cs="Times New Roman" w:eastAsia="Times New Roman" w:hAnsi="Times New Roman"/>
          <w:sz w:val="22"/>
          <w:szCs w:val="22"/>
          <w:b w:val="1"/>
          <w:bCs w:val="1"/>
          <w:u w:val="single" w:color="auto"/>
          <w:color w:val="auto"/>
        </w:rPr>
        <w:t>Subsidiary</w:t>
      </w:r>
      <w:r>
        <w:rPr>
          <w:rFonts w:ascii="Times New Roman" w:cs="Times New Roman" w:eastAsia="Times New Roman" w:hAnsi="Times New Roman"/>
          <w:sz w:val="22"/>
          <w:szCs w:val="22"/>
          <w:color w:val="auto"/>
        </w:rPr>
        <w:t>”) has been (i) duly organized and is validly existing and in good standing under the laws of its jurisdiction of organization, with power and authority (corporate and other) to own its properties and conduct its business as described in the Registration Statement and the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that is required to be listed in the Registration Statement, the Prospectus or Exhibit 21 to the Company’s Annual Report on Form 10-K for the most recent fiscal year has been so listed.</w:t>
      </w:r>
    </w:p>
    <w:p>
      <w:pPr>
        <w:spacing w:after="0" w:line="158" w:lineRule="exact"/>
        <w:rPr>
          <w:rFonts w:ascii="Times New Roman" w:cs="Times New Roman" w:eastAsia="Times New Roman" w:hAnsi="Times New Roman"/>
          <w:sz w:val="22"/>
          <w:szCs w:val="22"/>
          <w:color w:val="auto"/>
        </w:rPr>
      </w:pPr>
    </w:p>
    <w:p>
      <w:pPr>
        <w:jc w:val="both"/>
        <w:ind w:firstLine="656"/>
        <w:spacing w:after="0" w:line="222" w:lineRule="auto"/>
        <w:tabs>
          <w:tab w:leader="none" w:pos="1534"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 Stock Matters</w:t>
      </w:r>
      <w:r>
        <w:rPr>
          <w:rFonts w:ascii="Times New Roman" w:cs="Times New Roman" w:eastAsia="Times New Roman" w:hAnsi="Times New Roman"/>
          <w:sz w:val="21"/>
          <w:szCs w:val="21"/>
          <w:color w:val="auto"/>
        </w:rPr>
        <w:t>. The Company has an authorized capitalization as set forth in the Registration Statement and the Prospectus and all of the issued shares of capital stock of the Company have been duly and validly authorized and issued and are fully paid and non-assessable and were not issued in violation of any preemptive or similar rights and conform in all material respects to the description of the Common Stock contained in the Registration Statement and the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encumbrances, equities or claims as would not, individually or in the aggregate, reasonably be expected to have a Material Adverse Effect.</w:t>
      </w:r>
    </w:p>
    <w:p>
      <w:pPr>
        <w:spacing w:after="0" w:line="157" w:lineRule="exact"/>
        <w:rPr>
          <w:rFonts w:ascii="Times New Roman" w:cs="Times New Roman" w:eastAsia="Times New Roman" w:hAnsi="Times New Roman"/>
          <w:sz w:val="21"/>
          <w:szCs w:val="21"/>
          <w:color w:val="auto"/>
        </w:rPr>
      </w:pPr>
    </w:p>
    <w:p>
      <w:pPr>
        <w:jc w:val="both"/>
        <w:ind w:firstLine="656"/>
        <w:spacing w:after="0" w:line="208" w:lineRule="auto"/>
        <w:tabs>
          <w:tab w:leader="none" w:pos="156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Non-Contravention of Existing Instruments; No Further Authorizations or Approvals Required</w:t>
      </w:r>
      <w:r>
        <w:rPr>
          <w:rFonts w:ascii="Times New Roman" w:cs="Times New Roman" w:eastAsia="Times New Roman" w:hAnsi="Times New Roman"/>
          <w:sz w:val="22"/>
          <w:szCs w:val="22"/>
          <w:color w:val="auto"/>
        </w:rPr>
        <w:t>. The issue and sale of the Shares and the compliance by the Company with this Agreement and the consummation by the Company of the transactions contemplated in this Agreement, the Registration Statement and the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breaches, or violations that would not, individually or in the aggregate, reasonably be expected to have a Material Adverse Effect,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this clause (C) for such violations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Securities Act, the approval by the Financial Industry Regulatory Authority (“</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of the underwriting terms and arrangements, the approval for listing additional shares on Nasdaq and such consents, approvals, authorizations, registrations or qualifications as may be required under state securities or Blue Sky laws in connection with the issue and sale of the Shares and the compliance by the Company with this Agreement.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251" w:name="page252"/>
    <w:bookmarkEnd w:id="251"/>
    <w:p>
      <w:pPr>
        <w:jc w:val="both"/>
        <w:ind w:firstLine="656"/>
        <w:spacing w:after="0" w:line="210" w:lineRule="auto"/>
        <w:tabs>
          <w:tab w:leader="none" w:pos="156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Actions or Proceedings</w:t>
      </w:r>
      <w:r>
        <w:rPr>
          <w:rFonts w:ascii="Times New Roman" w:cs="Times New Roman" w:eastAsia="Times New Roman" w:hAnsi="Times New Roman"/>
          <w:sz w:val="22"/>
          <w:szCs w:val="22"/>
          <w:color w:val="auto"/>
        </w:rPr>
        <w:t>. Other than as set forth in the Registration Statement and the Prospectus, there are no legal, governmental or regulatory investigations, actions, demands, claims, suits, arbitrations, inquiries or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Securities Act to be described in the Registration Statement or the Prospectus that are not so described therein; and there are no statutes, regulations or contracts or other documents that are required under the Securities Act to be filed as exhibits to or described in the Registration Statement, as applicable, that are not so filed or described.</w:t>
      </w:r>
    </w:p>
    <w:p>
      <w:pPr>
        <w:spacing w:after="0" w:line="157" w:lineRule="exact"/>
        <w:rPr>
          <w:rFonts w:ascii="Times New Roman" w:cs="Times New Roman" w:eastAsia="Times New Roman" w:hAnsi="Times New Roman"/>
          <w:sz w:val="22"/>
          <w:szCs w:val="22"/>
          <w:color w:val="auto"/>
        </w:rPr>
      </w:pPr>
    </w:p>
    <w:p>
      <w:pPr>
        <w:jc w:val="both"/>
        <w:ind w:firstLine="656"/>
        <w:spacing w:after="0" w:line="213" w:lineRule="auto"/>
        <w:tabs>
          <w:tab w:leader="none" w:pos="1615"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Necessary Permits, etc</w:t>
      </w:r>
      <w:r>
        <w:rPr>
          <w:rFonts w:ascii="Times New Roman" w:cs="Times New Roman" w:eastAsia="Times New Roman" w:hAnsi="Times New Roman"/>
          <w:sz w:val="22"/>
          <w:szCs w:val="22"/>
          <w:color w:val="auto"/>
        </w:rPr>
        <w:t>. Except as otherwise disclosed in the Registration Statement and Prospectus, the Company possesses all material licenses, sub-licenses, certificates, authorizations and permits required by the appropriate federal, state or foreign regulatory authorities necessary to conduct its business, as described in the Registration Statement and the Prospectus, including, without limitation, from the U.S. Food and Drug Administration (“</w:t>
      </w:r>
      <w:r>
        <w:rPr>
          <w:rFonts w:ascii="Times New Roman" w:cs="Times New Roman" w:eastAsia="Times New Roman" w:hAnsi="Times New Roman"/>
          <w:sz w:val="22"/>
          <w:szCs w:val="22"/>
          <w:b w:val="1"/>
          <w:bCs w:val="1"/>
          <w:u w:val="single" w:color="auto"/>
          <w:color w:val="auto"/>
        </w:rPr>
        <w:t>FDA</w:t>
      </w:r>
      <w:r>
        <w:rPr>
          <w:rFonts w:ascii="Times New Roman" w:cs="Times New Roman" w:eastAsia="Times New Roman" w:hAnsi="Times New Roman"/>
          <w:sz w:val="22"/>
          <w:szCs w:val="22"/>
          <w:color w:val="auto"/>
        </w:rPr>
        <w:t>”) and equivalent foreign regulatory authorities; and the Company has not received any notice of proceedings relating to the revocation or modification of any such required material license, sub-license, certificate, authorization or permit, except as described in the Registration Statement and the Prospectus.</w:t>
      </w:r>
    </w:p>
    <w:p>
      <w:pPr>
        <w:spacing w:after="0" w:line="156" w:lineRule="exact"/>
        <w:rPr>
          <w:rFonts w:ascii="Times New Roman" w:cs="Times New Roman" w:eastAsia="Times New Roman" w:hAnsi="Times New Roman"/>
          <w:sz w:val="22"/>
          <w:szCs w:val="22"/>
          <w:color w:val="auto"/>
        </w:rPr>
      </w:pPr>
    </w:p>
    <w:p>
      <w:pPr>
        <w:jc w:val="both"/>
        <w:ind w:firstLine="656"/>
        <w:spacing w:after="0" w:line="212" w:lineRule="auto"/>
        <w:tabs>
          <w:tab w:leader="none" w:pos="1525"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Law Compliance</w:t>
      </w:r>
      <w:r>
        <w:rPr>
          <w:rFonts w:ascii="Times New Roman" w:cs="Times New Roman" w:eastAsia="Times New Roman" w:hAnsi="Times New Roman"/>
          <w:sz w:val="22"/>
          <w:szCs w:val="22"/>
          <w:color w:val="auto"/>
        </w:rPr>
        <w:t>. The Company and each of its subsidiaries have filed all federal, state, local and non-U.S. tax returns required to be filed through the date of this Agreement and have paid all taxes required to be paid thereon (except for cases in which the failure to file or pay would not reasonably be expected to have a Material Adverse Effect, or, except as currently being contested in good faith by appropriate proceedings diligently conducted and for which adequate reserves required by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reasonably be expected to have) a Material Adverse Effect.</w:t>
      </w:r>
    </w:p>
    <w:p>
      <w:pPr>
        <w:spacing w:after="0" w:line="156" w:lineRule="exact"/>
        <w:rPr>
          <w:rFonts w:ascii="Times New Roman" w:cs="Times New Roman" w:eastAsia="Times New Roman" w:hAnsi="Times New Roman"/>
          <w:sz w:val="22"/>
          <w:szCs w:val="22"/>
          <w:color w:val="auto"/>
        </w:rPr>
      </w:pPr>
    </w:p>
    <w:p>
      <w:pPr>
        <w:jc w:val="both"/>
        <w:ind w:firstLine="656"/>
        <w:spacing w:after="0" w:line="236" w:lineRule="auto"/>
        <w:tabs>
          <w:tab w:leader="none" w:pos="1537"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Not an “Investment Company</w:t>
      </w:r>
      <w:r>
        <w:rPr>
          <w:rFonts w:ascii="Times New Roman" w:cs="Times New Roman" w:eastAsia="Times New Roman" w:hAnsi="Times New Roman"/>
          <w:sz w:val="21"/>
          <w:szCs w:val="21"/>
          <w:color w:val="auto"/>
        </w:rPr>
        <w:t>”. The Company has been advised of the rules and requirements under the Investment Company Act of 1940, as amended (the “</w:t>
      </w:r>
      <w:r>
        <w:rPr>
          <w:rFonts w:ascii="Times New Roman" w:cs="Times New Roman" w:eastAsia="Times New Roman" w:hAnsi="Times New Roman"/>
          <w:sz w:val="21"/>
          <w:szCs w:val="21"/>
          <w:b w:val="1"/>
          <w:bCs w:val="1"/>
          <w:u w:val="single" w:color="auto"/>
          <w:color w:val="auto"/>
        </w:rPr>
        <w:t>Investment Company Act</w:t>
      </w:r>
      <w:r>
        <w:rPr>
          <w:rFonts w:ascii="Times New Roman" w:cs="Times New Roman" w:eastAsia="Times New Roman" w:hAnsi="Times New Roman"/>
          <w:sz w:val="21"/>
          <w:szCs w:val="21"/>
          <w:color w:val="auto"/>
        </w:rPr>
        <w:t>”). The Company is not, and after receipt of payment for the Placement Shares will not be, an “investment company” within the meaning of Investment Company Act.</w:t>
      </w:r>
    </w:p>
    <w:p>
      <w:pPr>
        <w:spacing w:after="0" w:line="151" w:lineRule="exact"/>
        <w:rPr>
          <w:rFonts w:ascii="Times New Roman" w:cs="Times New Roman" w:eastAsia="Times New Roman" w:hAnsi="Times New Roman"/>
          <w:sz w:val="21"/>
          <w:szCs w:val="21"/>
          <w:color w:val="auto"/>
        </w:rPr>
      </w:pPr>
    </w:p>
    <w:p>
      <w:pPr>
        <w:jc w:val="both"/>
        <w:ind w:firstLine="656"/>
        <w:spacing w:after="0" w:line="212" w:lineRule="auto"/>
        <w:tabs>
          <w:tab w:leader="none" w:pos="154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Except as described in or expressly contemplated by the Registration Statement and the Prospectus, the Company has insurance covering its property, operations, personnel and businesses, including clinical trial insurance as applicable and business interruption insurance, which insurance is in amounts and insures against such losses and risks as are generally maintained by similarly situated companies and which the Company believes are reasonably adequate to protect the Company; and the Company has not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252" w:name="page253"/>
    <w:bookmarkEnd w:id="252"/>
    <w:p>
      <w:pPr>
        <w:jc w:val="both"/>
        <w:ind w:firstLine="656"/>
        <w:spacing w:after="0" w:line="215" w:lineRule="auto"/>
        <w:tabs>
          <w:tab w:leader="none" w:pos="1534"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Price Stabilization or Manipulation</w:t>
      </w:r>
      <w:r>
        <w:rPr>
          <w:rFonts w:ascii="Times New Roman" w:cs="Times New Roman" w:eastAsia="Times New Roman" w:hAnsi="Times New Roman"/>
          <w:sz w:val="22"/>
          <w:szCs w:val="22"/>
          <w:color w:val="auto"/>
        </w:rPr>
        <w:t>. Neither the Company nor any of its subsidiaries, nor to the Company’s knowledge, Affiliates, has taken, directly or indirectly, any action designed to or that could reasonably be expected to cause or result in any stabilization or manipulation of the price of the Class A Common Shares or of any “reference security” (as defined in Rule 100 of Regulation M under the Exchange Act (“</w:t>
      </w:r>
      <w:r>
        <w:rPr>
          <w:rFonts w:ascii="Times New Roman" w:cs="Times New Roman" w:eastAsia="Times New Roman" w:hAnsi="Times New Roman"/>
          <w:sz w:val="22"/>
          <w:szCs w:val="22"/>
          <w:b w:val="1"/>
          <w:bCs w:val="1"/>
          <w:u w:val="single" w:color="auto"/>
          <w:color w:val="auto"/>
        </w:rPr>
        <w:t>Regulation M</w:t>
      </w:r>
      <w:r>
        <w:rPr>
          <w:rFonts w:ascii="Times New Roman" w:cs="Times New Roman" w:eastAsia="Times New Roman" w:hAnsi="Times New Roman"/>
          <w:sz w:val="22"/>
          <w:szCs w:val="22"/>
          <w:color w:val="auto"/>
        </w:rPr>
        <w:t>”)) with respect to the Class A Common Shares, whether to facilitate the sale or resale of the Shares or otherwise, and has taken no action which would directly or indirectly violate Regulation M.</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66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Related Party Transactions</w:t>
      </w:r>
      <w:r>
        <w:rPr>
          <w:rFonts w:ascii="Times New Roman" w:cs="Times New Roman" w:eastAsia="Times New Roman" w:hAnsi="Times New Roman"/>
          <w:sz w:val="22"/>
          <w:szCs w:val="22"/>
          <w:color w:val="auto"/>
        </w:rPr>
        <w:t>. There are no business relationships or related-party transactions involving the Company or any Subsidiary or any other person required to be described in the Prospectus which have not been described as required.</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704"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Incorporated Documents</w:t>
      </w:r>
      <w:r>
        <w:rPr>
          <w:rFonts w:ascii="Times New Roman" w:cs="Times New Roman" w:eastAsia="Times New Roman" w:hAnsi="Times New Roman"/>
          <w:sz w:val="22"/>
          <w:szCs w:val="22"/>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65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Act Compliance</w:t>
      </w:r>
      <w:r>
        <w:rPr>
          <w:rFonts w:ascii="Times New Roman" w:cs="Times New Roman" w:eastAsia="Times New Roman" w:hAnsi="Times New Roman"/>
          <w:sz w:val="22"/>
          <w:szCs w:val="22"/>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became effective and at each Settlement Date,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56" w:lineRule="exact"/>
        <w:rPr>
          <w:rFonts w:ascii="Times New Roman" w:cs="Times New Roman" w:eastAsia="Times New Roman" w:hAnsi="Times New Roman"/>
          <w:sz w:val="22"/>
          <w:szCs w:val="22"/>
          <w:color w:val="auto"/>
        </w:rPr>
      </w:pPr>
    </w:p>
    <w:p>
      <w:pPr>
        <w:jc w:val="both"/>
        <w:ind w:firstLine="656"/>
        <w:spacing w:after="0" w:line="208" w:lineRule="auto"/>
        <w:tabs>
          <w:tab w:leader="none" w:pos="166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Unlawful Contributions or Other Payments</w:t>
      </w:r>
      <w:r>
        <w:rPr>
          <w:rFonts w:ascii="Times New Roman" w:cs="Times New Roman" w:eastAsia="Times New Roman" w:hAnsi="Times New Roman"/>
          <w:sz w:val="22"/>
          <w:szCs w:val="22"/>
          <w:color w:val="auto"/>
        </w:rPr>
        <w:t>. Neither the Company nor any of its subsidiaries, nor any director, officer or employee of the Company or any of its subsidiaries nor, to the Company’s knowledge, any agent,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(iii)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(iv)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w:t>
      </w:r>
      <w:r>
        <w:rPr>
          <w:rFonts w:ascii="Times New Roman" w:cs="Times New Roman" w:eastAsia="Times New Roman" w:hAnsi="Times New Roman"/>
          <w:sz w:val="22"/>
          <w:szCs w:val="22"/>
          <w:b w:val="1"/>
          <w:bCs w:val="1"/>
          <w:u w:val="single" w:color="auto"/>
          <w:color w:val="auto"/>
        </w:rPr>
        <w:t>Anti-Corruption Laws</w:t>
      </w:r>
      <w:r>
        <w:rPr>
          <w:rFonts w:ascii="Times New Roman" w:cs="Times New Roman" w:eastAsia="Times New Roman" w:hAnsi="Times New Roman"/>
          <w:sz w:val="22"/>
          <w:szCs w:val="22"/>
          <w:color w:val="auto"/>
        </w:rPr>
        <w:t>”); or (v) made, offered, agreed, requested or taken an act in furtherance of any unlawful bribe or other unlawful benefit, including, without limitation, any rebate, payoff, influence payment, kickback or other unlawful or improper payment or benefit; the Company and its subsidiaries have conducted their businesses in compliance with Anti-Corruption Laws and have instituted and maintained and will continue to maintain policies and procedures designed to promote and achieve compliance with such laws and with the representations and warranties contained herein; neither the Company nor any of its subsidiaries will use, directly or indirectly, the proceeds of the offering in furtherance of an offer, payment,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253" w:name="page254"/>
    <w:bookmarkEnd w:id="253"/>
    <w:p>
      <w:pPr>
        <w:spacing w:after="0" w:line="236" w:lineRule="auto"/>
        <w:rPr>
          <w:sz w:val="20"/>
          <w:szCs w:val="20"/>
          <w:color w:val="auto"/>
        </w:rPr>
      </w:pPr>
      <w:r>
        <w:rPr>
          <w:rFonts w:ascii="Times New Roman" w:cs="Times New Roman" w:eastAsia="Times New Roman" w:hAnsi="Times New Roman"/>
          <w:sz w:val="22"/>
          <w:szCs w:val="22"/>
          <w:color w:val="auto"/>
        </w:rPr>
        <w:t>promise to pay, or authorization of the payment or giving of money, or anything else of value, to any person in violation of Anti-Corruption Laws.</w:t>
      </w:r>
    </w:p>
    <w:p>
      <w:pPr>
        <w:spacing w:after="0" w:line="150" w:lineRule="exact"/>
        <w:rPr>
          <w:sz w:val="20"/>
          <w:szCs w:val="20"/>
          <w:color w:val="auto"/>
        </w:rPr>
      </w:pPr>
    </w:p>
    <w:p>
      <w:pPr>
        <w:jc w:val="both"/>
        <w:ind w:firstLine="656"/>
        <w:spacing w:after="0" w:line="212" w:lineRule="auto"/>
        <w:tabs>
          <w:tab w:leader="none" w:pos="157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Money Laundering Laws</w:t>
      </w:r>
      <w:r>
        <w:rPr>
          <w:rFonts w:ascii="Times New Roman" w:cs="Times New Roman" w:eastAsia="Times New Roman" w:hAnsi="Times New Roman"/>
          <w:sz w:val="22"/>
          <w:szCs w:val="22"/>
          <w:color w:val="auto"/>
        </w:rPr>
        <w:t>. 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the Company and its subsidiaries conduct business, the rules and regulations thereunder and any related or similar rules, regulation or guidelines issued, administered or enforced by any governmental agency (collectively, the “</w:t>
      </w:r>
      <w:r>
        <w:rPr>
          <w:rFonts w:ascii="Times New Roman" w:cs="Times New Roman" w:eastAsia="Times New Roman" w:hAnsi="Times New Roman"/>
          <w:sz w:val="22"/>
          <w:szCs w:val="22"/>
          <w:b w:val="1"/>
          <w:bCs w:val="1"/>
          <w:u w:val="single" w:color="auto"/>
          <w:color w:val="auto"/>
        </w:rPr>
        <w:t>Money Laundering Laws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and no action, suit or proceeding by or before any court or governmental agency, authority or body or any arbitrator involving the Company or any of its subsidiaries with respect to the Money Laundering Laws is pending or, to the Company’s knowledge, threatened.</w:t>
      </w:r>
    </w:p>
    <w:p>
      <w:pPr>
        <w:spacing w:after="0" w:line="156" w:lineRule="exact"/>
        <w:rPr>
          <w:sz w:val="20"/>
          <w:szCs w:val="20"/>
          <w:color w:val="auto"/>
        </w:rPr>
      </w:pPr>
    </w:p>
    <w:p>
      <w:pPr>
        <w:jc w:val="both"/>
        <w:ind w:firstLine="656"/>
        <w:spacing w:after="0" w:line="218" w:lineRule="auto"/>
        <w:tabs>
          <w:tab w:leader="none" w:pos="1537"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OFAC.</w:t>
      </w:r>
      <w:r>
        <w:rPr>
          <w:rFonts w:ascii="Times New Roman" w:cs="Times New Roman" w:eastAsia="Times New Roman" w:hAnsi="Times New Roman"/>
          <w:sz w:val="21"/>
          <w:szCs w:val="21"/>
          <w:color w:val="auto"/>
        </w:rPr>
        <w:t xml:space="preserve"> Neither the Company nor any of its subsidiaries, nor any director officer or employee of the Company or any of its subsidiaries nor, to the Company’s knowledge, any agent, Affiliate or other person associated with or acting on behalf of the Company or any of its subsidiaries is (i) currently the subject or the target of any sanctions administered or enforced by the U.S. Government, including, without limitation, the Office of Foreign Assets Control of the U.S. </w:t>
      </w:r>
      <w:r>
        <w:rPr>
          <w:rFonts w:ascii="Times New Roman" w:cs="Times New Roman" w:eastAsia="Times New Roman" w:hAnsi="Times New Roman"/>
          <w:sz w:val="21"/>
          <w:szCs w:val="21"/>
          <w:u w:val="single" w:color="auto"/>
          <w:color w:val="auto"/>
        </w:rPr>
        <w:t>Treasury</w:t>
      </w:r>
      <w:r>
        <w:rPr>
          <w:rFonts w:ascii="Times New Roman" w:cs="Times New Roman" w:eastAsia="Times New Roman" w:hAnsi="Times New Roman"/>
          <w:sz w:val="21"/>
          <w:szCs w:val="21"/>
          <w:color w:val="auto"/>
        </w:rPr>
        <w:t xml:space="preserve"> Department of the Treasury (“OFAC”)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21"/>
          <w:szCs w:val="21"/>
          <w:b w:val="1"/>
          <w:bCs w:val="1"/>
          <w:u w:val="single" w:color="auto"/>
          <w:color w:val="auto"/>
        </w:rPr>
        <w:t>Sanctions</w:t>
      </w:r>
      <w:r>
        <w:rPr>
          <w:rFonts w:ascii="Times New Roman" w:cs="Times New Roman" w:eastAsia="Times New Roman" w:hAnsi="Times New Roman"/>
          <w:sz w:val="21"/>
          <w:szCs w:val="21"/>
          <w:color w:val="auto"/>
        </w:rPr>
        <w:t>”) or (ii) located, organized, or resident in a country or territory that is the subject or target of Sanctions (including, without limitation, the so-called Donetsk People’s Republic, the so-called Luhansk People’s Republic, or any other Covered Region of Ukraine identified pursuant to Executive Order 14065, Crimea, Cuba, Iran, and North Korea) (a “</w:t>
      </w:r>
      <w:r>
        <w:rPr>
          <w:rFonts w:ascii="Times New Roman" w:cs="Times New Roman" w:eastAsia="Times New Roman" w:hAnsi="Times New Roman"/>
          <w:sz w:val="21"/>
          <w:szCs w:val="21"/>
          <w:b w:val="1"/>
          <w:bCs w:val="1"/>
          <w:u w:val="single" w:color="auto"/>
          <w:color w:val="auto"/>
        </w:rPr>
        <w:t>Sanctioned Jurisdiction</w:t>
      </w:r>
      <w:r>
        <w:rPr>
          <w:rFonts w:ascii="Times New Roman" w:cs="Times New Roman" w:eastAsia="Times New Roman" w:hAnsi="Times New Roman"/>
          <w:sz w:val="21"/>
          <w:szCs w:val="21"/>
          <w:color w:val="auto"/>
        </w:rPr>
        <w:t>”), and the Company will not directly or indirectly use the proceeds of the offering of the Placement Shares hereunder, or lend, contribute or otherwise make available such proceeds to any subsidiary, joint venture partner or other person or entity (x) to fund or facilitate any activities of or business with any person, or in any country or territory, that, at the time of such funding, is the subject or the target of Sanctions or (y) in any other manner that will result in a violation by any person (including any person participating in the transaction, whether as underwriter, advisor, investor or otherwise) of Sanctions; neither the Company nor any of its subsidiaries, nor any director, officer or employee of the Company or any of its subsidiaries, is engaged in, or has, at any time in the past ten years, engaged in, any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reasonably designed to promote and achieve continued compliance with Sanctions.</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(ab) </w:t>
      </w:r>
      <w:r>
        <w:rPr>
          <w:rFonts w:ascii="Times New Roman" w:cs="Times New Roman" w:eastAsia="Times New Roman" w:hAnsi="Times New Roman"/>
          <w:sz w:val="22"/>
          <w:szCs w:val="22"/>
          <w:u w:val="single" w:color="auto"/>
          <w:color w:val="auto"/>
        </w:rPr>
        <w:t>Company’s Accounting System</w:t>
      </w:r>
      <w:r>
        <w:rPr>
          <w:rFonts w:ascii="Times New Roman" w:cs="Times New Roman" w:eastAsia="Times New Roman" w:hAnsi="Times New Roman"/>
          <w:sz w:val="22"/>
          <w:szCs w:val="22"/>
          <w:color w:val="auto"/>
        </w:rPr>
        <w:t>. The Company and each of its subsidiaries maintain a system of internal control over financial reporting (as such term is defined in Rule 13a-15(f) under the Exchange Act) that (i) complies with the requirements of the Exchange Act applicable to the Company and its subsidiaries,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as applied in the United States and to maintain accountability for assets, (C) access to assets is permitted only in accordance with management’s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254" w:name="page255"/>
    <w:bookmarkEnd w:id="254"/>
    <w:p>
      <w:pPr>
        <w:jc w:val="both"/>
        <w:spacing w:after="0" w:line="217" w:lineRule="auto"/>
        <w:rPr>
          <w:sz w:val="20"/>
          <w:szCs w:val="20"/>
          <w:color w:val="auto"/>
        </w:rPr>
      </w:pPr>
      <w:r>
        <w:rPr>
          <w:rFonts w:ascii="Times New Roman" w:cs="Times New Roman" w:eastAsia="Times New Roman" w:hAnsi="Times New Roman"/>
          <w:sz w:val="22"/>
          <w:szCs w:val="22"/>
          <w:color w:val="auto"/>
        </w:rPr>
        <w:t>general or specific authorization and (D) the recorded accountability for assets is compared with the existing assets at reasonable intervals and appropriate action is taken with respect to any differences (it being understood that this subsection shall not require the Company to comply with Section 404 of the Sarbanes Oxley Act of 2002 and the rules and regulations promulgated in connection therewith (the “</w:t>
      </w:r>
      <w:r>
        <w:rPr>
          <w:rFonts w:ascii="Times New Roman" w:cs="Times New Roman" w:eastAsia="Times New Roman" w:hAnsi="Times New Roman"/>
          <w:sz w:val="22"/>
          <w:szCs w:val="22"/>
          <w:b w:val="1"/>
          <w:bCs w:val="1"/>
          <w:u w:val="single" w:color="auto"/>
          <w:color w:val="auto"/>
        </w:rPr>
        <w:t>Sarbanes-Oxley Act</w:t>
      </w:r>
      <w:r>
        <w:rPr>
          <w:rFonts w:ascii="Times New Roman" w:cs="Times New Roman" w:eastAsia="Times New Roman" w:hAnsi="Times New Roman"/>
          <w:sz w:val="22"/>
          <w:szCs w:val="22"/>
          <w:color w:val="auto"/>
        </w:rPr>
        <w:t>”) as of an earlier date than it would otherwise be required to so comply under applicable law).</w:t>
      </w:r>
    </w:p>
    <w:p>
      <w:pPr>
        <w:spacing w:after="0" w:line="15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(ac) </w:t>
      </w:r>
      <w:r>
        <w:rPr>
          <w:rFonts w:ascii="Times New Roman" w:cs="Times New Roman" w:eastAsia="Times New Roman" w:hAnsi="Times New Roman"/>
          <w:sz w:val="22"/>
          <w:szCs w:val="22"/>
          <w:u w:val="single" w:color="auto"/>
          <w:color w:val="auto"/>
        </w:rPr>
        <w:t>Disclosure Controls and Procedures.</w:t>
      </w:r>
      <w:r>
        <w:rPr>
          <w:rFonts w:ascii="Times New Roman" w:cs="Times New Roman" w:eastAsia="Times New Roman" w:hAnsi="Times New Roman"/>
          <w:sz w:val="22"/>
          <w:szCs w:val="22"/>
          <w:color w:val="auto"/>
        </w:rPr>
        <w:t xml:space="preserve"> The Company has established and maintains disclosure controls and procedures (as such term is defined in Rules 13a-15(e) and 15d-15(e) under the Exchange Act). Such disclosure controls and procedures (i) comply with the requirements of the Exchange Act applicable to the Company, (ii) have been designed to ensure that information relating to the Company and its subsidiaries, including information required to be disclosed by the Company in the reports that it files or submits under the Exchange Act, is recorded, processed, summarized and reported within the time periods specified in the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particularly during the periods in which the Company’s periodic reports required under the Exchange Act are being prepared, (iii) have been evaluated by management of the Company for effectiveness as of the end of the Company’s most recent fiscal quarter; and (iv) are effective in all material respects to perform the functions for which they were established. Except as disclosed in the Registration Statement and the Prospectus,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Except as disclosed in the Registration Statement and the Prospectus,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58"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(ad) </w:t>
      </w:r>
      <w:r>
        <w:rPr>
          <w:rFonts w:ascii="Times New Roman" w:cs="Times New Roman" w:eastAsia="Times New Roman" w:hAnsi="Times New Roman"/>
          <w:sz w:val="22"/>
          <w:szCs w:val="22"/>
          <w:u w:val="single" w:color="auto"/>
          <w:color w:val="auto"/>
        </w:rPr>
        <w:t>Compliance with Environmental Laws.</w:t>
      </w:r>
      <w:r>
        <w:rPr>
          <w:rFonts w:ascii="Times New Roman" w:cs="Times New Roman" w:eastAsia="Times New Roman" w:hAnsi="Times New Roman"/>
          <w:sz w:val="22"/>
          <w:szCs w:val="22"/>
          <w:color w:val="auto"/>
        </w:rPr>
        <w:t xml:space="preserve"> Except in all cases where such violation, claim, request, notice, proceeding, investigation or other matter would not, individually or in the aggregate, reasonably be expected to have a Material Adverse Effect, the Company and each of its subsidiaries: (x) is in compliance with all, and has not violated any, applicable federal, state or local laws, rules, regulations, requirements, decisions, judgments, decrees and orders relating to pollution, hazardous or toxic substances, wastes, pollutants, contaminants or the protection of human health or safety, the environment or natural resources (collectively, “</w:t>
      </w:r>
      <w:r>
        <w:rPr>
          <w:rFonts w:ascii="Times New Roman" w:cs="Times New Roman" w:eastAsia="Times New Roman" w:hAnsi="Times New Roman"/>
          <w:sz w:val="22"/>
          <w:szCs w:val="22"/>
          <w:b w:val="1"/>
          <w:bCs w:val="1"/>
          <w:u w:val="single" w:color="auto"/>
          <w:color w:val="auto"/>
        </w:rPr>
        <w:t>Environmental Laws</w:t>
      </w:r>
      <w:r>
        <w:rPr>
          <w:rFonts w:ascii="Times New Roman" w:cs="Times New Roman" w:eastAsia="Times New Roman" w:hAnsi="Times New Roman"/>
          <w:sz w:val="22"/>
          <w:szCs w:val="22"/>
          <w:color w:val="auto"/>
        </w:rPr>
        <w:t>”); (y) has received and is in compliance with all, and has not violated any, permits, licenses, certificates or other authorizations or approvals required of it under any Environmental Laws to conduct its business; and (z) has not received notice of any actual or potential liability of the Company, or obligation of the Company under or relating to, or any actual or potential violation of, any Environmental Laws by the Company,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except in the case of each of (i) and (ii) above, for any such matter as would not, individually or in the aggregate, reasonably be expected to have a Material Adverse Effect; and iii) except as described in the Registration Statement and the Prospectus, (x) there is no proceeding that is pending, or that is known by the Company to be contemplated, against the Company under any Environmental Laws in which a governmental entity is also a party, other than such proceeding regarding which the Company reasonably believes no monetary sanctions of $100,000 or more will be imposed, and (y) the Company is not aware of any facts regarding compliance with Environmental Laws, or liabilities or other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255" w:name="page256"/>
    <w:bookmarkEnd w:id="255"/>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obligations under Environmental Laws or concerning hazardous or toxic substances or wastes, pollutants or contaminants, that individually or in the aggregate, would reasonably be expected to have a Material Adverse Effect;</w:t>
      </w:r>
    </w:p>
    <w:p>
      <w:pPr>
        <w:spacing w:after="0" w:line="150"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2"/>
          <w:szCs w:val="22"/>
          <w:color w:val="auto"/>
        </w:rPr>
        <w:t xml:space="preserve">(ae) </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xml:space="preserve"> Except as described in the Registration Statement and the Prospectus, (i) the Company and its subsidiaries own, possess or license or can obtain on commercially reasonable terms adequate rights to all trademarks, service marks, trade names, domain names, social media accounts and identifiers, and other source identifiers, and all goodwill associated with any of the foregoing, inventions, patents, copyrights and copyrightable works, licenses, approvals, technology, know-how, trade secrets and other unpatented and/or unpatentable proprietary or confidential information, systems or procedures, and all other intellectual property and similar proprietary rights in any jurisdiction throughout the world (including all registrations and applications for registration of any of the foregoing, as applicable) (collectively, “</w:t>
      </w:r>
      <w:r>
        <w:rPr>
          <w:rFonts w:ascii="Times New Roman" w:cs="Times New Roman" w:eastAsia="Times New Roman" w:hAnsi="Times New Roman"/>
          <w:sz w:val="22"/>
          <w:szCs w:val="22"/>
          <w:b w:val="1"/>
          <w:bCs w:val="1"/>
          <w:u w:val="single" w:color="auto"/>
          <w:color w:val="auto"/>
        </w:rPr>
        <w:t>Intellectual Property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Rights</w:t>
      </w:r>
      <w:r>
        <w:rPr>
          <w:rFonts w:ascii="Times New Roman" w:cs="Times New Roman" w:eastAsia="Times New Roman" w:hAnsi="Times New Roman"/>
          <w:sz w:val="22"/>
          <w:szCs w:val="22"/>
          <w:color w:val="auto"/>
        </w:rPr>
        <w:t>”) used or held for use in the conduct of their respective businesses as currently conducted; (ii) to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knowledge, neither the Company nor any of its subsidiaries infringes, misappropriates or otherwise violates, or has infringed, misappropriated or otherwise violated, any Intellectual Property Rights of any third party; (iii) to the Company’s knowledge, neither the manufacture of, nor the use or sale of, any of the product candidates described in the Registration Statement and the Prospectus will conflict with, infringe, misappropriate or otherwise violate the Intellectual Property Rights of any third party (it being understood that the representations and warranties in clauses (ii) and (iii) are made without giving effect to any exemption under applicable law to which the Company or any of its subsidiaries may be entitled (e.g., 35 U.S.C. Section 271(e)(1))); (iv) other than as described in the Registration Statement and the Prospectus, there are no rights of third parties (including any liens or encumbrances), except for customary retained and reversionary rights of third-party licensors and the rights of customers and strategic partners to use Company Intellectual Property Rights in the ordinary course, consistent with past practice, to any of the Intellectual Property Rights owned or purported to be owned by, or exclusively licensed to, the Company or any of its subsidiaries; (v) there is no pending or, to the Company’s knowledge, threatened action, suit, proceeding or claim by any third party (x) challenging the Company’s or any subsidiary of the Company’s rights in or to, or alleging a violation of any of the terms of, any of their owned or licensed Intellectual Property Rights, (y) alleging that the Company or any of its subsidiaries has infringed, misappropriated or otherwise violated any Intellectual Property Rights of any third party, or (z) challenging the validity, scope or enforceability of any Intellectual Property Rights owned by or exclusively licensed to the Company or any of its subsidiaries, and in the case of each of clauses (x), (y) and (z), the Company and its subsidiaries have not received any notice of and are otherwise unaware of any facts that would form a reasonable basis for any such action, suit, proceeding or claim; (vi) to the Company’s knowledge, there is no infringement, misappropriation, breach or default, or other violation by any third parties of any Intellectual Property Rights owned by or exclusively licensed to the Company or any of its subsidiaries; (vii) the Company and its subsidiaries have at all times taken reasonable steps in accordance with normal industry practice to maintain the confidentiality of all Intellectual Property Rights, the value of which to the Company or any of its subsidiaries is contingent upon maintaining the confidentiality thereof, and no such Intellectual Property Rights have been disclosed other than to employees, representatives and agents of the Company or any of its subsidiaries, or to third parties, each of whom is bound by a written confidentiality agreement or duty of confidentiality; (viii) all founders, current and former employees, and consultants involved in the development of Intellectual Property Rights for or on behalf of the Company or any of its subsidiaries have signed written and enforceable confidentiality and invention assignment agreements with the Company or any of its applicable subsidiaries pursuant to which the Company or the applicable subsidiary either (A) has obtained ownership of and is the exclusive owner of such Intellectual Property Rights, or (B) has obtained a valid and unrestricted right to exploit such Intellectual Property Rights, sufficient for the conduct of the business as currently conducted and as proposed in the Registration Statement and the Prospectus to be conducted; except, in the case of</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256" w:name="page257"/>
    <w:bookmarkEnd w:id="256"/>
    <w:p>
      <w:pPr>
        <w:jc w:val="both"/>
        <w:spacing w:after="0" w:line="220" w:lineRule="auto"/>
        <w:rPr>
          <w:sz w:val="20"/>
          <w:szCs w:val="20"/>
          <w:color w:val="auto"/>
        </w:rPr>
      </w:pPr>
      <w:r>
        <w:rPr>
          <w:rFonts w:ascii="Times New Roman" w:cs="Times New Roman" w:eastAsia="Times New Roman" w:hAnsi="Times New Roman"/>
          <w:sz w:val="22"/>
          <w:szCs w:val="22"/>
          <w:color w:val="auto"/>
        </w:rPr>
        <w:t>each of (i) through (viii) above, where the outcome of which would not, individually or in the aggregate, reasonably be expected to have a Material Adverse Effect; and (ix) all Intellectual Property Rights owned by or licensed to the Company or any of its subsidiaries are subsisting and, to the Company’s knowledge, solely with respect to issued patents and trademarks, are valid and enforceable.</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(af) </w:t>
      </w:r>
      <w:r>
        <w:rPr>
          <w:rFonts w:ascii="Times New Roman" w:cs="Times New Roman" w:eastAsia="Times New Roman" w:hAnsi="Times New Roman"/>
          <w:sz w:val="22"/>
          <w:szCs w:val="22"/>
          <w:u w:val="single" w:color="auto"/>
          <w:color w:val="auto"/>
        </w:rPr>
        <w:t>Listing</w:t>
      </w:r>
      <w:r>
        <w:rPr>
          <w:rFonts w:ascii="Times New Roman" w:cs="Times New Roman" w:eastAsia="Times New Roman" w:hAnsi="Times New Roman"/>
          <w:sz w:val="22"/>
          <w:szCs w:val="22"/>
          <w:color w:val="auto"/>
        </w:rPr>
        <w:t>. The Class A Common Stock is registered pursuant to Section 12(b) or 12(g) of the Exchange Act and is listed on Nasdaq, and the Company has taken no action designed to, or likely to have the effect of, terminating the registration of the Class A Common Stock under the Exchange Act or delisting the Class A Common Stock from Nasdaq, nor has the Company received any notification that the Commission or Nasdaq is contemplating terminating such registration or listing. To the Company’s knowledge, it is in compliance with all applicable listing requirements of Nasdaq.</w:t>
      </w:r>
    </w:p>
    <w:p>
      <w:pPr>
        <w:spacing w:after="0" w:line="152"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(ag) </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Except for TD Cowen, there is no broker, finder or other party that is entitled to receive from the Company any brokerage or finder’s fee or other fee or commission as a result of any transactions contemplated by this Agreement.</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(ah) </w:t>
      </w:r>
      <w:r>
        <w:rPr>
          <w:rFonts w:ascii="Times New Roman" w:cs="Times New Roman" w:eastAsia="Times New Roman" w:hAnsi="Times New Roman"/>
          <w:sz w:val="22"/>
          <w:szCs w:val="22"/>
          <w:u w:val="single" w:color="auto"/>
          <w:color w:val="auto"/>
        </w:rPr>
        <w:t>No Outstanding Loans or Other Indebtedness</w:t>
      </w:r>
      <w:r>
        <w:rPr>
          <w:rFonts w:ascii="Times New Roman" w:cs="Times New Roman" w:eastAsia="Times New Roman" w:hAnsi="Times New Roman"/>
          <w:sz w:val="22"/>
          <w:szCs w:val="22"/>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(ai)</w:t>
            </w:r>
          </w:p>
        </w:tc>
        <w:tc>
          <w:tcPr>
            <w:tcW w:w="972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No Reliance. The Company has not relied upon TD Cowen or legal counsel for TD Cowen for any legal, tax or</w:t>
            </w:r>
          </w:p>
        </w:tc>
      </w:tr>
      <w:tr>
        <w:trPr>
          <w:trHeight w:val="276"/>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w w:val="94"/>
              </w:rPr>
              <w:t>accounting advice</w:t>
            </w:r>
          </w:p>
        </w:tc>
        <w:tc>
          <w:tcPr>
            <w:tcW w:w="1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80"/>
              </w:rPr>
              <w:t>in connection</w:t>
            </w:r>
          </w:p>
        </w:tc>
        <w:tc>
          <w:tcPr>
            <w:tcW w:w="8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with the offering and sale of the Placement Shares.</w:t>
            </w:r>
          </w:p>
        </w:tc>
      </w:tr>
      <w:tr>
        <w:trPr>
          <w:trHeight w:val="362"/>
        </w:trPr>
        <w:tc>
          <w:tcPr>
            <w:tcW w:w="1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(aj)</w:t>
            </w:r>
          </w:p>
        </w:tc>
        <w:tc>
          <w:tcPr>
            <w:tcW w:w="9720" w:type="dxa"/>
            <w:vAlign w:val="bottom"/>
            <w:gridSpan w:val="2"/>
          </w:tcPr>
          <w:p>
            <w:pPr>
              <w:jc w:val="center"/>
              <w:spacing w:after="0"/>
              <w:rPr>
                <w:sz w:val="20"/>
                <w:szCs w:val="20"/>
                <w:color w:val="auto"/>
              </w:rPr>
            </w:pPr>
            <w:r>
              <w:rPr>
                <w:rFonts w:ascii="Times New Roman" w:cs="Times New Roman" w:eastAsia="Times New Roman" w:hAnsi="Times New Roman"/>
                <w:sz w:val="22"/>
                <w:szCs w:val="22"/>
                <w:u w:val="single" w:color="auto"/>
                <w:color w:val="auto"/>
              </w:rPr>
              <w:t>Lending Relationship.</w:t>
            </w:r>
            <w:r>
              <w:rPr>
                <w:rFonts w:ascii="Times New Roman" w:cs="Times New Roman" w:eastAsia="Times New Roman" w:hAnsi="Times New Roman"/>
                <w:sz w:val="22"/>
                <w:szCs w:val="22"/>
                <w:color w:val="auto"/>
              </w:rPr>
              <w:t xml:space="preserve"> Except as disclosed in the Prospectus, the Company does not intend to use any of the</w:t>
            </w:r>
          </w:p>
        </w:tc>
      </w:tr>
    </w:tbl>
    <w:p>
      <w:pPr>
        <w:spacing w:after="0"/>
        <w:rPr>
          <w:sz w:val="20"/>
          <w:szCs w:val="20"/>
          <w:color w:val="auto"/>
        </w:rPr>
      </w:pPr>
      <w:r>
        <w:rPr>
          <w:rFonts w:ascii="Times New Roman" w:cs="Times New Roman" w:eastAsia="Times New Roman" w:hAnsi="Times New Roman"/>
          <w:sz w:val="21"/>
          <w:szCs w:val="21"/>
          <w:color w:val="auto"/>
        </w:rPr>
        <w:t>proceeds from the sale of the Placement Shares to repay any outstanding debt owed to TD Cowen or any affiliate of TD Cowen.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(ak)</w:t>
            </w:r>
          </w:p>
        </w:tc>
        <w:tc>
          <w:tcPr>
            <w:tcW w:w="300" w:type="dxa"/>
            <w:vAlign w:val="bottom"/>
          </w:tcPr>
          <w:p>
            <w:pPr>
              <w:spacing w:after="0"/>
              <w:rPr>
                <w:sz w:val="21"/>
                <w:szCs w:val="21"/>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FINRA Exemption. The Company qualifies as an “experienced issuer” (within the meaning of FINRA Conduct</w:t>
            </w: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exemption from filing under FINRA Conduct Rule 5110(h)(1)(C).</w:t>
            </w:r>
          </w:p>
        </w:tc>
        <w:tc>
          <w:tcPr>
            <w:tcW w:w="0" w:type="dxa"/>
            <w:vAlign w:val="bottom"/>
          </w:tcPr>
          <w:p>
            <w:pPr>
              <w:spacing w:after="0" w:line="20" w:lineRule="exact"/>
              <w:rPr>
                <w:sz w:val="1"/>
                <w:szCs w:val="1"/>
                <w:color w:val="auto"/>
              </w:rPr>
            </w:pPr>
          </w:p>
        </w:tc>
      </w:tr>
      <w:tr>
        <w:trPr>
          <w:trHeight w:val="276"/>
        </w:trPr>
        <w:tc>
          <w:tcPr>
            <w:tcW w:w="3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Rule 5110(j)(6)) for purposes of the</w:t>
            </w:r>
          </w:p>
        </w:tc>
        <w:tc>
          <w:tcPr>
            <w:tcW w:w="8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2"/>
        </w:trPr>
        <w:tc>
          <w:tcPr>
            <w:tcW w:w="1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(al)</w:t>
            </w:r>
          </w:p>
        </w:tc>
        <w:tc>
          <w:tcPr>
            <w:tcW w:w="9960" w:type="dxa"/>
            <w:vAlign w:val="bottom"/>
            <w:gridSpan w:val="3"/>
          </w:tcPr>
          <w:p>
            <w:pPr>
              <w:ind w:left="280"/>
              <w:spacing w:after="0"/>
              <w:rPr>
                <w:sz w:val="20"/>
                <w:szCs w:val="20"/>
                <w:color w:val="auto"/>
              </w:rPr>
            </w:pPr>
            <w:r>
              <w:rPr>
                <w:rFonts w:ascii="Times New Roman" w:cs="Times New Roman" w:eastAsia="Times New Roman" w:hAnsi="Times New Roman"/>
                <w:sz w:val="22"/>
                <w:szCs w:val="22"/>
                <w:u w:val="single" w:color="auto"/>
                <w:color w:val="auto"/>
                <w:w w:val="98"/>
              </w:rPr>
              <w:t>Compliance with Laws</w:t>
            </w:r>
            <w:r>
              <w:rPr>
                <w:rFonts w:ascii="Times New Roman" w:cs="Times New Roman" w:eastAsia="Times New Roman" w:hAnsi="Times New Roman"/>
                <w:sz w:val="22"/>
                <w:szCs w:val="22"/>
                <w:color w:val="auto"/>
                <w:w w:val="98"/>
              </w:rPr>
              <w:t>. The Company has not been advised, and has no reason to believe, that it and each of its</w:t>
            </w:r>
          </w:p>
        </w:tc>
        <w:tc>
          <w:tcPr>
            <w:tcW w:w="0" w:type="dxa"/>
            <w:vAlign w:val="bottom"/>
          </w:tcPr>
          <w:p>
            <w:pPr>
              <w:spacing w:after="0"/>
              <w:rPr>
                <w:sz w:val="1"/>
                <w:szCs w:val="1"/>
                <w:color w:val="auto"/>
              </w:rPr>
            </w:pPr>
          </w:p>
        </w:tc>
      </w:tr>
    </w:tbl>
    <w:p>
      <w:pPr>
        <w:jc w:val="both"/>
        <w:spacing w:after="0" w:line="208" w:lineRule="auto"/>
        <w:rPr>
          <w:sz w:val="20"/>
          <w:szCs w:val="20"/>
          <w:color w:val="auto"/>
        </w:rPr>
      </w:pPr>
      <w:r>
        <w:rPr>
          <w:rFonts w:ascii="Times New Roman" w:cs="Times New Roman" w:eastAsia="Times New Roman" w:hAnsi="Times New Roman"/>
          <w:sz w:val="22"/>
          <w:szCs w:val="22"/>
          <w:color w:val="auto"/>
        </w:rPr>
        <w:t>subsidiaries are not conducting business in compliance with all applicable laws, rules and regulations of the jurisdictions in which it is conducting business, except where failure to be so in compliance would not result in a Material Adverse Effect. The Company (i) has operated and currently operates its business in compliance in all material respects with all statutes, rules and regulations applicable to the ownership, testing, development, manufacture, packaging, processing, use, distribution, storage, import, export or disposal of any of the Company’s product candidates, including, without limitation, requirements governing investigational drugs and devices under the U.S. Federal Food, Drug and Cosmetic Act and rules and regulations thereunder, regulations relating to Good Clinical Practices and Good Laboratory Practices, the U.S. Animal Welfare Act and rules and regulations thereunder, the Investigational Device Exemption regulations and the Quality System Regulation (collectively, “</w:t>
      </w:r>
      <w:r>
        <w:rPr>
          <w:rFonts w:ascii="Times New Roman" w:cs="Times New Roman" w:eastAsia="Times New Roman" w:hAnsi="Times New Roman"/>
          <w:sz w:val="22"/>
          <w:szCs w:val="22"/>
          <w:b w:val="1"/>
          <w:bCs w:val="1"/>
          <w:u w:val="single" w:color="auto"/>
          <w:color w:val="auto"/>
        </w:rPr>
        <w:t>Applicable Laws”),</w:t>
      </w:r>
      <w:r>
        <w:rPr>
          <w:rFonts w:ascii="Times New Roman" w:cs="Times New Roman" w:eastAsia="Times New Roman" w:hAnsi="Times New Roman"/>
          <w:sz w:val="22"/>
          <w:szCs w:val="22"/>
          <w:color w:val="auto"/>
        </w:rPr>
        <w:t xml:space="preserve"> and (ii) have not received any FDA Form 483, written notice of adverse finding, warning letter, untitled letter or other correspondence or written notice from the FDA, any court or arbitrator or governmental or other regulatory authority alleging or asserting non-compliance with (A) any Applicable Laws or (B) any permits required by any such Applicable Laws.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257" w:name="page258"/>
    <w:bookmarkEnd w:id="257"/>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(am) </w:t>
      </w:r>
      <w:r>
        <w:rPr>
          <w:rFonts w:ascii="Times New Roman" w:cs="Times New Roman" w:eastAsia="Times New Roman" w:hAnsi="Times New Roman"/>
          <w:sz w:val="22"/>
          <w:szCs w:val="22"/>
          <w:u w:val="single" w:color="auto"/>
          <w:color w:val="auto"/>
        </w:rPr>
        <w:t>Privacy Laws</w:t>
      </w:r>
      <w:r>
        <w:rPr>
          <w:rFonts w:ascii="Times New Roman" w:cs="Times New Roman" w:eastAsia="Times New Roman" w:hAnsi="Times New Roman"/>
          <w:sz w:val="22"/>
          <w:szCs w:val="22"/>
          <w:color w:val="auto"/>
        </w:rPr>
        <w:t>. Except as would not, individually or in the aggregate, reasonably be expected to have a Material Adverse Effect, (i) the Company and each of its subsidiaries have complied and are presently in compliance with all of their internal privacy policies, privacy- and data protection-related contractual obligations, and applicable laws, statutes, judgments, orders, rules and regulations of any court or arbitrator or other governmental or regulatory authority, in each case, relating to the collection, use, transfer, import, export, storage, protection, disposal and disclosure by the Company or any of its subsidiaries of personal, personally identifiable, household (in the case of household data, to the extent it is “Personal Information” under the California Consumer Privacy Act, as modified by the California Privacy Rights Act), or sensitive, confidential or regulated data or information (collectively, “</w:t>
      </w:r>
      <w:r>
        <w:rPr>
          <w:rFonts w:ascii="Times New Roman" w:cs="Times New Roman" w:eastAsia="Times New Roman" w:hAnsi="Times New Roman"/>
          <w:sz w:val="22"/>
          <w:szCs w:val="22"/>
          <w:b w:val="1"/>
          <w:bCs w:val="1"/>
          <w:u w:val="single" w:color="auto"/>
          <w:color w:val="auto"/>
        </w:rPr>
        <w:t>Data Security Obligations</w:t>
      </w:r>
      <w:r>
        <w:rPr>
          <w:rFonts w:ascii="Times New Roman" w:cs="Times New Roman" w:eastAsia="Times New Roman" w:hAnsi="Times New Roman"/>
          <w:sz w:val="22"/>
          <w:szCs w:val="22"/>
          <w:color w:val="auto"/>
        </w:rPr>
        <w:t>,” and such data and information, “</w:t>
      </w:r>
      <w:r>
        <w:rPr>
          <w:rFonts w:ascii="Times New Roman" w:cs="Times New Roman" w:eastAsia="Times New Roman" w:hAnsi="Times New Roman"/>
          <w:sz w:val="22"/>
          <w:szCs w:val="22"/>
          <w:b w:val="1"/>
          <w:bCs w:val="1"/>
          <w:u w:val="single" w:color="auto"/>
          <w:color w:val="auto"/>
        </w:rPr>
        <w:t>Personal Data</w:t>
      </w:r>
      <w:r>
        <w:rPr>
          <w:rFonts w:ascii="Times New Roman" w:cs="Times New Roman" w:eastAsia="Times New Roman" w:hAnsi="Times New Roman"/>
          <w:sz w:val="22"/>
          <w:szCs w:val="22"/>
          <w:color w:val="auto"/>
        </w:rPr>
        <w:t>”); (ii) the Company and its subsidiaries have not received any written notification of or written complaint regarding and are unaware of any other facts that, individually or in the aggregate, would reasonably indicate non-compliance with any Data Security Obligation by the Company or any of its subsidiaries; and (iii) there is no action, suit or proceeding by or before any court or governmental agency, authority or body pending or, to the Company’s knowledge, threatened in writing, alleging non-compliance with any Data Security Obligation by the Company or any of its subsidiaries.</w:t>
      </w:r>
    </w:p>
    <w:p>
      <w:pPr>
        <w:spacing w:after="0" w:line="160"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(an) </w:t>
      </w:r>
      <w:r>
        <w:rPr>
          <w:rFonts w:ascii="Times New Roman" w:cs="Times New Roman" w:eastAsia="Times New Roman" w:hAnsi="Times New Roman"/>
          <w:sz w:val="22"/>
          <w:szCs w:val="22"/>
          <w:u w:val="single" w:color="auto"/>
          <w:color w:val="auto"/>
        </w:rPr>
        <w:t>IT Systems</w:t>
      </w:r>
      <w:r>
        <w:rPr>
          <w:rFonts w:ascii="Times New Roman" w:cs="Times New Roman" w:eastAsia="Times New Roman" w:hAnsi="Times New Roman"/>
          <w:sz w:val="22"/>
          <w:szCs w:val="22"/>
          <w:color w:val="auto"/>
        </w:rPr>
        <w:t>. Except as would not, individually or in the aggregate, reasonably be expected to have a Material Adverse Effect, (i) the Company and its subsidiaries’ respective information technology assets and equipment, computers, systems, networks, hardware, applications, technology, data and databases (including Personal Data (as defined below) and the data and information of their respective customers, employees, suppliers, vendors and any third party data) used in connection with the operation of the Company’s and its subsidiaries’ respective businesses and in the possession or otherwise in the control of the Company or any of its subsidiaries (collectively, “</w:t>
      </w:r>
      <w:r>
        <w:rPr>
          <w:rFonts w:ascii="Times New Roman" w:cs="Times New Roman" w:eastAsia="Times New Roman" w:hAnsi="Times New Roman"/>
          <w:sz w:val="22"/>
          <w:szCs w:val="22"/>
          <w:b w:val="1"/>
          <w:bCs w:val="1"/>
          <w:u w:val="single" w:color="auto"/>
          <w:color w:val="auto"/>
        </w:rPr>
        <w:t>IT Systems and Data</w:t>
      </w:r>
      <w:r>
        <w:rPr>
          <w:rFonts w:ascii="Times New Roman" w:cs="Times New Roman" w:eastAsia="Times New Roman" w:hAnsi="Times New Roman"/>
          <w:sz w:val="22"/>
          <w:szCs w:val="22"/>
          <w:color w:val="auto"/>
        </w:rPr>
        <w:t>”) are adequate for, and operate and perform in all material respects as required in connection with, the operation of the business of the Company and its subsidiaries as currently conducted, free and clear, to the Company’s knowledge, of all Trojan horses, time bombs, malware and other malicious code; (ii) the Company and each of its subsidiaries have taken reasonable technical and organizational measures to protect the IT Systems and Data and, without limiting the foregoing, the Company and its subsidiaries have used commercially reasonable efforts to establish and maintain, and have established, maintained, implemented and complied with, reasonable information technology, information security, cybersecurity and data protection controls, policies and procedures, including oversight, access controls, encryption, technological and physical safeguards and business continuity/disaster recovery and security plans, which controls, policies and procedures are designed to protect against and prevent security breaches, unauthorized destruction, loss, distribution, use, access, disablement, misappropriation or modification, or other compromise or misuse of any IT Systems and Data (“</w:t>
      </w:r>
      <w:r>
        <w:rPr>
          <w:rFonts w:ascii="Times New Roman" w:cs="Times New Roman" w:eastAsia="Times New Roman" w:hAnsi="Times New Roman"/>
          <w:sz w:val="22"/>
          <w:szCs w:val="22"/>
          <w:b w:val="1"/>
          <w:bCs w:val="1"/>
          <w:u w:val="single" w:color="auto"/>
          <w:color w:val="auto"/>
        </w:rPr>
        <w:t>Breach</w:t>
      </w:r>
      <w:r>
        <w:rPr>
          <w:rFonts w:ascii="Times New Roman" w:cs="Times New Roman" w:eastAsia="Times New Roman" w:hAnsi="Times New Roman"/>
          <w:sz w:val="22"/>
          <w:szCs w:val="22"/>
          <w:color w:val="auto"/>
        </w:rPr>
        <w:t>”); and (iii) to the Company’s knowledge, there has been no such Breach and the Company and its subsidiaries have not been notified of, and have no knowledge of any event or condition that would reasonably be expected to result in, any such Breach.</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jc w:val="center"/>
              <w:ind w:left="252"/>
              <w:spacing w:after="0"/>
              <w:rPr>
                <w:sz w:val="20"/>
                <w:szCs w:val="20"/>
                <w:color w:val="auto"/>
              </w:rPr>
            </w:pPr>
            <w:r>
              <w:rPr>
                <w:rFonts w:ascii="Times New Roman" w:cs="Times New Roman" w:eastAsia="Times New Roman" w:hAnsi="Times New Roman"/>
                <w:sz w:val="22"/>
                <w:szCs w:val="22"/>
                <w:color w:val="auto"/>
                <w:w w:val="95"/>
              </w:rPr>
              <w:t>(ao)</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0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Other At The Market Sales Agreements. The Company is not a party to any agreement with an agent or</w:t>
            </w:r>
          </w:p>
        </w:tc>
      </w:tr>
      <w:tr>
        <w:trPr>
          <w:trHeight w:val="276"/>
        </w:trPr>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8"/>
              </w:rPr>
              <w:t>underwriter for any</w:t>
            </w:r>
          </w:p>
        </w:tc>
        <w:tc>
          <w:tcPr>
            <w:tcW w:w="3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other “at the market” offering.</w:t>
            </w:r>
          </w:p>
        </w:tc>
        <w:tc>
          <w:tcPr>
            <w:tcW w:w="5900" w:type="dxa"/>
            <w:vAlign w:val="bottom"/>
          </w:tcPr>
          <w:p>
            <w:pPr>
              <w:spacing w:after="0"/>
              <w:rPr>
                <w:sz w:val="23"/>
                <w:szCs w:val="23"/>
                <w:color w:val="auto"/>
              </w:rPr>
            </w:pPr>
          </w:p>
        </w:tc>
      </w:tr>
      <w:tr>
        <w:trPr>
          <w:trHeight w:val="352"/>
        </w:trPr>
        <w:tc>
          <w:tcPr>
            <w:tcW w:w="1300" w:type="dxa"/>
            <w:vAlign w:val="bottom"/>
          </w:tcPr>
          <w:p>
            <w:pPr>
              <w:jc w:val="center"/>
              <w:ind w:left="252"/>
              <w:spacing w:after="0"/>
              <w:rPr>
                <w:sz w:val="20"/>
                <w:szCs w:val="20"/>
                <w:color w:val="auto"/>
              </w:rPr>
            </w:pPr>
            <w:r>
              <w:rPr>
                <w:rFonts w:ascii="Times New Roman" w:cs="Times New Roman" w:eastAsia="Times New Roman" w:hAnsi="Times New Roman"/>
                <w:sz w:val="22"/>
                <w:szCs w:val="22"/>
                <w:color w:val="auto"/>
                <w:w w:val="95"/>
              </w:rPr>
              <w:t>(ap)</w:t>
            </w:r>
          </w:p>
        </w:tc>
        <w:tc>
          <w:tcPr>
            <w:tcW w:w="400" w:type="dxa"/>
            <w:vAlign w:val="bottom"/>
          </w:tcPr>
          <w:p>
            <w:pPr>
              <w:spacing w:after="0"/>
              <w:rPr>
                <w:sz w:val="24"/>
                <w:szCs w:val="24"/>
                <w:color w:val="auto"/>
              </w:rPr>
            </w:pPr>
          </w:p>
        </w:tc>
        <w:tc>
          <w:tcPr>
            <w:tcW w:w="95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Actively-Traded Security. The Class A Common Stock is an “actively-traded security” exempted from the</w:t>
            </w:r>
          </w:p>
        </w:tc>
      </w:tr>
      <w:tr>
        <w:trPr>
          <w:trHeight w:val="20"/>
        </w:trPr>
        <w:tc>
          <w:tcPr>
            <w:tcW w:w="1700" w:type="dxa"/>
            <w:vAlign w:val="bottom"/>
            <w:gridSpan w:val="2"/>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276"/>
        </w:trPr>
        <w:tc>
          <w:tcPr>
            <w:tcW w:w="11240" w:type="dxa"/>
            <w:vAlign w:val="bottom"/>
            <w:gridSpan w:val="6"/>
          </w:tcPr>
          <w:p>
            <w:pPr>
              <w:jc w:val="right"/>
              <w:ind w:right="2500"/>
              <w:spacing w:after="0"/>
              <w:rPr>
                <w:sz w:val="20"/>
                <w:szCs w:val="20"/>
                <w:color w:val="auto"/>
              </w:rPr>
            </w:pPr>
            <w:r>
              <w:rPr>
                <w:rFonts w:ascii="Times New Roman" w:cs="Times New Roman" w:eastAsia="Times New Roman" w:hAnsi="Times New Roman"/>
                <w:sz w:val="22"/>
                <w:szCs w:val="22"/>
                <w:color w:val="auto"/>
                <w:w w:val="98"/>
              </w:rPr>
              <w:t>requirements of Rule 101 of Regulation M under the Exchange Act by subsection (c)(1) of such rule.</w:t>
            </w:r>
          </w:p>
        </w:tc>
      </w:tr>
      <w:tr>
        <w:trPr>
          <w:trHeight w:val="362"/>
        </w:trPr>
        <w:tc>
          <w:tcPr>
            <w:tcW w:w="1300" w:type="dxa"/>
            <w:vAlign w:val="bottom"/>
          </w:tcPr>
          <w:p>
            <w:pPr>
              <w:jc w:val="center"/>
              <w:ind w:left="252"/>
              <w:spacing w:after="0"/>
              <w:rPr>
                <w:sz w:val="20"/>
                <w:szCs w:val="20"/>
                <w:color w:val="auto"/>
              </w:rPr>
            </w:pPr>
            <w:r>
              <w:rPr>
                <w:rFonts w:ascii="Times New Roman" w:cs="Times New Roman" w:eastAsia="Times New Roman" w:hAnsi="Times New Roman"/>
                <w:sz w:val="22"/>
                <w:szCs w:val="22"/>
                <w:color w:val="auto"/>
                <w:w w:val="95"/>
              </w:rPr>
              <w:t>(aq)</w:t>
            </w:r>
          </w:p>
        </w:tc>
        <w:tc>
          <w:tcPr>
            <w:tcW w:w="9940" w:type="dxa"/>
            <w:vAlign w:val="bottom"/>
            <w:gridSpan w:val="5"/>
          </w:tcPr>
          <w:p>
            <w:pPr>
              <w:jc w:val="right"/>
              <w:ind w:right="20"/>
              <w:spacing w:after="0"/>
              <w:rPr>
                <w:sz w:val="20"/>
                <w:szCs w:val="20"/>
                <w:color w:val="auto"/>
              </w:rPr>
            </w:pPr>
            <w:r>
              <w:rPr>
                <w:rFonts w:ascii="Times New Roman" w:cs="Times New Roman" w:eastAsia="Times New Roman" w:hAnsi="Times New Roman"/>
                <w:sz w:val="22"/>
                <w:szCs w:val="22"/>
                <w:u w:val="single" w:color="auto"/>
                <w:color w:val="auto"/>
              </w:rPr>
              <w:t>Outbound Investment Security Program</w:t>
            </w:r>
            <w:r>
              <w:rPr>
                <w:rFonts w:ascii="Times New Roman" w:cs="Times New Roman" w:eastAsia="Times New Roman" w:hAnsi="Times New Roman"/>
                <w:sz w:val="22"/>
                <w:szCs w:val="22"/>
                <w:color w:val="auto"/>
              </w:rPr>
              <w:t>. Neither the Company nor any of its subsidiaries is a “covered foreign</w:t>
            </w:r>
          </w:p>
        </w:tc>
      </w:tr>
    </w:tbl>
    <w:p>
      <w:pPr>
        <w:jc w:val="both"/>
        <w:spacing w:after="0" w:line="225" w:lineRule="auto"/>
        <w:rPr>
          <w:sz w:val="20"/>
          <w:szCs w:val="20"/>
          <w:color w:val="auto"/>
        </w:rPr>
      </w:pPr>
      <w:r>
        <w:rPr>
          <w:rFonts w:ascii="Times New Roman" w:cs="Times New Roman" w:eastAsia="Times New Roman" w:hAnsi="Times New Roman"/>
          <w:sz w:val="22"/>
          <w:szCs w:val="22"/>
          <w:color w:val="auto"/>
        </w:rPr>
        <w:t>person,” as that term is defined in 31 C.F.R. § 850.209. Neither the Company nor any of its subsidiaries currently engages, or has plans to engage,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258" w:name="page259"/>
    <w:bookmarkEnd w:id="258"/>
    <w:p>
      <w:pPr>
        <w:jc w:val="both"/>
        <w:spacing w:after="0" w:line="218" w:lineRule="auto"/>
        <w:rPr>
          <w:sz w:val="20"/>
          <w:szCs w:val="20"/>
          <w:color w:val="auto"/>
        </w:rPr>
      </w:pPr>
      <w:r>
        <w:rPr>
          <w:rFonts w:ascii="Times New Roman" w:cs="Times New Roman" w:eastAsia="Times New Roman" w:hAnsi="Times New Roman"/>
          <w:sz w:val="22"/>
          <w:szCs w:val="22"/>
          <w:color w:val="auto"/>
        </w:rPr>
        <w:t>directly or indirectly, in a “covered activity,” as that term is defined in in 31 C.F.R. § 850.208 (“</w:t>
      </w:r>
      <w:r>
        <w:rPr>
          <w:rFonts w:ascii="Times New Roman" w:cs="Times New Roman" w:eastAsia="Times New Roman" w:hAnsi="Times New Roman"/>
          <w:sz w:val="22"/>
          <w:szCs w:val="22"/>
          <w:b w:val="1"/>
          <w:bCs w:val="1"/>
          <w:u w:val="single" w:color="auto"/>
          <w:color w:val="auto"/>
        </w:rPr>
        <w:t>Covered Activity</w:t>
      </w:r>
      <w:r>
        <w:rPr>
          <w:rFonts w:ascii="Times New Roman" w:cs="Times New Roman" w:eastAsia="Times New Roman" w:hAnsi="Times New Roman"/>
          <w:sz w:val="22"/>
          <w:szCs w:val="22"/>
          <w:color w:val="auto"/>
        </w:rPr>
        <w:t>”).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150"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21"/>
          <w:szCs w:val="21"/>
          <w:color w:val="auto"/>
        </w:rPr>
        <w:t>(ar)</w:t>
      </w:r>
      <w:r>
        <w:rPr>
          <w:sz w:val="20"/>
          <w:szCs w:val="20"/>
          <w:color w:val="auto"/>
        </w:rPr>
        <w:tab/>
      </w:r>
      <w:r>
        <w:rPr>
          <w:rFonts w:ascii="Times New Roman" w:cs="Times New Roman" w:eastAsia="Times New Roman" w:hAnsi="Times New Roman"/>
          <w:sz w:val="21"/>
          <w:szCs w:val="21"/>
          <w:u w:val="single" w:color="auto"/>
          <w:color w:val="auto"/>
        </w:rPr>
        <w:t>No Violation of Organizational Documents, Laws or Existing Instruments</w:t>
      </w:r>
      <w:r>
        <w:rPr>
          <w:rFonts w:ascii="Times New Roman" w:cs="Times New Roman" w:eastAsia="Times New Roman" w:hAnsi="Times New Roman"/>
          <w:sz w:val="21"/>
          <w:szCs w:val="21"/>
          <w:color w:val="auto"/>
        </w:rPr>
        <w:t>. Neither the Company nor any of its</w:t>
      </w:r>
    </w:p>
    <w:p>
      <w:pPr>
        <w:jc w:val="both"/>
        <w:spacing w:after="0" w:line="210" w:lineRule="auto"/>
        <w:rPr>
          <w:sz w:val="20"/>
          <w:szCs w:val="20"/>
          <w:color w:val="auto"/>
        </w:rPr>
      </w:pPr>
      <w:r>
        <w:rPr>
          <w:rFonts w:ascii="Times New Roman" w:cs="Times New Roman" w:eastAsia="Times New Roman" w:hAnsi="Times New Roman"/>
          <w:sz w:val="22"/>
          <w:szCs w:val="22"/>
          <w:color w:val="auto"/>
        </w:rPr>
        <w:t>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15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(as) </w:t>
      </w:r>
      <w:r>
        <w:rPr>
          <w:rFonts w:ascii="Times New Roman" w:cs="Times New Roman" w:eastAsia="Times New Roman" w:hAnsi="Times New Roman"/>
          <w:sz w:val="22"/>
          <w:szCs w:val="22"/>
          <w:u w:val="single" w:color="auto"/>
          <w:color w:val="auto"/>
        </w:rPr>
        <w:t>FINRA Matters</w:t>
      </w:r>
      <w:r>
        <w:rPr>
          <w:rFonts w:ascii="Times New Roman" w:cs="Times New Roman" w:eastAsia="Times New Roman" w:hAnsi="Times New Roman"/>
          <w:sz w:val="22"/>
          <w:szCs w:val="22"/>
          <w:color w:val="auto"/>
        </w:rPr>
        <w:t>. All of the information provided to TD Cowen or to counsel for TD Cowen by the Company, its counsel, its officers and directors and the holders of any securities (debt or equity) or options to acquire any securities of the Company in connection with the offering of the Shares is true, complete, correct and compliant with FINRA rules and any letters, filings or other supplemental information provided to FINRA pursuant to FINRA rules or NASD conduct rules is true, complete and correct.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(at) </w:t>
      </w:r>
      <w:r>
        <w:rPr>
          <w:rFonts w:ascii="Times New Roman" w:cs="Times New Roman" w:eastAsia="Times New Roman" w:hAnsi="Times New Roman"/>
          <w:sz w:val="22"/>
          <w:szCs w:val="22"/>
          <w:u w:val="single" w:color="auto"/>
          <w:color w:val="auto"/>
        </w:rPr>
        <w:t>Dividend Restrictions</w:t>
      </w:r>
      <w:r>
        <w:rPr>
          <w:rFonts w:ascii="Times New Roman" w:cs="Times New Roman" w:eastAsia="Times New Roman" w:hAnsi="Times New Roman"/>
          <w:sz w:val="22"/>
          <w:szCs w:val="22"/>
          <w:color w:val="auto"/>
        </w:rPr>
        <w:t>. Except as disclosed in the Registration Statement and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(au) </w:t>
      </w:r>
      <w:r>
        <w:rPr>
          <w:rFonts w:ascii="Times New Roman" w:cs="Times New Roman" w:eastAsia="Times New Roman" w:hAnsi="Times New Roman"/>
          <w:sz w:val="22"/>
          <w:szCs w:val="22"/>
          <w:u w:val="single" w:color="auto"/>
          <w:color w:val="auto"/>
        </w:rPr>
        <w:t>Duties, Transfer Taxes, Etc</w:t>
      </w:r>
      <w:r>
        <w:rPr>
          <w:rFonts w:ascii="Times New Roman" w:cs="Times New Roman" w:eastAsia="Times New Roman" w:hAnsi="Times New Roman"/>
          <w:sz w:val="22"/>
          <w:szCs w:val="22"/>
          <w:color w:val="auto"/>
        </w:rPr>
        <w:t>. No stamp or other issuance or transfer taxes or duties and no capital gains, income, withholding or other taxes are payable by TD Cowen in the United States or any political subdivision or taxing authority thereof or therein in connection with the execution, delivery or performance of this Agreement by the Company or the sale and delivery by the Company of the Shares.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(av) </w:t>
      </w:r>
      <w:r>
        <w:rPr>
          <w:rFonts w:ascii="Times New Roman" w:cs="Times New Roman" w:eastAsia="Times New Roman" w:hAnsi="Times New Roman"/>
          <w:sz w:val="22"/>
          <w:szCs w:val="22"/>
          <w:u w:val="single" w:color="auto"/>
          <w:color w:val="auto"/>
        </w:rPr>
        <w:t>Statistical and Market-Related Data</w:t>
      </w:r>
      <w:r>
        <w:rPr>
          <w:rFonts w:ascii="Times New Roman" w:cs="Times New Roman" w:eastAsia="Times New Roman" w:hAnsi="Times New Roman"/>
          <w:sz w:val="22"/>
          <w:szCs w:val="22"/>
          <w:color w:val="auto"/>
        </w:rPr>
        <w:t>. Nothing has come to the attention of the Company that has caused the Company to believe that the statistical and market-related data included or incorporated by reference in the Registration Statement or the Prospectus are not based on or derived from sources that are reliable and accurate in all material respects.</w:t>
      </w:r>
    </w:p>
    <w:p>
      <w:pPr>
        <w:spacing w:after="0" w:line="14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(aw) </w:t>
      </w:r>
      <w:r>
        <w:rPr>
          <w:rFonts w:ascii="Times New Roman" w:cs="Times New Roman" w:eastAsia="Times New Roman" w:hAnsi="Times New Roman"/>
          <w:sz w:val="22"/>
          <w:szCs w:val="22"/>
          <w:u w:val="single" w:color="auto"/>
          <w:color w:val="auto"/>
        </w:rPr>
        <w:t>Clinical Data and Regulatory Compliance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Any studies, tests and preclinical and clinical trials conducted by the Company and, to the Company’s knowledge, any studies, tests and preclinical and clinical trials conducted on behalf of the Company or in which the Company has participated, were, and if still pending are, being conducted in accordance with experimental protocols, procedures and controls pursuant to accepted professional scientific standards and all applicable rules and regulations, including those of the FDA and comparable regulatory agencies outside of the United States, to which the Company is subject and, for studies submitted to regulatory authorities as a basis for regulatory approval and preclinical and clinical trials, current Good Clinical Practices and Good Laboratory Practices except where the failure to be so conducted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1" w:right="339" w:bottom="1440" w:gutter="0" w:footer="0" w:header="0"/>
        </w:sectPr>
      </w:pPr>
    </w:p>
    <w:bookmarkStart w:id="259" w:name="page260"/>
    <w:bookmarkEnd w:id="259"/>
    <w:p>
      <w:pPr>
        <w:jc w:val="both"/>
        <w:spacing w:after="0" w:line="212" w:lineRule="auto"/>
        <w:rPr>
          <w:sz w:val="20"/>
          <w:szCs w:val="20"/>
          <w:color w:val="auto"/>
        </w:rPr>
      </w:pPr>
      <w:r>
        <w:rPr>
          <w:rFonts w:ascii="Times New Roman" w:cs="Times New Roman" w:eastAsia="Times New Roman" w:hAnsi="Times New Roman"/>
          <w:sz w:val="22"/>
          <w:szCs w:val="22"/>
          <w:color w:val="auto"/>
        </w:rPr>
        <w:t>the descriptions of the results of such studies, tests and trials contained in the Registration Statement and the Prospectus are, to the Company’s knowledge, accurate and complete in all material respects and fairly present the data derived from such studies, tests and trials; the Company is not aware of any studies, tests or trials, the results of which the Company believes reasonably call into question the study, test, or trial results described or referred to in the Registration Statement and the Prospectus when viewed in the context in which such results are described and the clinical state of development; and, except to the extent disclosed in the Registration Statement or the Prospectus, the Company has not received any notices or correspondence from the FDA or any other comparable federal, state, local or foreign governmental or regulatory authority requiring the termination or suspension of any studies, tests or preclinical or clinical trials conducted by or on behalf of the Company.</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(ax) </w:t>
      </w:r>
      <w:r>
        <w:rPr>
          <w:rFonts w:ascii="Times New Roman" w:cs="Times New Roman" w:eastAsia="Times New Roman" w:hAnsi="Times New Roman"/>
          <w:sz w:val="22"/>
          <w:szCs w:val="22"/>
          <w:u w:val="single" w:color="auto"/>
          <w:color w:val="auto"/>
        </w:rPr>
        <w:t>Manufacturing Compliance</w:t>
      </w:r>
      <w:r>
        <w:rPr>
          <w:rFonts w:ascii="Times New Roman" w:cs="Times New Roman" w:eastAsia="Times New Roman" w:hAnsi="Times New Roman"/>
          <w:sz w:val="22"/>
          <w:szCs w:val="22"/>
          <w:color w:val="auto"/>
        </w:rPr>
        <w:t>. The manufacturing facilities and operations of Company’s suppliers and manufacturers are not, to the Company’s knowledge, operated in violation of applicable statutes, rules, regulations and policies of the FDA and comparable regulatory agencies outside of the United States to which the Company is subject.</w:t>
      </w:r>
    </w:p>
    <w:p>
      <w:pPr>
        <w:spacing w:after="0" w:line="153"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(ay) </w:t>
      </w:r>
      <w:r>
        <w:rPr>
          <w:rFonts w:ascii="Times New Roman" w:cs="Times New Roman" w:eastAsia="Times New Roman" w:hAnsi="Times New Roman"/>
          <w:sz w:val="22"/>
          <w:szCs w:val="22"/>
          <w:u w:val="single" w:color="auto"/>
          <w:color w:val="auto"/>
        </w:rPr>
        <w:t>Compliance with Health Care Laws</w:t>
      </w:r>
      <w:r>
        <w:rPr>
          <w:rFonts w:ascii="Times New Roman" w:cs="Times New Roman" w:eastAsia="Times New Roman" w:hAnsi="Times New Roman"/>
          <w:sz w:val="22"/>
          <w:szCs w:val="22"/>
          <w:color w:val="auto"/>
        </w:rPr>
        <w:t>. The Company and its subsidiaries are, and at all times have been, in compliance with all Health Care Laws in all material respects and to the extent applicable to the Company’s current business. For purposes of this Agreement, “</w:t>
      </w:r>
      <w:r>
        <w:rPr>
          <w:rFonts w:ascii="Times New Roman" w:cs="Times New Roman" w:eastAsia="Times New Roman" w:hAnsi="Times New Roman"/>
          <w:sz w:val="22"/>
          <w:szCs w:val="22"/>
          <w:b w:val="1"/>
          <w:bCs w:val="1"/>
          <w:color w:val="auto"/>
        </w:rPr>
        <w:t>Health Care Laws</w:t>
      </w:r>
      <w:r>
        <w:rPr>
          <w:rFonts w:ascii="Times New Roman" w:cs="Times New Roman" w:eastAsia="Times New Roman" w:hAnsi="Times New Roman"/>
          <w:sz w:val="22"/>
          <w:szCs w:val="22"/>
          <w:color w:val="auto"/>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Times New Roman" w:cs="Times New Roman" w:eastAsia="Times New Roman" w:hAnsi="Times New Roman"/>
          <w:sz w:val="22"/>
          <w:szCs w:val="22"/>
          <w:b w:val="1"/>
          <w:bCs w:val="1"/>
          <w:u w:val="single" w:color="auto"/>
          <w:color w:val="auto"/>
        </w:rPr>
        <w:t>HIPAA</w:t>
      </w:r>
      <w:r>
        <w:rPr>
          <w:rFonts w:ascii="Times New Roman" w:cs="Times New Roman" w:eastAsia="Times New Roman" w:hAnsi="Times New Roman"/>
          <w:sz w:val="22"/>
          <w:szCs w:val="22"/>
          <w:color w:val="auto"/>
        </w:rPr>
        <w:t>”)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Company’s knowledge, agents has been excluded, suspended or debarred from participation in any U.S. federal health care program or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260" w:name="page261"/>
    <w:bookmarkEnd w:id="260"/>
    <w:p>
      <w:pPr>
        <w:jc w:val="both"/>
        <w:spacing w:after="0" w:line="236" w:lineRule="auto"/>
        <w:rPr>
          <w:sz w:val="20"/>
          <w:szCs w:val="20"/>
          <w:color w:val="auto"/>
        </w:rPr>
      </w:pPr>
      <w:r>
        <w:rPr>
          <w:rFonts w:ascii="Times New Roman" w:cs="Times New Roman" w:eastAsia="Times New Roman" w:hAnsi="Times New Roman"/>
          <w:sz w:val="22"/>
          <w:szCs w:val="22"/>
          <w:color w:val="auto"/>
        </w:rPr>
        <w:t>human clinical research or is subject to a governmental inquiry, investigation, proceeding, or other similar action that could reasonably be expected to result in debarment, suspension, or exclusion.</w:t>
      </w:r>
    </w:p>
    <w:p>
      <w:pPr>
        <w:spacing w:after="0" w:line="15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(az) </w:t>
      </w:r>
      <w:r>
        <w:rPr>
          <w:rFonts w:ascii="Times New Roman" w:cs="Times New Roman" w:eastAsia="Times New Roman" w:hAnsi="Times New Roman"/>
          <w:sz w:val="22"/>
          <w:szCs w:val="22"/>
          <w:u w:val="single" w:color="auto"/>
          <w:color w:val="auto"/>
        </w:rPr>
        <w:t>Open Source Software</w:t>
      </w:r>
      <w:r>
        <w:rPr>
          <w:rFonts w:ascii="Times New Roman" w:cs="Times New Roman" w:eastAsia="Times New Roman" w:hAnsi="Times New Roman"/>
          <w:sz w:val="22"/>
          <w:szCs w:val="22"/>
          <w:color w:val="auto"/>
        </w:rPr>
        <w:t>. (i) The Company and its subsidiaries use and have used any and all software and other materials distributed under a license approved by the Open Source Initiative at https://opensource.org/licenses (including but not limited to the MIT License, Apache License, GNU General Public License, GNU Lesser General Public License and GNU Affero General Public License) (“</w:t>
      </w:r>
      <w:r>
        <w:rPr>
          <w:rFonts w:ascii="Times New Roman" w:cs="Times New Roman" w:eastAsia="Times New Roman" w:hAnsi="Times New Roman"/>
          <w:sz w:val="22"/>
          <w:szCs w:val="22"/>
          <w:b w:val="1"/>
          <w:bCs w:val="1"/>
          <w:u w:val="single" w:color="auto"/>
          <w:color w:val="auto"/>
        </w:rPr>
        <w:t>Open Source Software</w:t>
      </w:r>
      <w:r>
        <w:rPr>
          <w:rFonts w:ascii="Times New Roman" w:cs="Times New Roman" w:eastAsia="Times New Roman" w:hAnsi="Times New Roman"/>
          <w:sz w:val="22"/>
          <w:szCs w:val="22"/>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 except as would not, in the cases of clause (i) or (ii), individually or in the aggregate, reasonably be expected to have a Material Adverse Effect.</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(ba) </w:t>
      </w:r>
      <w:r>
        <w:rPr>
          <w:rFonts w:ascii="Times New Roman" w:cs="Times New Roman" w:eastAsia="Times New Roman" w:hAnsi="Times New Roman"/>
          <w:sz w:val="22"/>
          <w:szCs w:val="22"/>
          <w:u w:val="single" w:color="auto"/>
          <w:color w:val="auto"/>
        </w:rPr>
        <w:t>Title to Properties</w:t>
      </w:r>
      <w:r>
        <w:rPr>
          <w:rFonts w:ascii="Times New Roman" w:cs="Times New Roman" w:eastAsia="Times New Roman" w:hAnsi="Times New Roman"/>
          <w:sz w:val="22"/>
          <w:szCs w:val="22"/>
          <w:color w:val="auto"/>
        </w:rPr>
        <w:t>. The Company and its subsidiaries do not own any real property and have good and marketable title to all personal property (other than with respect to Intellectual Property Rights, which is addressed exclusively in subsection 6(ee) above) owned by them, in each case free and clear of all liens, encumbrances and defects except as described in the Registration Statement and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to the Company’s knowledge, held by them under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and (iii) applicable law and public policy with respect to rights to indemnity and contribution) with such exceptions as are not material and do not materially interfere with the use made and proposed to be made of such property and buildings by the Company and its subsidiaries.</w:t>
      </w:r>
    </w:p>
    <w:p>
      <w:pPr>
        <w:spacing w:after="0" w:line="157" w:lineRule="exact"/>
        <w:rPr>
          <w:sz w:val="20"/>
          <w:szCs w:val="20"/>
          <w:color w:val="auto"/>
        </w:rPr>
      </w:pPr>
    </w:p>
    <w:p>
      <w:pPr>
        <w:jc w:val="both"/>
        <w:ind w:firstLine="656"/>
        <w:spacing w:after="0" w:line="209" w:lineRule="auto"/>
        <w:tabs>
          <w:tab w:leader="none" w:pos="1723"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Compliance</w:t>
      </w:r>
      <w:r>
        <w:rPr>
          <w:rFonts w:ascii="Times New Roman" w:cs="Times New Roman" w:eastAsia="Times New Roman" w:hAnsi="Times New Roman"/>
          <w:sz w:val="22"/>
          <w:szCs w:val="22"/>
          <w:color w:val="auto"/>
        </w:rPr>
        <w:t>. (i) Each employee benefit plan, within the meaning of Section 3(3) of the Employee Retirement Income Security Act of 1974, as amended (“</w:t>
      </w:r>
      <w:r>
        <w:rPr>
          <w:rFonts w:ascii="Times New Roman" w:cs="Times New Roman" w:eastAsia="Times New Roman" w:hAnsi="Times New Roman"/>
          <w:sz w:val="22"/>
          <w:szCs w:val="22"/>
          <w:b w:val="1"/>
          <w:bCs w:val="1"/>
          <w:u w:val="single" w:color="auto"/>
          <w:color w:val="auto"/>
        </w:rPr>
        <w:t>ERISA</w:t>
      </w:r>
      <w:r>
        <w:rPr>
          <w:rFonts w:ascii="Times New Roman" w:cs="Times New Roman" w:eastAsia="Times New Roman" w:hAnsi="Times New Roman"/>
          <w:sz w:val="22"/>
          <w:szCs w:val="22"/>
          <w:color w:val="auto"/>
        </w:rPr>
        <w:t>”), for which the Company or any member of its “Controlled Group” (defined as including any entity, whether or not incorporated, that is under common control with the Company within the meaning of Section 4001(a)(14) of ERISA or that would be regarded as a single employer with the Company under Section 414(b),(c),(m) or (o) of the Internal Revenue Code of 1986, as amended (the “</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would have any liability (each, a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has been maintained in compliance with its terms and the requirements of any applicable statutes, orders, rules and regulations, including but not limited to ERISA and the Code, except for noncompliance that would not reasonably be expected to result in material liability to the Company; (ii) no prohibited transaction, within the meaning of Section 406 of ERISA or Section 4975 of the Code, has occurred with respect to any Plan, excluding transactions effected pursuant to a statutory or administrative exemption; (iii) no Plan has failed, or is reasonably expected to fail, to satisfy the minimum funding standards (within the meaning of Section 302 of ERISA or Section 412 of the Code) applicable to such Plan (whether or not waived);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no “reportable event” (within the meaning of Section 4043(c) of ERISA and the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261" w:name="page262"/>
    <w:bookmarkEnd w:id="261"/>
    <w:p>
      <w:pPr>
        <w:jc w:val="both"/>
        <w:spacing w:after="0" w:line="209" w:lineRule="auto"/>
        <w:rPr>
          <w:sz w:val="20"/>
          <w:szCs w:val="20"/>
          <w:color w:val="auto"/>
        </w:rPr>
      </w:pPr>
      <w:r>
        <w:rPr>
          <w:rFonts w:ascii="Times New Roman" w:cs="Times New Roman" w:eastAsia="Times New Roman" w:hAnsi="Times New Roman"/>
          <w:sz w:val="22"/>
          <w:szCs w:val="22"/>
          <w:color w:val="auto"/>
        </w:rPr>
        <w:t>regulations promulgated thereunder) has occurred or is reasonably expected to occur; (vi) each Plan that is intended to be qualified under Section 401(a) of the Code is so qualified, and to the Company’s knowledge, nothing has occurred, whether by action or by failure to act, which would cause the loss of such qualification; (vii)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(viii)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Company’s “accumulated post-retirement benefit obligations” (within the meaning of Accounting Standards Codification Topic 715-60) compared to the amount of such obligations in the Company’s most recently completed fiscal year, except in each case with respect to the events or conditions set forth in (i) through (viii) hereof, as would not, individually or in the aggregate, reasonably be expected to have a Material Adverse Effect.</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(bc) </w:t>
      </w:r>
      <w:r>
        <w:rPr>
          <w:rFonts w:ascii="Times New Roman" w:cs="Times New Roman" w:eastAsia="Times New Roman" w:hAnsi="Times New Roman"/>
          <w:sz w:val="22"/>
          <w:szCs w:val="22"/>
          <w:u w:val="single" w:color="auto"/>
          <w:color w:val="auto"/>
        </w:rPr>
        <w:t>Accuracy of Certain Disclosure</w:t>
      </w:r>
      <w:r>
        <w:rPr>
          <w:rFonts w:ascii="Times New Roman" w:cs="Times New Roman" w:eastAsia="Times New Roman" w:hAnsi="Times New Roman"/>
          <w:sz w:val="22"/>
          <w:szCs w:val="22"/>
          <w:color w:val="auto"/>
        </w:rPr>
        <w:t>. The statements set forth in the Registration Statement and the Prospectus under the caption “Description of Capital Stock,” insofar as they purport to constitute a summary of the terms of the Common Stock are accurate, complete and fair in all material respects.</w:t>
      </w:r>
    </w:p>
    <w:p>
      <w:pPr>
        <w:spacing w:after="0" w:line="15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(bd) </w:t>
      </w:r>
      <w:r>
        <w:rPr>
          <w:rFonts w:ascii="Times New Roman" w:cs="Times New Roman" w:eastAsia="Times New Roman" w:hAnsi="Times New Roman"/>
          <w:sz w:val="21"/>
          <w:szCs w:val="21"/>
          <w:u w:val="single" w:color="auto"/>
          <w:color w:val="auto"/>
        </w:rPr>
        <w:t>No Material Labor Disturbances</w:t>
      </w:r>
      <w:r>
        <w:rPr>
          <w:rFonts w:ascii="Times New Roman" w:cs="Times New Roman" w:eastAsia="Times New Roman" w:hAnsi="Times New Roman"/>
          <w:sz w:val="21"/>
          <w:szCs w:val="21"/>
          <w:color w:val="auto"/>
        </w:rPr>
        <w:t>. No material labor disturbance by or dispute with employees of the Company or Subsidiary exists or, to the Company’s knowledge, is contemplated or threatened, and the Company is not aware of any existing or imminent labor disturbance by, or dispute with, the employees of any of its principal suppliers or contractors, except as would not, individually or in the aggregate, reasonably be expected to have a Material Adverse Effect. The Company has not received any notice of cancellation or termination with respect to any collective bargaining agreement material to the Company.</w:t>
      </w:r>
    </w:p>
    <w:p>
      <w:pPr>
        <w:spacing w:after="0" w:line="15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(be) </w:t>
      </w:r>
      <w:r>
        <w:rPr>
          <w:rFonts w:ascii="Times New Roman" w:cs="Times New Roman" w:eastAsia="Times New Roman" w:hAnsi="Times New Roman"/>
          <w:sz w:val="22"/>
          <w:szCs w:val="22"/>
          <w:u w:val="single" w:color="auto"/>
          <w:color w:val="auto"/>
        </w:rPr>
        <w:t>No Ratings</w:t>
      </w:r>
      <w:r>
        <w:rPr>
          <w:rFonts w:ascii="Times New Roman" w:cs="Times New Roman" w:eastAsia="Times New Roman" w:hAnsi="Times New Roman"/>
          <w:sz w:val="22"/>
          <w:szCs w:val="22"/>
          <w:color w:val="auto"/>
        </w:rPr>
        <w:t>. There are no debt securities or preferred stock issued or guaranteed by the Company nor any Subsidiary that are rated by a “nationally recognized statistical rating organization,” as such term is defined in Section 3(a)(62) under the Exchange Act.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(bf) </w:t>
      </w:r>
      <w:r>
        <w:rPr>
          <w:rFonts w:ascii="Times New Roman" w:cs="Times New Roman" w:eastAsia="Times New Roman" w:hAnsi="Times New Roman"/>
          <w:sz w:val="22"/>
          <w:szCs w:val="22"/>
          <w:u w:val="single" w:color="auto"/>
          <w:color w:val="auto"/>
        </w:rPr>
        <w:t>Forward-Looking Statements</w:t>
      </w:r>
      <w:r>
        <w:rPr>
          <w:rFonts w:ascii="Times New Roman" w:cs="Times New Roman" w:eastAsia="Times New Roman" w:hAnsi="Times New Roman"/>
          <w:sz w:val="22"/>
          <w:szCs w:val="22"/>
          <w:color w:val="auto"/>
        </w:rPr>
        <w:t>. No forward-looking statement (within the meaning of Section 27A of the Securities Act and Section 21E of the Exchange Act) included in the Registration Statement or the Prospectus has been made or reaffirmed without a reasonable basis or has been disclosed other than in good faith.</w:t>
      </w:r>
    </w:p>
    <w:p>
      <w:pPr>
        <w:spacing w:after="0" w:line="15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(bg) </w:t>
      </w:r>
      <w:r>
        <w:rPr>
          <w:rFonts w:ascii="Times New Roman" w:cs="Times New Roman" w:eastAsia="Times New Roman" w:hAnsi="Times New Roman"/>
          <w:sz w:val="22"/>
          <w:szCs w:val="22"/>
          <w:u w:val="single" w:color="auto"/>
          <w:color w:val="auto"/>
        </w:rPr>
        <w:t>Well-Known Seasoned Issuer</w:t>
      </w:r>
      <w:r>
        <w:rPr>
          <w:rFonts w:ascii="Times New Roman" w:cs="Times New Roman" w:eastAsia="Times New Roman" w:hAnsi="Times New Roman"/>
          <w:sz w:val="22"/>
          <w:szCs w:val="22"/>
          <w:color w:val="auto"/>
        </w:rPr>
        <w:t>. (A) At the time of effectiveness of the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Securities Act) made any offer relating to the Shares in reliance on the exemption of Rule 163 under the Securities Act, and (D) as of the Time of Sale, the Company was and is a “well-known seasoned issuer,” as defined in Rule 405 under the Securities Act.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262" w:name="page263"/>
    <w:bookmarkEnd w:id="262"/>
    <w:p>
      <w:pPr>
        <w:jc w:val="both"/>
        <w:spacing w:after="0" w:line="257" w:lineRule="auto"/>
        <w:rPr>
          <w:sz w:val="20"/>
          <w:szCs w:val="20"/>
          <w:color w:val="auto"/>
        </w:rPr>
      </w:pPr>
      <w:r>
        <w:rPr>
          <w:rFonts w:ascii="Times New Roman" w:cs="Times New Roman" w:eastAsia="Times New Roman" w:hAnsi="Times New Roman"/>
          <w:sz w:val="22"/>
          <w:szCs w:val="22"/>
          <w:color w:val="auto"/>
        </w:rPr>
        <w:t>Any certificate signed by an officer of the Company and delivered to TD Cowen or to counsel for TD Cowen pursuant to or in connection with this Agreement shall be deemed to be a representation and warranty by the Company to TD Cowen as to the matters set forth therein.</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The Company acknowledges that TD Cowen and, for purposes of the opinions to be delivered 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counsel to the Company and counsel to TD Cowen, will rely upon the accuracy and truthfulness of the foregoing representations and hereby consents to such reliance.</w:t>
      </w:r>
    </w:p>
    <w:p>
      <w:pPr>
        <w:spacing w:after="0" w:line="146" w:lineRule="exact"/>
        <w:rPr>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the Company</w:t>
      </w:r>
      <w:r>
        <w:rPr>
          <w:rFonts w:ascii="Times New Roman" w:cs="Times New Roman" w:eastAsia="Times New Roman" w:hAnsi="Times New Roman"/>
          <w:sz w:val="22"/>
          <w:szCs w:val="22"/>
          <w:color w:val="auto"/>
        </w:rPr>
        <w:t>. The Company covenants and agrees with TD Cowen that:</w:t>
      </w:r>
    </w:p>
    <w:p>
      <w:pPr>
        <w:spacing w:after="0" w:line="179" w:lineRule="exact"/>
        <w:rPr>
          <w:sz w:val="20"/>
          <w:szCs w:val="20"/>
          <w:color w:val="auto"/>
        </w:rPr>
      </w:pPr>
    </w:p>
    <w:p>
      <w:pPr>
        <w:jc w:val="both"/>
        <w:ind w:firstLine="656"/>
        <w:spacing w:after="0" w:line="218" w:lineRule="auto"/>
        <w:tabs>
          <w:tab w:leader="none" w:pos="1671"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Registration Statement Amendments</w:t>
      </w:r>
      <w:r>
        <w:rPr>
          <w:rFonts w:ascii="Times New Roman" w:cs="Times New Roman" w:eastAsia="Times New Roman" w:hAnsi="Times New Roman"/>
          <w:sz w:val="21"/>
          <w:szCs w:val="21"/>
          <w:color w:val="auto"/>
        </w:rPr>
        <w:t>.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(insofar as it relates to the Placement Shares or the transactions contemplated hereby),</w:t>
      </w:r>
    </w:p>
    <w:p>
      <w:pPr>
        <w:jc w:val="both"/>
        <w:ind w:firstLine="8"/>
        <w:spacing w:after="0" w:line="207" w:lineRule="auto"/>
        <w:tabs>
          <w:tab w:leader="none" w:pos="32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prepare and file with the Commission, promptly upon TD Cowen’s reasonable request, any amendments or supplements to the Registration Statement or Prospectus that, in TD Cowen’s reasonable opinion, may be necessary or advisable in connection with the distribution of the Placement Shares by TD Cowen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failure of TD Cowen to make such request shall not relieve the Company of any obligation or liability hereunder, or affect TD Cowen’s right to rely on the representations and warranties made by the Company in this Agreement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the only remedy TD Cowen shall have with respect to the failure by the Company to make such filing (other than TD Cowen’s rights under Section 9 hereof)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in writing within two Business Days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failure of TD Cowen to make such objection shall not relieve the Company of any obligation or liability hereunder, or affect TD Cowen’s right to rely on the representations and warranties made by the Company in this Agreement)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548"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Commission Stop Orders</w:t>
      </w:r>
      <w:r>
        <w:rPr>
          <w:rFonts w:ascii="Times New Roman" w:cs="Times New Roman" w:eastAsia="Times New Roman" w:hAnsi="Times New Roman"/>
          <w:sz w:val="22"/>
          <w:szCs w:val="22"/>
          <w:color w:val="auto"/>
        </w:rPr>
        <w:t>.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263" w:name="page264"/>
    <w:bookmarkEnd w:id="263"/>
    <w:p>
      <w:pPr>
        <w:ind w:right="20"/>
        <w:spacing w:after="0" w:line="236" w:lineRule="auto"/>
        <w:rPr>
          <w:sz w:val="20"/>
          <w:szCs w:val="20"/>
          <w:color w:val="auto"/>
        </w:rPr>
      </w:pPr>
      <w:r>
        <w:rPr>
          <w:rFonts w:ascii="Times New Roman" w:cs="Times New Roman" w:eastAsia="Times New Roman" w:hAnsi="Times New Roman"/>
          <w:sz w:val="22"/>
          <w:szCs w:val="22"/>
          <w:color w:val="auto"/>
        </w:rPr>
        <w:t>such purpose; and it will promptly use its commercially reasonable efforts to prevent the issuance of any stop order or to obtain its withdrawal if such a stop order should be issued.</w:t>
      </w:r>
    </w:p>
    <w:p>
      <w:pPr>
        <w:spacing w:after="0" w:line="150" w:lineRule="exact"/>
        <w:rPr>
          <w:sz w:val="20"/>
          <w:szCs w:val="20"/>
          <w:color w:val="auto"/>
        </w:rPr>
      </w:pPr>
    </w:p>
    <w:p>
      <w:pPr>
        <w:jc w:val="both"/>
        <w:ind w:firstLine="656"/>
        <w:spacing w:after="0" w:line="209" w:lineRule="auto"/>
        <w:tabs>
          <w:tab w:leader="none" w:pos="173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Prospectus; Subsequent Changes</w:t>
      </w:r>
      <w:r>
        <w:rPr>
          <w:rFonts w:ascii="Times New Roman" w:cs="Times New Roman" w:eastAsia="Times New Roman" w:hAnsi="Times New Roman"/>
          <w:sz w:val="22"/>
          <w:szCs w:val="22"/>
          <w:color w:val="auto"/>
        </w:rPr>
        <w:t xml:space="preserve">.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commercially reasonable efforts to comply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the Company may delay the filing of any amendment or supplement, if in the reasonable judgment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it is in the best interest of the Company.</w:t>
      </w:r>
    </w:p>
    <w:p>
      <w:pPr>
        <w:spacing w:after="0" w:line="151" w:lineRule="exact"/>
        <w:rPr>
          <w:rFonts w:ascii="Times New Roman" w:cs="Times New Roman" w:eastAsia="Times New Roman" w:hAnsi="Times New Roman"/>
          <w:sz w:val="22"/>
          <w:szCs w:val="22"/>
          <w:color w:val="auto"/>
        </w:rPr>
      </w:pPr>
    </w:p>
    <w:p>
      <w:pPr>
        <w:jc w:val="both"/>
        <w:ind w:firstLine="656"/>
        <w:spacing w:after="0" w:line="212" w:lineRule="auto"/>
        <w:tabs>
          <w:tab w:leader="none" w:pos="1602"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of Placement Shares</w:t>
      </w:r>
      <w:r>
        <w:rPr>
          <w:rFonts w:ascii="Times New Roman" w:cs="Times New Roman" w:eastAsia="Times New Roman" w:hAnsi="Times New Roman"/>
          <w:sz w:val="22"/>
          <w:szCs w:val="22"/>
          <w:color w:val="auto"/>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shall not be required in connection therewith to qualify as a foreign corporation or dealer in securities or file a general consent to service of process in any jurisdiction.</w:t>
      </w:r>
    </w:p>
    <w:p>
      <w:pPr>
        <w:spacing w:after="0" w:line="156" w:lineRule="exact"/>
        <w:rPr>
          <w:rFonts w:ascii="Times New Roman" w:cs="Times New Roman" w:eastAsia="Times New Roman" w:hAnsi="Times New Roman"/>
          <w:sz w:val="22"/>
          <w:szCs w:val="22"/>
          <w:color w:val="auto"/>
        </w:rPr>
      </w:pPr>
    </w:p>
    <w:p>
      <w:pPr>
        <w:jc w:val="both"/>
        <w:ind w:firstLine="656"/>
        <w:spacing w:after="0" w:line="211" w:lineRule="auto"/>
        <w:tabs>
          <w:tab w:leader="none" w:pos="1522"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Registration Statement and Prospectus</w:t>
      </w:r>
      <w:r>
        <w:rPr>
          <w:rFonts w:ascii="Times New Roman" w:cs="Times New Roman" w:eastAsia="Times New Roman" w:hAnsi="Times New Roman"/>
          <w:sz w:val="22"/>
          <w:szCs w:val="22"/>
          <w:color w:val="auto"/>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shall not be required to furnish any document (other than the Prospectus) to TD Cowen to the extent such document is available on EDGAR.</w:t>
      </w:r>
    </w:p>
    <w:p>
      <w:pPr>
        <w:spacing w:after="0" w:line="158" w:lineRule="exact"/>
        <w:rPr>
          <w:rFonts w:ascii="Times New Roman" w:cs="Times New Roman" w:eastAsia="Times New Roman" w:hAnsi="Times New Roman"/>
          <w:sz w:val="22"/>
          <w:szCs w:val="22"/>
          <w:color w:val="auto"/>
        </w:rPr>
      </w:pPr>
    </w:p>
    <w:p>
      <w:pPr>
        <w:jc w:val="both"/>
        <w:ind w:right="20" w:firstLine="656"/>
        <w:spacing w:after="0" w:line="225" w:lineRule="auto"/>
        <w:tabs>
          <w:tab w:leader="none" w:pos="1552"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Statement</w:t>
      </w:r>
      <w:r>
        <w:rPr>
          <w:rFonts w:ascii="Times New Roman" w:cs="Times New Roman" w:eastAsia="Times New Roman" w:hAnsi="Times New Roman"/>
          <w:sz w:val="22"/>
          <w:szCs w:val="22"/>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5" w:right="339" w:bottom="1440" w:gutter="0" w:footer="0" w:header="0"/>
        </w:sectPr>
      </w:pPr>
    </w:p>
    <w:bookmarkStart w:id="264" w:name="page265"/>
    <w:bookmarkEnd w:id="264"/>
    <w:p>
      <w:pPr>
        <w:jc w:val="both"/>
        <w:ind w:firstLine="656"/>
        <w:spacing w:after="0" w:line="209" w:lineRule="auto"/>
        <w:tabs>
          <w:tab w:leader="none" w:pos="1642"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The Company, whether or not the transactions contemplated hereunder are consummated or this Agreement is terminated, in accordance with the provisions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 xml:space="preserve"> of this Agreement, including filing fees (provided, however, that any fees or disbursements of counsel for TD Cowen in connection 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TD Cowen’s outside counsel for filings with the FINRA Corporate Financing Department, such legal expense reimbursement not to exceed $10,000 and, (viii) the reasonable fees and disbursements of TD Cowen’s counsel in amounts not to exceed (A) $100,000 in connection with the execution of this Agreement and (B) $25,000 in connection with each Bring-Down Date with respect to which the Company is obligated to deliver a certificate pursuant to Section 7(m), for which no waiver is applicable.</w:t>
      </w:r>
    </w:p>
    <w:p>
      <w:pPr>
        <w:spacing w:after="0" w:line="151" w:lineRule="exact"/>
        <w:rPr>
          <w:rFonts w:ascii="Times New Roman" w:cs="Times New Roman" w:eastAsia="Times New Roman" w:hAnsi="Times New Roman"/>
          <w:sz w:val="22"/>
          <w:szCs w:val="22"/>
          <w:color w:val="auto"/>
        </w:rPr>
      </w:pPr>
    </w:p>
    <w:p>
      <w:pPr>
        <w:ind w:firstLine="656"/>
        <w:spacing w:after="0" w:line="236" w:lineRule="auto"/>
        <w:tabs>
          <w:tab w:leader="none" w:pos="130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will use the Net Proceeds as described in the Prospectus in the section entitled “Use of Proceeds.”</w:t>
      </w:r>
    </w:p>
    <w:p>
      <w:pPr>
        <w:spacing w:after="0" w:line="150" w:lineRule="exact"/>
        <w:rPr>
          <w:rFonts w:ascii="Times New Roman" w:cs="Times New Roman" w:eastAsia="Times New Roman" w:hAnsi="Times New Roman"/>
          <w:sz w:val="22"/>
          <w:szCs w:val="22"/>
          <w:color w:val="auto"/>
        </w:rPr>
      </w:pPr>
    </w:p>
    <w:p>
      <w:pPr>
        <w:jc w:val="both"/>
        <w:ind w:firstLine="656"/>
        <w:spacing w:after="0" w:line="208" w:lineRule="auto"/>
        <w:tabs>
          <w:tab w:leader="none" w:pos="1297"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Other Sales</w:t>
      </w:r>
      <w:r>
        <w:rPr>
          <w:rFonts w:ascii="Times New Roman" w:cs="Times New Roman" w:eastAsia="Times New Roman" w:hAnsi="Times New Roman"/>
          <w:sz w:val="22"/>
          <w:szCs w:val="22"/>
          <w:color w:val="auto"/>
        </w:rPr>
        <w:t xml:space="preserve">. During the pendency of any Placement Notice given hereunder, and for 2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notice shall not be required in connection with the (i) offer, issuance, grant or sale of Common Stock, options to purchase shares of Common Stock, restricted stock units or other equity awards or Common Stock issuable upon the exercise of options or other equity awards pursuant to any stock option, stock bonus or other stock plan or arrangement described in the Prospectus, (ii) the offer or issuance of securities in connection with an acquisition, merger or sale or purchase or license of assets, (iii) the issuance or sale of Common Stock pursuant to any dividend reinvestment plan that the Company may adopt from time to time provided the implementation of such is disclosed to TD Cowen in advance, (iv) the issuance of any shares of Common Stock, or securities convertible into or exercisable for Common Stock, offered and sold in a privately negotiated transaction to vendors, customers or strategic partners, and otherwise conducted in a manner so as not to be integrated with the offering of the Placement Shares or (v) any shares of common stock issuable upon the exchange, conversion or redemption of securities or the exercise of warrants, options or other rights in effect or outstanding. Notwithstanding the foregoing provisions, subject to the Company’s compliance with the notice provisions set forth in this Section 7(i), nothing herein shall be construed to restrict the Company from entering into and/or consummating a committed underwritten equity offering or other similar offering of its registered securities, or otherwise prohibit the issuance of its equity securities in a private placement transaction, or require that the Company provide notice of, or obtain TD Cowen’s prior written consent to do, any of the foregoing.</w:t>
      </w:r>
    </w:p>
    <w:p>
      <w:pPr>
        <w:spacing w:after="0" w:line="154" w:lineRule="exact"/>
        <w:rPr>
          <w:rFonts w:ascii="Times New Roman" w:cs="Times New Roman" w:eastAsia="Times New Roman" w:hAnsi="Times New Roman"/>
          <w:sz w:val="22"/>
          <w:szCs w:val="22"/>
          <w:color w:val="auto"/>
        </w:rPr>
      </w:pPr>
    </w:p>
    <w:p>
      <w:pPr>
        <w:jc w:val="both"/>
        <w:ind w:firstLine="656"/>
        <w:spacing w:after="0" w:line="225" w:lineRule="auto"/>
        <w:tabs>
          <w:tab w:leader="none" w:pos="15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Circumstances</w:t>
      </w:r>
      <w:r>
        <w:rPr>
          <w:rFonts w:ascii="Times New Roman" w:cs="Times New Roman" w:eastAsia="Times New Roman" w:hAnsi="Times New Roman"/>
          <w:sz w:val="22"/>
          <w:szCs w:val="22"/>
          <w:color w:val="auto"/>
        </w:rPr>
        <w:t>. The Company will, at any time during a fiscal quarter in which the Company intends to tender a Placement Notice or sell Placement Shares, advise TD Cowen promptly after it shall have received notice or obtained knowledge thereof, 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5" w:right="339" w:bottom="1440" w:gutter="0" w:footer="0" w:header="0"/>
        </w:sectPr>
      </w:pPr>
    </w:p>
    <w:bookmarkStart w:id="265" w:name="page266"/>
    <w:bookmarkEnd w:id="265"/>
    <w:p>
      <w:pPr>
        <w:ind w:right="20"/>
        <w:spacing w:after="0" w:line="236" w:lineRule="auto"/>
        <w:rPr>
          <w:sz w:val="20"/>
          <w:szCs w:val="20"/>
          <w:color w:val="auto"/>
        </w:rPr>
      </w:pPr>
      <w:r>
        <w:rPr>
          <w:rFonts w:ascii="Times New Roman" w:cs="Times New Roman" w:eastAsia="Times New Roman" w:hAnsi="Times New Roman"/>
          <w:sz w:val="22"/>
          <w:szCs w:val="22"/>
          <w:color w:val="auto"/>
        </w:rPr>
        <w:t>any information or fact that would alter or affect in any material respect any opinion, certificate, letter or other document provided to TD Cowen pursuant to this Agreement.</w:t>
      </w:r>
    </w:p>
    <w:p>
      <w:pPr>
        <w:spacing w:after="0" w:line="150" w:lineRule="exact"/>
        <w:rPr>
          <w:sz w:val="20"/>
          <w:szCs w:val="20"/>
          <w:color w:val="auto"/>
        </w:rPr>
      </w:pPr>
    </w:p>
    <w:p>
      <w:pPr>
        <w:jc w:val="both"/>
        <w:ind w:firstLine="656"/>
        <w:spacing w:after="0" w:line="220" w:lineRule="auto"/>
        <w:tabs>
          <w:tab w:leader="none" w:pos="1534"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 Cooperation</w:t>
      </w:r>
      <w:r>
        <w:rPr>
          <w:rFonts w:ascii="Times New Roman" w:cs="Times New Roman" w:eastAsia="Times New Roman" w:hAnsi="Times New Roman"/>
          <w:sz w:val="22"/>
          <w:szCs w:val="22"/>
          <w:color w:val="auto"/>
        </w:rPr>
        <w:t>.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as TD Cowen may reasonably request.</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58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Filings Relating to Placement of Placement Shares</w:t>
      </w:r>
      <w:r>
        <w:rPr>
          <w:rFonts w:ascii="Times New Roman" w:cs="Times New Roman" w:eastAsia="Times New Roman" w:hAnsi="Times New Roman"/>
          <w:sz w:val="22"/>
          <w:szCs w:val="22"/>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 w:cs="Times New Roman" w:eastAsia="Times New Roman" w:hAnsi="Times New Roman"/>
          <w:sz w:val="22"/>
          <w:szCs w:val="22"/>
          <w:b w:val="1"/>
          <w:bCs w:val="1"/>
          <w:u w:val="single" w:color="auto"/>
          <w:color w:val="auto"/>
        </w:rPr>
        <w:t>Filing Date</w:t>
      </w:r>
      <w:r>
        <w:rPr>
          <w:rFonts w:ascii="Times New Roman" w:cs="Times New Roman" w:eastAsia="Times New Roman" w:hAnsi="Times New Roman"/>
          <w:sz w:val="22"/>
          <w:szCs w:val="22"/>
          <w:color w:val="auto"/>
        </w:rPr>
        <w: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TD Cowen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w:t>
      </w:r>
    </w:p>
    <w:p>
      <w:pPr>
        <w:spacing w:after="0" w:line="158" w:lineRule="exact"/>
        <w:rPr>
          <w:rFonts w:ascii="Times New Roman" w:cs="Times New Roman" w:eastAsia="Times New Roman" w:hAnsi="Times New Roman"/>
          <w:sz w:val="22"/>
          <w:szCs w:val="22"/>
          <w:color w:val="auto"/>
        </w:rPr>
      </w:pPr>
    </w:p>
    <w:p>
      <w:pPr>
        <w:jc w:val="both"/>
        <w:ind w:firstLine="656"/>
        <w:spacing w:after="0" w:line="218" w:lineRule="auto"/>
        <w:tabs>
          <w:tab w:leader="none" w:pos="154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Bring-Down Dates; Certificate</w:t>
      </w:r>
      <w:r>
        <w:rPr>
          <w:rFonts w:ascii="Times New Roman" w:cs="Times New Roman" w:eastAsia="Times New Roman" w:hAnsi="Times New Roman"/>
          <w:sz w:val="21"/>
          <w:szCs w:val="21"/>
          <w:color w:val="auto"/>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Times New Roman" w:cs="Times New Roman" w:eastAsia="Times New Roman" w:hAnsi="Times New Roman"/>
          <w:sz w:val="21"/>
          <w:szCs w:val="21"/>
          <w:u w:val="single" w:color="auto"/>
          <w:color w:val="auto"/>
        </w:rPr>
        <w:t>Section 7(l)</w:t>
      </w:r>
      <w:r>
        <w:rPr>
          <w:rFonts w:ascii="Times New Roman" w:cs="Times New Roman" w:eastAsia="Times New Roman" w:hAnsi="Times New Roman"/>
          <w:sz w:val="21"/>
          <w:szCs w:val="21"/>
          <w:color w:val="auto"/>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an earnings release or other information “furnished”) under the Exchange Act (each date of filing of one or more of the documents referred to in clauses (i) through (iv) shall be a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Bring-Down Date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Company shall furnish TD Cowen with a certificate, in the form attached hereto as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7(m)</w:t>
      </w:r>
      <w:r>
        <w:rPr>
          <w:rFonts w:ascii="Times New Roman" w:cs="Times New Roman" w:eastAsia="Times New Roman" w:hAnsi="Times New Roman"/>
          <w:sz w:val="21"/>
          <w:szCs w:val="21"/>
          <w:color w:val="auto"/>
        </w:rPr>
        <w:t xml:space="preserve"> within one (1) Trading Day of any Bring-Down Date if requested by TD Cowen. The requirement to provide a certificate under this </w:t>
      </w:r>
      <w:r>
        <w:rPr>
          <w:rFonts w:ascii="Times New Roman" w:cs="Times New Roman" w:eastAsia="Times New Roman" w:hAnsi="Times New Roman"/>
          <w:sz w:val="21"/>
          <w:szCs w:val="21"/>
          <w:u w:val="single" w:color="auto"/>
          <w:color w:val="auto"/>
        </w:rPr>
        <w:t>Section 7(m)</w:t>
      </w:r>
      <w:r>
        <w:rPr>
          <w:rFonts w:ascii="Times New Roman" w:cs="Times New Roman" w:eastAsia="Times New Roman" w:hAnsi="Times New Roman"/>
          <w:sz w:val="21"/>
          <w:szCs w:val="21"/>
          <w:color w:val="auto"/>
        </w:rPr>
        <w:t xml:space="preserve"> shall be automatically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such waiver shall not apply for any Bring-Down Date on which the Company files its annual report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Form 10-K. Notwithstanding the foregoing, if the Company subsequently decides to sell Placement Shares following a Bring-Down Date when the Company relied on such waiver and did not provide TD Cowen with a certificate under this </w:t>
      </w:r>
      <w:r>
        <w:rPr>
          <w:rFonts w:ascii="Times New Roman" w:cs="Times New Roman" w:eastAsia="Times New Roman" w:hAnsi="Times New Roman"/>
          <w:sz w:val="21"/>
          <w:szCs w:val="21"/>
          <w:u w:val="single" w:color="auto"/>
          <w:color w:val="auto"/>
        </w:rPr>
        <w:t>Section 7(m)</w:t>
      </w:r>
      <w:r>
        <w:rPr>
          <w:rFonts w:ascii="Times New Roman" w:cs="Times New Roman" w:eastAsia="Times New Roman" w:hAnsi="Times New Roman"/>
          <w:sz w:val="21"/>
          <w:szCs w:val="21"/>
          <w:color w:val="auto"/>
        </w:rPr>
        <w:t xml:space="preserve">, then before the Company delivers the Placement Notice or TD Cowen sells any Placement Shares, the Company shall provide TD Cowen with a certificate, in the form attached hereto as </w:t>
      </w:r>
      <w:r>
        <w:rPr>
          <w:rFonts w:ascii="Times New Roman" w:cs="Times New Roman" w:eastAsia="Times New Roman" w:hAnsi="Times New Roman"/>
          <w:sz w:val="21"/>
          <w:szCs w:val="21"/>
          <w:u w:val="single" w:color="auto"/>
          <w:color w:val="auto"/>
        </w:rPr>
        <w:t>Exhibit 7(m)</w:t>
      </w:r>
      <w:r>
        <w:rPr>
          <w:rFonts w:ascii="Times New Roman" w:cs="Times New Roman" w:eastAsia="Times New Roman" w:hAnsi="Times New Roman"/>
          <w:sz w:val="21"/>
          <w:szCs w:val="21"/>
          <w:color w:val="auto"/>
        </w:rPr>
        <w:t>, dated the date of the Placement Notice.</w:t>
      </w:r>
    </w:p>
    <w:p>
      <w:pPr>
        <w:spacing w:after="0" w:line="155" w:lineRule="exact"/>
        <w:rPr>
          <w:rFonts w:ascii="Times New Roman" w:cs="Times New Roman" w:eastAsia="Times New Roman" w:hAnsi="Times New Roman"/>
          <w:sz w:val="21"/>
          <w:szCs w:val="21"/>
          <w:color w:val="auto"/>
        </w:rPr>
      </w:pPr>
    </w:p>
    <w:p>
      <w:pPr>
        <w:jc w:val="both"/>
        <w:ind w:firstLine="656"/>
        <w:spacing w:after="0" w:line="227" w:lineRule="auto"/>
        <w:tabs>
          <w:tab w:leader="none" w:pos="1507"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Opinion</w:t>
      </w:r>
      <w:r>
        <w:rPr>
          <w:rFonts w:ascii="Times New Roman" w:cs="Times New Roman" w:eastAsia="Times New Roman" w:hAnsi="Times New Roman"/>
          <w:sz w:val="21"/>
          <w:szCs w:val="21"/>
          <w:color w:val="auto"/>
        </w:rPr>
        <w:t xml:space="preserve">. On or prior to the First Delivery Date and within one (1) Trading Day of each Bring-Down Date with respect to which the Company is obligated to deliver a certificate in the form attached hereto as </w:t>
      </w:r>
      <w:r>
        <w:rPr>
          <w:rFonts w:ascii="Times New Roman" w:cs="Times New Roman" w:eastAsia="Times New Roman" w:hAnsi="Times New Roman"/>
          <w:sz w:val="21"/>
          <w:szCs w:val="21"/>
          <w:u w:val="single" w:color="auto"/>
          <w:color w:val="auto"/>
        </w:rPr>
        <w:t>Exhibit 7(m)</w:t>
      </w:r>
      <w:r>
        <w:rPr>
          <w:rFonts w:ascii="Times New Roman" w:cs="Times New Roman" w:eastAsia="Times New Roman" w:hAnsi="Times New Roman"/>
          <w:sz w:val="21"/>
          <w:szCs w:val="21"/>
          <w:color w:val="auto"/>
        </w:rPr>
        <w:t xml:space="preserve"> for which no waiver is applicable, the Company shall cause to be furnished to TD Cowen (i) a written opinion and negative assurance letter of Wilson Sonsini Goodrich &amp; Rosati P.C. (“</w:t>
      </w:r>
      <w:r>
        <w:rPr>
          <w:rFonts w:ascii="Times New Roman" w:cs="Times New Roman" w:eastAsia="Times New Roman" w:hAnsi="Times New Roman"/>
          <w:sz w:val="21"/>
          <w:szCs w:val="21"/>
          <w:b w:val="1"/>
          <w:bCs w:val="1"/>
          <w:u w:val="single" w:color="auto"/>
          <w:color w:val="auto"/>
        </w:rPr>
        <w:t>Company Counsel</w:t>
      </w:r>
      <w:r>
        <w:rPr>
          <w:rFonts w:ascii="Times New Roman" w:cs="Times New Roman" w:eastAsia="Times New Roman" w:hAnsi="Times New Roman"/>
          <w:sz w:val="21"/>
          <w:szCs w:val="21"/>
          <w:color w:val="auto"/>
        </w:rPr>
        <w:t>”) or other counsel reasonably satisfactory to TD Cowen, in form and substance reasonably satisfactory to TD Cowen and its counsel, dated the date that the opinion is required to be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266" w:name="page267"/>
    <w:bookmarkEnd w:id="266"/>
    <w:p>
      <w:pPr>
        <w:jc w:val="both"/>
        <w:spacing w:after="0" w:line="213" w:lineRule="auto"/>
        <w:rPr>
          <w:sz w:val="20"/>
          <w:szCs w:val="20"/>
          <w:color w:val="auto"/>
        </w:rPr>
      </w:pPr>
      <w:r>
        <w:rPr>
          <w:rFonts w:ascii="Times New Roman" w:cs="Times New Roman" w:eastAsia="Times New Roman" w:hAnsi="Times New Roman"/>
          <w:sz w:val="22"/>
          <w:szCs w:val="22"/>
          <w:color w:val="auto"/>
        </w:rPr>
        <w:t>delivered and (ii) a written opinion of Marshall, Gerstein &amp; Borun LLP, intellectual property counsel to the Company (“</w:t>
      </w:r>
      <w:r>
        <w:rPr>
          <w:rFonts w:ascii="Times New Roman" w:cs="Times New Roman" w:eastAsia="Times New Roman" w:hAnsi="Times New Roman"/>
          <w:sz w:val="22"/>
          <w:szCs w:val="22"/>
          <w:b w:val="1"/>
          <w:bCs w:val="1"/>
          <w:u w:val="single" w:color="auto"/>
          <w:color w:val="auto"/>
        </w:rPr>
        <w:t>Company IP Counsel</w:t>
      </w:r>
      <w:r>
        <w:rPr>
          <w:rFonts w:ascii="Times New Roman" w:cs="Times New Roman" w:eastAsia="Times New Roman" w:hAnsi="Times New Roman"/>
          <w:sz w:val="22"/>
          <w:szCs w:val="22"/>
          <w:color w:val="auto"/>
        </w:rPr>
        <w:t xml:space="preserve">”), or other counsel reasonably satisfactory to TD Cowen, in form and substance reasonably satisfactory to TD Cowen and its counsel, dated the date that the opinion is required to be delivered;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lieu of such opinions for subsequent Bring-Down Dates, Company Counsel and Company IP Counsel, as applicable, may furnish TD Cowen with a letter (a “</w:t>
      </w:r>
      <w:r>
        <w:rPr>
          <w:rFonts w:ascii="Times New Roman" w:cs="Times New Roman" w:eastAsia="Times New Roman" w:hAnsi="Times New Roman"/>
          <w:sz w:val="22"/>
          <w:szCs w:val="22"/>
          <w:b w:val="1"/>
          <w:bCs w:val="1"/>
          <w:u w:val="single" w:color="auto"/>
          <w:color w:val="auto"/>
        </w:rPr>
        <w:t>Reliance Letter</w:t>
      </w:r>
      <w:r>
        <w:rPr>
          <w:rFonts w:ascii="Times New Roman" w:cs="Times New Roman" w:eastAsia="Times New Roman" w:hAnsi="Times New Roman"/>
          <w:sz w:val="22"/>
          <w:szCs w:val="22"/>
          <w:color w:val="auto"/>
        </w:rPr>
        <w:t xml:space="preserve">”) to the effect that TD Cowen may rely on a prior opinion delivered under this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156" w:lineRule="exact"/>
        <w:rPr>
          <w:sz w:val="20"/>
          <w:szCs w:val="20"/>
          <w:color w:val="auto"/>
        </w:rPr>
      </w:pPr>
    </w:p>
    <w:p>
      <w:pPr>
        <w:jc w:val="both"/>
        <w:ind w:firstLine="656"/>
        <w:spacing w:after="0" w:line="211" w:lineRule="auto"/>
        <w:tabs>
          <w:tab w:leader="none" w:pos="1602"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On or prior to the First Delivery Date and within one (1) Trading Day of each Bring-Down Date with respect to which the Company is obligated to deliver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xml:space="preserve"> for which no waiver is applicable, the Company shall cause PricewaterhouseCoopers to furnish TD Cowen letters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Comfort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Letters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dated the date the Comfort Letter is delivered, in form and substance reasonably satisfactory to TD Cowen,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TD Cowen in connection with registered public offerings (the first such letter,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Initial Comfort Letter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51" w:lineRule="exact"/>
        <w:rPr>
          <w:rFonts w:ascii="Times New Roman" w:cs="Times New Roman" w:eastAsia="Times New Roman" w:hAnsi="Times New Roman"/>
          <w:sz w:val="22"/>
          <w:szCs w:val="22"/>
          <w:color w:val="auto"/>
        </w:rPr>
      </w:pPr>
    </w:p>
    <w:p>
      <w:pPr>
        <w:jc w:val="both"/>
        <w:ind w:firstLine="656"/>
        <w:spacing w:after="0" w:line="217" w:lineRule="auto"/>
        <w:tabs>
          <w:tab w:leader="none" w:pos="1588"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Chief Financial Officer’s Certificate</w:t>
      </w:r>
      <w:r>
        <w:rPr>
          <w:rFonts w:ascii="Times New Roman" w:cs="Times New Roman" w:eastAsia="Times New Roman" w:hAnsi="Times New Roman"/>
          <w:sz w:val="22"/>
          <w:szCs w:val="22"/>
          <w:color w:val="auto"/>
        </w:rPr>
        <w:t>. On or prior to the First Delivery Date and, if requested, within one (1) Trading Day of each Bring-Down Date with respect to which the Company is obligated to deliver a certificate in the form attached hereto as Exhibit 7(p) for which no waiver is applicable, the Company shall have delivered to TD Cowen a certificate executed by the Chief Financial Officer of the Company (“</w:t>
      </w:r>
      <w:r>
        <w:rPr>
          <w:rFonts w:ascii="Times New Roman" w:cs="Times New Roman" w:eastAsia="Times New Roman" w:hAnsi="Times New Roman"/>
          <w:sz w:val="22"/>
          <w:szCs w:val="22"/>
          <w:b w:val="1"/>
          <w:bCs w:val="1"/>
          <w:u w:val="single" w:color="auto"/>
          <w:color w:val="auto"/>
        </w:rPr>
        <w:t>CFO Certificate</w:t>
      </w:r>
      <w:r>
        <w:rPr>
          <w:rFonts w:ascii="Times New Roman" w:cs="Times New Roman" w:eastAsia="Times New Roman" w:hAnsi="Times New Roman"/>
          <w:sz w:val="22"/>
          <w:szCs w:val="22"/>
          <w:color w:val="auto"/>
        </w:rPr>
        <w:t>”), dated as of such date, in form and substance reasonably satisfactory to TD Cowen.</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Activities</w:t>
      </w:r>
      <w:r>
        <w:rPr>
          <w:rFonts w:ascii="Times New Roman" w:cs="Times New Roman" w:eastAsia="Times New Roman" w:hAnsi="Times New Roman"/>
          <w:sz w:val="22"/>
          <w:szCs w:val="22"/>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the Placement Shares or (ii) sell, bid for, or purchase the Class A Common Stock to be issued and sold pursuant to this Agreement in violation of Regulation M, or pay anyone any compensation for soliciting purchases of the Placement Shares other than TD Cowen; provided, however, that the Company may bid for and purchase shares of its common stock in accordance with Rule 10b-18 under the Exchange Act.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66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its subsidiaries shall maintain, or cause to be maintained, insurance in such amounts and covering such risks as is reasonable and customary for the business for which it is engaged.</w:t>
      </w:r>
    </w:p>
    <w:p>
      <w:pPr>
        <w:spacing w:after="0" w:line="150" w:lineRule="exact"/>
        <w:rPr>
          <w:rFonts w:ascii="Times New Roman" w:cs="Times New Roman" w:eastAsia="Times New Roman" w:hAnsi="Times New Roman"/>
          <w:sz w:val="22"/>
          <w:szCs w:val="22"/>
          <w:color w:val="auto"/>
        </w:rPr>
      </w:pPr>
    </w:p>
    <w:p>
      <w:pPr>
        <w:jc w:val="both"/>
        <w:ind w:firstLine="656"/>
        <w:spacing w:after="0" w:line="215" w:lineRule="auto"/>
        <w:tabs>
          <w:tab w:leader="none" w:pos="152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would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5" w:right="339" w:bottom="1440" w:gutter="0" w:footer="0" w:header="0"/>
        </w:sectPr>
      </w:pPr>
    </w:p>
    <w:bookmarkStart w:id="267" w:name="page268"/>
    <w:bookmarkEnd w:id="267"/>
    <w:p>
      <w:pPr>
        <w:jc w:val="both"/>
        <w:ind w:firstLine="656"/>
        <w:spacing w:after="0" w:line="220" w:lineRule="auto"/>
        <w:tabs>
          <w:tab w:leader="none" w:pos="1567"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669"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and Exchange Act</w:t>
      </w:r>
      <w:r>
        <w:rPr>
          <w:rFonts w:ascii="Times New Roman" w:cs="Times New Roman" w:eastAsia="Times New Roman" w:hAnsi="Times New Roman"/>
          <w:sz w:val="22"/>
          <w:szCs w:val="22"/>
          <w:color w:val="auto"/>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69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Offer to Sell</w:t>
      </w:r>
      <w:r>
        <w:rPr>
          <w:rFonts w:ascii="Times New Roman" w:cs="Times New Roman" w:eastAsia="Times New Roman" w:hAnsi="Times New Roman"/>
          <w:sz w:val="22"/>
          <w:szCs w:val="22"/>
          <w:color w:val="auto"/>
        </w:rPr>
        <w:t>. Other than a Permitted Free Writing Prospectus,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Class A Common Stock hereunder.</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569"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The Company and its subsidiaries will use their best efforts to comply with all effective applicable provisions of the Sarbanes-Oxley Act.</w:t>
      </w:r>
    </w:p>
    <w:p>
      <w:pPr>
        <w:spacing w:after="0" w:line="150" w:lineRule="exact"/>
        <w:rPr>
          <w:rFonts w:ascii="Times New Roman" w:cs="Times New Roman" w:eastAsia="Times New Roman" w:hAnsi="Times New Roman"/>
          <w:sz w:val="22"/>
          <w:szCs w:val="22"/>
          <w:color w:val="auto"/>
        </w:rPr>
      </w:pPr>
    </w:p>
    <w:p>
      <w:pPr>
        <w:jc w:val="both"/>
        <w:ind w:firstLine="656"/>
        <w:spacing w:after="0" w:line="213" w:lineRule="auto"/>
        <w:tabs>
          <w:tab w:leader="none" w:pos="1332"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Affirmation</w:t>
      </w:r>
      <w:r>
        <w:rPr>
          <w:rFonts w:ascii="Times New Roman" w:cs="Times New Roman" w:eastAsia="Times New Roman" w:hAnsi="Times New Roman"/>
          <w:sz w:val="22"/>
          <w:szCs w:val="22"/>
          <w:color w:val="auto"/>
        </w:rPr>
        <w:t>.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52" w:lineRule="exact"/>
        <w:rPr>
          <w:rFonts w:ascii="Times New Roman" w:cs="Times New Roman" w:eastAsia="Times New Roman" w:hAnsi="Times New Roman"/>
          <w:sz w:val="22"/>
          <w:szCs w:val="22"/>
          <w:color w:val="auto"/>
        </w:rPr>
      </w:pPr>
    </w:p>
    <w:p>
      <w:pPr>
        <w:jc w:val="both"/>
        <w:ind w:firstLine="656"/>
        <w:spacing w:after="0" w:line="223" w:lineRule="auto"/>
        <w:tabs>
          <w:tab w:leader="none" w:pos="1291"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Renewal</w:t>
      </w:r>
      <w:r>
        <w:rPr>
          <w:rFonts w:ascii="Times New Roman" w:cs="Times New Roman" w:eastAsia="Times New Roman" w:hAnsi="Times New Roman"/>
          <w:sz w:val="21"/>
          <w:szCs w:val="21"/>
          <w:color w:val="auto"/>
        </w:rPr>
        <w:t>. If immediately prior to the third anniversary (the “</w:t>
      </w:r>
      <w:r>
        <w:rPr>
          <w:rFonts w:ascii="Times New Roman" w:cs="Times New Roman" w:eastAsia="Times New Roman" w:hAnsi="Times New Roman"/>
          <w:sz w:val="21"/>
          <w:szCs w:val="21"/>
          <w:b w:val="1"/>
          <w:bCs w:val="1"/>
          <w:u w:val="single" w:color="auto"/>
          <w:color w:val="auto"/>
        </w:rPr>
        <w:t>Renewal Deadline</w:t>
      </w:r>
      <w:r>
        <w:rPr>
          <w:rFonts w:ascii="Times New Roman" w:cs="Times New Roman" w:eastAsia="Times New Roman" w:hAnsi="Times New Roman"/>
          <w:sz w:val="21"/>
          <w:szCs w:val="21"/>
          <w:color w:val="auto"/>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TD Cowen,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396" w:lineRule="exact"/>
        <w:rPr>
          <w:sz w:val="20"/>
          <w:szCs w:val="20"/>
          <w:color w:val="auto"/>
        </w:rPr>
      </w:pPr>
    </w:p>
    <w:p>
      <w:pPr>
        <w:jc w:val="both"/>
        <w:ind w:firstLine="656"/>
        <w:spacing w:after="0" w:line="217" w:lineRule="auto"/>
        <w:tabs>
          <w:tab w:leader="none" w:pos="135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TD Cowen’s Obligations</w:t>
      </w:r>
      <w:r>
        <w:rPr>
          <w:rFonts w:ascii="Times New Roman" w:cs="Times New Roman" w:eastAsia="Times New Roman" w:hAnsi="Times New Roman"/>
          <w:sz w:val="22"/>
          <w:szCs w:val="22"/>
          <w:color w:val="auto"/>
        </w:rPr>
        <w:t>.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satisfaction (or waiver by TD Cowen in its sole discretion) of the following additional conditions:</w:t>
      </w:r>
    </w:p>
    <w:p>
      <w:pPr>
        <w:spacing w:after="0" w:line="152" w:lineRule="exact"/>
        <w:rPr>
          <w:sz w:val="20"/>
          <w:szCs w:val="20"/>
          <w:color w:val="auto"/>
        </w:rPr>
      </w:pPr>
    </w:p>
    <w:p>
      <w:pPr>
        <w:ind w:firstLine="656"/>
        <w:spacing w:after="0" w:line="236" w:lineRule="auto"/>
        <w:tabs>
          <w:tab w:leader="none" w:pos="153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Effective</w:t>
      </w:r>
      <w:r>
        <w:rPr>
          <w:rFonts w:ascii="Times New Roman" w:cs="Times New Roman" w:eastAsia="Times New Roman" w:hAnsi="Times New Roman"/>
          <w:sz w:val="22"/>
          <w:szCs w:val="22"/>
          <w:color w:val="auto"/>
        </w:rPr>
        <w:t>. The Registration Statement shall be effective and shall be available for (i) all sales of Placement Shares issued pursuant to all prior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5"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22"/>
          <w:szCs w:val="22"/>
          <w:color w:val="auto"/>
        </w:rPr>
        <w:t>Placement Notices and (ii) the sale of all Placement Shares contemplated to be issued pursuant to any Placement Notice.</w:t>
      </w:r>
    </w:p>
    <w:p>
      <w:pPr>
        <w:spacing w:after="0" w:line="179" w:lineRule="exact"/>
        <w:rPr>
          <w:sz w:val="20"/>
          <w:szCs w:val="20"/>
          <w:color w:val="auto"/>
        </w:rPr>
      </w:pPr>
    </w:p>
    <w:p>
      <w:pPr>
        <w:jc w:val="both"/>
        <w:ind w:firstLine="656"/>
        <w:spacing w:after="0" w:line="209" w:lineRule="auto"/>
        <w:tabs>
          <w:tab w:leader="none" w:pos="1602"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Notices</w:t>
      </w:r>
      <w:r>
        <w:rPr>
          <w:rFonts w:ascii="Times New Roman" w:cs="Times New Roman" w:eastAsia="Times New Roman" w:hAnsi="Times New Roman"/>
          <w:sz w:val="22"/>
          <w:szCs w:val="22"/>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51" w:lineRule="exact"/>
        <w:rPr>
          <w:rFonts w:ascii="Times New Roman" w:cs="Times New Roman" w:eastAsia="Times New Roman" w:hAnsi="Times New Roman"/>
          <w:sz w:val="22"/>
          <w:szCs w:val="22"/>
          <w:color w:val="auto"/>
        </w:rPr>
      </w:pPr>
    </w:p>
    <w:p>
      <w:pPr>
        <w:jc w:val="both"/>
        <w:ind w:firstLine="656"/>
        <w:spacing w:after="0" w:line="220" w:lineRule="auto"/>
        <w:tabs>
          <w:tab w:leader="none" w:pos="1576"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TD Cowen shall not have advised the Company that the Registration Statement or Prospectus, or any amendment or supplement thereto, contains an untrue statement of fact that in TD Cowen’s reasonable opinion is material, or omits to state a fact that in TD Cowen’s reasonable opinion is material and is required to be stated therein or is necessary to make the statements therein not misleading.</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54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Changes</w:t>
      </w:r>
      <w:r>
        <w:rPr>
          <w:rFonts w:ascii="Times New Roman" w:cs="Times New Roman" w:eastAsia="Times New Roman" w:hAnsi="Times New Roman"/>
          <w:sz w:val="22"/>
          <w:szCs w:val="22"/>
          <w:color w:val="auto"/>
        </w:rPr>
        <w:t>. Except as contemplated in the Prospectus, or disclosed in the Company’s reports filed with the Commission, there shall not have been any change reasonably expected to result in a Material Adverse Effect, on a consolidated basis,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TD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51" w:lineRule="exact"/>
        <w:rPr>
          <w:rFonts w:ascii="Times New Roman" w:cs="Times New Roman" w:eastAsia="Times New Roman" w:hAnsi="Times New Roman"/>
          <w:sz w:val="22"/>
          <w:szCs w:val="22"/>
          <w:color w:val="auto"/>
        </w:rPr>
      </w:pPr>
    </w:p>
    <w:p>
      <w:pPr>
        <w:jc w:val="both"/>
        <w:ind w:firstLine="656"/>
        <w:spacing w:after="0" w:line="225" w:lineRule="auto"/>
        <w:tabs>
          <w:tab w:leader="none" w:pos="1549"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Counsel Legal Opinion</w:t>
      </w:r>
      <w:r>
        <w:rPr>
          <w:rFonts w:ascii="Times New Roman" w:cs="Times New Roman" w:eastAsia="Times New Roman" w:hAnsi="Times New Roman"/>
          <w:sz w:val="22"/>
          <w:szCs w:val="22"/>
          <w:color w:val="auto"/>
        </w:rPr>
        <w:t xml:space="preserve">. TD Cowen shall have received the opinion and negative assurance letter of Company Counsel and the opinion of Company IP Counsel required to be delivered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on or before the date on which such delivery of such opinion is required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36" w:lineRule="auto"/>
        <w:tabs>
          <w:tab w:leader="none" w:pos="1539"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TD Cowen Counsel Legal Opinion</w:t>
      </w:r>
      <w:r>
        <w:rPr>
          <w:rFonts w:ascii="Times New Roman" w:cs="Times New Roman" w:eastAsia="Times New Roman" w:hAnsi="Times New Roman"/>
          <w:sz w:val="21"/>
          <w:szCs w:val="21"/>
          <w:color w:val="auto"/>
        </w:rPr>
        <w:t xml:space="preserve">. TD Cowen shall have received from Davis Polk &amp; Wardwell LLP, counsel for TD Cowen, such opinion or opinions, on or before the date on which the delivery of the Company Counsel legal opinion is required pursuant to </w:t>
      </w:r>
      <w:r>
        <w:rPr>
          <w:rFonts w:ascii="Times New Roman" w:cs="Times New Roman" w:eastAsia="Times New Roman" w:hAnsi="Times New Roman"/>
          <w:sz w:val="21"/>
          <w:szCs w:val="21"/>
          <w:u w:val="single" w:color="auto"/>
          <w:color w:val="auto"/>
        </w:rPr>
        <w:t>Section 7(n)</w:t>
      </w:r>
      <w:r>
        <w:rPr>
          <w:rFonts w:ascii="Times New Roman" w:cs="Times New Roman" w:eastAsia="Times New Roman" w:hAnsi="Times New Roman"/>
          <w:sz w:val="21"/>
          <w:szCs w:val="21"/>
          <w:color w:val="auto"/>
        </w:rPr>
        <w:t>, with respect to such matters as TD Cowen may reasonably require, and the Company shall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5"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22"/>
          <w:szCs w:val="22"/>
          <w:color w:val="auto"/>
        </w:rPr>
        <w:t>have furnished to such counsel such documents as they request for enabling them to pass upon such matters.</w:t>
      </w:r>
    </w:p>
    <w:p>
      <w:pPr>
        <w:spacing w:after="0" w:line="179" w:lineRule="exact"/>
        <w:rPr>
          <w:sz w:val="20"/>
          <w:szCs w:val="20"/>
          <w:color w:val="auto"/>
        </w:rPr>
      </w:pPr>
    </w:p>
    <w:p>
      <w:pPr>
        <w:ind w:right="20" w:firstLine="656"/>
        <w:spacing w:after="0" w:line="236" w:lineRule="auto"/>
        <w:tabs>
          <w:tab w:leader="none" w:pos="1534"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TD Cowen shall have received the Comfort Letter required to be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7(o)</w:t>
      </w:r>
      <w:r>
        <w:rPr>
          <w:rFonts w:ascii="Times New Roman" w:cs="Times New Roman" w:eastAsia="Times New Roman" w:hAnsi="Times New Roman"/>
          <w:sz w:val="22"/>
          <w:szCs w:val="22"/>
          <w:color w:val="auto"/>
        </w:rPr>
        <w:t xml:space="preserve"> on or before the date on which such delivery of such Comfort Letter is required pursuant to </w:t>
      </w:r>
      <w:r>
        <w:rPr>
          <w:rFonts w:ascii="Times New Roman" w:cs="Times New Roman" w:eastAsia="Times New Roman" w:hAnsi="Times New Roman"/>
          <w:sz w:val="22"/>
          <w:szCs w:val="22"/>
          <w:u w:val="single" w:color="auto"/>
          <w:color w:val="auto"/>
        </w:rPr>
        <w:t>Section 7(o)</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588"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Certificate</w:t>
      </w:r>
      <w:r>
        <w:rPr>
          <w:rFonts w:ascii="Times New Roman" w:cs="Times New Roman" w:eastAsia="Times New Roman" w:hAnsi="Times New Roman"/>
          <w:sz w:val="22"/>
          <w:szCs w:val="22"/>
          <w:color w:val="auto"/>
        </w:rPr>
        <w:t xml:space="preserve">. TD Cowen shall have received the certificate required to be delivered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635"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color w:val="auto"/>
        </w:rPr>
        <w:t>. On or prior to the First Delivery Date, TD Cowen shall have received a certificate, signed on behalf of the Company by its corporate secretary, in form and substance satisfactory to TD Cowen and its counsel.</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662"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CFO Certificate</w:t>
      </w:r>
      <w:r>
        <w:rPr>
          <w:rFonts w:ascii="Times New Roman" w:cs="Times New Roman" w:eastAsia="Times New Roman" w:hAnsi="Times New Roman"/>
          <w:sz w:val="22"/>
          <w:szCs w:val="22"/>
          <w:color w:val="auto"/>
        </w:rPr>
        <w:t>. TD Cowen shall have received the CFO Certificate required to be delivered pursuant to Section 7(p) on or before the date on which delivery of such certificate is required pursuant to Section 7(p).</w:t>
      </w:r>
    </w:p>
    <w:p>
      <w:pPr>
        <w:spacing w:after="0" w:line="150" w:lineRule="exact"/>
        <w:rPr>
          <w:rFonts w:ascii="Times New Roman" w:cs="Times New Roman" w:eastAsia="Times New Roman" w:hAnsi="Times New Roman"/>
          <w:sz w:val="22"/>
          <w:szCs w:val="22"/>
          <w:color w:val="auto"/>
        </w:rPr>
      </w:pPr>
    </w:p>
    <w:p>
      <w:pPr>
        <w:ind w:left="1520" w:hanging="864"/>
        <w:spacing w:after="0"/>
        <w:tabs>
          <w:tab w:leader="none" w:pos="152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Suspension</w:t>
      </w:r>
      <w:r>
        <w:rPr>
          <w:rFonts w:ascii="Times New Roman" w:cs="Times New Roman" w:eastAsia="Times New Roman" w:hAnsi="Times New Roman"/>
          <w:sz w:val="22"/>
          <w:szCs w:val="22"/>
          <w:color w:val="auto"/>
        </w:rPr>
        <w:t>. Trading in the Class A Common Stock shall not have been suspended on Nasdaq.</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581"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Materials</w:t>
      </w:r>
      <w:r>
        <w:rPr>
          <w:rFonts w:ascii="Times New Roman" w:cs="Times New Roman" w:eastAsia="Times New Roman" w:hAnsi="Times New Roman"/>
          <w:sz w:val="22"/>
          <w:szCs w:val="22"/>
          <w:color w:val="auto"/>
        </w:rPr>
        <w:t xml:space="preserve">. On each date on which the Company is required to deliver a certificate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7(m)</w:t>
      </w:r>
      <w:r>
        <w:rPr>
          <w:rFonts w:ascii="Times New Roman" w:cs="Times New Roman" w:eastAsia="Times New Roman" w:hAnsi="Times New Roman"/>
          <w:sz w:val="22"/>
          <w:szCs w:val="22"/>
          <w:color w:val="auto"/>
        </w:rPr>
        <w:t>, the Company shall have furnished to TD Cowen such appropriate further information, certificates and documents as TD Cowen may have reasonably requested. All such opinions, certificates, letters and other documents shall have been in compliance with the provisions hereof. The Company will furnish TD Cowen with such conformed copies of such opinions, certificates, letters and other documents as TD Cowen shall have reasonably requested.</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527"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Filings Made</w:t>
      </w:r>
      <w:r>
        <w:rPr>
          <w:rFonts w:ascii="Times New Roman" w:cs="Times New Roman" w:eastAsia="Times New Roman" w:hAnsi="Times New Roman"/>
          <w:sz w:val="22"/>
          <w:szCs w:val="22"/>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51" w:lineRule="exact"/>
        <w:rPr>
          <w:rFonts w:ascii="Times New Roman" w:cs="Times New Roman" w:eastAsia="Times New Roman" w:hAnsi="Times New Roman"/>
          <w:sz w:val="22"/>
          <w:szCs w:val="22"/>
          <w:color w:val="auto"/>
        </w:rPr>
      </w:pPr>
    </w:p>
    <w:p>
      <w:pPr>
        <w:ind w:left="1520" w:hanging="864"/>
        <w:spacing w:after="0"/>
        <w:tabs>
          <w:tab w:leader="none" w:pos="1520"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Approval for Listing</w:t>
      </w:r>
      <w:r>
        <w:rPr>
          <w:rFonts w:ascii="Times New Roman" w:cs="Times New Roman" w:eastAsia="Times New Roman" w:hAnsi="Times New Roman"/>
          <w:sz w:val="21"/>
          <w:szCs w:val="21"/>
          <w:color w:val="auto"/>
        </w:rPr>
        <w:t>. To the extent required by the rules of Nasdaq, the Placement Shares shall either have been</w:t>
      </w:r>
    </w:p>
    <w:p>
      <w:pPr>
        <w:ind w:firstLine="8"/>
        <w:spacing w:after="0" w:line="225" w:lineRule="auto"/>
        <w:tabs>
          <w:tab w:leader="none" w:pos="284"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approved for listing on Nasdaq, subject only to notice of issuance, or (ii) the Company shall have filed an application for listing of the Placement Shares on Nasdaq at, or prior to, the issuance of any Placement Notice.</w:t>
      </w:r>
    </w:p>
    <w:p>
      <w:pPr>
        <w:spacing w:after="0" w:line="149" w:lineRule="exact"/>
        <w:rPr>
          <w:rFonts w:ascii="Times New Roman" w:cs="Times New Roman" w:eastAsia="Times New Roman" w:hAnsi="Times New Roman"/>
          <w:sz w:val="22"/>
          <w:szCs w:val="22"/>
          <w:color w:val="auto"/>
        </w:rPr>
      </w:pPr>
    </w:p>
    <w:p>
      <w:pPr>
        <w:ind w:firstLine="656"/>
        <w:spacing w:after="0" w:line="236" w:lineRule="auto"/>
        <w:tabs>
          <w:tab w:leader="none" w:pos="1534"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Termination Event</w:t>
      </w:r>
      <w:r>
        <w:rPr>
          <w:rFonts w:ascii="Times New Roman" w:cs="Times New Roman" w:eastAsia="Times New Roman" w:hAnsi="Times New Roman"/>
          <w:sz w:val="22"/>
          <w:szCs w:val="22"/>
          <w:color w:val="auto"/>
        </w:rPr>
        <w:t xml:space="preserve">. There shall not have occurred any event that would permit TD Cowen to terminate this Agreement pursuant to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300" w:hanging="644"/>
        <w:spacing w:after="0"/>
        <w:tabs>
          <w:tab w:leader="none" w:pos="13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Contribution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13" w:lineRule="auto"/>
        <w:tabs>
          <w:tab w:leader="none" w:pos="154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Indemnification</w:t>
      </w:r>
      <w:r>
        <w:rPr>
          <w:rFonts w:ascii="Times New Roman" w:cs="Times New Roman" w:eastAsia="Times New Roman" w:hAnsi="Times New Roman"/>
          <w:sz w:val="22"/>
          <w:szCs w:val="22"/>
          <w:color w:val="auto"/>
        </w:rPr>
        <w:t xml:space="preserve">. The Company agrees to indemnify and hold harmless TD Cowen, its affiliates and each of their respective directors, officers, partners, employees and agents of TD Cowen 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documented investigative, legal and other expenses incurred in connection with, and any and all amounts paid in settlement (in accordance with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of, any action, suit or proceeding between any of the indemnified parties and any indemnifying parties or between any indemnified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5" w:right="339" w:bottom="1440" w:gutter="0" w:footer="0" w:header="0"/>
        </w:sectPr>
      </w:pPr>
    </w:p>
    <w:bookmarkStart w:id="270" w:name="page271"/>
    <w:bookmarkEnd w:id="270"/>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party and any third party, or otherwise, or any claim asserted), as and when incurred,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Class A Common Stock under the securities laws thereof or filed with the Commission, (y) the omission or alleged omission to state in any such document a material fact required to be stated in it or necessary to make the statements therein, in light of the circumstances under which they were made not misleading or (z) any breach by any of the indemnifying parties of any of their respective representations, warranties and agreements contained in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solely Agent’s Information. “</w:t>
      </w:r>
      <w:r>
        <w:rPr>
          <w:rFonts w:ascii="Times New Roman" w:cs="Times New Roman" w:eastAsia="Times New Roman" w:hAnsi="Times New Roman"/>
          <w:sz w:val="22"/>
          <w:szCs w:val="22"/>
          <w:b w:val="1"/>
          <w:bCs w:val="1"/>
          <w:u w:val="single" w:color="auto"/>
          <w:color w:val="auto"/>
        </w:rPr>
        <w:t>Agent’s Information</w:t>
      </w:r>
      <w:r>
        <w:rPr>
          <w:rFonts w:ascii="Times New Roman" w:cs="Times New Roman" w:eastAsia="Times New Roman" w:hAnsi="Times New Roman"/>
          <w:sz w:val="22"/>
          <w:szCs w:val="22"/>
          <w:color w:val="auto"/>
        </w:rPr>
        <w:t>” means, solely, the following information in the Prospectus: the third sentence in the ninth paragraph under the caption “Plan of Distribution” in the Prospectus. This indemnity agreement will be in addition to any liability that the Company might otherwise have.</w:t>
      </w:r>
    </w:p>
    <w:p>
      <w:pPr>
        <w:spacing w:after="0" w:line="164" w:lineRule="exact"/>
        <w:rPr>
          <w:sz w:val="20"/>
          <w:szCs w:val="20"/>
          <w:color w:val="auto"/>
        </w:rPr>
      </w:pPr>
    </w:p>
    <w:p>
      <w:pPr>
        <w:jc w:val="both"/>
        <w:ind w:firstLine="656"/>
        <w:spacing w:after="0" w:line="213" w:lineRule="auto"/>
        <w:tabs>
          <w:tab w:leader="none" w:pos="154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TD Cowen Indemnification</w:t>
      </w:r>
      <w:r>
        <w:rPr>
          <w:rFonts w:ascii="Times New Roman" w:cs="Times New Roman" w:eastAsia="Times New Roman" w:hAnsi="Times New Roman"/>
          <w:sz w:val="22"/>
          <w:szCs w:val="22"/>
          <w:color w:val="auto"/>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as incurred, but only with respect to untrue statements or omissions, or alleged untrue statements or omissions, made in the Registration Statement (or any amendments thereto) or the Prospectus (or any amendment or supplement thereto) or in any free writing prospectus in reliance upon and in conformity with the Agent’s Information.</w:t>
      </w:r>
    </w:p>
    <w:p>
      <w:pPr>
        <w:spacing w:after="0" w:line="156" w:lineRule="exact"/>
        <w:rPr>
          <w:rFonts w:ascii="Times New Roman" w:cs="Times New Roman" w:eastAsia="Times New Roman" w:hAnsi="Times New Roman"/>
          <w:sz w:val="22"/>
          <w:szCs w:val="22"/>
          <w:color w:val="auto"/>
        </w:rPr>
      </w:pPr>
    </w:p>
    <w:p>
      <w:pPr>
        <w:jc w:val="both"/>
        <w:ind w:firstLine="656"/>
        <w:spacing w:after="0" w:line="208" w:lineRule="auto"/>
        <w:tabs>
          <w:tab w:leader="none" w:pos="150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xml:space="preserve">. Any party that proposes to assert the right to be indemnified under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notify each such indemnifying party in writing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and (ii) any liability that it may have to any indemnified party under the foregoing provision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reasonable and documented fees, expenses and other charges of such counsel will be at the expense of such</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271" w:name="page272"/>
    <w:bookmarkEnd w:id="271"/>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159" w:lineRule="exact"/>
        <w:rPr>
          <w:sz w:val="20"/>
          <w:szCs w:val="20"/>
          <w:color w:val="auto"/>
        </w:rPr>
      </w:pPr>
    </w:p>
    <w:p>
      <w:pPr>
        <w:jc w:val="both"/>
        <w:ind w:firstLine="656"/>
        <w:spacing w:after="0" w:line="207" w:lineRule="auto"/>
        <w:tabs>
          <w:tab w:leader="none" w:pos="183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is applicable in accordance with its terms but for any reason is held to be unavailable from the Company or TD Cowen, the Company and TD Cowen will contribute to the total losses, claims, liabilities, expenses and damages (including any documented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 w:cs="Times New Roman" w:eastAsia="Times New Roman" w:hAnsi="Times New Roman"/>
          <w:sz w:val="22"/>
          <w:szCs w:val="22"/>
          <w:u w:val="single" w:color="auto"/>
          <w:color w:val="auto"/>
        </w:rPr>
        <w:t>Section 9(d)</w:t>
      </w:r>
      <w:r>
        <w:rPr>
          <w:rFonts w:ascii="Times New Roman" w:cs="Times New Roman" w:eastAsia="Times New Roman" w:hAnsi="Times New Roman"/>
          <w:sz w:val="22"/>
          <w:szCs w:val="22"/>
          <w:color w:val="auto"/>
        </w:rPr>
        <w:t xml:space="preserve"> were to be determined by pro rata allocation or by any other method of allocation that does not take into account the equitable considerations referred to herein. The amount paid or payable by an indemnified party as a result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5" w:right="339" w:bottom="1440" w:gutter="0" w:footer="0" w:header="0"/>
        </w:sectPr>
      </w:pPr>
    </w:p>
    <w:bookmarkStart w:id="272" w:name="page273"/>
    <w:bookmarkEnd w:id="272"/>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of the loss, claim, liability, expense, or damage, or action in respect thereof, referred to above in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shall be deemed to include, for the purpose of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any documented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21"/>
          <w:szCs w:val="21"/>
          <w:u w:val="single" w:color="auto"/>
          <w:color w:val="auto"/>
        </w:rPr>
        <w:t>Section 9(c)</w:t>
      </w:r>
      <w:r>
        <w:rPr>
          <w:rFonts w:ascii="Times New Roman" w:cs="Times New Roman" w:eastAsia="Times New Roman" w:hAnsi="Times New Roman"/>
          <w:sz w:val="21"/>
          <w:szCs w:val="21"/>
          <w:color w:val="auto"/>
        </w:rPr>
        <w:t xml:space="preserve"> hereof. Notwithstanding the foregoing provisions of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any person who controls a party to this Agreement within the meaning of the Securities Act, and any officers, directors, partners, employees or agents of TD Cowen, will have the same rights to contribution as that party, and each director or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will notify in writing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21"/>
          <w:szCs w:val="21"/>
          <w:u w:val="single" w:color="auto"/>
          <w:color w:val="auto"/>
        </w:rPr>
        <w:t>Section 9(c)</w:t>
      </w:r>
      <w:r>
        <w:rPr>
          <w:rFonts w:ascii="Times New Roman" w:cs="Times New Roman" w:eastAsia="Times New Roman" w:hAnsi="Times New Roman"/>
          <w:sz w:val="21"/>
          <w:szCs w:val="21"/>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21"/>
          <w:szCs w:val="21"/>
          <w:u w:val="single" w:color="auto"/>
          <w:color w:val="auto"/>
        </w:rPr>
        <w:t>Section 9(c)</w:t>
      </w:r>
      <w:r>
        <w:rPr>
          <w:rFonts w:ascii="Times New Roman" w:cs="Times New Roman" w:eastAsia="Times New Roman" w:hAnsi="Times New Roman"/>
          <w:sz w:val="21"/>
          <w:szCs w:val="21"/>
          <w:color w:val="auto"/>
        </w:rPr>
        <w:t xml:space="preserve"> hereof.</w:t>
      </w:r>
    </w:p>
    <w:p>
      <w:pPr>
        <w:spacing w:after="0" w:line="159" w:lineRule="exact"/>
        <w:rPr>
          <w:sz w:val="20"/>
          <w:szCs w:val="20"/>
          <w:color w:val="auto"/>
        </w:rPr>
      </w:pPr>
    </w:p>
    <w:p>
      <w:pPr>
        <w:jc w:val="both"/>
        <w:ind w:firstLine="656"/>
        <w:spacing w:after="0" w:line="217" w:lineRule="auto"/>
        <w:tabs>
          <w:tab w:leader="none" w:pos="133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Agreements to Survive Delivery</w:t>
      </w:r>
      <w:r>
        <w:rPr>
          <w:rFonts w:ascii="Times New Roman" w:cs="Times New Roman" w:eastAsia="Times New Roman" w:hAnsi="Times New Roman"/>
          <w:sz w:val="22"/>
          <w:szCs w:val="22"/>
          <w:color w:val="auto"/>
        </w:rPr>
        <w:t xml:space="preserve">. The indemnity and contribution agreements contained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p>
    <w:p>
      <w:pPr>
        <w:spacing w:after="0" w:line="179" w:lineRule="exact"/>
        <w:rPr>
          <w:sz w:val="20"/>
          <w:szCs w:val="20"/>
          <w:color w:val="auto"/>
        </w:rPr>
      </w:pPr>
    </w:p>
    <w:p>
      <w:pPr>
        <w:jc w:val="both"/>
        <w:ind w:firstLine="656"/>
        <w:spacing w:after="0" w:line="210" w:lineRule="auto"/>
        <w:tabs>
          <w:tab w:leader="none" w:pos="1517"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TD Cowen shall have the right by giving notice as hereinafter specified at any time to terminate this Agreement if (i) any Material Adverse Effect, or any development that could reasonably be expected to result in a Material Adverse Effect has occurred that, in the reasonable judgment of TD Cowen, may materially impair the ability of TD Cowen to sell the Placement Shares hereunder, (ii) the Company shall have failed, refused or been unable to perform any agreement on its part to be performed hereunder, or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(Expenses),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(Applicable Law; Consent to Jurisdiction)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(Waiver of Jury Trial) hereof shall remain in full force and effect notwithstanding such termination. If TD Cowen elects to terminate this Agreement as provided in this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TD Cowen shall provide the required notice as specified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(Notices).</w:t>
      </w:r>
    </w:p>
    <w:p>
      <w:pPr>
        <w:spacing w:after="0" w:line="157" w:lineRule="exact"/>
        <w:rPr>
          <w:rFonts w:ascii="Times New Roman" w:cs="Times New Roman" w:eastAsia="Times New Roman" w:hAnsi="Times New Roman"/>
          <w:sz w:val="22"/>
          <w:szCs w:val="22"/>
          <w:color w:val="auto"/>
        </w:rPr>
      </w:pPr>
    </w:p>
    <w:p>
      <w:pPr>
        <w:jc w:val="both"/>
        <w:ind w:firstLine="656"/>
        <w:spacing w:after="0" w:line="225" w:lineRule="auto"/>
        <w:tabs>
          <w:tab w:leader="none" w:pos="161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by giving ten (10) days’ notice as hereinafter specified to terminate this Agreement in its sole discretion at any time after the date of this Agreement. Any such termination shall be without liability of any party to any other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5" w:right="339" w:bottom="1440" w:gutter="0" w:footer="0" w:header="0"/>
        </w:sectPr>
      </w:pPr>
    </w:p>
    <w:bookmarkStart w:id="273" w:name="page274"/>
    <w:bookmarkEnd w:id="273"/>
    <w:p>
      <w:pPr>
        <w:spacing w:after="0" w:line="236" w:lineRule="auto"/>
        <w:rPr>
          <w:sz w:val="20"/>
          <w:szCs w:val="20"/>
          <w:color w:val="auto"/>
        </w:rPr>
      </w:pPr>
      <w:r>
        <w:rPr>
          <w:rFonts w:ascii="Times New Roman" w:cs="Times New Roman" w:eastAsia="Times New Roman" w:hAnsi="Times New Roman"/>
          <w:sz w:val="22"/>
          <w:szCs w:val="22"/>
          <w:color w:val="auto"/>
        </w:rPr>
        <w:t xml:space="preserve">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hereof shall remain in full force and effect notwithstanding such termination.</w:t>
      </w:r>
    </w:p>
    <w:p>
      <w:pPr>
        <w:spacing w:after="0" w:line="150" w:lineRule="exact"/>
        <w:rPr>
          <w:sz w:val="20"/>
          <w:szCs w:val="20"/>
          <w:color w:val="auto"/>
        </w:rPr>
      </w:pPr>
    </w:p>
    <w:p>
      <w:pPr>
        <w:jc w:val="both"/>
        <w:ind w:firstLine="656"/>
        <w:spacing w:after="0" w:line="220" w:lineRule="auto"/>
        <w:tabs>
          <w:tab w:leader="none" w:pos="1676"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hereof shall remain in full force and effect notwithstanding such termination.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607"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earlier terminated pursuant to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this Agreement shall automatically terminate upon the issuance and sale of all of the Placement Shares through TD Cowen on the terms and subject to the conditions set forth herein;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provisions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hereof shall remain in full force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notwithstanding such termination.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51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remain in full force and effect unless terminated pursuant to </w:t>
      </w:r>
      <w:r>
        <w:rPr>
          <w:rFonts w:ascii="Times New Roman" w:cs="Times New Roman" w:eastAsia="Times New Roman" w:hAnsi="Times New Roman"/>
          <w:sz w:val="22"/>
          <w:szCs w:val="22"/>
          <w:u w:val="single" w:color="auto"/>
          <w:color w:val="auto"/>
        </w:rPr>
        <w:t>Sections 11(a)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 or (d)</w:t>
      </w:r>
      <w:r>
        <w:rPr>
          <w:rFonts w:ascii="Times New Roman" w:cs="Times New Roman" w:eastAsia="Times New Roman" w:hAnsi="Times New Roman"/>
          <w:sz w:val="22"/>
          <w:szCs w:val="22"/>
          <w:color w:val="auto"/>
        </w:rPr>
        <w:t xml:space="preserve"> above or otherwise by mutual agreement of the parties;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any such termination by mutual agreement shall in all cases be deemed to provide that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shall remain in full force and effect.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667"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termination of this Agreement shall be effective on the date specified in such notice of termination; </w:t>
      </w: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such termination shall not be effective until the close of business on the date of receipt of such notice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TD Cowen or the Company, as the case may be. If such termination shall occur prior to the Settlement Date for any sale of Placement Shares, such Placement Shares shall settle in accordance with the provisions of this Agreement.</w:t>
      </w:r>
    </w:p>
    <w:p>
      <w:pPr>
        <w:spacing w:after="0" w:line="152" w:lineRule="exact"/>
        <w:rPr>
          <w:sz w:val="20"/>
          <w:szCs w:val="20"/>
          <w:color w:val="auto"/>
        </w:rPr>
      </w:pPr>
    </w:p>
    <w:p>
      <w:pPr>
        <w:jc w:val="both"/>
        <w:ind w:firstLine="656"/>
        <w:spacing w:after="0" w:line="209" w:lineRule="auto"/>
        <w:tabs>
          <w:tab w:leader="none" w:pos="132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required or permitted to be given by any party to any other party pursuant to the terms of this Agreement shall be in writing, unless otherwise specified in this Agreement, and if sent to TD Cowen, shall be delivered to TD Cowen at TD Securities (USA) LLC, 1 Vanderbilt Avenue, New York, NY 10017, fax no. 646-562-1130, Attention: Head of Equity Capital Markets, email: ***@tdsecurities.com; or if sent to the Company, shall be delivered to Recursion Pharmaceuticals, Inc., 41 S Rio Grande Street, Salt Lake City, UT 84101 Attention: Najat Khan with a copy to Wilson Sonsini Goodrich &amp; Rosati, P.C. 701 Fifth Avenue, Suite 5100 Seattle, Washington 98104-7036 Attention: Patrick J. Schultheis.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(iii) on the Business Day actually received if deposited in the U.S. mail (certified or registered mail, return receipt requested, postage prepaid) and (iv) when delivered by electronic communication, at the time the party sending such communication receives verification of receipt by the receiving party, other than via auto reply. For purposes of this Agreement, “</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color w:val="auto"/>
        </w:rPr>
        <w:t>” shall mean any day on which Nasdaq and commercial banks in the City of New York are open for business.</w:t>
      </w:r>
    </w:p>
    <w:p>
      <w:pPr>
        <w:spacing w:after="0" w:line="151" w:lineRule="exact"/>
        <w:rPr>
          <w:rFonts w:ascii="Times New Roman" w:cs="Times New Roman" w:eastAsia="Times New Roman" w:hAnsi="Times New Roman"/>
          <w:sz w:val="22"/>
          <w:szCs w:val="22"/>
          <w:color w:val="auto"/>
        </w:rPr>
      </w:pPr>
    </w:p>
    <w:p>
      <w:pPr>
        <w:jc w:val="both"/>
        <w:ind w:firstLine="656"/>
        <w:spacing w:after="0" w:line="220" w:lineRule="auto"/>
        <w:tabs>
          <w:tab w:leader="none" w:pos="1309"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shall inure to the benefit of and be binding upon the Company and TD Cowen and their respective successors and the affiliates, controlling persons, officers and directors referred to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hereof. References to any of the parties contained in this Agreement shall be deemed to include the successors and permitted assigns of such party. Nothing in this Agreement, express or implied, is intended to confer upon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5" w:right="339" w:bottom="1440" w:gutter="0" w:footer="0" w:header="0"/>
        </w:sectPr>
      </w:pPr>
    </w:p>
    <w:bookmarkStart w:id="274" w:name="page275"/>
    <w:bookmarkEnd w:id="274"/>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TD Cowen may assign its rights and obligations hereunder to an affiliate of TD Cowen without obtaining the Company’s consent.</w:t>
      </w:r>
    </w:p>
    <w:p>
      <w:pPr>
        <w:spacing w:after="0" w:line="152" w:lineRule="exact"/>
        <w:rPr>
          <w:sz w:val="20"/>
          <w:szCs w:val="20"/>
          <w:color w:val="auto"/>
        </w:rPr>
      </w:pPr>
    </w:p>
    <w:p>
      <w:pPr>
        <w:jc w:val="both"/>
        <w:ind w:firstLine="656"/>
        <w:spacing w:after="0" w:line="225" w:lineRule="auto"/>
        <w:tabs>
          <w:tab w:leader="none" w:pos="1309"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Share Splits</w:t>
      </w:r>
      <w:r>
        <w:rPr>
          <w:rFonts w:ascii="Times New Roman" w:cs="Times New Roman" w:eastAsia="Times New Roman" w:hAnsi="Times New Roman"/>
          <w:sz w:val="22"/>
          <w:szCs w:val="22"/>
          <w:color w:val="auto"/>
        </w:rPr>
        <w:t>. The parties acknowledge and agree that all share-related numbers contained in this Agreement shall be adjusted to take into account any share split, share dividend or similar event effected with respect to the Class A Common Stock.</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377"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Amendment; Severability</w:t>
      </w:r>
      <w:r>
        <w:rPr>
          <w:rFonts w:ascii="Times New Roman" w:cs="Times New Roman" w:eastAsia="Times New Roman" w:hAnsi="Times New Roman"/>
          <w:sz w:val="21"/>
          <w:szCs w:val="21"/>
          <w:color w:val="auto"/>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TD Cowen;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each party hereto may amend the list of individuals appearing under such party’s name on </w:t>
      </w: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color w:val="auto"/>
        </w:rPr>
        <w:t xml:space="preserve"> by giving notice to the other party hereto.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57" w:lineRule="exact"/>
        <w:rPr>
          <w:rFonts w:ascii="Times New Roman" w:cs="Times New Roman" w:eastAsia="Times New Roman" w:hAnsi="Times New Roman"/>
          <w:sz w:val="21"/>
          <w:szCs w:val="21"/>
          <w:color w:val="auto"/>
        </w:rPr>
      </w:pPr>
    </w:p>
    <w:p>
      <w:pPr>
        <w:jc w:val="both"/>
        <w:ind w:firstLine="656"/>
        <w:spacing w:after="0" w:line="210" w:lineRule="auto"/>
        <w:tabs>
          <w:tab w:leader="none" w:pos="129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 Consent to Jurisdiction</w:t>
      </w:r>
      <w:r>
        <w:rPr>
          <w:rFonts w:ascii="Times New Roman" w:cs="Times New Roman" w:eastAsia="Times New Roman" w:hAnsi="Times New Roman"/>
          <w:sz w:val="22"/>
          <w:szCs w:val="22"/>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57"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The Company and TD Cowen each hereby irrevocably waives any right it may have to a trial by jury in respect of any claim based upon or arising out of this Agreement or any transaction contemplated hereby.</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Fiduciary Relationship</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acknowledges and agrees that:</w:t>
      </w:r>
    </w:p>
    <w:p>
      <w:pPr>
        <w:spacing w:after="0" w:line="183" w:lineRule="exact"/>
        <w:rPr>
          <w:sz w:val="20"/>
          <w:szCs w:val="20"/>
          <w:color w:val="auto"/>
        </w:rPr>
      </w:pPr>
    </w:p>
    <w:p>
      <w:pPr>
        <w:jc w:val="both"/>
        <w:ind w:firstLine="656"/>
        <w:spacing w:after="0" w:line="220" w:lineRule="auto"/>
        <w:tabs>
          <w:tab w:leader="none" w:pos="165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5" w:right="339" w:bottom="1440" w:gutter="0" w:footer="0" w:header="0"/>
        </w:sectPr>
      </w:pPr>
    </w:p>
    <w:bookmarkStart w:id="275" w:name="page276"/>
    <w:bookmarkEnd w:id="275"/>
    <w:p>
      <w:pPr>
        <w:ind w:firstLine="656"/>
        <w:spacing w:after="0" w:line="236" w:lineRule="auto"/>
        <w:tabs>
          <w:tab w:leader="none" w:pos="1651"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capable of evaluating and understanding and understands and accepts the terms, risks and conditions of the transactions contemplated by this Agreement;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58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60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52" w:lineRule="exact"/>
        <w:rPr>
          <w:sz w:val="20"/>
          <w:szCs w:val="20"/>
          <w:color w:val="auto"/>
        </w:rPr>
      </w:pPr>
    </w:p>
    <w:p>
      <w:pPr>
        <w:jc w:val="both"/>
        <w:ind w:firstLine="656"/>
        <w:spacing w:after="0" w:line="227" w:lineRule="auto"/>
        <w:tabs>
          <w:tab w:leader="none" w:pos="1323"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other electronic transmission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53"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Recognition of the U.S. Special Resolution Regimes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31" w:lineRule="auto"/>
        <w:tabs>
          <w:tab w:leader="none" w:pos="1614"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50" w:lineRule="exact"/>
        <w:rPr>
          <w:rFonts w:ascii="Times New Roman" w:cs="Times New Roman" w:eastAsia="Times New Roman" w:hAnsi="Times New Roman"/>
          <w:sz w:val="21"/>
          <w:szCs w:val="21"/>
          <w:color w:val="auto"/>
        </w:rPr>
      </w:pPr>
    </w:p>
    <w:p>
      <w:pPr>
        <w:jc w:val="both"/>
        <w:ind w:firstLine="656"/>
        <w:spacing w:after="0" w:line="231" w:lineRule="auto"/>
        <w:tabs>
          <w:tab w:leader="none" w:pos="1531"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TD Cowen is a Covered Entity and TD Cowen or a BHC Act Affiliate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w:t>
      </w:r>
    </w:p>
    <w:p>
      <w:pPr>
        <w:spacing w:after="0" w:line="146" w:lineRule="exact"/>
        <w:rPr>
          <w:rFonts w:ascii="Times New Roman" w:cs="Times New Roman" w:eastAsia="Times New Roman" w:hAnsi="Times New Roman"/>
          <w:sz w:val="21"/>
          <w:szCs w:val="21"/>
          <w:color w:val="auto"/>
        </w:rPr>
      </w:pPr>
    </w:p>
    <w:p>
      <w:pPr>
        <w:jc w:val="both"/>
        <w:ind w:firstLine="656"/>
        <w:spacing w:after="0" w:line="213" w:lineRule="auto"/>
        <w:tabs>
          <w:tab w:leader="none" w:pos="158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20; (a) “</w:t>
      </w:r>
      <w:r>
        <w:rPr>
          <w:rFonts w:ascii="Times New Roman" w:cs="Times New Roman" w:eastAsia="Times New Roman" w:hAnsi="Times New Roman"/>
          <w:sz w:val="22"/>
          <w:szCs w:val="22"/>
          <w:b w:val="1"/>
          <w:bCs w:val="1"/>
          <w:u w:val="single" w:color="auto"/>
          <w:color w:val="auto"/>
        </w:rPr>
        <w:t>BHC Act Affiliate</w:t>
      </w:r>
      <w:r>
        <w:rPr>
          <w:rFonts w:ascii="Times New Roman" w:cs="Times New Roman" w:eastAsia="Times New Roman" w:hAnsi="Times New Roman"/>
          <w:sz w:val="22"/>
          <w:szCs w:val="22"/>
          <w:color w:val="auto"/>
        </w:rPr>
        <w:t>” has the meaning assigned to the term “affiliate” in, and shall be interpreted in accordance with, 12 U.S.C. § 1841(k), (b) “</w:t>
      </w:r>
      <w:r>
        <w:rPr>
          <w:rFonts w:ascii="Times New Roman" w:cs="Times New Roman" w:eastAsia="Times New Roman" w:hAnsi="Times New Roman"/>
          <w:sz w:val="22"/>
          <w:szCs w:val="22"/>
          <w:b w:val="1"/>
          <w:bCs w:val="1"/>
          <w:u w:val="single" w:color="auto"/>
          <w:color w:val="auto"/>
        </w:rPr>
        <w:t>Covered Entity</w:t>
      </w:r>
      <w:r>
        <w:rPr>
          <w:rFonts w:ascii="Times New Roman" w:cs="Times New Roman" w:eastAsia="Times New Roman" w:hAnsi="Times New Roman"/>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22"/>
          <w:szCs w:val="22"/>
          <w:b w:val="1"/>
          <w:bCs w:val="1"/>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 and (d) “</w:t>
      </w:r>
      <w:r>
        <w:rPr>
          <w:rFonts w:ascii="Times New Roman" w:cs="Times New Roman" w:eastAsia="Times New Roman" w:hAnsi="Times New Roman"/>
          <w:sz w:val="22"/>
          <w:szCs w:val="22"/>
          <w:b w:val="1"/>
          <w:bCs w:val="1"/>
          <w:u w:val="single" w:color="auto"/>
          <w:color w:val="auto"/>
        </w:rPr>
        <w:t>U.S. Special Resolution Regime</w:t>
      </w:r>
      <w:r>
        <w:rPr>
          <w:rFonts w:ascii="Times New Roman" w:cs="Times New Roman" w:eastAsia="Times New Roman" w:hAnsi="Times New Roman"/>
          <w:sz w:val="22"/>
          <w:szCs w:val="22"/>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Blank]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276" w:name="page277"/>
    <w:bookmarkEnd w:id="276"/>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the foregoing correctly sets forth the understanding between the Company and TD Cowen, please so indicate in the space provided below for that purpose, whereupon this letter shall constitute a binding agreement between the Company and TD Cowen.</w:t>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TD SECURITIES (USA) LLC</w:t>
      </w: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-13970</wp:posOffset>
            </wp:positionV>
            <wp:extent cx="13639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9">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spacing w:after="0" w:line="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Michael Murphy</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ACCEPTED as of the date</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first-above written:</w:t>
      </w: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RECURSION PHARMACEUTICALS, INC.</w:t>
      </w: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Najat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2039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0">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Najat Khan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0" w:type="dxa"/>
            <w:vAlign w:val="bottom"/>
            <w:gridSpan w:val="2"/>
          </w:tcPr>
          <w:p>
            <w:pPr>
              <w:ind w:left="3040"/>
              <w:spacing w:after="0"/>
              <w:rPr>
                <w:sz w:val="20"/>
                <w:szCs w:val="20"/>
                <w:color w:val="auto"/>
              </w:rPr>
            </w:pPr>
            <w:r>
              <w:rPr>
                <w:rFonts w:ascii="Times New Roman" w:cs="Times New Roman" w:eastAsia="Times New Roman" w:hAnsi="Times New Roman"/>
                <w:sz w:val="22"/>
                <w:szCs w:val="22"/>
                <w:b w:val="1"/>
                <w:bCs w:val="1"/>
                <w:color w:val="auto"/>
                <w:w w:val="97"/>
              </w:rPr>
              <w:t>FORM OF PLACEMENT NOTICE</w:t>
            </w:r>
          </w:p>
        </w:tc>
      </w:tr>
      <w:tr>
        <w:trPr>
          <w:trHeight w:val="952"/>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w w:val="96"/>
              </w:rPr>
              <w:t>From:</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04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w:t>
            </w:r>
          </w:p>
        </w:tc>
        <w:tc>
          <w:tcPr>
            <w:tcW w:w="3360" w:type="dxa"/>
            <w:vAlign w:val="bottom"/>
            <w:tcBorders>
              <w:top w:val="single" w:sz="8" w:color="auto"/>
            </w:tcBorders>
          </w:tcPr>
          <w:p>
            <w:pPr>
              <w:spacing w:after="0"/>
              <w:rPr>
                <w:sz w:val="24"/>
                <w:szCs w:val="24"/>
                <w:color w:val="auto"/>
              </w:rPr>
            </w:pPr>
          </w:p>
        </w:tc>
      </w:tr>
      <w:tr>
        <w:trPr>
          <w:trHeight w:val="257"/>
        </w:trPr>
        <w:tc>
          <w:tcPr>
            <w:tcW w:w="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Cc:  [</w:t>
            </w:r>
          </w:p>
        </w:tc>
        <w:tc>
          <w:tcPr>
            <w:tcW w:w="3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w:t>
            </w:r>
          </w:p>
        </w:tc>
        <w:tc>
          <w:tcPr>
            <w:tcW w:w="336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To:</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3040" w:type="dxa"/>
            <w:vAlign w:val="bottom"/>
          </w:tcPr>
          <w:p>
            <w:pPr>
              <w:jc w:val="right"/>
              <w:ind w:right="2432"/>
              <w:spacing w:after="0"/>
              <w:rPr>
                <w:sz w:val="20"/>
                <w:szCs w:val="20"/>
                <w:color w:val="auto"/>
              </w:rPr>
            </w:pPr>
            <w:r>
              <w:rPr>
                <w:rFonts w:ascii="Times New Roman" w:cs="Times New Roman" w:eastAsia="Times New Roman" w:hAnsi="Times New Roman"/>
                <w:sz w:val="22"/>
                <w:szCs w:val="22"/>
                <w:color w:val="auto"/>
              </w:rPr>
              <w:t>]</w:t>
            </w:r>
          </w:p>
        </w:tc>
        <w:tc>
          <w:tcPr>
            <w:tcW w:w="3360" w:type="dxa"/>
            <w:vAlign w:val="bottom"/>
          </w:tcPr>
          <w:p>
            <w:pPr>
              <w:spacing w:after="0"/>
              <w:rPr>
                <w:sz w:val="22"/>
                <w:szCs w:val="22"/>
                <w:color w:val="auto"/>
              </w:rPr>
            </w:pPr>
          </w:p>
        </w:tc>
      </w:tr>
      <w:tr>
        <w:trPr>
          <w:trHeight w:val="282"/>
        </w:trPr>
        <w:tc>
          <w:tcPr>
            <w:tcW w:w="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Subject:</w:t>
            </w:r>
          </w:p>
        </w:tc>
        <w:tc>
          <w:tcPr>
            <w:tcW w:w="64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TD Cowen At the Market Offering—Placement Notice</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Gentlemen:</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Pursuant to the terms and subject to the conditions contained in the Sales Agreement between Recursion Pharmaceuticals,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TD Securities (USA) LLC (“</w:t>
      </w:r>
      <w:r>
        <w:rPr>
          <w:rFonts w:ascii="Times New Roman" w:cs="Times New Roman" w:eastAsia="Times New Roman" w:hAnsi="Times New Roman"/>
          <w:sz w:val="22"/>
          <w:szCs w:val="22"/>
          <w:u w:val="single" w:color="auto"/>
          <w:color w:val="auto"/>
        </w:rPr>
        <w:t>TD Cowen</w:t>
      </w:r>
      <w:r>
        <w:rPr>
          <w:rFonts w:ascii="Times New Roman" w:cs="Times New Roman" w:eastAsia="Times New Roman" w:hAnsi="Times New Roman"/>
          <w:sz w:val="22"/>
          <w:szCs w:val="22"/>
          <w:color w:val="auto"/>
        </w:rPr>
        <w:t xml:space="preserve"> ”) dated February 25, 2026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 hereby request on behalf of the Company that TD Cowen sell up to [ ] shares of the Company’s common stock, par value $0.00001 per share, at a minimum market price of $_______ per share. Sales should begin on the date of this Notice and shall continue until [DATE] [all shares are sold].</w:t>
      </w:r>
    </w:p>
    <w:p>
      <w:pPr>
        <w:sectPr>
          <w:pgSz w:w="11900" w:h="16838" w:orient="portrait"/>
          <w:cols w:equalWidth="0" w:num="1">
            <w:col w:w="11240"/>
          </w:cols>
          <w:pgMar w:left="320" w:top="1418"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5"/>
              </w:rPr>
              <w:t>Notice Parties</w:t>
            </w:r>
          </w:p>
        </w:tc>
      </w:tr>
      <w:tr>
        <w:trPr>
          <w:trHeight w:val="453"/>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2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518"/>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Najat Khan</w:t>
            </w:r>
          </w:p>
        </w:tc>
        <w:tc>
          <w:tcPr>
            <w:tcW w:w="2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Executive Officer</w:t>
            </w:r>
          </w:p>
        </w:tc>
        <w:tc>
          <w:tcPr>
            <w:tcW w:w="26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8"/>
              </w:rPr>
              <w:t>****@recursionpharma.com</w:t>
            </w:r>
          </w:p>
        </w:tc>
      </w:tr>
      <w:tr>
        <w:trPr>
          <w:trHeight w:val="473"/>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Ben Taylor</w:t>
            </w:r>
          </w:p>
        </w:tc>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Chief Financial Officer</w:t>
            </w:r>
          </w:p>
        </w:tc>
        <w:tc>
          <w:tcPr>
            <w:tcW w:w="2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****@recursionpharma.com</w:t>
            </w:r>
          </w:p>
        </w:tc>
      </w:tr>
      <w:tr>
        <w:trPr>
          <w:trHeight w:val="473"/>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Nathan Hatfield</w:t>
            </w:r>
          </w:p>
        </w:tc>
        <w:tc>
          <w:tcPr>
            <w:tcW w:w="2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Chief Legal Officer</w:t>
            </w:r>
          </w:p>
        </w:tc>
        <w:tc>
          <w:tcPr>
            <w:tcW w:w="26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****@recursion.com</w:t>
            </w:r>
          </w:p>
        </w:tc>
      </w:tr>
      <w:tr>
        <w:trPr>
          <w:trHeight w:val="879"/>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7"/>
              </w:rPr>
              <w:t>TD Cowen</w:t>
            </w:r>
          </w:p>
        </w:tc>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05"/>
        </w:trPr>
        <w:tc>
          <w:tcPr>
            <w:tcW w:w="35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Michael J. Murphy  Managing Director</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86"/>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William Follis</w:t>
            </w:r>
          </w:p>
        </w:tc>
        <w:tc>
          <w:tcPr>
            <w:tcW w:w="21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Managing Director</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73"/>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Adriano Pierroz</w:t>
            </w:r>
          </w:p>
        </w:tc>
        <w:tc>
          <w:tcPr>
            <w:tcW w:w="2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Director</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73"/>
        </w:trPr>
        <w:tc>
          <w:tcPr>
            <w:tcW w:w="1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Megan Sanford</w:t>
            </w:r>
          </w:p>
        </w:tc>
        <w:tc>
          <w:tcPr>
            <w:tcW w:w="21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Associate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240"/>
          </w:cols>
          <w:pgMar w:left="320" w:top="1418"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w:t>
      </w:r>
    </w:p>
    <w:p>
      <w:pPr>
        <w:spacing w:after="0" w:line="224"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22"/>
          <w:szCs w:val="22"/>
          <w:color w:val="auto"/>
        </w:rPr>
        <w:t>TD Cowen shall be paid compensation of up to 3% of the gross proceeds from the sales of Class A Common Stock pursuant to the terms of this Agreement.</w:t>
      </w:r>
    </w:p>
    <w:p>
      <w:pPr>
        <w:sectPr>
          <w:pgSz w:w="11900" w:h="16838" w:orient="portrait"/>
          <w:cols w:equalWidth="0" w:num="1">
            <w:col w:w="11240"/>
          </w:cols>
          <w:pgMar w:left="320" w:top="1418" w:right="339" w:bottom="1440" w:gutter="0" w:footer="0" w:header="0"/>
        </w:sectPr>
      </w:pPr>
    </w:p>
    <w:bookmarkStart w:id="280" w:name="page281"/>
    <w:bookmarkEnd w:id="280"/>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7(m)</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OFFICER CERTIFICATE</w:t>
      </w:r>
    </w:p>
    <w:p>
      <w:pPr>
        <w:spacing w:after="0" w:line="200" w:lineRule="exact"/>
        <w:rPr>
          <w:sz w:val="20"/>
          <w:szCs w:val="20"/>
          <w:color w:val="auto"/>
        </w:rPr>
      </w:pPr>
    </w:p>
    <w:p>
      <w:pPr>
        <w:spacing w:after="0" w:line="290" w:lineRule="exact"/>
        <w:rPr>
          <w:sz w:val="20"/>
          <w:szCs w:val="20"/>
          <w:color w:val="auto"/>
        </w:rPr>
      </w:pPr>
    </w:p>
    <w:p>
      <w:pPr>
        <w:spacing w:after="0"/>
        <w:tabs>
          <w:tab w:leader="none" w:pos="500" w:val="left"/>
          <w:tab w:leader="none" w:pos="1760" w:val="left"/>
          <w:tab w:leader="none" w:pos="2200" w:val="left"/>
          <w:tab w:leader="none" w:pos="2760" w:val="left"/>
          <w:tab w:leader="none" w:pos="3680" w:val="left"/>
          <w:tab w:leader="none" w:pos="4160" w:val="left"/>
          <w:tab w:leader="none" w:pos="4940" w:val="left"/>
          <w:tab w:leader="none" w:pos="7660" w:val="left"/>
          <w:tab w:leader="none" w:pos="8000" w:val="left"/>
          <w:tab w:leader="none" w:pos="9100" w:val="left"/>
          <w:tab w:leader="none" w:pos="10860" w:val="left"/>
        </w:tabs>
        <w:rPr>
          <w:sz w:val="20"/>
          <w:szCs w:val="20"/>
          <w:color w:val="auto"/>
        </w:rPr>
      </w:pPr>
      <w:r>
        <w:rPr>
          <w:rFonts w:ascii="Times New Roman" w:cs="Times New Roman" w:eastAsia="Times New Roman" w:hAnsi="Times New Roman"/>
          <w:sz w:val="22"/>
          <w:szCs w:val="22"/>
          <w:color w:val="auto"/>
        </w:rPr>
        <w:t>The</w:t>
        <w:tab/>
        <w:t>undersigned,</w:t>
        <w:tab/>
        <w:t>the</w:t>
        <w:tab/>
        <w:t>duly</w:t>
        <w:tab/>
        <w:t>qualified</w:t>
        <w:tab/>
        <w:t>and</w:t>
        <w:tab/>
        <w:t>elected</w:t>
        <w:tab/>
        <w:t>_______________________,</w:t>
        <w:tab/>
        <w:t>of</w:t>
      </w:r>
      <w:r>
        <w:rPr>
          <w:sz w:val="20"/>
          <w:szCs w:val="20"/>
          <w:color w:val="auto"/>
        </w:rPr>
        <w:tab/>
      </w:r>
      <w:r>
        <w:rPr>
          <w:rFonts w:ascii="Times New Roman" w:cs="Times New Roman" w:eastAsia="Times New Roman" w:hAnsi="Times New Roman"/>
          <w:sz w:val="22"/>
          <w:szCs w:val="22"/>
          <w:b w:val="1"/>
          <w:bCs w:val="1"/>
          <w:color w:val="auto"/>
        </w:rPr>
        <w:t>Recursion</w:t>
        <w:tab/>
        <w:t>Pharmaceuticals,</w:t>
      </w:r>
      <w:r>
        <w:rPr>
          <w:sz w:val="20"/>
          <w:szCs w:val="20"/>
          <w:color w:val="auto"/>
        </w:rPr>
        <w:tab/>
      </w:r>
      <w:r>
        <w:rPr>
          <w:rFonts w:ascii="Times New Roman" w:cs="Times New Roman" w:eastAsia="Times New Roman" w:hAnsi="Times New Roman"/>
          <w:sz w:val="21"/>
          <w:szCs w:val="21"/>
          <w:b w:val="1"/>
          <w:bCs w:val="1"/>
          <w:color w:val="auto"/>
        </w:rPr>
        <w:t>Inc.</w:t>
      </w:r>
    </w:p>
    <w:p>
      <w:pPr>
        <w:spacing w:after="0" w:line="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 Delaware corporation, does hereby certify in such capacity and on behalf of the Company, pursuant to Section 7(m) of the Sales Agreement dated February 25, 2026 (the “</w:t>
      </w:r>
      <w:r>
        <w:rPr>
          <w:rFonts w:ascii="Times New Roman" w:cs="Times New Roman" w:eastAsia="Times New Roman" w:hAnsi="Times New Roman"/>
          <w:sz w:val="22"/>
          <w:szCs w:val="22"/>
          <w:b w:val="1"/>
          <w:bCs w:val="1"/>
          <w:color w:val="auto"/>
        </w:rPr>
        <w:t>Sales Agreement</w:t>
      </w:r>
      <w:r>
        <w:rPr>
          <w:rFonts w:ascii="Times New Roman" w:cs="Times New Roman" w:eastAsia="Times New Roman" w:hAnsi="Times New Roman"/>
          <w:sz w:val="22"/>
          <w:szCs w:val="22"/>
          <w:color w:val="auto"/>
        </w:rPr>
        <w:t>”) between the Company and TD Securities (USA) LLC, that to the best of the knowledge of the undersigned.</w:t>
      </w:r>
    </w:p>
    <w:p>
      <w:pPr>
        <w:spacing w:after="0" w:line="206" w:lineRule="exact"/>
        <w:rPr>
          <w:sz w:val="20"/>
          <w:szCs w:val="20"/>
          <w:color w:val="auto"/>
        </w:rPr>
      </w:pPr>
    </w:p>
    <w:p>
      <w:pPr>
        <w:jc w:val="both"/>
        <w:ind w:firstLine="656"/>
        <w:spacing w:after="0" w:line="249" w:lineRule="auto"/>
        <w:tabs>
          <w:tab w:leader="none" w:pos="117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Company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95" w:lineRule="exact"/>
        <w:rPr>
          <w:rFonts w:ascii="Times New Roman" w:cs="Times New Roman" w:eastAsia="Times New Roman" w:hAnsi="Times New Roman"/>
          <w:sz w:val="22"/>
          <w:szCs w:val="22"/>
          <w:color w:val="auto"/>
        </w:rPr>
      </w:pPr>
    </w:p>
    <w:p>
      <w:pPr>
        <w:ind w:firstLine="656"/>
        <w:spacing w:after="0" w:line="271" w:lineRule="auto"/>
        <w:tabs>
          <w:tab w:leader="none" w:pos="116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complied with all agreements and satisfied all conditions on its part to be performed or satisfied pursuant to the Sales Agreement at or prior to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8229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5486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RECURSION PHARMACEUTICALS</w:t>
      </w:r>
      <w:r>
        <w:rPr>
          <w:rFonts w:ascii="Times New Roman" w:cs="Times New Roman" w:eastAsia="Times New Roman" w:hAnsi="Times New Roman"/>
          <w:sz w:val="20"/>
          <w:szCs w:val="20"/>
          <w:b w:val="1"/>
          <w:bCs w:val="1"/>
          <w:color w:val="auto"/>
        </w:rPr>
        <w:t>, INC.</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(Adopted on March 19, 2021; most recently amended October 23, 2025)</w:t>
      </w:r>
    </w:p>
    <w:p>
      <w:pPr>
        <w:spacing w:after="0" w:line="255" w:lineRule="exact"/>
        <w:rPr>
          <w:sz w:val="20"/>
          <w:szCs w:val="20"/>
          <w:color w:val="auto"/>
        </w:rPr>
      </w:pPr>
    </w:p>
    <w:p>
      <w:pPr>
        <w:ind w:left="660" w:hanging="652"/>
        <w:spacing w:after="0"/>
        <w:tabs>
          <w:tab w:leader="none" w:pos="660" w:val="left"/>
        </w:tabs>
        <w:numPr>
          <w:ilvl w:val="0"/>
          <w:numId w:val="200"/>
        </w:numPr>
        <w:rPr>
          <w:rFonts w:ascii="Arial" w:cs="Arial" w:eastAsia="Arial" w:hAnsi="Arial"/>
          <w:sz w:val="20"/>
          <w:szCs w:val="20"/>
          <w:b w:val="1"/>
          <w:bCs w:val="1"/>
          <w:color w:val="auto"/>
        </w:rPr>
      </w:pPr>
      <w:r>
        <w:rPr>
          <w:rFonts w:ascii="Arial" w:cs="Arial" w:eastAsia="Arial" w:hAnsi="Arial"/>
          <w:sz w:val="20"/>
          <w:szCs w:val="20"/>
          <w:b w:val="1"/>
          <w:bCs w:val="1"/>
          <w:color w:val="auto"/>
        </w:rPr>
        <w:t>POLICY OVERVIEW</w:t>
      </w:r>
    </w:p>
    <w:p>
      <w:pPr>
        <w:spacing w:after="0" w:line="239"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Recursion Pharmaceuticals, Inc. (together with any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to help you comply with the federal and state securities laws and regulations that govern trading in securities and to help the Company minimize its own legal and reputational risk.</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7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The Chief Legal Officer shall be responsible for the administration and interpretation of this Policy and may designate others, from time to time, to assist with the execution of his or her duties under this Policy. In the event the Company does not have a Chief Legal Officer, the head of the legal department shall assume all responsibilities and authority under this Policy.</w:t>
      </w:r>
    </w:p>
    <w:p>
      <w:pPr>
        <w:spacing w:after="0" w:line="181" w:lineRule="exact"/>
        <w:rPr>
          <w:sz w:val="20"/>
          <w:szCs w:val="20"/>
          <w:color w:val="auto"/>
        </w:rPr>
      </w:pPr>
    </w:p>
    <w:p>
      <w:pPr>
        <w:ind w:left="660" w:hanging="652"/>
        <w:spacing w:after="0"/>
        <w:tabs>
          <w:tab w:leader="none" w:pos="660" w:val="left"/>
        </w:tabs>
        <w:numPr>
          <w:ilvl w:val="0"/>
          <w:numId w:val="201"/>
        </w:numPr>
        <w:rPr>
          <w:rFonts w:ascii="Arial" w:cs="Arial" w:eastAsia="Arial" w:hAnsi="Arial"/>
          <w:sz w:val="20"/>
          <w:szCs w:val="20"/>
          <w:b w:val="1"/>
          <w:bCs w:val="1"/>
          <w:color w:val="auto"/>
        </w:rPr>
      </w:pPr>
      <w:r>
        <w:rPr>
          <w:rFonts w:ascii="Arial" w:cs="Arial" w:eastAsia="Arial" w:hAnsi="Arial"/>
          <w:sz w:val="20"/>
          <w:szCs w:val="20"/>
          <w:b w:val="1"/>
          <w:bCs w:val="1"/>
          <w:color w:val="auto"/>
        </w:rPr>
        <w:t>POLICY STATEMENT</w:t>
      </w:r>
    </w:p>
    <w:p>
      <w:pPr>
        <w:spacing w:after="0" w:line="243" w:lineRule="exact"/>
        <w:rPr>
          <w:rFonts w:ascii="Arial" w:cs="Arial" w:eastAsia="Arial" w:hAnsi="Arial"/>
          <w:sz w:val="20"/>
          <w:szCs w:val="20"/>
          <w:b w:val="1"/>
          <w:bCs w:val="1"/>
          <w:color w:val="auto"/>
        </w:rPr>
      </w:pPr>
    </w:p>
    <w:p>
      <w:pPr>
        <w:ind w:firstLine="656"/>
        <w:spacing w:after="0" w:line="311" w:lineRule="auto"/>
        <w:tabs>
          <w:tab w:leader="none" w:pos="1296"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Trading on Material Nonpublic Information</w:t>
      </w:r>
      <w:r>
        <w:rPr>
          <w:rFonts w:ascii="Times New Roman" w:cs="Times New Roman" w:eastAsia="Times New Roman" w:hAnsi="Times New Roman"/>
          <w:sz w:val="20"/>
          <w:szCs w:val="20"/>
          <w:color w:val="auto"/>
        </w:rPr>
        <w:t>. It is illegal for anyone to trade in securities on the basis of material nonpublic information. If you are in possession of material nonpublic information about the Company, you are prohibited from:</w:t>
      </w:r>
    </w:p>
    <w:p>
      <w:pPr>
        <w:spacing w:after="0" w:line="146"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transact in securities of the Company;</w:t>
      </w:r>
    </w:p>
    <w:p>
      <w:pPr>
        <w:spacing w:after="0" w:line="256" w:lineRule="exact"/>
        <w:rPr>
          <w:rFonts w:ascii="Times New Roman" w:cs="Times New Roman" w:eastAsia="Times New Roman" w:hAnsi="Times New Roman"/>
          <w:sz w:val="20"/>
          <w:szCs w:val="20"/>
          <w:color w:val="auto"/>
        </w:rPr>
      </w:pPr>
    </w:p>
    <w:p>
      <w:pPr>
        <w:ind w:left="1620" w:right="20" w:hanging="640"/>
        <w:spacing w:after="0" w:line="297" w:lineRule="auto"/>
        <w:tabs>
          <w:tab w:leader="none" w:pos="1620"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other directors, officers, employees, consultants, contractors or advisors whose roles do not require them to have the information;</w:t>
      </w:r>
    </w:p>
    <w:p>
      <w:pPr>
        <w:spacing w:after="0" w:line="173" w:lineRule="exact"/>
        <w:rPr>
          <w:rFonts w:ascii="Times New Roman" w:cs="Times New Roman" w:eastAsia="Times New Roman" w:hAnsi="Times New Roman"/>
          <w:sz w:val="20"/>
          <w:szCs w:val="20"/>
          <w:color w:val="auto"/>
        </w:rPr>
      </w:pPr>
    </w:p>
    <w:p>
      <w:pPr>
        <w:ind w:left="1620" w:hanging="640"/>
        <w:spacing w:after="0" w:line="297" w:lineRule="auto"/>
        <w:tabs>
          <w:tab w:leader="none" w:pos="1609"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anyone outside of the Company, including family, friends, business associates, investors or consulting firms, without prior written authorization from the Chief Legal Officer; or</w:t>
      </w:r>
    </w:p>
    <w:p>
      <w:pPr>
        <w:spacing w:after="0" w:line="173"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express an opinion or make a recommendation about trading in the Company’s securities.</w:t>
      </w:r>
    </w:p>
    <w:p>
      <w:pPr>
        <w:sectPr>
          <w:pgSz w:w="11900" w:h="16838" w:orient="portrait"/>
          <w:cols w:equalWidth="0" w:num="1">
            <w:col w:w="11240"/>
          </w:cols>
          <w:pgMar w:left="320" w:top="593" w:right="339" w:bottom="1440" w:gutter="0" w:footer="0" w:header="0"/>
        </w:sectPr>
      </w:pPr>
    </w:p>
    <w:bookmarkStart w:id="282" w:name="page283"/>
    <w:bookmarkEnd w:id="282"/>
    <w:p>
      <w:pPr>
        <w:spacing w:after="0" w:line="20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In addition, material nonpublic information about another company that you learn through your service with the Company is subject to these same restrictions around disclosure and trading and you cannot use that information to trade securities. Any such action will be deemed a violation of this Policy.</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u w:val="single" w:color="auto"/>
          <w:color w:val="auto"/>
        </w:rPr>
        <w:t>No Disclosure of Confidential Information</w:t>
      </w:r>
      <w:r>
        <w:rPr>
          <w:rFonts w:ascii="Times New Roman" w:cs="Times New Roman" w:eastAsia="Times New Roman" w:hAnsi="Times New Roman"/>
          <w:sz w:val="20"/>
          <w:szCs w:val="20"/>
          <w:color w:val="auto"/>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spacing w:after="0" w:line="17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color w:val="auto"/>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the Chief Financial Officer. Responding to a request yourself may violate this Policy and, in some circumstances, the law. Please consult the Company’s External Communications Policy for more details.</w:t>
      </w:r>
    </w:p>
    <w:p>
      <w:pPr>
        <w:spacing w:after="0" w:line="169" w:lineRule="exact"/>
        <w:rPr>
          <w:sz w:val="20"/>
          <w:szCs w:val="20"/>
          <w:color w:val="auto"/>
        </w:rPr>
      </w:pPr>
    </w:p>
    <w:p>
      <w:pPr>
        <w:jc w:val="both"/>
        <w:ind w:firstLine="656"/>
        <w:spacing w:after="0" w:line="283" w:lineRule="auto"/>
        <w:tabs>
          <w:tab w:leader="none" w:pos="1296"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 of Material Nonpublic Information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Material information</w:t>
      </w:r>
      <w:r>
        <w:rPr>
          <w:rFonts w:ascii="Times New Roman" w:cs="Times New Roman" w:eastAsia="Times New Roman" w:hAnsi="Times New Roman"/>
          <w:sz w:val="20"/>
          <w:szCs w:val="20"/>
          <w:color w:val="auto"/>
        </w:rPr>
        <w:t>” means information that a reasonable investor would be likely to consider important in deciding whether to buy, hold or sell securities of the Company or view as significantly altering the total mix of information available in the marketplace about the Company as an issuer of the securities. In general, any information that could reasonably be expected to affect the market price of a security is likely to be material. Either positive or negative information may be material.</w:t>
      </w:r>
    </w:p>
    <w:p>
      <w:pPr>
        <w:spacing w:after="0" w:line="187"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some examples of information that could be regarded as material include, but are not limited to:</w:t>
      </w:r>
    </w:p>
    <w:p>
      <w:pPr>
        <w:spacing w:after="0" w:line="173" w:lineRule="exact"/>
        <w:rPr>
          <w:sz w:val="20"/>
          <w:szCs w:val="20"/>
          <w:color w:val="auto"/>
        </w:rPr>
      </w:pPr>
    </w:p>
    <w:p>
      <w:pPr>
        <w:jc w:val="both"/>
        <w:ind w:left="1620" w:hanging="640"/>
        <w:spacing w:after="0" w:line="289" w:lineRule="auto"/>
        <w:tabs>
          <w:tab w:leader="none" w:pos="1609"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research and development, relating to the Company’s pre-clinical and clinical studies, including, without limitation, status, results and communications with regulatory agencies, or relating to intellectual property;</w:t>
      </w:r>
    </w:p>
    <w:p>
      <w:pPr>
        <w:spacing w:after="0" w:line="168" w:lineRule="exact"/>
        <w:rPr>
          <w:rFonts w:ascii="Times New Roman" w:cs="Times New Roman" w:eastAsia="Times New Roman" w:hAnsi="Times New Roman"/>
          <w:sz w:val="20"/>
          <w:szCs w:val="20"/>
          <w:color w:val="auto"/>
        </w:rPr>
      </w:pPr>
    </w:p>
    <w:p>
      <w:pPr>
        <w:ind w:left="1620" w:hanging="640"/>
        <w:spacing w:after="0" w:line="311" w:lineRule="auto"/>
        <w:tabs>
          <w:tab w:leader="none" w:pos="162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legal or regulatory developments, whether positive or negative, actual or threatened, including litigation or resolving litigation and government investigations;</w:t>
      </w:r>
    </w:p>
    <w:p>
      <w:pPr>
        <w:spacing w:after="0" w:line="146"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plans or budgets;</w:t>
      </w:r>
    </w:p>
    <w:p>
      <w:pPr>
        <w:spacing w:after="0" w:line="256"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significant financial obligations, or any significant default under or acceleration of any financial obligation;</w:t>
      </w:r>
    </w:p>
    <w:p>
      <w:pPr>
        <w:spacing w:after="0" w:line="242" w:lineRule="exact"/>
        <w:rPr>
          <w:rFonts w:ascii="Times New Roman" w:cs="Times New Roman" w:eastAsia="Times New Roman" w:hAnsi="Times New Roman"/>
          <w:sz w:val="20"/>
          <w:szCs w:val="20"/>
          <w:color w:val="auto"/>
        </w:rPr>
      </w:pPr>
    </w:p>
    <w:p>
      <w:pPr>
        <w:ind w:left="1620" w:hanging="640"/>
        <w:spacing w:after="0" w:line="311" w:lineRule="auto"/>
        <w:tabs>
          <w:tab w:leader="none" w:pos="1609"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203" w:lineRule="exact"/>
        <w:rPr>
          <w:sz w:val="20"/>
          <w:szCs w:val="20"/>
          <w:color w:val="auto"/>
        </w:rPr>
      </w:pPr>
    </w:p>
    <w:p>
      <w:pPr>
        <w:ind w:left="1620" w:hanging="640"/>
        <w:spacing w:after="0" w:line="311" w:lineRule="auto"/>
        <w:tabs>
          <w:tab w:leader="none" w:pos="161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key metrics, financial conditions, earnings pre-announcements, guidance, projections or forecasts, particularly if inconsistent with the Company’s guidance or the expectations of the investment community;</w:t>
      </w:r>
    </w:p>
    <w:p>
      <w:pPr>
        <w:spacing w:after="0" w:line="146" w:lineRule="exact"/>
        <w:rPr>
          <w:rFonts w:ascii="Times New Roman" w:cs="Times New Roman" w:eastAsia="Times New Roman" w:hAnsi="Times New Roman"/>
          <w:sz w:val="20"/>
          <w:szCs w:val="20"/>
          <w:color w:val="auto"/>
        </w:rPr>
      </w:pPr>
    </w:p>
    <w:p>
      <w:pPr>
        <w:ind w:left="1620" w:hanging="640"/>
        <w:spacing w:after="0" w:line="311" w:lineRule="auto"/>
        <w:tabs>
          <w:tab w:leader="none" w:pos="162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impending bankruptcy, financial liquidity problems, material impairments, write-offs or restructurings;</w:t>
      </w:r>
    </w:p>
    <w:p>
      <w:pPr>
        <w:spacing w:after="0" w:line="146"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256"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information relating to a product or potential product;</w:t>
      </w:r>
    </w:p>
    <w:p>
      <w:pPr>
        <w:spacing w:after="0" w:line="242" w:lineRule="exact"/>
        <w:rPr>
          <w:rFonts w:ascii="Times New Roman" w:cs="Times New Roman" w:eastAsia="Times New Roman" w:hAnsi="Times New Roman"/>
          <w:sz w:val="20"/>
          <w:szCs w:val="20"/>
          <w:color w:val="auto"/>
        </w:rPr>
      </w:pPr>
    </w:p>
    <w:p>
      <w:pPr>
        <w:jc w:val="both"/>
        <w:ind w:left="1620" w:hanging="640"/>
        <w:spacing w:after="0" w:line="289" w:lineRule="auto"/>
        <w:tabs>
          <w:tab w:leader="none" w:pos="161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81" w:lineRule="exact"/>
        <w:rPr>
          <w:rFonts w:ascii="Times New Roman" w:cs="Times New Roman" w:eastAsia="Times New Roman" w:hAnsi="Times New Roman"/>
          <w:sz w:val="20"/>
          <w:szCs w:val="20"/>
          <w:color w:val="auto"/>
        </w:rPr>
      </w:pPr>
    </w:p>
    <w:p>
      <w:pPr>
        <w:ind w:left="1620" w:hanging="640"/>
        <w:spacing w:after="0" w:line="297" w:lineRule="auto"/>
        <w:tabs>
          <w:tab w:leader="none" w:pos="162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73"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changes, such as changes in senior management, key employees or employee lay-offs;</w:t>
      </w:r>
    </w:p>
    <w:p>
      <w:pPr>
        <w:spacing w:after="0" w:line="242"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breaches or other cybersecurity events;</w:t>
      </w:r>
    </w:p>
    <w:p>
      <w:pPr>
        <w:spacing w:after="0" w:line="256"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regarding any prior material disclosure that will materially change or has materially changed; and</w:t>
      </w:r>
    </w:p>
    <w:p>
      <w:pPr>
        <w:spacing w:after="0" w:line="242"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 special restricted trading period.</w:t>
      </w:r>
    </w:p>
    <w:p>
      <w:pPr>
        <w:spacing w:after="0" w:line="25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nonpublic information</w:t>
      </w:r>
      <w:r>
        <w:rPr>
          <w:rFonts w:ascii="Times New Roman" w:cs="Times New Roman" w:eastAsia="Times New Roman" w:hAnsi="Times New Roman"/>
          <w:sz w:val="20"/>
          <w:szCs w:val="20"/>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spacing w:after="0" w:line="16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After the release of information, a reasonable period of time must elapse in order to provide the public an opportunity to absorb and evaluate the information provided. As a general rule, at least one full trading day must pass after the dissemination of information before being considered public.</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a rule of thumb, if you think something might be material nonpublic information, it probably is and you should treat it as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can always reach out to the Chief Legal Officer if you have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202" w:lineRule="exact"/>
        <w:rPr>
          <w:sz w:val="20"/>
          <w:szCs w:val="20"/>
          <w:color w:val="auto"/>
        </w:rPr>
      </w:pPr>
    </w:p>
    <w:p>
      <w:pPr>
        <w:ind w:left="660" w:hanging="652"/>
        <w:spacing w:after="0"/>
        <w:tabs>
          <w:tab w:leader="none" w:pos="660" w:val="left"/>
        </w:tabs>
        <w:numPr>
          <w:ilvl w:val="0"/>
          <w:numId w:val="205"/>
        </w:numPr>
        <w:rPr>
          <w:rFonts w:ascii="Arial" w:cs="Arial" w:eastAsia="Arial" w:hAnsi="Arial"/>
          <w:sz w:val="20"/>
          <w:szCs w:val="20"/>
          <w:b w:val="1"/>
          <w:bCs w:val="1"/>
          <w:color w:val="auto"/>
        </w:rPr>
      </w:pPr>
      <w:r>
        <w:rPr>
          <w:rFonts w:ascii="Arial" w:cs="Arial" w:eastAsia="Arial" w:hAnsi="Arial"/>
          <w:sz w:val="20"/>
          <w:szCs w:val="20"/>
          <w:b w:val="1"/>
          <w:bCs w:val="1"/>
          <w:color w:val="auto"/>
        </w:rPr>
        <w:t>PERSONS COVERED BY THIS POLICY</w:t>
      </w:r>
    </w:p>
    <w:p>
      <w:pPr>
        <w:spacing w:after="0" w:line="257"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0"/>
          <w:szCs w:val="20"/>
          <w:color w:val="auto"/>
        </w:rPr>
        <w:t xml:space="preserve">This Policy applies to you if you are a director, officer, employee, consultant, contractor or advisor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provided, however, that this Policy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 </w:t>
      </w:r>
      <w:r>
        <w:rPr>
          <w:rFonts w:ascii="Times New Roman" w:cs="Times New Roman" w:eastAsia="Times New Roman" w:hAnsi="Times New Roman"/>
          <w:sz w:val="20"/>
          <w:szCs w:val="20"/>
          <w:u w:val="single" w:color="auto"/>
          <w:color w:val="auto"/>
        </w:rPr>
        <w:t>but for the avoidance of doubt this Policy applies to any director of the Company that is affiliated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with any such entity.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You are responsible for making sure that these other individuals and entities comply with this Policy.</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This Policy continues to apply even if you leave the Company or are otherwise no longer affiliated with or providing services to the Company, for as long as you remain in possession of material nonpublic information. In addition, if you are subject to a restricted trading period under Section E of this Policy at the time you leave the Company, you must abide by the applicable trading restrictions until at least the end of the relevant restricted trading period.</w:t>
      </w:r>
    </w:p>
    <w:p>
      <w:pPr>
        <w:spacing w:after="0" w:line="187" w:lineRule="exact"/>
        <w:rPr>
          <w:sz w:val="20"/>
          <w:szCs w:val="20"/>
          <w:color w:val="auto"/>
        </w:rPr>
      </w:pPr>
    </w:p>
    <w:p>
      <w:pPr>
        <w:ind w:left="660" w:hanging="652"/>
        <w:spacing w:after="0"/>
        <w:tabs>
          <w:tab w:leader="none" w:pos="660" w:val="left"/>
        </w:tabs>
        <w:numPr>
          <w:ilvl w:val="0"/>
          <w:numId w:val="206"/>
        </w:numPr>
        <w:rPr>
          <w:rFonts w:ascii="Arial" w:cs="Arial" w:eastAsia="Arial" w:hAnsi="Arial"/>
          <w:sz w:val="20"/>
          <w:szCs w:val="20"/>
          <w:b w:val="1"/>
          <w:bCs w:val="1"/>
          <w:color w:val="auto"/>
        </w:rPr>
      </w:pPr>
      <w:r>
        <w:rPr>
          <w:rFonts w:ascii="Arial" w:cs="Arial" w:eastAsia="Arial" w:hAnsi="Arial"/>
          <w:sz w:val="20"/>
          <w:szCs w:val="20"/>
          <w:b w:val="1"/>
          <w:bCs w:val="1"/>
          <w:color w:val="auto"/>
        </w:rPr>
        <w:t>TRADING COVERED BY THIS POLICY</w:t>
      </w:r>
    </w:p>
    <w:p>
      <w:pPr>
        <w:spacing w:after="0" w:line="239"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this Policy applies to all transactions involving the Company’s securities or other companies’ securities for which you possess material nonpublic information obtained in connection with your service with the Company. This Policy therefore applies to:</w:t>
      </w:r>
    </w:p>
    <w:p>
      <w:pPr>
        <w:spacing w:after="0" w:line="180" w:lineRule="exact"/>
        <w:rPr>
          <w:sz w:val="20"/>
          <w:szCs w:val="20"/>
          <w:color w:val="auto"/>
        </w:rPr>
      </w:pPr>
    </w:p>
    <w:p>
      <w:pPr>
        <w:jc w:val="both"/>
        <w:ind w:firstLine="656"/>
        <w:spacing w:after="0" w:line="282" w:lineRule="auto"/>
        <w:tabs>
          <w:tab w:leader="none" w:pos="129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in the form of a gift of any securities of the Company;</w:t>
      </w:r>
    </w:p>
    <w:p>
      <w:pPr>
        <w:spacing w:after="0" w:line="2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distribution to holders of interests in an entity if the entity is subject to this Policy; and</w:t>
      </w:r>
    </w:p>
    <w:p>
      <w:pPr>
        <w:spacing w:after="0" w:line="256" w:lineRule="exact"/>
        <w:rPr>
          <w:rFonts w:ascii="Times New Roman" w:cs="Times New Roman" w:eastAsia="Times New Roman" w:hAnsi="Times New Roman"/>
          <w:sz w:val="20"/>
          <w:szCs w:val="20"/>
          <w:color w:val="auto"/>
        </w:rPr>
      </w:pPr>
    </w:p>
    <w:p>
      <w:pPr>
        <w:jc w:val="both"/>
        <w:ind w:firstLine="656"/>
        <w:spacing w:after="0" w:line="289" w:lineRule="auto"/>
        <w:tabs>
          <w:tab w:leader="none" w:pos="129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arrangement that generates gains or losses from or based on changes in the prices of such securities including derivative securities (for example, exchange-traded put or call options, swaps, caps and collars), hedging and pledging transactions, short sales and certain arrangements regarding participation in benefit plans.</w:t>
      </w:r>
    </w:p>
    <w:p>
      <w:pPr>
        <w:spacing w:after="0" w:line="168" w:lineRule="exact"/>
        <w:rPr>
          <w:sz w:val="20"/>
          <w:szCs w:val="20"/>
          <w:color w:val="auto"/>
        </w:rPr>
      </w:pPr>
    </w:p>
    <w:p>
      <w:pPr>
        <w:ind w:right="20" w:firstLine="648"/>
        <w:spacing w:after="0" w:line="311" w:lineRule="auto"/>
        <w:rPr>
          <w:sz w:val="20"/>
          <w:szCs w:val="20"/>
          <w:color w:val="auto"/>
        </w:rPr>
      </w:pPr>
      <w:r>
        <w:rPr>
          <w:rFonts w:ascii="Times New Roman" w:cs="Times New Roman" w:eastAsia="Times New Roman" w:hAnsi="Times New Roman"/>
          <w:sz w:val="20"/>
          <w:szCs w:val="20"/>
          <w:color w:val="auto"/>
        </w:rPr>
        <w:t>There are no exceptions from insider trading laws or this Policy based on the size of the transaction or the type of consideration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202" w:lineRule="exact"/>
        <w:rPr>
          <w:sz w:val="20"/>
          <w:szCs w:val="20"/>
          <w:color w:val="auto"/>
        </w:rPr>
      </w:pPr>
    </w:p>
    <w:p>
      <w:pPr>
        <w:ind w:left="652" w:hanging="652"/>
        <w:spacing w:after="0"/>
        <w:tabs>
          <w:tab w:leader="none" w:pos="652" w:val="left"/>
        </w:tabs>
        <w:numPr>
          <w:ilvl w:val="0"/>
          <w:numId w:val="208"/>
        </w:numPr>
        <w:rPr>
          <w:rFonts w:ascii="Arial" w:cs="Arial" w:eastAsia="Arial" w:hAnsi="Arial"/>
          <w:sz w:val="20"/>
          <w:szCs w:val="20"/>
          <w:b w:val="1"/>
          <w:bCs w:val="1"/>
          <w:color w:val="auto"/>
        </w:rPr>
      </w:pPr>
      <w:r>
        <w:rPr>
          <w:rFonts w:ascii="Arial" w:cs="Arial" w:eastAsia="Arial" w:hAnsi="Arial"/>
          <w:sz w:val="20"/>
          <w:szCs w:val="20"/>
          <w:b w:val="1"/>
          <w:bCs w:val="1"/>
          <w:color w:val="auto"/>
        </w:rPr>
        <w:t>TRADING RESTRICTIONS</w:t>
      </w:r>
    </w:p>
    <w:p>
      <w:pPr>
        <w:spacing w:after="0" w:line="256"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Subject to the exceptions set forth below, this Policy restricts trading during certain periods and by certain people as follows:</w:t>
      </w:r>
    </w:p>
    <w:p>
      <w:pPr>
        <w:spacing w:after="0" w:line="238" w:lineRule="exact"/>
        <w:rPr>
          <w:rFonts w:ascii="Arial" w:cs="Arial" w:eastAsia="Arial" w:hAnsi="Arial"/>
          <w:sz w:val="20"/>
          <w:szCs w:val="20"/>
          <w:b w:val="1"/>
          <w:bCs w:val="1"/>
          <w:color w:val="auto"/>
        </w:rPr>
      </w:pPr>
    </w:p>
    <w:p>
      <w:pPr>
        <w:jc w:val="both"/>
        <w:ind w:left="-8" w:firstLine="656"/>
        <w:spacing w:after="0" w:line="280" w:lineRule="auto"/>
        <w:tabs>
          <w:tab w:leader="none" w:pos="1288"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Restricted Trading Periods</w:t>
      </w:r>
      <w:r>
        <w:rPr>
          <w:rFonts w:ascii="Times New Roman" w:cs="Times New Roman" w:eastAsia="Times New Roman" w:hAnsi="Times New Roman"/>
          <w:sz w:val="20"/>
          <w:szCs w:val="20"/>
          <w:color w:val="auto"/>
        </w:rPr>
        <w:t>. 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all directors and officers of the Company, and those employees identified by the Company must refrain from conducting transactions involving the Company’s securities during quarterly restricted trading periods. Individuals subject to quarterly restricted trading periods will be informed by the Chief Legal Officer that they are listed on the covered persons list maintained by the Chief Legal Officer (the “</w:t>
      </w:r>
      <w:r>
        <w:rPr>
          <w:rFonts w:ascii="Times New Roman" w:cs="Times New Roman" w:eastAsia="Times New Roman" w:hAnsi="Times New Roman"/>
          <w:sz w:val="20"/>
          <w:szCs w:val="20"/>
          <w:b w:val="1"/>
          <w:bCs w:val="1"/>
          <w:color w:val="auto"/>
        </w:rPr>
        <w:t>Covered Person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List</w:t>
      </w:r>
      <w:r>
        <w:rPr>
          <w:rFonts w:ascii="Times New Roman" w:cs="Times New Roman" w:eastAsia="Times New Roman" w:hAnsi="Times New Roman"/>
          <w:sz w:val="20"/>
          <w:szCs w:val="20"/>
          <w:color w:val="auto"/>
        </w:rPr>
        <w:t>”). To the extent applicable to you, quarterly restricted trading periods also cover your immediate family members, persons with whom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share a household, persons who are your economic dependents, and any entity whose transactions in securities you influence, direct or control. Even if you are not specifically identified as being subject to quarterly restricted trading periods, you should exercise caution when engaging in transactions during quarterly restricted trading periods because of the heightened risk of insider trading exposure.</w:t>
      </w:r>
    </w:p>
    <w:p>
      <w:pPr>
        <w:spacing w:after="0" w:line="179" w:lineRule="exact"/>
        <w:rPr>
          <w:rFonts w:ascii="Times New Roman" w:cs="Times New Roman" w:eastAsia="Times New Roman" w:hAnsi="Times New Roman"/>
          <w:sz w:val="20"/>
          <w:szCs w:val="20"/>
          <w:color w:val="auto"/>
        </w:rPr>
      </w:pPr>
    </w:p>
    <w:p>
      <w:pPr>
        <w:ind w:left="-8" w:firstLine="656"/>
        <w:spacing w:after="0" w:line="311" w:lineRule="auto"/>
        <w:tabs>
          <w:tab w:leader="none" w:pos="1288"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Quarterly restricted trading periods will start at the end of the last day of each fiscal quarter and will end at the start of the second full trading day following the Company’s earnings release.</w:t>
      </w:r>
    </w:p>
    <w:p>
      <w:pPr>
        <w:spacing w:after="0" w:line="146" w:lineRule="exact"/>
        <w:rPr>
          <w:rFonts w:ascii="Times New Roman" w:cs="Times New Roman" w:eastAsia="Times New Roman" w:hAnsi="Times New Roman"/>
          <w:sz w:val="20"/>
          <w:szCs w:val="20"/>
          <w:color w:val="auto"/>
        </w:rPr>
      </w:pPr>
    </w:p>
    <w:p>
      <w:pPr>
        <w:jc w:val="both"/>
        <w:ind w:left="-8" w:firstLine="656"/>
        <w:spacing w:after="0" w:line="282" w:lineRule="auto"/>
        <w:tabs>
          <w:tab w:leader="none" w:pos="1288"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against trading during the restricted trading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restricted trading period, including “limit orders” to buy or sell stock at a specific price or better and “stop orders” to buy or sell stock once the price of the stock reaches a specified price. If you are subject to restricted trading periods or pre-clearance requirements, you should so inform any broker with whom such an open order is placed at the time it is placed.</w:t>
      </w:r>
    </w:p>
    <w:p>
      <w:pPr>
        <w:spacing w:after="0" w:line="174" w:lineRule="exact"/>
        <w:rPr>
          <w:rFonts w:ascii="Times New Roman" w:cs="Times New Roman" w:eastAsia="Times New Roman" w:hAnsi="Times New Roman"/>
          <w:sz w:val="20"/>
          <w:szCs w:val="20"/>
          <w:color w:val="auto"/>
        </w:rPr>
      </w:pPr>
    </w:p>
    <w:p>
      <w:pPr>
        <w:ind w:left="-8" w:firstLine="656"/>
        <w:spacing w:after="0" w:line="311" w:lineRule="auto"/>
        <w:tabs>
          <w:tab w:leader="none" w:pos="1288"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quarterly restricted trading periods, and the Chief Legal Officer may update and revise the Covered Persons List as appropriate.</w:t>
      </w:r>
    </w:p>
    <w:p>
      <w:pPr>
        <w:spacing w:after="0" w:line="146" w:lineRule="exact"/>
        <w:rPr>
          <w:rFonts w:ascii="Times New Roman" w:cs="Times New Roman" w:eastAsia="Times New Roman" w:hAnsi="Times New Roman"/>
          <w:sz w:val="20"/>
          <w:szCs w:val="20"/>
          <w:color w:val="auto"/>
        </w:rPr>
      </w:pPr>
    </w:p>
    <w:p>
      <w:pPr>
        <w:jc w:val="both"/>
        <w:ind w:left="-8" w:firstLine="656"/>
        <w:spacing w:after="0" w:line="279" w:lineRule="auto"/>
        <w:tabs>
          <w:tab w:leader="none" w:pos="1288"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Restricted trading Periods</w:t>
      </w:r>
      <w:r>
        <w:rPr>
          <w:rFonts w:ascii="Times New Roman" w:cs="Times New Roman" w:eastAsia="Times New Roman" w:hAnsi="Times New Roman"/>
          <w:sz w:val="20"/>
          <w:szCs w:val="20"/>
          <w:color w:val="auto"/>
        </w:rPr>
        <w:t>. The Company always retains the right to impose additional or longer trading restricted trading periods at any time on any or all of its directors, officers, employees, consultants, contractors, and advisors. The Chief Legal Officer will notify you if you are subject to a special restricted trading period by providing to you a notice in writing, which may be via email. If you are notified that you are subject to a special restricted trading period, you may not engage in any transaction involving the Company’s securities until the special restricted trading period has ended other than the transactions that are covered by the exceptions below. You also may not disclose to anyone else that the Company has imposed a special restricted trading period. To the extent applicable to you, special restricted trading periods also cover your immediate family members, persons with whom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32"/>
          </w:cols>
          <w:pgMar w:left="328" w:top="1440" w:right="339" w:bottom="1440" w:gutter="0" w:footer="0" w:header="0"/>
        </w:sectPr>
      </w:pPr>
    </w:p>
    <w:bookmarkStart w:id="286" w:name="page287"/>
    <w:bookmarkEnd w:id="286"/>
    <w:p>
      <w:pPr>
        <w:spacing w:after="0" w:line="203"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share a household, persons who are your economic dependents, and any entity whose transactions in securities you influence, direct or control.</w:t>
      </w:r>
    </w:p>
    <w:p>
      <w:pPr>
        <w:spacing w:after="0" w:line="146" w:lineRule="exact"/>
        <w:rPr>
          <w:sz w:val="20"/>
          <w:szCs w:val="20"/>
          <w:color w:val="auto"/>
        </w:rPr>
      </w:pPr>
    </w:p>
    <w:p>
      <w:pPr>
        <w:jc w:val="both"/>
        <w:ind w:firstLine="656"/>
        <w:spacing w:after="0" w:line="279" w:lineRule="auto"/>
        <w:tabs>
          <w:tab w:leader="none" w:pos="1296"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Regulation BTR</w:t>
      </w:r>
      <w:r>
        <w:rPr>
          <w:rFonts w:ascii="Times New Roman" w:cs="Times New Roman" w:eastAsia="Times New Roman" w:hAnsi="Times New Roman"/>
          <w:sz w:val="20"/>
          <w:szCs w:val="20"/>
          <w:color w:val="auto"/>
        </w:rPr>
        <w:t xml:space="preserve"> . Directors and officers may also be subject to restricted trading periods pursuant to Regulation Blackout Trading Restriction, or Regulation BTR, under U.S. federal securities laws. In general, Regulation BTR prohibits any director or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trading restriction under Regulation BTR. Failure to comply with an applicable restricted trading period in accordance with Regulation BTR is a violation of law and this Policy.</w:t>
      </w:r>
    </w:p>
    <w:p>
      <w:pPr>
        <w:spacing w:after="0" w:line="182"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210"/>
        </w:numPr>
        <w:rPr>
          <w:rFonts w:ascii="Arial" w:cs="Arial" w:eastAsia="Arial" w:hAnsi="Arial"/>
          <w:sz w:val="20"/>
          <w:szCs w:val="20"/>
          <w:b w:val="1"/>
          <w:bCs w:val="1"/>
          <w:color w:val="auto"/>
        </w:rPr>
      </w:pPr>
      <w:r>
        <w:rPr>
          <w:rFonts w:ascii="Arial" w:cs="Arial" w:eastAsia="Arial" w:hAnsi="Arial"/>
          <w:sz w:val="20"/>
          <w:szCs w:val="20"/>
          <w:b w:val="1"/>
          <w:bCs w:val="1"/>
          <w:color w:val="auto"/>
        </w:rPr>
        <w:t>PROHIBITED TRANSACTIONS</w:t>
      </w:r>
    </w:p>
    <w:p>
      <w:pPr>
        <w:spacing w:after="0" w:line="256" w:lineRule="exact"/>
        <w:rPr>
          <w:rFonts w:ascii="Arial" w:cs="Arial" w:eastAsia="Arial" w:hAnsi="Arial"/>
          <w:sz w:val="20"/>
          <w:szCs w:val="20"/>
          <w:b w:val="1"/>
          <w:bCs w:val="1"/>
          <w:color w:val="auto"/>
        </w:rPr>
      </w:pPr>
    </w:p>
    <w:p>
      <w:pPr>
        <w:ind w:right="20" w:firstLine="656"/>
        <w:spacing w:after="0" w:line="297" w:lineRule="auto"/>
        <w:tabs>
          <w:tab w:leader="none" w:pos="1296"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not engage in any of the following types of transactions other than as noted below, regardless of whether you have material nonpublic information or not.</w:t>
      </w:r>
    </w:p>
    <w:p>
      <w:pPr>
        <w:spacing w:after="0" w:line="173" w:lineRule="exact"/>
        <w:rPr>
          <w:sz w:val="20"/>
          <w:szCs w:val="20"/>
          <w:color w:val="auto"/>
        </w:rPr>
      </w:pPr>
    </w:p>
    <w:p>
      <w:pPr>
        <w:ind w:firstLine="656"/>
        <w:spacing w:after="0" w:line="297" w:lineRule="auto"/>
        <w:tabs>
          <w:tab w:leader="none" w:pos="1296"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173" w:lineRule="exact"/>
        <w:rPr>
          <w:rFonts w:ascii="Times New Roman" w:cs="Times New Roman" w:eastAsia="Times New Roman" w:hAnsi="Times New Roman"/>
          <w:sz w:val="20"/>
          <w:szCs w:val="20"/>
          <w:color w:val="auto"/>
        </w:rPr>
      </w:pPr>
    </w:p>
    <w:p>
      <w:pPr>
        <w:jc w:val="both"/>
        <w:ind w:firstLine="656"/>
        <w:spacing w:after="0" w:line="279" w:lineRule="auto"/>
        <w:tabs>
          <w:tab w:leader="none" w:pos="1296"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Derivative Securities and Hedging Transactions</w:t>
      </w:r>
      <w:r>
        <w:rPr>
          <w:rFonts w:ascii="Times New Roman" w:cs="Times New Roman" w:eastAsia="Times New Roman" w:hAnsi="Times New Roman"/>
          <w:sz w:val="20"/>
          <w:szCs w:val="20"/>
          <w:color w:val="auto"/>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spacing w:after="0" w:line="191" w:lineRule="exact"/>
        <w:rPr>
          <w:rFonts w:ascii="Times New Roman" w:cs="Times New Roman" w:eastAsia="Times New Roman" w:hAnsi="Times New Roman"/>
          <w:sz w:val="20"/>
          <w:szCs w:val="20"/>
          <w:color w:val="auto"/>
        </w:rPr>
      </w:pPr>
    </w:p>
    <w:p>
      <w:pPr>
        <w:ind w:firstLine="656"/>
        <w:spacing w:after="0" w:line="297" w:lineRule="auto"/>
        <w:tabs>
          <w:tab w:leader="none" w:pos="1296"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Pledging Transactions</w:t>
      </w:r>
      <w:r>
        <w:rPr>
          <w:rFonts w:ascii="Times New Roman" w:cs="Times New Roman" w:eastAsia="Times New Roman" w:hAnsi="Times New Roman"/>
          <w:sz w:val="20"/>
          <w:szCs w:val="20"/>
          <w:color w:val="auto"/>
        </w:rPr>
        <w:t>. If you are required to comply with the restricted trading periods or pre-clearance requirements under this Policy, you may not pledge the Company’s securities as collateral for any loan or as part of any other pledging transaction.</w:t>
      </w:r>
    </w:p>
    <w:p>
      <w:pPr>
        <w:spacing w:after="0" w:line="173" w:lineRule="exact"/>
        <w:rPr>
          <w:rFonts w:ascii="Times New Roman" w:cs="Times New Roman" w:eastAsia="Times New Roman" w:hAnsi="Times New Roman"/>
          <w:sz w:val="20"/>
          <w:szCs w:val="20"/>
          <w:color w:val="auto"/>
        </w:rPr>
      </w:pPr>
    </w:p>
    <w:p>
      <w:pPr>
        <w:ind w:firstLine="656"/>
        <w:spacing w:after="0" w:line="297" w:lineRule="auto"/>
        <w:tabs>
          <w:tab w:leader="none" w:pos="1296"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Accounts</w:t>
      </w:r>
      <w:r>
        <w:rPr>
          <w:rFonts w:ascii="Times New Roman" w:cs="Times New Roman" w:eastAsia="Times New Roman" w:hAnsi="Times New Roman"/>
          <w:sz w:val="20"/>
          <w:szCs w:val="20"/>
          <w:color w:val="auto"/>
        </w:rPr>
        <w:t>. If you are required to comply with the restricted trading periods or pre-clearance requirements under this Policy, you may not hold the Company’s common stock in margin accounts.</w:t>
      </w:r>
    </w:p>
    <w:p>
      <w:pPr>
        <w:spacing w:after="0" w:line="17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212"/>
        </w:numPr>
        <w:rPr>
          <w:rFonts w:ascii="Arial" w:cs="Arial" w:eastAsia="Arial" w:hAnsi="Arial"/>
          <w:sz w:val="20"/>
          <w:szCs w:val="20"/>
          <w:b w:val="1"/>
          <w:bCs w:val="1"/>
          <w:color w:val="auto"/>
        </w:rPr>
      </w:pPr>
      <w:r>
        <w:rPr>
          <w:rFonts w:ascii="Arial" w:cs="Arial" w:eastAsia="Arial" w:hAnsi="Arial"/>
          <w:sz w:val="20"/>
          <w:szCs w:val="20"/>
          <w:b w:val="1"/>
          <w:bCs w:val="1"/>
          <w:color w:val="auto"/>
        </w:rPr>
        <w:t>PRE-CLEARANCE OF TRADES</w:t>
      </w:r>
    </w:p>
    <w:p>
      <w:pPr>
        <w:spacing w:after="0" w:line="243" w:lineRule="exact"/>
        <w:rPr>
          <w:rFonts w:ascii="Arial" w:cs="Arial" w:eastAsia="Arial" w:hAnsi="Arial"/>
          <w:sz w:val="20"/>
          <w:szCs w:val="20"/>
          <w:b w:val="1"/>
          <w:bCs w:val="1"/>
          <w:color w:val="auto"/>
        </w:rPr>
      </w:pPr>
    </w:p>
    <w:p>
      <w:pPr>
        <w:jc w:val="both"/>
        <w:ind w:firstLine="656"/>
        <w:spacing w:after="0" w:line="289" w:lineRule="auto"/>
        <w:tabs>
          <w:tab w:leader="none" w:pos="1296"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directors and officers and any other persons identified by the Chief Legal Officer from time to time as being subject to pre-clearance requirements must obtain pre-clearance prior to trading the Company’s securities. If you are subject to pre-clearance requirements, you should submit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pre-clearance request to the Chief Legal Officer. The pre-clearance request must be made on the form provided by the Chief Legal Officer. The person requesting pre-clearance will be asked to certify that he or she is not in possession of material nonpublic information about the Company. The Chief Legal Officer is under no obligation to approve a transaction submitted for pre-clearance and may determine not to permit the transaction.</w:t>
      </w:r>
    </w:p>
    <w:p>
      <w:pPr>
        <w:spacing w:after="0" w:line="173" w:lineRule="exact"/>
        <w:rPr>
          <w:sz w:val="20"/>
          <w:szCs w:val="20"/>
          <w:color w:val="auto"/>
        </w:rPr>
      </w:pPr>
    </w:p>
    <w:p>
      <w:pPr>
        <w:jc w:val="both"/>
        <w:ind w:firstLine="656"/>
        <w:spacing w:after="0" w:line="286" w:lineRule="auto"/>
        <w:tabs>
          <w:tab w:leader="none" w:pos="1296"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Chief Legal Officer is the requester, then the Company’s Chief Executive Officer, Chief Financial Officer, or their delegate, must pre-clear or deny any trade. If recommended by the Chief Legal Officer, trades made by the Chief Executive Officer or the Chief Financial Officer also must be approved by a committee of the Company’s board of directors. All trades must be executed within two business days of any pre-clearance.</w:t>
      </w:r>
    </w:p>
    <w:p>
      <w:pPr>
        <w:spacing w:after="0" w:line="173" w:lineRule="exact"/>
        <w:rPr>
          <w:sz w:val="20"/>
          <w:szCs w:val="20"/>
          <w:color w:val="auto"/>
        </w:rPr>
      </w:pPr>
    </w:p>
    <w:p>
      <w:pPr>
        <w:ind w:firstLine="648"/>
        <w:spacing w:after="0" w:line="311" w:lineRule="auto"/>
        <w:rPr>
          <w:sz w:val="20"/>
          <w:szCs w:val="20"/>
          <w:color w:val="auto"/>
        </w:rPr>
      </w:pPr>
      <w:r>
        <w:rPr>
          <w:rFonts w:ascii="Times New Roman" w:cs="Times New Roman" w:eastAsia="Times New Roman" w:hAnsi="Times New Roman"/>
          <w:sz w:val="20"/>
          <w:szCs w:val="20"/>
          <w:color w:val="auto"/>
        </w:rPr>
        <w:t>Even after preclearance, a person may not trade the Company’s securities if they become subject to a restricted trading period or aware of material nonpublic information prior to the trade being executed.</w:t>
      </w:r>
    </w:p>
    <w:p>
      <w:pPr>
        <w:spacing w:after="0" w:line="146" w:lineRule="exact"/>
        <w:rPr>
          <w:sz w:val="20"/>
          <w:szCs w:val="20"/>
          <w:color w:val="auto"/>
        </w:rPr>
      </w:pPr>
    </w:p>
    <w:p>
      <w:pPr>
        <w:ind w:left="660" w:hanging="652"/>
        <w:spacing w:after="0"/>
        <w:tabs>
          <w:tab w:leader="none" w:pos="660" w:val="left"/>
        </w:tabs>
        <w:numPr>
          <w:ilvl w:val="0"/>
          <w:numId w:val="214"/>
        </w:numPr>
        <w:rPr>
          <w:rFonts w:ascii="Arial" w:cs="Arial" w:eastAsia="Arial" w:hAnsi="Arial"/>
          <w:sz w:val="20"/>
          <w:szCs w:val="20"/>
          <w:b w:val="1"/>
          <w:bCs w:val="1"/>
          <w:color w:val="auto"/>
        </w:rPr>
      </w:pPr>
      <w:r>
        <w:rPr>
          <w:rFonts w:ascii="Arial" w:cs="Arial" w:eastAsia="Arial" w:hAnsi="Arial"/>
          <w:sz w:val="20"/>
          <w:szCs w:val="20"/>
          <w:b w:val="1"/>
          <w:bCs w:val="1"/>
          <w:color w:val="auto"/>
        </w:rPr>
        <w:t>EXCEPTIONS TO TRADING RESTRICTIONS</w:t>
      </w:r>
    </w:p>
    <w:p>
      <w:pPr>
        <w:spacing w:after="0" w:line="256" w:lineRule="exact"/>
        <w:rPr>
          <w:rFonts w:ascii="Arial" w:cs="Arial" w:eastAsia="Arial" w:hAnsi="Arial"/>
          <w:sz w:val="20"/>
          <w:szCs w:val="20"/>
          <w:b w:val="1"/>
          <w:bCs w:val="1"/>
          <w:color w:val="auto"/>
        </w:rPr>
      </w:pPr>
    </w:p>
    <w:p>
      <w:pPr>
        <w:jc w:val="both"/>
        <w:ind w:firstLine="656"/>
        <w:spacing w:after="0" w:line="282" w:lineRule="auto"/>
        <w:tabs>
          <w:tab w:leader="none" w:pos="1296"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unconditional “safe harbors” for trades made at particular times, and all persons subject to this Policy should exercise good judgment at all times. Even when a quarterly restricted trading period is not in effect, you may be prohibited from engaging in transactions involving the Company’s securities because you possess material nonpublic information, are subject to a special restricted trading period or are otherwise restricted under this Policy.</w:t>
      </w:r>
    </w:p>
    <w:p>
      <w:pPr>
        <w:spacing w:after="0" w:line="188" w:lineRule="exact"/>
        <w:rPr>
          <w:rFonts w:ascii="Times New Roman" w:cs="Times New Roman" w:eastAsia="Times New Roman" w:hAnsi="Times New Roman"/>
          <w:sz w:val="20"/>
          <w:szCs w:val="20"/>
          <w:color w:val="auto"/>
        </w:rPr>
      </w:pPr>
    </w:p>
    <w:p>
      <w:pPr>
        <w:ind w:firstLine="656"/>
        <w:spacing w:after="0" w:line="297" w:lineRule="auto"/>
        <w:tabs>
          <w:tab w:leader="none" w:pos="1296"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are certain limited exceptions to the restricted trading period restrictions and pre-clearance requirements imposed by the Company under this Policy:</w:t>
      </w:r>
    </w:p>
    <w:p>
      <w:pPr>
        <w:spacing w:after="0" w:line="173" w:lineRule="exact"/>
        <w:rPr>
          <w:sz w:val="20"/>
          <w:szCs w:val="20"/>
          <w:color w:val="auto"/>
        </w:rPr>
      </w:pPr>
    </w:p>
    <w:p>
      <w:pPr>
        <w:ind w:left="1300" w:hanging="644"/>
        <w:spacing w:after="0"/>
        <w:tabs>
          <w:tab w:leader="none" w:pos="130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 exercises where the purchase price of such stock options is paid in cash and there is no other associated market</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activity;</w:t>
      </w:r>
    </w:p>
    <w:p>
      <w:pPr>
        <w:spacing w:after="0" w:line="25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and vesting of stock options, restricted stock units, restricted stock or other equity compensation awards from the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w:t>
      </w:r>
    </w:p>
    <w:p>
      <w:pPr>
        <w:spacing w:after="0" w:line="25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pursuant to the employee stock purchase plan; however, this exception does not apply to subsequent sales of the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w:t>
      </w:r>
    </w:p>
    <w:p>
      <w:pPr>
        <w:spacing w:after="0" w:line="254" w:lineRule="exact"/>
        <w:rPr>
          <w:rFonts w:ascii="Times New Roman" w:cs="Times New Roman" w:eastAsia="Times New Roman" w:hAnsi="Times New Roman"/>
          <w:sz w:val="20"/>
          <w:szCs w:val="20"/>
          <w:color w:val="auto"/>
        </w:rPr>
      </w:pPr>
    </w:p>
    <w:p>
      <w:pPr>
        <w:jc w:val="both"/>
        <w:ind w:firstLine="656"/>
        <w:spacing w:after="0" w:line="282" w:lineRule="auto"/>
        <w:tabs>
          <w:tab w:leader="none" w:pos="129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share withholding with respect to equity awards where shares are withheld by the Company in order to satisfy tax withholding requirements, (x) as required by either the Company’s board of directors (or a committee thereof) or the award agreement governing such equity award or (y) if permitted by the Company, so long as any election is irrevocable and made in writing at a time when a restricted trading period is not in place and you are not in possession of material nonpublic information;</w:t>
      </w:r>
    </w:p>
    <w:p>
      <w:pPr>
        <w:spacing w:after="0" w:line="188" w:lineRule="exact"/>
        <w:rPr>
          <w:rFonts w:ascii="Times New Roman" w:cs="Times New Roman" w:eastAsia="Times New Roman" w:hAnsi="Times New Roman"/>
          <w:sz w:val="20"/>
          <w:szCs w:val="20"/>
          <w:color w:val="auto"/>
        </w:rPr>
      </w:pPr>
    </w:p>
    <w:p>
      <w:pPr>
        <w:jc w:val="both"/>
        <w:ind w:firstLine="656"/>
        <w:spacing w:after="0" w:line="282" w:lineRule="auto"/>
        <w:tabs>
          <w:tab w:leader="none" w:pos="129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to cover transactions where shares are sold on your behalf upon vesting of equity awards and sold in order to satisfy tax withholding requirements, (x) as required by either the Company’s board of directors (or a committee thereof) or the award agreement governing such equity award or (y) if permitted by the Company, so long as any election is irrevocable and made in writing at a time when a restricted trading period is not in place and you are not in possession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however, this exception does not apply to any other market sale for the purposes of paying required withholding;</w:t>
      </w:r>
    </w:p>
    <w:p>
      <w:pPr>
        <w:spacing w:after="0" w:line="252" w:lineRule="exact"/>
        <w:rPr>
          <w:sz w:val="20"/>
          <w:szCs w:val="20"/>
          <w:color w:val="auto"/>
        </w:rPr>
      </w:pPr>
    </w:p>
    <w:p>
      <w:pPr>
        <w:ind w:left="1300" w:hanging="644"/>
        <w:spacing w:after="0"/>
        <w:tabs>
          <w:tab w:leader="none" w:pos="130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made pursuant to a valid 10b5-1 trading plan approved by the Company (see Section I (</w:t>
      </w:r>
      <w:r>
        <w:rPr>
          <w:rFonts w:ascii="Times New Roman" w:cs="Times New Roman" w:eastAsia="Times New Roman" w:hAnsi="Times New Roman"/>
          <w:sz w:val="20"/>
          <w:szCs w:val="20"/>
          <w:i w:val="1"/>
          <w:iCs w:val="1"/>
          <w:color w:val="auto"/>
        </w:rPr>
        <w:t>10b5-1 Trading Plans</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254" w:lineRule="exact"/>
        <w:rPr>
          <w:sz w:val="20"/>
          <w:szCs w:val="20"/>
          <w:color w:val="auto"/>
        </w:rPr>
      </w:pPr>
    </w:p>
    <w:p>
      <w:pPr>
        <w:jc w:val="both"/>
        <w:ind w:firstLine="656"/>
        <w:spacing w:after="0" w:line="279" w:lineRule="auto"/>
        <w:tabs>
          <w:tab w:leader="none" w:pos="1296"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purchases of the Company’s stock in the 401(k) plan resulting from periodic contributions to the plan based on your payroll contribution election;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trading restrictions and pre-clearance requirements do apply to elections you make under the 401(k) plan to (a) increase or decrease the amount of your contributions under the 401(k) plan if such increase or decrease will increase or decrease the amount of your contributions that will be allocated to a Company stock fund, (b) increase or decrease the percentage of your contributions that will be allocated to a Company stock fund, (c) move balances into or out of a Company stock fund, (d) borrow money against your 401(k) plan account if the loan will result in liquidation of some or all of your Company stock fund balance, and (e) prepay a plan loan if the pre-payment will result in the allocation of loan proceeds to a Company stock fund;</w:t>
      </w:r>
    </w:p>
    <w:p>
      <w:pPr>
        <w:spacing w:after="0" w:line="180" w:lineRule="exact"/>
        <w:rPr>
          <w:rFonts w:ascii="Times New Roman" w:cs="Times New Roman" w:eastAsia="Times New Roman" w:hAnsi="Times New Roman"/>
          <w:sz w:val="20"/>
          <w:szCs w:val="20"/>
          <w:color w:val="auto"/>
        </w:rPr>
      </w:pPr>
    </w:p>
    <w:p>
      <w:pPr>
        <w:jc w:val="both"/>
        <w:ind w:firstLine="656"/>
        <w:spacing w:after="0" w:line="289" w:lineRule="auto"/>
        <w:tabs>
          <w:tab w:leader="none" w:pos="1296"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by will or the laws of descent or distribution and, provided that prior written notice is provided to the Chief Legal Officer, distributions or transfers (such as certain tax planning or estate planning transfers) that effect only a change in the form of beneficial interest without changing your pecuniary interest in the Company’s securities; and</w:t>
      </w:r>
    </w:p>
    <w:p>
      <w:pPr>
        <w:spacing w:after="0" w:line="181" w:lineRule="exact"/>
        <w:rPr>
          <w:rFonts w:ascii="Times New Roman" w:cs="Times New Roman" w:eastAsia="Times New Roman" w:hAnsi="Times New Roman"/>
          <w:sz w:val="20"/>
          <w:szCs w:val="20"/>
          <w:color w:val="auto"/>
        </w:rPr>
      </w:pPr>
    </w:p>
    <w:p>
      <w:pPr>
        <w:ind w:firstLine="656"/>
        <w:spacing w:after="0" w:line="297" w:lineRule="auto"/>
        <w:tabs>
          <w:tab w:leader="none" w:pos="1296"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number of the Company’s securities you hold due to a stock split or a stock dividend that applies equally to all securities of a class, or similar transactions.</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If there is a Regulation BTR restricted trading period then the limited exceptions set forth in Regulation BTR will apply. Please be aware that even if a transaction is subject to an exception to this Policy, you will need to separately assess whether the transaction complies with applicable law. Any other Policy exceptions must be approved by the Chief Legal Officer, in consultation with the Company’s board of directors or an independent committee of the board of directors.</w:t>
      </w:r>
    </w:p>
    <w:p>
      <w:pPr>
        <w:spacing w:after="0" w:line="187" w:lineRule="exact"/>
        <w:rPr>
          <w:sz w:val="20"/>
          <w:szCs w:val="20"/>
          <w:color w:val="auto"/>
        </w:rPr>
      </w:pPr>
    </w:p>
    <w:p>
      <w:pPr>
        <w:ind w:left="640" w:hanging="632"/>
        <w:spacing w:after="0"/>
        <w:tabs>
          <w:tab w:leader="none" w:pos="640" w:val="left"/>
        </w:tabs>
        <w:numPr>
          <w:ilvl w:val="0"/>
          <w:numId w:val="218"/>
        </w:numPr>
        <w:rPr>
          <w:rFonts w:ascii="Arial" w:cs="Arial" w:eastAsia="Arial" w:hAnsi="Arial"/>
          <w:sz w:val="20"/>
          <w:szCs w:val="20"/>
          <w:b w:val="1"/>
          <w:bCs w:val="1"/>
          <w:color w:val="auto"/>
        </w:rPr>
      </w:pPr>
      <w:r>
        <w:rPr>
          <w:rFonts w:ascii="Arial" w:cs="Arial" w:eastAsia="Arial" w:hAnsi="Arial"/>
          <w:sz w:val="20"/>
          <w:szCs w:val="20"/>
          <w:b w:val="1"/>
          <w:bCs w:val="1"/>
          <w:color w:val="auto"/>
        </w:rPr>
        <w:t>10B5-1 TRADING PLANS</w:t>
      </w:r>
    </w:p>
    <w:p>
      <w:pPr>
        <w:spacing w:after="0" w:line="243"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0"/>
          <w:szCs w:val="20"/>
          <w:color w:val="auto"/>
        </w:rPr>
        <w:t xml:space="preserve">The Company requires all its directors and officers who are subject to Section 16 of the Securities and Exchange Act of 1934 who trade in the Company’s securities and permits its other officers and employees to adopt written 10b5-1 trading plans in order to mitigate the risk of trading on material nonpublic information. These plans allow for individuals to enter into a prearranged trading plan as long as the plan is not established or modified during a restricted trading period or when the individual is otherwise in possession of material nonpublic information. To be approved by the Company and qualify for the exception to this Policy, any 10b5-1 trading plan adopted by a director, officer or employee must be submitted to the Chief Legal Officer for approval and must comply with the requirements set forth in the Requirements for Trading Plans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If the Chief Legal Officer is the requester, then the Company’s Chief Executive Officer, Chief Financial Officer, or their delegate, must approve the written 10b5-1 trading plan. From time to time, the Chief Legal Officer or his or her delegate may update and revise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as necessary or desirable and in consultation with outside counsel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203"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subject to review and ratification by the Company’s board of directors on an annual basis to the extent there are any such updates or revisions.</w:t>
      </w:r>
    </w:p>
    <w:p>
      <w:pPr>
        <w:spacing w:after="0" w:line="146" w:lineRule="exact"/>
        <w:rPr>
          <w:sz w:val="20"/>
          <w:szCs w:val="20"/>
          <w:color w:val="auto"/>
        </w:rPr>
      </w:pPr>
    </w:p>
    <w:p>
      <w:pPr>
        <w:ind w:left="640" w:hanging="632"/>
        <w:spacing w:after="0"/>
        <w:tabs>
          <w:tab w:leader="none" w:pos="640" w:val="left"/>
        </w:tabs>
        <w:numPr>
          <w:ilvl w:val="0"/>
          <w:numId w:val="219"/>
        </w:numPr>
        <w:rPr>
          <w:rFonts w:ascii="Arial" w:cs="Arial" w:eastAsia="Arial" w:hAnsi="Arial"/>
          <w:sz w:val="20"/>
          <w:szCs w:val="20"/>
          <w:b w:val="1"/>
          <w:bCs w:val="1"/>
          <w:color w:val="auto"/>
        </w:rPr>
      </w:pPr>
      <w:r>
        <w:rPr>
          <w:rFonts w:ascii="Arial" w:cs="Arial" w:eastAsia="Arial" w:hAnsi="Arial"/>
          <w:sz w:val="20"/>
          <w:szCs w:val="20"/>
          <w:b w:val="1"/>
          <w:bCs w:val="1"/>
          <w:color w:val="auto"/>
        </w:rPr>
        <w:t>SECTION 16 COMPLIANCE</w:t>
      </w:r>
    </w:p>
    <w:p>
      <w:pPr>
        <w:spacing w:after="0" w:line="25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168"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cs="Times New Roman" w:eastAsia="Times New Roman" w:hAnsi="Times New Roman"/>
          <w:sz w:val="20"/>
          <w:szCs w:val="20"/>
          <w:i w:val="1"/>
          <w:iCs w:val="1"/>
          <w:color w:val="auto"/>
        </w:rPr>
        <w:t>etc.</w:t>
      </w:r>
      <w:r>
        <w:rPr>
          <w:rFonts w:ascii="Times New Roman" w:cs="Times New Roman" w:eastAsia="Times New Roman" w:hAnsi="Times New Roman"/>
          <w:sz w:val="20"/>
          <w:szCs w:val="20"/>
          <w:color w:val="auto"/>
        </w:rPr>
        <w:t>) about his or her transactions involving the Company’s securities.</w:t>
      </w:r>
    </w:p>
    <w:p>
      <w:pPr>
        <w:spacing w:after="0" w:line="18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The Company is available to assist in filing Section 16 reports, but the obligation to comply with Section 16 is personal. If you have any questions, you should check with the Chief Legal Officer.</w:t>
      </w:r>
    </w:p>
    <w:p>
      <w:pPr>
        <w:spacing w:after="0" w:line="173" w:lineRule="exact"/>
        <w:rPr>
          <w:sz w:val="20"/>
          <w:szCs w:val="20"/>
          <w:color w:val="auto"/>
        </w:rPr>
      </w:pPr>
    </w:p>
    <w:p>
      <w:pPr>
        <w:ind w:left="660" w:hanging="652"/>
        <w:spacing w:after="0"/>
        <w:tabs>
          <w:tab w:leader="none" w:pos="660" w:val="left"/>
        </w:tabs>
        <w:numPr>
          <w:ilvl w:val="0"/>
          <w:numId w:val="220"/>
        </w:numPr>
        <w:rPr>
          <w:rFonts w:ascii="Arial" w:cs="Arial" w:eastAsia="Arial" w:hAnsi="Arial"/>
          <w:sz w:val="20"/>
          <w:szCs w:val="20"/>
          <w:b w:val="1"/>
          <w:bCs w:val="1"/>
          <w:color w:val="auto"/>
        </w:rPr>
      </w:pPr>
      <w:r>
        <w:rPr>
          <w:rFonts w:ascii="Arial" w:cs="Arial" w:eastAsia="Arial" w:hAnsi="Arial"/>
          <w:sz w:val="20"/>
          <w:szCs w:val="20"/>
          <w:b w:val="1"/>
          <w:bCs w:val="1"/>
          <w:color w:val="auto"/>
        </w:rPr>
        <w:t>VIOLATIONS OF THIS POLICY</w:t>
      </w:r>
    </w:p>
    <w:p>
      <w:pPr>
        <w:spacing w:after="0" w:line="24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0"/>
          <w:szCs w:val="20"/>
          <w:color w:val="auto"/>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spacing w:after="0" w:line="188"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trading-restricted period will not extend the term of your options. As a consequence, you may be prevented from exercising your options by this Policy or as a result of a restricted trading period or other restriction on your trading, and as a result your options may expire by their term. It is your responsibility to manage your economic interests and to consider potential trading restrictions when determining whether to exercise your options. In such instances, the Company cannot extend the term of your options and has no obligation or liability to replace the economic value or lost benefit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202" w:lineRule="exact"/>
        <w:rPr>
          <w:sz w:val="20"/>
          <w:szCs w:val="20"/>
          <w:color w:val="auto"/>
        </w:rPr>
      </w:pPr>
    </w:p>
    <w:p>
      <w:pPr>
        <w:ind w:left="640" w:hanging="632"/>
        <w:spacing w:after="0"/>
        <w:tabs>
          <w:tab w:leader="none" w:pos="640" w:val="left"/>
        </w:tabs>
        <w:numPr>
          <w:ilvl w:val="0"/>
          <w:numId w:val="221"/>
        </w:numPr>
        <w:rPr>
          <w:rFonts w:ascii="Arial" w:cs="Arial" w:eastAsia="Arial" w:hAnsi="Arial"/>
          <w:sz w:val="20"/>
          <w:szCs w:val="20"/>
          <w:b w:val="1"/>
          <w:bCs w:val="1"/>
          <w:color w:val="auto"/>
        </w:rPr>
      </w:pPr>
      <w:r>
        <w:rPr>
          <w:rFonts w:ascii="Arial" w:cs="Arial" w:eastAsia="Arial" w:hAnsi="Arial"/>
          <w:sz w:val="20"/>
          <w:szCs w:val="20"/>
          <w:b w:val="1"/>
          <w:bCs w:val="1"/>
          <w:color w:val="auto"/>
        </w:rPr>
        <w:t>PROTECTED ACTIVITY NOT PROHIBITED</w:t>
      </w:r>
    </w:p>
    <w:p>
      <w:pPr>
        <w:spacing w:after="0" w:line="257"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20"/>
          <w:szCs w:val="20"/>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167" w:lineRule="exact"/>
        <w:rPr>
          <w:sz w:val="20"/>
          <w:szCs w:val="20"/>
          <w:color w:val="auto"/>
        </w:rPr>
      </w:pPr>
    </w:p>
    <w:p>
      <w:pPr>
        <w:ind w:left="640" w:hanging="632"/>
        <w:spacing w:after="0"/>
        <w:tabs>
          <w:tab w:leader="none" w:pos="640" w:val="left"/>
        </w:tabs>
        <w:numPr>
          <w:ilvl w:val="0"/>
          <w:numId w:val="222"/>
        </w:numPr>
        <w:rPr>
          <w:rFonts w:ascii="Arial" w:cs="Arial" w:eastAsia="Arial" w:hAnsi="Arial"/>
          <w:sz w:val="20"/>
          <w:szCs w:val="20"/>
          <w:b w:val="1"/>
          <w:bCs w:val="1"/>
          <w:color w:val="auto"/>
        </w:rPr>
      </w:pPr>
      <w:r>
        <w:rPr>
          <w:rFonts w:ascii="Arial" w:cs="Arial" w:eastAsia="Arial" w:hAnsi="Arial"/>
          <w:sz w:val="20"/>
          <w:szCs w:val="20"/>
          <w:b w:val="1"/>
          <w:bCs w:val="1"/>
          <w:color w:val="auto"/>
        </w:rPr>
        <w:t>REPORTING</w:t>
      </w:r>
    </w:p>
    <w:p>
      <w:pPr>
        <w:spacing w:after="0" w:line="25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If you believe someone is violating this Policy or otherwise using material nonpublic information that they learned through their position at the Company to trade securities, you should report it to the Chief Legal Officer, or if the Chief Legal Officer is implicated in your report, then you should report it in accordance with the Company’s Whistleblower Policy.</w:t>
      </w:r>
    </w:p>
    <w:p>
      <w:pPr>
        <w:spacing w:after="0" w:line="167" w:lineRule="exact"/>
        <w:rPr>
          <w:sz w:val="20"/>
          <w:szCs w:val="20"/>
          <w:color w:val="auto"/>
        </w:rPr>
      </w:pPr>
    </w:p>
    <w:p>
      <w:pPr>
        <w:ind w:left="660" w:hanging="652"/>
        <w:spacing w:after="0"/>
        <w:tabs>
          <w:tab w:leader="none" w:pos="660" w:val="left"/>
        </w:tabs>
        <w:numPr>
          <w:ilvl w:val="0"/>
          <w:numId w:val="223"/>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w:t>
      </w:r>
    </w:p>
    <w:p>
      <w:pPr>
        <w:spacing w:after="0" w:line="25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REQUIREMENTS FOR TRADING PLANS</w:t>
      </w:r>
    </w:p>
    <w:p>
      <w:pPr>
        <w:spacing w:after="0" w:line="243"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9"/>
          <w:szCs w:val="19"/>
          <w:color w:val="auto"/>
        </w:rPr>
        <w:t>For transactions under a trading plan to be exempt from (A) the prohibitions in the Company’s Insider Trading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of Recursion Pharmaceuticals, Inc. (together with any subsidiaries, collectively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with respect to transactions made while aware of material nonpublic information and (B) the pre-clearance procedures and restricted trading periods established under the Policy, the trading plan must comply with the affirmative defense set forth in Exchange Act Rule 10b5-1 and must meet the following requirements:</w:t>
      </w:r>
    </w:p>
    <w:p>
      <w:pPr>
        <w:spacing w:after="0" w:line="155" w:lineRule="exact"/>
        <w:rPr>
          <w:sz w:val="20"/>
          <w:szCs w:val="20"/>
          <w:color w:val="auto"/>
        </w:rPr>
      </w:pPr>
    </w:p>
    <w:p>
      <w:pPr>
        <w:ind w:left="1300" w:hanging="644"/>
        <w:spacing w:after="0"/>
        <w:tabs>
          <w:tab w:leader="none" w:pos="130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in writing and signed by the person adopting the trading plan.</w:t>
      </w:r>
    </w:p>
    <w:p>
      <w:pPr>
        <w:spacing w:after="0" w:line="2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adopted at a time when:</w:t>
      </w:r>
    </w:p>
    <w:p>
      <w:pPr>
        <w:spacing w:after="0" w:line="242"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is not aware of any material nonpublic information; and</w:t>
      </w:r>
    </w:p>
    <w:p>
      <w:pPr>
        <w:spacing w:after="0" w:line="256"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quarterly, special or other restricted trading period in effect with respect to the person adopting the plan.</w:t>
      </w:r>
    </w:p>
    <w:p>
      <w:pPr>
        <w:spacing w:after="0" w:line="242" w:lineRule="exact"/>
        <w:rPr>
          <w:rFonts w:ascii="Times New Roman" w:cs="Times New Roman" w:eastAsia="Times New Roman" w:hAnsi="Times New Roman"/>
          <w:sz w:val="20"/>
          <w:szCs w:val="20"/>
          <w:color w:val="auto"/>
        </w:rPr>
      </w:pPr>
    </w:p>
    <w:p>
      <w:pPr>
        <w:ind w:firstLine="656"/>
        <w:spacing w:after="0" w:line="311" w:lineRule="auto"/>
        <w:tabs>
          <w:tab w:leader="none" w:pos="1296"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entered in good faith and not as part of a plan or scheme to evade the prohibitions of Rule 10b5-1, and the person adopting the trading plan must act in good faith with respect to the trading plan.</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include representations that, on the date of adoption of the trading plan, the person adopting the</w:t>
      </w:r>
    </w:p>
    <w:p>
      <w:pPr>
        <w:spacing w:after="0" w:line="4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plan:</w:t>
      </w:r>
    </w:p>
    <w:p>
      <w:pPr>
        <w:spacing w:after="0" w:line="242"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aware of material nonpublic information about the securities or the Company; and</w:t>
      </w:r>
    </w:p>
    <w:p>
      <w:pPr>
        <w:spacing w:after="0" w:line="256"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adopting the trading plan in good faith and not as part of a plan or scheme to evade the prohibitions of Rule 10b5-1.</w:t>
      </w:r>
    </w:p>
    <w:p>
      <w:pPr>
        <w:spacing w:after="0" w:line="242" w:lineRule="exact"/>
        <w:rPr>
          <w:rFonts w:ascii="Times New Roman" w:cs="Times New Roman" w:eastAsia="Times New Roman" w:hAnsi="Times New Roman"/>
          <w:sz w:val="20"/>
          <w:szCs w:val="20"/>
          <w:color w:val="auto"/>
        </w:rPr>
      </w:pPr>
    </w:p>
    <w:p>
      <w:pPr>
        <w:jc w:val="both"/>
        <w:ind w:firstLine="656"/>
        <w:spacing w:after="0" w:line="289" w:lineRule="auto"/>
        <w:tabs>
          <w:tab w:leader="none" w:pos="1296"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81" w:lineRule="exact"/>
        <w:rPr>
          <w:rFonts w:ascii="Times New Roman" w:cs="Times New Roman" w:eastAsia="Times New Roman" w:hAnsi="Times New Roman"/>
          <w:sz w:val="20"/>
          <w:szCs w:val="20"/>
          <w:color w:val="auto"/>
        </w:rPr>
      </w:pPr>
    </w:p>
    <w:p>
      <w:pPr>
        <w:jc w:val="both"/>
        <w:ind w:firstLine="656"/>
        <w:spacing w:after="0" w:line="279" w:lineRule="auto"/>
        <w:tabs>
          <w:tab w:leader="none" w:pos="1296"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trade under the trading plan for directors and officers (as defined in Rule 16a-1(f) of the Securities Exchange Act of 1934)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 The first trade under the trading plan for all other persons (other than the Company) may not occur until the expiration of a cooling-off period that is 30 calendar days after adoption of the trading plan.</w:t>
      </w:r>
    </w:p>
    <w:p>
      <w:pPr>
        <w:spacing w:after="0" w:line="19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have a minimum term of one year starting from the date of adoption.</w:t>
      </w:r>
    </w:p>
    <w:p>
      <w:pPr>
        <w:sectPr>
          <w:pgSz w:w="11900" w:h="16838" w:orient="portrait"/>
          <w:cols w:equalWidth="0" w:num="1">
            <w:col w:w="11240"/>
          </w:cols>
          <w:pgMar w:left="320" w:top="1031" w:right="339" w:bottom="1440" w:gutter="0" w:footer="0" w:header="0"/>
        </w:sectPr>
      </w:pPr>
    </w:p>
    <w:bookmarkStart w:id="292" w:name="page293"/>
    <w:bookmarkEnd w:id="292"/>
    <w:p>
      <w:pPr>
        <w:jc w:val="both"/>
        <w:ind w:firstLine="656"/>
        <w:spacing w:after="0" w:line="289" w:lineRule="auto"/>
        <w:tabs>
          <w:tab w:leader="none" w:pos="1296"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transactions during the term of the trading plan (except for the “Exceptions to Trading Restrictions” identified in the Policy and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must be conducted through the trading plan. In addition, the person adopting the trading plan may not have an outstanding (and may not subsequently enter into any additional) trading plan except as permitted by Rule 10b5-1.</w:t>
      </w:r>
    </w:p>
    <w:p>
      <w:pPr>
        <w:spacing w:after="0" w:line="181" w:lineRule="exact"/>
        <w:rPr>
          <w:rFonts w:ascii="Times New Roman" w:cs="Times New Roman" w:eastAsia="Times New Roman" w:hAnsi="Times New Roman"/>
          <w:sz w:val="20"/>
          <w:szCs w:val="20"/>
          <w:color w:val="auto"/>
        </w:rPr>
      </w:pPr>
    </w:p>
    <w:p>
      <w:pPr>
        <w:jc w:val="both"/>
        <w:ind w:firstLine="656"/>
        <w:spacing w:after="0" w:line="282" w:lineRule="auto"/>
        <w:tabs>
          <w:tab w:leader="none" w:pos="1296"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 or change to the amount, price or timing of transactions under the trading plan (each such modification or change, a “</w:t>
      </w:r>
      <w:r>
        <w:rPr>
          <w:rFonts w:ascii="Times New Roman" w:cs="Times New Roman" w:eastAsia="Times New Roman" w:hAnsi="Times New Roman"/>
          <w:sz w:val="20"/>
          <w:szCs w:val="20"/>
          <w:b w:val="1"/>
          <w:bCs w:val="1"/>
          <w:color w:val="auto"/>
        </w:rPr>
        <w:t>Material Modification</w:t>
      </w:r>
      <w:r>
        <w:rPr>
          <w:rFonts w:ascii="Times New Roman" w:cs="Times New Roman" w:eastAsia="Times New Roman" w:hAnsi="Times New Roman"/>
          <w:sz w:val="20"/>
          <w:szCs w:val="20"/>
          <w:color w:val="auto"/>
        </w:rPr>
        <w:t>”) is deemed the termination of the trading plan and the adoption of a new trading plan. Therefore, any plan adopted by making a Material Modification is subject to the same conditions as a new trading plan as set forth in Sections 1 through 8 herein.</w:t>
      </w:r>
    </w:p>
    <w:p>
      <w:pPr>
        <w:spacing w:after="0" w:line="188" w:lineRule="exact"/>
        <w:rPr>
          <w:rFonts w:ascii="Times New Roman" w:cs="Times New Roman" w:eastAsia="Times New Roman" w:hAnsi="Times New Roman"/>
          <w:sz w:val="20"/>
          <w:szCs w:val="20"/>
          <w:color w:val="auto"/>
        </w:rPr>
      </w:pPr>
    </w:p>
    <w:p>
      <w:pPr>
        <w:ind w:firstLine="656"/>
        <w:spacing w:after="0" w:line="297" w:lineRule="auto"/>
        <w:tabs>
          <w:tab w:leader="none" w:pos="1287"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one year preceding the adoption of a trading plan (including the adoption of a plan by making a Material Modification), a person may not have otherwise adopted a plan more than once.</w:t>
      </w:r>
    </w:p>
    <w:p>
      <w:pPr>
        <w:spacing w:after="0" w:line="173" w:lineRule="exact"/>
        <w:rPr>
          <w:rFonts w:ascii="Times New Roman" w:cs="Times New Roman" w:eastAsia="Times New Roman" w:hAnsi="Times New Roman"/>
          <w:sz w:val="20"/>
          <w:szCs w:val="20"/>
          <w:color w:val="auto"/>
        </w:rPr>
      </w:pPr>
    </w:p>
    <w:p>
      <w:pPr>
        <w:ind w:firstLine="656"/>
        <w:spacing w:after="0" w:line="297" w:lineRule="auto"/>
        <w:tabs>
          <w:tab w:leader="none" w:pos="1279"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adopt a trading plan designed to cover a single trade only once in any consecutive 12-month period except as permitted by Rule 10b5-1.</w:t>
      </w:r>
    </w:p>
    <w:p>
      <w:pPr>
        <w:spacing w:after="0" w:line="173" w:lineRule="exact"/>
        <w:rPr>
          <w:rFonts w:ascii="Times New Roman" w:cs="Times New Roman" w:eastAsia="Times New Roman" w:hAnsi="Times New Roman"/>
          <w:sz w:val="20"/>
          <w:szCs w:val="20"/>
          <w:color w:val="auto"/>
        </w:rPr>
      </w:pPr>
    </w:p>
    <w:p>
      <w:pPr>
        <w:ind w:right="20" w:firstLine="656"/>
        <w:spacing w:after="0" w:line="297" w:lineRule="auto"/>
        <w:tabs>
          <w:tab w:leader="none" w:pos="1287"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that adopted the trading plan terminates the plan prior to its stated duration, he or she may not trade in the Company’s securities outside of a trading plan until 30 calendar days after termination.</w:t>
      </w:r>
    </w:p>
    <w:p>
      <w:pPr>
        <w:spacing w:after="0" w:line="173" w:lineRule="exact"/>
        <w:rPr>
          <w:rFonts w:ascii="Times New Roman" w:cs="Times New Roman" w:eastAsia="Times New Roman" w:hAnsi="Times New Roman"/>
          <w:sz w:val="20"/>
          <w:szCs w:val="20"/>
          <w:color w:val="auto"/>
        </w:rPr>
      </w:pPr>
    </w:p>
    <w:p>
      <w:pPr>
        <w:ind w:firstLine="656"/>
        <w:spacing w:after="0" w:line="297" w:lineRule="auto"/>
        <w:tabs>
          <w:tab w:leader="none" w:pos="1287"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be promptly notified of any modification or termination of the trading plan, including any suspension of trading under the trading plan.</w:t>
      </w:r>
    </w:p>
    <w:p>
      <w:pPr>
        <w:spacing w:after="0" w:line="17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have authority to require the suspension or cancellation of the trading plan at any time.</w:t>
      </w:r>
    </w:p>
    <w:p>
      <w:pPr>
        <w:spacing w:after="0" w:line="2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trading plan grants discretion to a stockbroker or other person with respect to the execution of trades under the trading</w:t>
      </w:r>
    </w:p>
    <w:p>
      <w:pPr>
        <w:spacing w:after="0" w:line="4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w:t>
      </w:r>
    </w:p>
    <w:p>
      <w:pPr>
        <w:spacing w:after="0" w:line="242" w:lineRule="exact"/>
        <w:rPr>
          <w:rFonts w:ascii="Times New Roman" w:cs="Times New Roman" w:eastAsia="Times New Roman" w:hAnsi="Times New Roman"/>
          <w:sz w:val="20"/>
          <w:szCs w:val="20"/>
          <w:color w:val="auto"/>
        </w:rPr>
      </w:pPr>
    </w:p>
    <w:p>
      <w:pPr>
        <w:ind w:left="1620" w:hanging="640"/>
        <w:spacing w:after="0" w:line="311" w:lineRule="auto"/>
        <w:tabs>
          <w:tab w:leader="none" w:pos="1609"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trades made under the trading plan must be executed by someone other than the stockbroker or other person that executes trades in other securities for the person adopting the trading plan;</w:t>
      </w:r>
    </w:p>
    <w:p>
      <w:pPr>
        <w:spacing w:after="0" w:line="146" w:lineRule="exact"/>
        <w:rPr>
          <w:rFonts w:ascii="Times New Roman" w:cs="Times New Roman" w:eastAsia="Times New Roman" w:hAnsi="Times New Roman"/>
          <w:sz w:val="20"/>
          <w:szCs w:val="20"/>
          <w:color w:val="auto"/>
        </w:rPr>
      </w:pPr>
    </w:p>
    <w:p>
      <w:pPr>
        <w:ind w:left="1620" w:hanging="640"/>
        <w:spacing w:after="0" w:line="311" w:lineRule="auto"/>
        <w:tabs>
          <w:tab w:leader="none" w:pos="1620"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confer with the person administering the trading plan regarding the Company or its securities; and</w:t>
      </w:r>
    </w:p>
    <w:p>
      <w:pPr>
        <w:spacing w:after="0" w:line="146" w:lineRule="exact"/>
        <w:rPr>
          <w:rFonts w:ascii="Times New Roman" w:cs="Times New Roman" w:eastAsia="Times New Roman" w:hAnsi="Times New Roman"/>
          <w:sz w:val="20"/>
          <w:szCs w:val="20"/>
          <w:color w:val="auto"/>
        </w:rPr>
      </w:pPr>
    </w:p>
    <w:p>
      <w:pPr>
        <w:ind w:left="1620" w:right="20" w:hanging="640"/>
        <w:spacing w:after="0" w:line="311" w:lineRule="auto"/>
        <w:tabs>
          <w:tab w:leader="none" w:pos="1609"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administering the trading plan must provide prompt notice to the Company of the execution of a transaction pursuant to the plan.</w:t>
      </w:r>
    </w:p>
    <w:p>
      <w:pPr>
        <w:sectPr>
          <w:pgSz w:w="11900" w:h="16838" w:orient="portrait"/>
          <w:cols w:equalWidth="0" w:num="1">
            <w:col w:w="11240"/>
          </w:cols>
          <w:pgMar w:left="320" w:top="1035" w:right="339" w:bottom="1440" w:gutter="0" w:footer="0" w:header="0"/>
        </w:sectPr>
      </w:pPr>
    </w:p>
    <w:bookmarkStart w:id="293" w:name="page294"/>
    <w:bookmarkEnd w:id="293"/>
    <w:p>
      <w:pPr>
        <w:ind w:left="1300" w:hanging="644"/>
        <w:spacing w:after="0"/>
        <w:tabs>
          <w:tab w:leader="none" w:pos="130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under the trading plan must be in accordance with applicable law.</w:t>
      </w:r>
    </w:p>
    <w:p>
      <w:pPr>
        <w:spacing w:after="0" w:line="2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(including any modified trading plan) must meet such other requirements as the Chief Legal Officer may</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w:t>
      </w:r>
    </w:p>
    <w:p>
      <w:pPr>
        <w:spacing w:after="0" w:line="254" w:lineRule="exact"/>
        <w:rPr>
          <w:rFonts w:ascii="Times New Roman" w:cs="Times New Roman" w:eastAsia="Times New Roman" w:hAnsi="Times New Roman"/>
          <w:sz w:val="20"/>
          <w:szCs w:val="20"/>
          <w:color w:val="auto"/>
        </w:rPr>
      </w:pPr>
    </w:p>
    <w:p>
      <w:pPr>
        <w:ind w:firstLine="656"/>
        <w:spacing w:after="0" w:line="297" w:lineRule="auto"/>
        <w:tabs>
          <w:tab w:leader="none" w:pos="1287"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submitted to the Company’s Chief Legal Officer with an executed certificate stating that the trading plan complies with Rule 10b5-1 and the criteria set forth above.</w:t>
      </w:r>
    </w:p>
    <w:p>
      <w:pPr>
        <w:sectPr>
          <w:pgSz w:w="11900" w:h="16838" w:orient="portrait"/>
          <w:cols w:equalWidth="0" w:num="1">
            <w:col w:w="11240"/>
          </w:cols>
          <w:pgMar w:left="320" w:top="1035" w:right="3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subsidiaries of Recursion Pharmaceuticals Inc. as of December 31, 2025.</w:t>
      </w:r>
    </w:p>
    <w:p>
      <w:pPr>
        <w:sectPr>
          <w:pgSz w:w="11900" w:h="16838" w:orient="portrait"/>
          <w:cols w:equalWidth="0" w:num="1">
            <w:col w:w="11240"/>
          </w:cols>
          <w:pgMar w:left="320" w:top="350"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Jurisdiction of Incorporation</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Exscientia Limited</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Arial" w:cs="Arial" w:eastAsia="Arial" w:hAnsi="Arial"/>
          <w:sz w:val="17"/>
          <w:szCs w:val="17"/>
          <w:color w:val="auto"/>
        </w:rPr>
        <w:t>United Kingdom</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Exscientia (UK) Holdings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Kingdom</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Exscientia AI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Scotland</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Kinetic Discovery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Scotland</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Exscientia Inc.</w:t>
      </w:r>
    </w:p>
    <w:p>
      <w:pPr>
        <w:spacing w:after="0" w:line="20" w:lineRule="exact"/>
        <w:rPr>
          <w:sz w:val="20"/>
          <w:szCs w:val="20"/>
          <w:color w:val="auto"/>
        </w:rPr>
      </w:pPr>
      <w:r>
        <w:rPr>
          <w:sz w:val="20"/>
          <w:szCs w:val="20"/>
          <w:color w:val="auto"/>
        </w:rPr>
        <w:br w:type="column"/>
      </w:r>
    </w:p>
    <w:p>
      <w:pPr>
        <w:jc w:val="center"/>
        <w:ind w:right="4860"/>
        <w:spacing w:after="0"/>
        <w:rPr>
          <w:sz w:val="20"/>
          <w:szCs w:val="20"/>
          <w:color w:val="auto"/>
        </w:rPr>
      </w:pPr>
      <w:r>
        <w:rPr>
          <w:rFonts w:ascii="Arial" w:cs="Arial" w:eastAsia="Arial" w:hAnsi="Arial"/>
          <w:sz w:val="17"/>
          <w:szCs w:val="17"/>
          <w:color w:val="auto"/>
        </w:rPr>
        <w:t>Delaware</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Exscientia Ventures 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RE Ventures 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Exscientia Ventures II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RE Ventures 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Recursion London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Kingdom</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Recursion Canada,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Canada</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Valence Discovery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Canada</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Valence Discovery USA,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Cyclica Therapeutics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Canada</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Cyclica Inc.</w:t>
      </w:r>
    </w:p>
    <w:p>
      <w:pPr>
        <w:spacing w:after="0" w:line="20" w:lineRule="exact"/>
        <w:rPr>
          <w:sz w:val="20"/>
          <w:szCs w:val="20"/>
          <w:color w:val="auto"/>
        </w:rPr>
      </w:pPr>
      <w:r>
        <w:rPr>
          <w:sz w:val="20"/>
          <w:szCs w:val="20"/>
          <w:color w:val="auto"/>
        </w:rPr>
        <w:br w:type="column"/>
      </w:r>
    </w:p>
    <w:p>
      <w:pPr>
        <w:jc w:val="center"/>
        <w:ind w:right="4860"/>
        <w:spacing w:after="0"/>
        <w:rPr>
          <w:sz w:val="20"/>
          <w:szCs w:val="20"/>
          <w:color w:val="auto"/>
        </w:rPr>
      </w:pPr>
      <w:r>
        <w:rPr>
          <w:rFonts w:ascii="Arial" w:cs="Arial" w:eastAsia="Arial" w:hAnsi="Arial"/>
          <w:sz w:val="17"/>
          <w:szCs w:val="17"/>
          <w:color w:val="auto"/>
        </w:rPr>
        <w:t>Delaware</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Giro Health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1414517 B.C. Unlimited Liability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Canada</w:t>
      </w:r>
    </w:p>
    <w:p>
      <w:pPr>
        <w:spacing w:after="0" w:line="6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CereXis, Inc.</w:t>
      </w:r>
    </w:p>
    <w:p>
      <w:pPr>
        <w:spacing w:after="0" w:line="20" w:lineRule="exact"/>
        <w:rPr>
          <w:sz w:val="20"/>
          <w:szCs w:val="20"/>
          <w:color w:val="auto"/>
        </w:rPr>
      </w:pPr>
      <w:r>
        <w:rPr>
          <w:sz w:val="20"/>
          <w:szCs w:val="20"/>
          <w:color w:val="auto"/>
        </w:rPr>
        <w:br w:type="column"/>
      </w:r>
    </w:p>
    <w:p>
      <w:pPr>
        <w:jc w:val="center"/>
        <w:ind w:right="4860"/>
        <w:spacing w:after="0"/>
        <w:rPr>
          <w:sz w:val="20"/>
          <w:szCs w:val="20"/>
          <w:color w:val="auto"/>
        </w:rPr>
      </w:pPr>
      <w:r>
        <w:rPr>
          <w:rFonts w:ascii="Arial" w:cs="Arial" w:eastAsia="Arial" w:hAnsi="Arial"/>
          <w:sz w:val="17"/>
          <w:szCs w:val="17"/>
          <w:color w:val="auto"/>
        </w:rPr>
        <w:t>Delaware</w:t>
      </w:r>
    </w:p>
    <w:p>
      <w:pPr>
        <w:spacing w:after="0" w:line="211" w:lineRule="exact"/>
        <w:rPr>
          <w:sz w:val="20"/>
          <w:szCs w:val="20"/>
          <w:color w:val="auto"/>
        </w:rPr>
      </w:pPr>
    </w:p>
    <w:p>
      <w:pPr>
        <w:sectPr>
          <w:pgSz w:w="11900" w:h="16838" w:orient="portrait"/>
          <w:cols w:equalWidth="0" w:num="2">
            <w:col w:w="4900" w:space="720"/>
            <w:col w:w="5620"/>
          </w:cols>
          <w:pgMar w:left="320" w:top="350" w:right="339" w:bottom="1440" w:gutter="0" w:footer="0" w:header="0"/>
          <w:type w:val="continuous"/>
        </w:sectPr>
      </w:pPr>
    </w:p>
    <w:p>
      <w:pPr>
        <w:spacing w:after="0" w:line="160"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*Inclusion on the list above is not an admission that any of the above entities, individually or in the aggregate, constitutes a significant subsidiary within the meaning of Rule 1-02(w) of Regulation S-X and Item 601(b)(21)(ii) of Regulation S-K.</w:t>
      </w:r>
    </w:p>
    <w:p>
      <w:pPr>
        <w:sectPr>
          <w:pgSz w:w="11900" w:h="16838" w:orient="portrait"/>
          <w:cols w:equalWidth="0" w:num="1">
            <w:col w:w="11240"/>
          </w:cols>
          <w:pgMar w:left="320" w:top="350" w:right="339" w:bottom="1440" w:gutter="0" w:footer="0" w:header="0"/>
          <w:type w:val="continuous"/>
        </w:sectPr>
      </w:pPr>
    </w:p>
    <w:bookmarkStart w:id="295" w:name="page296"/>
    <w:bookmarkEnd w:id="295"/>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6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auto"/>
        </w:rPr>
        <w:t xml:space="preserve">We hereby consent to the incorporation by reference in the Registration Statements on Form S-8 (Nos. 333-255315, 333-264847, 333-271719, 333-272027, 333-272282, 333-279290, 333-283347, and 333-286963) and Form S-3 (Nos. 333-272281 and 333-284878) of Recursion Pharmaceuticals, Inc. of our report dated February 25, 2026 </w:t>
      </w:r>
      <w:r>
        <w:rPr>
          <w:rFonts w:ascii="Georgia" w:cs="Georgia" w:eastAsia="Georgia" w:hAnsi="Georgia"/>
          <w:sz w:val="17"/>
          <w:szCs w:val="17"/>
          <w:color w:val="auto"/>
        </w:rPr>
        <w:t>rela</w:t>
      </w:r>
      <w:r>
        <w:rPr>
          <w:rFonts w:ascii="Times New Roman" w:cs="Times New Roman" w:eastAsia="Times New Roman" w:hAnsi="Times New Roman"/>
          <w:sz w:val="20"/>
          <w:szCs w:val="20"/>
          <w:color w:val="auto"/>
        </w:rPr>
        <w:t>ting to the financial statements and the effectiveness of internal control over financial reporting, which appears in this Form 10-K.</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Seattle, Washington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2026</w:t>
      </w:r>
    </w:p>
    <w:p>
      <w:pPr>
        <w:sectPr>
          <w:pgSz w:w="11900" w:h="16838" w:orient="portrait"/>
          <w:cols w:equalWidth="0" w:num="1">
            <w:col w:w="11240"/>
          </w:cols>
          <w:pgMar w:left="320" w:top="396" w:right="3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Gibson, certify that:</w:t>
      </w:r>
    </w:p>
    <w:p>
      <w:pPr>
        <w:spacing w:after="0" w:line="252" w:lineRule="exact"/>
        <w:rPr>
          <w:sz w:val="20"/>
          <w:szCs w:val="20"/>
          <w:color w:val="auto"/>
        </w:rPr>
      </w:pPr>
    </w:p>
    <w:p>
      <w:pPr>
        <w:ind w:left="200" w:hanging="192"/>
        <w:spacing w:after="0"/>
        <w:tabs>
          <w:tab w:leader="none" w:pos="2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Najat Khan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Najat Khan, Chief Executive Officer (principal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2026</w:t>
      </w:r>
    </w:p>
    <w:p>
      <w:pPr>
        <w:sectPr>
          <w:pgSz w:w="11900" w:h="16838" w:orient="portrait"/>
          <w:cols w:equalWidth="0" w:num="1">
            <w:col w:w="11240"/>
          </w:cols>
          <w:pgMar w:left="320" w:top="122" w:right="3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Ben Taylor, certify that:</w:t>
      </w:r>
    </w:p>
    <w:p>
      <w:pPr>
        <w:spacing w:after="0" w:line="252" w:lineRule="exact"/>
        <w:rPr>
          <w:sz w:val="20"/>
          <w:szCs w:val="20"/>
          <w:color w:val="auto"/>
        </w:rPr>
      </w:pPr>
    </w:p>
    <w:p>
      <w:pPr>
        <w:ind w:left="200" w:hanging="192"/>
        <w:spacing w:after="0"/>
        <w:tabs>
          <w:tab w:leader="none" w:pos="2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Ben Taylor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Ben Taylor, Chief Financial Officer (principal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2026</w:t>
      </w:r>
    </w:p>
    <w:p>
      <w:pPr>
        <w:sectPr>
          <w:pgSz w:w="11900" w:h="16838" w:orient="portrait"/>
          <w:cols w:equalWidth="0" w:num="1">
            <w:col w:w="11240"/>
          </w:cols>
          <w:pgMar w:left="320" w:top="122" w:right="3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6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connection with the Annual Report of Recursion Pharmaceuticals, Inc. (the “Company”) on Form 10-K for the period ended December 31, 2025 as filed with the Securities and Exchange Commission on the date hereof (the “Report”), The undersigned certify, pursuant to 18 U.S.C. Section 1350, as adopted pursuant to Section 906 of the Sarbanes-Oxley Act of 2002, that:</w:t>
      </w:r>
    </w:p>
    <w:p>
      <w:pPr>
        <w:spacing w:after="0" w:line="198" w:lineRule="exact"/>
        <w:rPr>
          <w:sz w:val="20"/>
          <w:szCs w:val="20"/>
          <w:color w:val="auto"/>
        </w:rPr>
      </w:pPr>
    </w:p>
    <w:p>
      <w:pPr>
        <w:ind w:left="200" w:hanging="192"/>
        <w:spacing w:after="0"/>
        <w:tabs>
          <w:tab w:leader="none" w:pos="2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87" w:lineRule="auto"/>
        <w:tabs>
          <w:tab w:leader="none" w:pos="2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Najat Khan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Najat Khan, Chief Executive Officer (principal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Ben Taylor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Ben Taylor, Chief Financial Officer (principal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2026</w:t>
      </w:r>
    </w:p>
    <w:p>
      <w:pPr>
        <w:sectPr>
          <w:pgSz w:w="11900" w:h="16838" w:orient="portrait"/>
          <w:cols w:equalWidth="0" w:num="1">
            <w:col w:w="11240"/>
          </w:cols>
          <w:pgMar w:left="320" w:top="364" w:right="3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540" w:firstLine="2550"/>
        <w:spacing w:after="0" w:line="430" w:lineRule="auto"/>
        <w:rPr>
          <w:sz w:val="20"/>
          <w:szCs w:val="20"/>
          <w:color w:val="auto"/>
        </w:rPr>
      </w:pPr>
      <w:r>
        <w:rPr>
          <w:rFonts w:ascii="Arial" w:cs="Arial" w:eastAsia="Arial" w:hAnsi="Arial"/>
          <w:sz w:val="21"/>
          <w:szCs w:val="21"/>
          <w:b w:val="1"/>
          <w:bCs w:val="1"/>
          <w:color w:val="auto"/>
        </w:rPr>
        <w:t xml:space="preserve">Consent of Independent Registered Public Accounting Firm </w:t>
      </w:r>
      <w:r>
        <w:rPr>
          <w:rFonts w:ascii="Arial" w:cs="Arial" w:eastAsia="Arial" w:hAnsi="Arial"/>
          <w:sz w:val="21"/>
          <w:szCs w:val="21"/>
          <w:color w:val="auto"/>
        </w:rPr>
        <w:t>We consent to the incorporation by reference in the following Registration Statements:</w:t>
      </w:r>
    </w:p>
    <w:p>
      <w:pPr>
        <w:spacing w:after="0" w:line="1" w:lineRule="exact"/>
        <w:rPr>
          <w:sz w:val="20"/>
          <w:szCs w:val="20"/>
          <w:color w:val="auto"/>
        </w:rPr>
      </w:pPr>
    </w:p>
    <w:p>
      <w:pPr>
        <w:ind w:left="800" w:hanging="468"/>
        <w:spacing w:after="0"/>
        <w:tabs>
          <w:tab w:leader="none" w:pos="80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Registration Statement (Form S-3 No. 333-272281) of Recursion Pharmaceuticals, Inc.,</w:t>
      </w:r>
    </w:p>
    <w:p>
      <w:pPr>
        <w:spacing w:after="0" w:line="165" w:lineRule="exact"/>
        <w:rPr>
          <w:rFonts w:ascii="Arial" w:cs="Arial" w:eastAsia="Arial" w:hAnsi="Arial"/>
          <w:sz w:val="22"/>
          <w:szCs w:val="22"/>
          <w:color w:val="auto"/>
        </w:rPr>
      </w:pPr>
    </w:p>
    <w:p>
      <w:pPr>
        <w:ind w:left="800" w:hanging="468"/>
        <w:spacing w:after="0"/>
        <w:tabs>
          <w:tab w:leader="none" w:pos="80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Registration Statement (Form S-3 No. 333-264845) of Recursion Pharmaceuticals, Inc.,</w:t>
      </w:r>
    </w:p>
    <w:p>
      <w:pPr>
        <w:spacing w:after="0" w:line="152" w:lineRule="exact"/>
        <w:rPr>
          <w:rFonts w:ascii="Arial" w:cs="Arial" w:eastAsia="Arial" w:hAnsi="Arial"/>
          <w:sz w:val="22"/>
          <w:szCs w:val="22"/>
          <w:color w:val="auto"/>
        </w:rPr>
      </w:pPr>
    </w:p>
    <w:p>
      <w:pPr>
        <w:ind w:left="800" w:hanging="468"/>
        <w:spacing w:after="0"/>
        <w:tabs>
          <w:tab w:leader="none" w:pos="80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Registration Statement (Form S-3 No. 333-284878) of Recursion Pharmaceuticals, Inc.,</w:t>
      </w:r>
    </w:p>
    <w:p>
      <w:pPr>
        <w:spacing w:after="0" w:line="152" w:lineRule="exact"/>
        <w:rPr>
          <w:rFonts w:ascii="Arial" w:cs="Arial" w:eastAsia="Arial" w:hAnsi="Arial"/>
          <w:sz w:val="22"/>
          <w:szCs w:val="22"/>
          <w:color w:val="auto"/>
        </w:rPr>
      </w:pPr>
    </w:p>
    <w:p>
      <w:pPr>
        <w:ind w:left="820" w:right="200" w:hanging="488"/>
        <w:spacing w:after="0" w:line="310" w:lineRule="auto"/>
        <w:tabs>
          <w:tab w:leader="none" w:pos="809"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Registration Statement (Form S-8 No. 333-272282) pertaining to the assumption of the Cyclica Inc. Second Amended and Restated Stock Option Plan, by Recursion Pharmaceuticals, Inc.,</w:t>
      </w:r>
    </w:p>
    <w:p>
      <w:pPr>
        <w:spacing w:after="0" w:line="62" w:lineRule="exact"/>
        <w:rPr>
          <w:rFonts w:ascii="Arial" w:cs="Arial" w:eastAsia="Arial" w:hAnsi="Arial"/>
          <w:sz w:val="22"/>
          <w:szCs w:val="22"/>
          <w:color w:val="auto"/>
        </w:rPr>
      </w:pPr>
    </w:p>
    <w:p>
      <w:pPr>
        <w:ind w:left="820" w:right="140" w:hanging="488"/>
        <w:spacing w:after="0" w:line="296" w:lineRule="auto"/>
        <w:tabs>
          <w:tab w:leader="none" w:pos="809"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Registration Statement (Form S-8 No. 333-272027) pertaining to the assumption of the Valence Discovery Inc. Stock Option Plan dated April 17, 2018 as amended and restated on November 16, 2021, by Recursion Pharmaceuticals, Inc.,</w:t>
      </w:r>
    </w:p>
    <w:p>
      <w:pPr>
        <w:spacing w:after="0" w:line="63" w:lineRule="exact"/>
        <w:rPr>
          <w:rFonts w:ascii="Arial" w:cs="Arial" w:eastAsia="Arial" w:hAnsi="Arial"/>
          <w:sz w:val="22"/>
          <w:szCs w:val="22"/>
          <w:color w:val="auto"/>
        </w:rPr>
      </w:pPr>
    </w:p>
    <w:p>
      <w:pPr>
        <w:ind w:left="820" w:right="340" w:hanging="488"/>
        <w:spacing w:after="0" w:line="323" w:lineRule="auto"/>
        <w:tabs>
          <w:tab w:leader="none" w:pos="809"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Registration Statement (Form S-8 No. 333-271719) pertaining to the 2021 Equity Incentive Plan and 2021 Employee Stock Purchase Plan, of Recursion Pharmaceuticals, Inc.,</w:t>
      </w:r>
    </w:p>
    <w:p>
      <w:pPr>
        <w:spacing w:after="0" w:line="34" w:lineRule="exact"/>
        <w:rPr>
          <w:rFonts w:ascii="Arial" w:cs="Arial" w:eastAsia="Arial" w:hAnsi="Arial"/>
          <w:sz w:val="22"/>
          <w:szCs w:val="22"/>
          <w:color w:val="auto"/>
        </w:rPr>
      </w:pPr>
    </w:p>
    <w:p>
      <w:pPr>
        <w:ind w:left="820" w:right="340" w:hanging="488"/>
        <w:spacing w:after="0" w:line="310" w:lineRule="auto"/>
        <w:tabs>
          <w:tab w:leader="none" w:pos="809"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Registration Statement (Form S-8 No. 333-264847) pertaining to the 2021 Equity Incentive Plan and 2021 Employee Stock Purchase Plan of Recursion Pharmaceuticals, Inc.,</w:t>
      </w:r>
    </w:p>
    <w:p>
      <w:pPr>
        <w:spacing w:after="0" w:line="48" w:lineRule="exact"/>
        <w:rPr>
          <w:rFonts w:ascii="Arial" w:cs="Arial" w:eastAsia="Arial" w:hAnsi="Arial"/>
          <w:sz w:val="22"/>
          <w:szCs w:val="22"/>
          <w:color w:val="auto"/>
        </w:rPr>
      </w:pPr>
    </w:p>
    <w:p>
      <w:pPr>
        <w:ind w:left="820" w:right="480" w:hanging="488"/>
        <w:spacing w:after="0" w:line="350" w:lineRule="auto"/>
        <w:tabs>
          <w:tab w:leader="none" w:pos="809" w:val="left"/>
        </w:tabs>
        <w:numPr>
          <w:ilvl w:val="0"/>
          <w:numId w:val="230"/>
        </w:numPr>
        <w:rPr>
          <w:rFonts w:ascii="Arial" w:cs="Arial" w:eastAsia="Arial" w:hAnsi="Arial"/>
          <w:sz w:val="21"/>
          <w:szCs w:val="21"/>
          <w:color w:val="auto"/>
        </w:rPr>
      </w:pPr>
      <w:r>
        <w:rPr>
          <w:rFonts w:ascii="Arial" w:cs="Arial" w:eastAsia="Arial" w:hAnsi="Arial"/>
          <w:sz w:val="21"/>
          <w:szCs w:val="21"/>
          <w:color w:val="auto"/>
        </w:rPr>
        <w:t>Registration Statement (Form S-8 No. 333-255315) pertaining to the 2021 Equity Incentive Plan, 2021 Employee Stock Purchase Plan, and the 2016 Equity Incentive Plan of Recursion Pharmaceuticals, Inc.,</w:t>
      </w:r>
    </w:p>
    <w:p>
      <w:pPr>
        <w:spacing w:after="0" w:line="11" w:lineRule="exact"/>
        <w:rPr>
          <w:rFonts w:ascii="Arial" w:cs="Arial" w:eastAsia="Arial" w:hAnsi="Arial"/>
          <w:sz w:val="21"/>
          <w:szCs w:val="21"/>
          <w:color w:val="auto"/>
        </w:rPr>
      </w:pPr>
    </w:p>
    <w:p>
      <w:pPr>
        <w:ind w:left="820" w:right="480" w:hanging="488"/>
        <w:spacing w:after="0" w:line="336" w:lineRule="auto"/>
        <w:tabs>
          <w:tab w:leader="none" w:pos="809" w:val="left"/>
        </w:tabs>
        <w:numPr>
          <w:ilvl w:val="0"/>
          <w:numId w:val="230"/>
        </w:numPr>
        <w:rPr>
          <w:rFonts w:ascii="Arial" w:cs="Arial" w:eastAsia="Arial" w:hAnsi="Arial"/>
          <w:sz w:val="21"/>
          <w:szCs w:val="21"/>
          <w:color w:val="auto"/>
        </w:rPr>
      </w:pPr>
      <w:r>
        <w:rPr>
          <w:rFonts w:ascii="Arial" w:cs="Arial" w:eastAsia="Arial" w:hAnsi="Arial"/>
          <w:sz w:val="21"/>
          <w:szCs w:val="21"/>
          <w:color w:val="auto"/>
        </w:rPr>
        <w:t>Registration Statement (Form S-8 No. 333-279290) pertaining to the 2021 Equity Incentive Plan, 2021 Employee Stock Purchase Plan, and the 2016 Equity Incentive Plan of Recursion Pharmaceuticals, Inc.,</w:t>
      </w:r>
    </w:p>
    <w:p>
      <w:pPr>
        <w:spacing w:after="0" w:line="25" w:lineRule="exact"/>
        <w:rPr>
          <w:rFonts w:ascii="Arial" w:cs="Arial" w:eastAsia="Arial" w:hAnsi="Arial"/>
          <w:sz w:val="21"/>
          <w:szCs w:val="21"/>
          <w:color w:val="auto"/>
        </w:rPr>
      </w:pPr>
    </w:p>
    <w:p>
      <w:pPr>
        <w:ind w:left="820" w:right="40" w:hanging="488"/>
        <w:spacing w:after="0" w:line="301" w:lineRule="auto"/>
        <w:tabs>
          <w:tab w:leader="none" w:pos="808" w:val="left"/>
        </w:tabs>
        <w:numPr>
          <w:ilvl w:val="0"/>
          <w:numId w:val="230"/>
        </w:numPr>
        <w:rPr>
          <w:rFonts w:ascii="Arial" w:cs="Arial" w:eastAsia="Arial" w:hAnsi="Arial"/>
          <w:sz w:val="21"/>
          <w:szCs w:val="21"/>
          <w:color w:val="auto"/>
        </w:rPr>
      </w:pPr>
      <w:r>
        <w:rPr>
          <w:rFonts w:ascii="Arial" w:cs="Arial" w:eastAsia="Arial" w:hAnsi="Arial"/>
          <w:sz w:val="21"/>
          <w:szCs w:val="21"/>
          <w:color w:val="auto"/>
        </w:rPr>
        <w:t>Registration Statement (Form S-8 No. 333-283347) pertaining to the Exscientia Unapproved Share Option Plan with RSU Sub-Plan, Exscientia plc 2021 Equity Incentive Plan with Non-Employee Sub-Plan and CSOP</w:t>
      </w:r>
    </w:p>
    <w:p>
      <w:pPr>
        <w:spacing w:after="0" w:line="1" w:lineRule="exact"/>
        <w:rPr>
          <w:rFonts w:ascii="Arial" w:cs="Arial" w:eastAsia="Arial" w:hAnsi="Arial"/>
          <w:sz w:val="21"/>
          <w:szCs w:val="21"/>
          <w:color w:val="auto"/>
        </w:rPr>
      </w:pPr>
    </w:p>
    <w:p>
      <w:pPr>
        <w:ind w:left="820" w:right="820"/>
        <w:spacing w:after="0" w:line="310" w:lineRule="auto"/>
        <w:rPr>
          <w:rFonts w:ascii="Arial" w:cs="Arial" w:eastAsia="Arial" w:hAnsi="Arial"/>
          <w:sz w:val="21"/>
          <w:szCs w:val="21"/>
          <w:color w:val="auto"/>
        </w:rPr>
      </w:pPr>
      <w:r>
        <w:rPr>
          <w:rFonts w:ascii="Arial" w:cs="Arial" w:eastAsia="Arial" w:hAnsi="Arial"/>
          <w:sz w:val="22"/>
          <w:szCs w:val="22"/>
          <w:color w:val="auto"/>
        </w:rPr>
        <w:t>Sub-Plan, and Recursion Pharmaceuticals, Inc. 2024 Inducement Equity Incentive Plan of Recursion Pharmaceuticals, Inc.; and</w:t>
      </w:r>
    </w:p>
    <w:p>
      <w:pPr>
        <w:sectPr>
          <w:pgSz w:w="11900" w:h="16838" w:orient="portrait"/>
          <w:cols w:equalWidth="0" w:num="1">
            <w:col w:w="11240"/>
          </w:cols>
          <w:pgMar w:left="320" w:top="396" w:right="339" w:bottom="1440" w:gutter="0" w:footer="0" w:header="0"/>
        </w:sectPr>
      </w:pPr>
    </w:p>
    <w:bookmarkStart w:id="300" w:name="page301"/>
    <w:bookmarkEnd w:id="300"/>
    <w:p>
      <w:pPr>
        <w:ind w:left="820" w:right="340" w:hanging="488"/>
        <w:spacing w:after="0" w:line="336" w:lineRule="auto"/>
        <w:tabs>
          <w:tab w:leader="none" w:pos="792" w:val="left"/>
        </w:tabs>
        <w:numPr>
          <w:ilvl w:val="0"/>
          <w:numId w:val="231"/>
        </w:numPr>
        <w:rPr>
          <w:rFonts w:ascii="Arial" w:cs="Arial" w:eastAsia="Arial" w:hAnsi="Arial"/>
          <w:sz w:val="21"/>
          <w:szCs w:val="21"/>
          <w:color w:val="auto"/>
        </w:rPr>
      </w:pPr>
      <w:r>
        <w:rPr>
          <w:rFonts w:ascii="Arial" w:cs="Arial" w:eastAsia="Arial" w:hAnsi="Arial"/>
          <w:sz w:val="21"/>
          <w:szCs w:val="21"/>
          <w:color w:val="auto"/>
        </w:rPr>
        <w:t>Registration Statement (Form S-8 No. 333-286963) pertaining to the 2021 Equity Incentive Plan, 2021 Employee Stock Purchase Plan, and the 2016 Equity Incentive Plan of Recursion Pharmaceuticals, Inc.,</w:t>
      </w:r>
    </w:p>
    <w:p>
      <w:pPr>
        <w:spacing w:after="0" w:line="26"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of our report dated February 29, 2024, except for Note 15, as to which the date is February 28, 2025, with respect to the consolidated financial statements of Recursion Pharmaceuticals, Inc. included in this Annual Report (Form 10-K) of Recursion Pharmaceuticals, Inc. for the year ended December 31, 2025.</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/s/ Ernst and Young</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Salt Lake City, Utah</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February 25, 2026</w:t>
      </w:r>
    </w:p>
    <w:sectPr>
      <w:pgSz w:w="11900" w:h="16838" w:orient="portrait"/>
      <w:cols w:equalWidth="0" w:num="1">
        <w:col w:w="11100"/>
      </w:cols>
      <w:pgMar w:left="320" w:top="143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9B7AAA2"/>
    <w:multiLevelType w:val="hybridMultilevel"/>
    <w:lvl w:ilvl="0">
      <w:lvlJc w:val="left"/>
      <w:lvlText w:val="☒"/>
      <w:numFmt w:val="bullet"/>
      <w:start w:val="1"/>
    </w:lvl>
  </w:abstractNum>
  <w:abstractNum w:abstractNumId="1">
    <w:nsid w:val="2B0D8DBE"/>
    <w:multiLevelType w:val="hybridMultilevel"/>
    <w:lvl w:ilvl="0">
      <w:lvlJc w:val="left"/>
      <w:lvlText w:val="☐"/>
      <w:numFmt w:val="bullet"/>
      <w:start w:val="1"/>
    </w:lvl>
  </w:abstractNum>
  <w:abstractNum w:abstractNumId="2">
    <w:nsid w:val="6C80EC70"/>
    <w:multiLevelType w:val="hybridMultilevel"/>
    <w:lvl w:ilvl="0">
      <w:lvlJc w:val="left"/>
      <w:lvlText w:val="◦"/>
      <w:numFmt w:val="bullet"/>
      <w:start w:val="1"/>
    </w:lvl>
  </w:abstractNum>
  <w:abstractNum w:abstractNumId="3">
    <w:nsid w:val="379E21B5"/>
    <w:multiLevelType w:val="hybridMultilevel"/>
    <w:lvl w:ilvl="0">
      <w:lvlJc w:val="left"/>
      <w:lvlText w:val="◦"/>
      <w:numFmt w:val="bullet"/>
      <w:start w:val="1"/>
    </w:lvl>
  </w:abstractNum>
  <w:abstractNum w:abstractNumId="4">
    <w:nsid w:val="69E373"/>
    <w:multiLevelType w:val="hybridMultilevel"/>
    <w:lvl w:ilvl="0">
      <w:lvlJc w:val="left"/>
      <w:lvlText w:val="◦"/>
      <w:numFmt w:val="bullet"/>
      <w:start w:val="1"/>
    </w:lvl>
  </w:abstractNum>
  <w:abstractNum w:abstractNumId="5">
    <w:nsid w:val="2C27173B"/>
    <w:multiLevelType w:val="hybridMultilevel"/>
    <w:lvl w:ilvl="0">
      <w:lvlJc w:val="left"/>
      <w:lvlText w:val="◦"/>
      <w:numFmt w:val="bullet"/>
      <w:start w:val="1"/>
    </w:lvl>
  </w:abstractNum>
  <w:abstractNum w:abstractNumId="6">
    <w:nsid w:val="4C9B0904"/>
    <w:multiLevelType w:val="hybridMultilevel"/>
    <w:lvl w:ilvl="0">
      <w:lvlJc w:val="left"/>
      <w:lvlText w:val="◦"/>
      <w:numFmt w:val="bullet"/>
      <w:start w:val="1"/>
    </w:lvl>
  </w:abstractNum>
  <w:abstractNum w:abstractNumId="7">
    <w:nsid w:val="6AA7B75C"/>
    <w:multiLevelType w:val="hybridMultilevel"/>
    <w:lvl w:ilvl="0">
      <w:lvlJc w:val="left"/>
      <w:lvlText w:val="◦"/>
      <w:numFmt w:val="bullet"/>
      <w:start w:val="1"/>
    </w:lvl>
  </w:abstractNum>
  <w:abstractNum w:abstractNumId="8">
    <w:nsid w:val="1DF029D3"/>
    <w:multiLevelType w:val="hybridMultilevel"/>
    <w:lvl w:ilvl="0">
      <w:lvlJc w:val="left"/>
      <w:lvlText w:val="◦"/>
      <w:numFmt w:val="bullet"/>
      <w:start w:val="1"/>
    </w:lvl>
  </w:abstractNum>
  <w:abstractNum w:abstractNumId="9">
    <w:nsid w:val="5675FF36"/>
    <w:multiLevelType w:val="hybridMultilevel"/>
    <w:lvl w:ilvl="0">
      <w:lvlJc w:val="left"/>
      <w:lvlText w:val="◦"/>
      <w:numFmt w:val="bullet"/>
      <w:start w:val="1"/>
    </w:lvl>
  </w:abstractNum>
  <w:abstractNum w:abstractNumId="10">
    <w:nsid w:val="3DD15094"/>
    <w:multiLevelType w:val="hybridMultilevel"/>
    <w:lvl w:ilvl="0">
      <w:lvlJc w:val="left"/>
      <w:lvlText w:val="◦"/>
      <w:numFmt w:val="bullet"/>
      <w:start w:val="1"/>
    </w:lvl>
  </w:abstractNum>
  <w:abstractNum w:abstractNumId="11">
    <w:nsid w:val="3DB012B3"/>
    <w:multiLevelType w:val="hybridMultilevel"/>
    <w:lvl w:ilvl="0">
      <w:lvlJc w:val="left"/>
      <w:lvlText w:val="•"/>
      <w:numFmt w:val="bullet"/>
      <w:start w:val="1"/>
    </w:lvl>
  </w:abstractNum>
  <w:abstractNum w:abstractNumId="12">
    <w:nsid w:val="2708C9AF"/>
    <w:multiLevelType w:val="hybridMultilevel"/>
    <w:lvl w:ilvl="0">
      <w:lvlJc w:val="left"/>
      <w:lvlText w:val="•"/>
      <w:numFmt w:val="bullet"/>
      <w:start w:val="1"/>
    </w:lvl>
  </w:abstractNum>
  <w:abstractNum w:abstractNumId="13">
    <w:nsid w:val="5B25ACE2"/>
    <w:multiLevelType w:val="hybridMultilevel"/>
    <w:lvl w:ilvl="0">
      <w:lvlJc w:val="left"/>
      <w:lvlText w:val="1"/>
      <w:numFmt w:val="bullet"/>
      <w:start w:val="1"/>
    </w:lvl>
  </w:abstractNum>
  <w:abstractNum w:abstractNumId="14">
    <w:nsid w:val="175DFCF0"/>
    <w:multiLevelType w:val="hybridMultilevel"/>
    <w:lvl w:ilvl="0">
      <w:lvlJc w:val="left"/>
      <w:lvlText w:val="2"/>
      <w:numFmt w:val="bullet"/>
      <w:start w:val="1"/>
    </w:lvl>
  </w:abstractNum>
  <w:abstractNum w:abstractNumId="15">
    <w:nsid w:val="4F97E3E4"/>
    <w:multiLevelType w:val="hybridMultilevel"/>
    <w:lvl w:ilvl="0">
      <w:lvlJc w:val="left"/>
      <w:lvlText w:val="3"/>
      <w:numFmt w:val="bullet"/>
      <w:start w:val="1"/>
    </w:lvl>
  </w:abstractNum>
  <w:abstractNum w:abstractNumId="16">
    <w:nsid w:val="53B0A9E"/>
    <w:multiLevelType w:val="hybridMultilevel"/>
    <w:lvl w:ilvl="0">
      <w:lvlJc w:val="left"/>
      <w:lvlText w:val="4"/>
      <w:numFmt w:val="bullet"/>
      <w:start w:val="1"/>
    </w:lvl>
  </w:abstractNum>
  <w:abstractNum w:abstractNumId="17">
    <w:nsid w:val="34FD6B4F"/>
    <w:multiLevelType w:val="hybridMultilevel"/>
    <w:lvl w:ilvl="0">
      <w:lvlJc w:val="left"/>
      <w:lvlText w:val="•"/>
      <w:numFmt w:val="bullet"/>
      <w:start w:val="1"/>
    </w:lvl>
  </w:abstractNum>
  <w:abstractNum w:abstractNumId="18">
    <w:nsid w:val="5915FF32"/>
    <w:multiLevelType w:val="hybridMultilevel"/>
    <w:lvl w:ilvl="0">
      <w:lvlJc w:val="left"/>
      <w:lvlText w:val="•"/>
      <w:numFmt w:val="bullet"/>
      <w:start w:val="1"/>
    </w:lvl>
  </w:abstractNum>
  <w:abstractNum w:abstractNumId="19">
    <w:nsid w:val="56438D15"/>
    <w:multiLevelType w:val="hybridMultilevel"/>
    <w:lvl w:ilvl="0">
      <w:lvlJc w:val="left"/>
      <w:lvlText w:val="•"/>
      <w:numFmt w:val="bullet"/>
      <w:start w:val="1"/>
    </w:lvl>
  </w:abstractNum>
  <w:abstractNum w:abstractNumId="20">
    <w:nsid w:val="519E3149"/>
    <w:multiLevelType w:val="hybridMultilevel"/>
    <w:lvl w:ilvl="0">
      <w:lvlJc w:val="left"/>
      <w:lvlText w:val="•"/>
      <w:numFmt w:val="bullet"/>
      <w:start w:val="1"/>
    </w:lvl>
  </w:abstractNum>
  <w:abstractNum w:abstractNumId="21">
    <w:nsid w:val="2C6E4AFD"/>
    <w:multiLevelType w:val="hybridMultilevel"/>
    <w:lvl w:ilvl="0">
      <w:lvlJc w:val="left"/>
      <w:lvlText w:val="•"/>
      <w:numFmt w:val="bullet"/>
      <w:start w:val="1"/>
    </w:lvl>
  </w:abstractNum>
  <w:abstractNum w:abstractNumId="22">
    <w:nsid w:val="17A1B582"/>
    <w:multiLevelType w:val="hybridMultilevel"/>
    <w:lvl w:ilvl="0">
      <w:lvlJc w:val="left"/>
      <w:lvlText w:val="7"/>
      <w:numFmt w:val="bullet"/>
      <w:start w:val="1"/>
    </w:lvl>
  </w:abstractNum>
  <w:abstractNum w:abstractNumId="23">
    <w:nsid w:val="4DF72E4E"/>
    <w:multiLevelType w:val="hybridMultilevel"/>
    <w:lvl w:ilvl="0">
      <w:lvlJc w:val="left"/>
      <w:lvlText w:val="8"/>
      <w:numFmt w:val="bullet"/>
      <w:start w:val="1"/>
    </w:lvl>
  </w:abstractNum>
  <w:abstractNum w:abstractNumId="24">
    <w:nsid w:val="5046B5A9"/>
    <w:multiLevelType w:val="hybridMultilevel"/>
    <w:lvl w:ilvl="0">
      <w:lvlJc w:val="left"/>
      <w:lvlText w:val="9"/>
      <w:numFmt w:val="bullet"/>
      <w:start w:val="1"/>
    </w:lvl>
  </w:abstractNum>
  <w:abstractNum w:abstractNumId="25">
    <w:nsid w:val="5D888A08"/>
    <w:multiLevelType w:val="hybridMultilevel"/>
    <w:lvl w:ilvl="0">
      <w:lvlJc w:val="left"/>
      <w:lvlText w:val="•"/>
      <w:numFmt w:val="bullet"/>
      <w:start w:val="1"/>
    </w:lvl>
    <w:lvl w:ilvl="1">
      <w:lvlJc w:val="left"/>
      <w:lvlText w:val="◦"/>
      <w:numFmt w:val="bullet"/>
      <w:start w:val="1"/>
    </w:lvl>
  </w:abstractNum>
  <w:abstractNum w:abstractNumId="26">
    <w:nsid w:val="2A082C70"/>
    <w:multiLevelType w:val="hybridMultilevel"/>
    <w:lvl w:ilvl="0">
      <w:lvlJc w:val="left"/>
      <w:lvlText w:val="•"/>
      <w:numFmt w:val="bullet"/>
      <w:start w:val="1"/>
    </w:lvl>
  </w:abstractNum>
  <w:abstractNum w:abstractNumId="27">
    <w:nsid w:val="5EC6AFD4"/>
    <w:multiLevelType w:val="hybridMultilevel"/>
    <w:lvl w:ilvl="0">
      <w:lvlJc w:val="left"/>
      <w:lvlText w:val="%1"/>
      <w:numFmt w:val="decimal"/>
      <w:start w:val="10"/>
    </w:lvl>
  </w:abstractNum>
  <w:abstractNum w:abstractNumId="28">
    <w:nsid w:val="19E21BB2"/>
    <w:multiLevelType w:val="hybridMultilevel"/>
    <w:lvl w:ilvl="0">
      <w:lvlJc w:val="left"/>
      <w:lvlText w:val="%1"/>
      <w:numFmt w:val="decimal"/>
      <w:start w:val="11"/>
    </w:lvl>
  </w:abstractNum>
  <w:abstractNum w:abstractNumId="29">
    <w:nsid w:val="75E0858A"/>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0">
    <w:nsid w:val="57A61A29"/>
    <w:multiLevelType w:val="hybridMultilevel"/>
    <w:lvl w:ilvl="0">
      <w:lvlJc w:val="left"/>
      <w:lvlText w:val="%1"/>
      <w:numFmt w:val="decimal"/>
      <w:start w:val="13"/>
    </w:lvl>
  </w:abstractNum>
  <w:abstractNum w:abstractNumId="31">
    <w:nsid w:val="5399C654"/>
    <w:multiLevelType w:val="hybridMultilevel"/>
    <w:lvl w:ilvl="0">
      <w:lvlJc w:val="left"/>
      <w:lvlText w:val="•"/>
      <w:numFmt w:val="bullet"/>
      <w:start w:val="1"/>
    </w:lvl>
  </w:abstractNum>
  <w:abstractNum w:abstractNumId="32">
    <w:nsid w:val="20EE1348"/>
    <w:multiLevelType w:val="hybridMultilevel"/>
    <w:lvl w:ilvl="0">
      <w:lvlJc w:val="left"/>
      <w:lvlText w:val="%1"/>
      <w:numFmt w:val="decimal"/>
      <w:start w:val="14"/>
    </w:lvl>
  </w:abstractNum>
  <w:abstractNum w:abstractNumId="33">
    <w:nsid w:val="4427069A"/>
    <w:multiLevelType w:val="hybridMultilevel"/>
    <w:lvl w:ilvl="0">
      <w:lvlJc w:val="left"/>
      <w:lvlText w:val="%1"/>
      <w:numFmt w:val="decimal"/>
      <w:start w:val="16"/>
    </w:lvl>
  </w:abstractNum>
  <w:abstractNum w:abstractNumId="34">
    <w:nsid w:val="B37E80A"/>
    <w:multiLevelType w:val="hybridMultilevel"/>
    <w:lvl w:ilvl="0">
      <w:lvlJc w:val="left"/>
      <w:lvlText w:val="•"/>
      <w:numFmt w:val="bullet"/>
      <w:start w:val="1"/>
    </w:lvl>
  </w:abstractNum>
  <w:abstractNum w:abstractNumId="35">
    <w:nsid w:val="2157F6BC"/>
    <w:multiLevelType w:val="hybridMultilevel"/>
    <w:lvl w:ilvl="0">
      <w:lvlJc w:val="left"/>
      <w:lvlText w:val="%1"/>
      <w:numFmt w:val="decimal"/>
      <w:start w:val="17"/>
    </w:lvl>
  </w:abstractNum>
  <w:abstractNum w:abstractNumId="36">
    <w:nsid w:val="704E1DD5"/>
    <w:multiLevelType w:val="hybridMultilevel"/>
    <w:lvl w:ilvl="0">
      <w:lvlJc w:val="left"/>
      <w:lvlText w:val="•"/>
      <w:numFmt w:val="bullet"/>
      <w:start w:val="1"/>
    </w:lvl>
  </w:abstractNum>
  <w:abstractNum w:abstractNumId="37">
    <w:nsid w:val="57D2F10E"/>
    <w:multiLevelType w:val="hybridMultilevel"/>
    <w:lvl w:ilvl="0">
      <w:lvlJc w:val="left"/>
      <w:lvlText w:val="•"/>
      <w:numFmt w:val="bullet"/>
      <w:start w:val="1"/>
    </w:lvl>
  </w:abstractNum>
  <w:abstractNum w:abstractNumId="38">
    <w:nsid w:val="BFFAE18"/>
    <w:multiLevelType w:val="hybridMultilevel"/>
    <w:lvl w:ilvl="0">
      <w:lvlJc w:val="left"/>
      <w:lvlText w:val="%1"/>
      <w:numFmt w:val="decimal"/>
      <w:start w:val="19"/>
    </w:lvl>
  </w:abstractNum>
  <w:abstractNum w:abstractNumId="39">
    <w:nsid w:val="E3E47A8"/>
    <w:multiLevelType w:val="hybridMultilevel"/>
    <w:lvl w:ilvl="0">
      <w:lvlJc w:val="left"/>
      <w:lvlText w:val="•"/>
      <w:numFmt w:val="bullet"/>
      <w:start w:val="1"/>
    </w:lvl>
  </w:abstractNum>
  <w:abstractNum w:abstractNumId="40">
    <w:nsid w:val="2E48F044"/>
    <w:multiLevelType w:val="hybridMultilevel"/>
    <w:lvl w:ilvl="0">
      <w:lvlJc w:val="left"/>
      <w:lvlText w:val="•"/>
      <w:numFmt w:val="bullet"/>
      <w:start w:val="1"/>
    </w:lvl>
  </w:abstractNum>
  <w:abstractNum w:abstractNumId="41">
    <w:nsid w:val="49D0FEAC"/>
    <w:multiLevelType w:val="hybridMultilevel"/>
    <w:lvl w:ilvl="0">
      <w:lvlJc w:val="left"/>
      <w:lvlText w:val="•"/>
      <w:numFmt w:val="bullet"/>
      <w:start w:val="1"/>
    </w:lvl>
  </w:abstractNum>
  <w:abstractNum w:abstractNumId="42">
    <w:nsid w:val="4BEE5A5B"/>
    <w:multiLevelType w:val="hybridMultilevel"/>
    <w:lvl w:ilvl="0">
      <w:lvlJc w:val="left"/>
      <w:lvlText w:val="◦"/>
      <w:numFmt w:val="bullet"/>
      <w:start w:val="1"/>
    </w:lvl>
  </w:abstractNum>
  <w:abstractNum w:abstractNumId="43">
    <w:nsid w:val="5551B9F3"/>
    <w:multiLevelType w:val="hybridMultilevel"/>
    <w:lvl w:ilvl="0">
      <w:lvlJc w:val="left"/>
      <w:lvlText w:val="•"/>
      <w:numFmt w:val="bullet"/>
      <w:start w:val="1"/>
    </w:lvl>
  </w:abstractNum>
  <w:abstractNum w:abstractNumId="44">
    <w:nsid w:val="24F6AB8E"/>
    <w:multiLevelType w:val="hybridMultilevel"/>
    <w:lvl w:ilvl="0">
      <w:lvlJc w:val="left"/>
      <w:lvlText w:val="•"/>
      <w:numFmt w:val="bullet"/>
      <w:start w:val="1"/>
    </w:lvl>
  </w:abstractNum>
  <w:abstractNum w:abstractNumId="45">
    <w:nsid w:val="634C574C"/>
    <w:multiLevelType w:val="hybridMultilevel"/>
    <w:lvl w:ilvl="0">
      <w:lvlJc w:val="left"/>
      <w:lvlText w:val="%1"/>
      <w:numFmt w:val="decimal"/>
      <w:start w:val="21"/>
    </w:lvl>
  </w:abstractNum>
  <w:abstractNum w:abstractNumId="46">
    <w:nsid w:val="24E99DD7"/>
    <w:multiLevelType w:val="hybridMultilevel"/>
    <w:lvl w:ilvl="0">
      <w:lvlJc w:val="left"/>
      <w:lvlText w:val="◦"/>
      <w:numFmt w:val="bullet"/>
      <w:start w:val="1"/>
    </w:lvl>
    <w:lvl w:ilvl="1">
      <w:lvlJc w:val="left"/>
      <w:lvlText w:val="▪"/>
      <w:numFmt w:val="bullet"/>
      <w:start w:val="1"/>
    </w:lvl>
  </w:abstractNum>
  <w:abstractNum w:abstractNumId="47">
    <w:nsid w:val="2A31B62D"/>
    <w:multiLevelType w:val="hybridMultilevel"/>
    <w:lvl w:ilvl="0">
      <w:lvlJc w:val="left"/>
      <w:lvlText w:val="•"/>
      <w:numFmt w:val="bullet"/>
      <w:start w:val="1"/>
    </w:lvl>
  </w:abstractNum>
  <w:abstractNum w:abstractNumId="48">
    <w:nsid w:val="1849C29B"/>
    <w:multiLevelType w:val="hybridMultilevel"/>
    <w:lvl w:ilvl="0">
      <w:lvlJc w:val="left"/>
      <w:lvlText w:val="•"/>
      <w:numFmt w:val="bullet"/>
      <w:start w:val="1"/>
    </w:lvl>
  </w:abstractNum>
  <w:abstractNum w:abstractNumId="49">
    <w:nsid w:val="7DFF9D09"/>
    <w:multiLevelType w:val="hybridMultilevel"/>
    <w:lvl w:ilvl="0">
      <w:lvlJc w:val="left"/>
      <w:lvlText w:val="•"/>
      <w:numFmt w:val="bullet"/>
      <w:start w:val="1"/>
    </w:lvl>
  </w:abstractNum>
  <w:abstractNum w:abstractNumId="50">
    <w:nsid w:val="754342"/>
    <w:multiLevelType w:val="hybridMultilevel"/>
    <w:lvl w:ilvl="0">
      <w:lvlJc w:val="left"/>
      <w:lvlText w:val="•"/>
      <w:numFmt w:val="bullet"/>
      <w:start w:val="1"/>
    </w:lvl>
  </w:abstractNum>
  <w:abstractNum w:abstractNumId="51">
    <w:nsid w:val="69E7F3E5"/>
    <w:multiLevelType w:val="hybridMultilevel"/>
    <w:lvl w:ilvl="0">
      <w:lvlJc w:val="left"/>
      <w:lvlText w:val="•"/>
      <w:numFmt w:val="bullet"/>
      <w:start w:val="1"/>
    </w:lvl>
  </w:abstractNum>
  <w:abstractNum w:abstractNumId="52">
    <w:nsid w:val="2A6DE806"/>
    <w:multiLevelType w:val="hybridMultilevel"/>
    <w:lvl w:ilvl="0">
      <w:lvlJc w:val="left"/>
      <w:lvlText w:val="•"/>
      <w:numFmt w:val="bullet"/>
      <w:start w:val="1"/>
    </w:lvl>
    <w:lvl w:ilvl="1">
      <w:lvlJc w:val="left"/>
      <w:lvlText w:val="◦"/>
      <w:numFmt w:val="bullet"/>
      <w:start w:val="1"/>
    </w:lvl>
  </w:abstractNum>
  <w:abstractNum w:abstractNumId="53">
    <w:nsid w:val="1816F8C4"/>
    <w:multiLevelType w:val="hybridMultilevel"/>
    <w:lvl w:ilvl="0">
      <w:lvlJc w:val="left"/>
      <w:lvlText w:val="•"/>
      <w:numFmt w:val="bullet"/>
      <w:start w:val="1"/>
    </w:lvl>
  </w:abstractNum>
  <w:abstractNum w:abstractNumId="54">
    <w:nsid w:val="37DF2233"/>
    <w:multiLevelType w:val="hybridMultilevel"/>
    <w:lvl w:ilvl="0">
      <w:lvlJc w:val="left"/>
      <w:lvlText w:val="•"/>
      <w:numFmt w:val="bullet"/>
      <w:start w:val="1"/>
    </w:lvl>
  </w:abstractNum>
  <w:abstractNum w:abstractNumId="55">
    <w:nsid w:val="7AB49DAF"/>
    <w:multiLevelType w:val="hybridMultilevel"/>
    <w:lvl w:ilvl="0">
      <w:lvlJc w:val="left"/>
      <w:lvlText w:val="•"/>
      <w:numFmt w:val="bullet"/>
      <w:start w:val="1"/>
    </w:lvl>
  </w:abstractNum>
  <w:abstractNum w:abstractNumId="56">
    <w:nsid w:val="759F82CD"/>
    <w:multiLevelType w:val="hybridMultilevel"/>
    <w:lvl w:ilvl="0">
      <w:lvlJc w:val="left"/>
      <w:lvlText w:val="•"/>
      <w:numFmt w:val="bullet"/>
      <w:start w:val="1"/>
    </w:lvl>
  </w:abstractNum>
  <w:abstractNum w:abstractNumId="57">
    <w:nsid w:val="61E74EA3"/>
    <w:multiLevelType w:val="hybridMultilevel"/>
    <w:lvl w:ilvl="0">
      <w:lvlJc w:val="left"/>
      <w:lvlText w:val="•"/>
      <w:numFmt w:val="bullet"/>
      <w:start w:val="1"/>
    </w:lvl>
  </w:abstractNum>
  <w:abstractNum w:abstractNumId="58">
    <w:nsid w:val="597B4D84"/>
    <w:multiLevelType w:val="hybridMultilevel"/>
    <w:lvl w:ilvl="0">
      <w:lvlJc w:val="left"/>
      <w:lvlText w:val="•"/>
      <w:numFmt w:val="bullet"/>
      <w:start w:val="1"/>
    </w:lvl>
  </w:abstractNum>
  <w:abstractNum w:abstractNumId="59">
    <w:nsid w:val="F819E7F"/>
    <w:multiLevelType w:val="hybridMultilevel"/>
    <w:lvl w:ilvl="0">
      <w:lvlJc w:val="left"/>
      <w:lvlText w:val="•"/>
      <w:numFmt w:val="bullet"/>
      <w:start w:val="1"/>
    </w:lvl>
  </w:abstractNum>
  <w:abstractNum w:abstractNumId="60">
    <w:nsid w:val="57C7D42D"/>
    <w:multiLevelType w:val="hybridMultilevel"/>
    <w:lvl w:ilvl="0">
      <w:lvlJc w:val="left"/>
      <w:lvlText w:val="•"/>
      <w:numFmt w:val="bullet"/>
      <w:start w:val="1"/>
    </w:lvl>
  </w:abstractNum>
  <w:abstractNum w:abstractNumId="61">
    <w:nsid w:val="312167AD"/>
    <w:multiLevelType w:val="hybridMultilevel"/>
    <w:lvl w:ilvl="0">
      <w:lvlJc w:val="left"/>
      <w:lvlText w:val="•"/>
      <w:numFmt w:val="bullet"/>
      <w:start w:val="1"/>
    </w:lvl>
  </w:abstractNum>
  <w:abstractNum w:abstractNumId="62">
    <w:nsid w:val="631B64D4"/>
    <w:multiLevelType w:val="hybridMultilevel"/>
    <w:lvl w:ilvl="0">
      <w:lvlJc w:val="left"/>
      <w:lvlText w:val="•"/>
      <w:numFmt w:val="bullet"/>
      <w:start w:val="1"/>
    </w:lvl>
  </w:abstractNum>
  <w:abstractNum w:abstractNumId="63">
    <w:nsid w:val="78B5E776"/>
    <w:multiLevelType w:val="hybridMultilevel"/>
    <w:lvl w:ilvl="0">
      <w:lvlJc w:val="left"/>
      <w:lvlText w:val="•"/>
      <w:numFmt w:val="bullet"/>
      <w:start w:val="1"/>
    </w:lvl>
  </w:abstractNum>
  <w:abstractNum w:abstractNumId="64">
    <w:nsid w:val="75486E47"/>
    <w:multiLevelType w:val="hybridMultilevel"/>
    <w:lvl w:ilvl="0">
      <w:lvlJc w:val="left"/>
      <w:lvlText w:val="•"/>
      <w:numFmt w:val="bullet"/>
      <w:start w:val="1"/>
    </w:lvl>
  </w:abstractNum>
  <w:abstractNum w:abstractNumId="65">
    <w:nsid w:val="6E534CDE"/>
    <w:multiLevelType w:val="hybridMultilevel"/>
    <w:lvl w:ilvl="0">
      <w:lvlJc w:val="left"/>
      <w:lvlText w:val="•"/>
      <w:numFmt w:val="bullet"/>
      <w:start w:val="1"/>
    </w:lvl>
  </w:abstractNum>
  <w:abstractNum w:abstractNumId="66">
    <w:nsid w:val="1A0DDE32"/>
    <w:multiLevelType w:val="hybridMultilevel"/>
    <w:lvl w:ilvl="0">
      <w:lvlJc w:val="left"/>
      <w:lvlText w:val="•"/>
      <w:numFmt w:val="bullet"/>
      <w:start w:val="1"/>
    </w:lvl>
  </w:abstractNum>
  <w:abstractNum w:abstractNumId="67">
    <w:nsid w:val="65968C1C"/>
    <w:multiLevelType w:val="hybridMultilevel"/>
    <w:lvl w:ilvl="0">
      <w:lvlJc w:val="left"/>
      <w:lvlText w:val="(%1)"/>
      <w:numFmt w:val="lowerRoman"/>
      <w:start w:val="1"/>
    </w:lvl>
  </w:abstractNum>
  <w:abstractNum w:abstractNumId="68">
    <w:nsid w:val="46263DEC"/>
    <w:multiLevelType w:val="hybridMultilevel"/>
    <w:lvl w:ilvl="0">
      <w:lvlJc w:val="left"/>
      <w:lvlText w:val="•"/>
      <w:numFmt w:val="bullet"/>
      <w:start w:val="1"/>
    </w:lvl>
  </w:abstractNum>
  <w:abstractNum w:abstractNumId="69">
    <w:nsid w:val="260D8C4A"/>
    <w:multiLevelType w:val="hybridMultilevel"/>
    <w:lvl w:ilvl="0">
      <w:lvlJc w:val="left"/>
      <w:lvlText w:val="•"/>
      <w:numFmt w:val="bullet"/>
      <w:start w:val="1"/>
    </w:lvl>
  </w:abstractNum>
  <w:abstractNum w:abstractNumId="70">
    <w:nsid w:val="73D4D3C4"/>
    <w:multiLevelType w:val="hybridMultilevel"/>
    <w:lvl w:ilvl="0">
      <w:lvlJc w:val="left"/>
      <w:lvlText w:val="•"/>
      <w:numFmt w:val="bullet"/>
      <w:start w:val="1"/>
    </w:lvl>
  </w:abstractNum>
  <w:abstractNum w:abstractNumId="71">
    <w:nsid w:val="746F2E30"/>
    <w:multiLevelType w:val="hybridMultilevel"/>
    <w:lvl w:ilvl="0">
      <w:lvlJc w:val="left"/>
      <w:lvlText w:val="•"/>
      <w:numFmt w:val="bullet"/>
      <w:start w:val="1"/>
    </w:lvl>
  </w:abstractNum>
  <w:abstractNum w:abstractNumId="72">
    <w:nsid w:val="6FDE8AF6"/>
    <w:multiLevelType w:val="hybridMultilevel"/>
    <w:lvl w:ilvl="0">
      <w:lvlJc w:val="left"/>
      <w:lvlText w:val="•"/>
      <w:numFmt w:val="bullet"/>
      <w:start w:val="1"/>
    </w:lvl>
  </w:abstractNum>
  <w:abstractNum w:abstractNumId="73">
    <w:nsid w:val="3FC32E20"/>
    <w:multiLevelType w:val="hybridMultilevel"/>
    <w:lvl w:ilvl="0">
      <w:lvlJc w:val="left"/>
      <w:lvlText w:val="•"/>
      <w:numFmt w:val="bullet"/>
      <w:start w:val="1"/>
    </w:lvl>
  </w:abstractNum>
  <w:abstractNum w:abstractNumId="74">
    <w:nsid w:val="49C0E823"/>
    <w:multiLevelType w:val="hybridMultilevel"/>
    <w:lvl w:ilvl="0">
      <w:lvlJc w:val="left"/>
      <w:lvlText w:val="•"/>
      <w:numFmt w:val="bullet"/>
      <w:start w:val="1"/>
    </w:lvl>
  </w:abstractNum>
  <w:abstractNum w:abstractNumId="75">
    <w:nsid w:val="14D53685"/>
    <w:multiLevelType w:val="hybridMultilevel"/>
    <w:lvl w:ilvl="0">
      <w:lvlJc w:val="left"/>
      <w:lvlText w:val="•"/>
      <w:numFmt w:val="bullet"/>
      <w:start w:val="1"/>
    </w:lvl>
  </w:abstractNum>
  <w:abstractNum w:abstractNumId="76">
    <w:nsid w:val="230F856C"/>
    <w:multiLevelType w:val="hybridMultilevel"/>
    <w:lvl w:ilvl="0">
      <w:lvlJc w:val="left"/>
      <w:lvlText w:val="•"/>
      <w:numFmt w:val="bullet"/>
      <w:start w:val="1"/>
    </w:lvl>
  </w:abstractNum>
  <w:abstractNum w:abstractNumId="77">
    <w:nsid w:val="6EAA85FB"/>
    <w:multiLevelType w:val="hybridMultilevel"/>
    <w:lvl w:ilvl="0">
      <w:lvlJc w:val="left"/>
      <w:lvlText w:val="•"/>
      <w:numFmt w:val="bullet"/>
      <w:start w:val="1"/>
    </w:lvl>
  </w:abstractNum>
  <w:abstractNum w:abstractNumId="78">
    <w:nsid w:val="3F06ECB2"/>
    <w:multiLevelType w:val="hybridMultilevel"/>
    <w:lvl w:ilvl="0">
      <w:lvlJc w:val="left"/>
      <w:lvlText w:val="•"/>
      <w:numFmt w:val="bullet"/>
      <w:start w:val="1"/>
    </w:lvl>
  </w:abstractNum>
  <w:abstractNum w:abstractNumId="79">
    <w:nsid w:val="3B594807"/>
    <w:multiLevelType w:val="hybridMultilevel"/>
    <w:lvl w:ilvl="0">
      <w:lvlJc w:val="left"/>
      <w:lvlText w:val="•"/>
      <w:numFmt w:val="bullet"/>
      <w:start w:val="1"/>
    </w:lvl>
    <w:lvl w:ilvl="1">
      <w:lvlJc w:val="left"/>
      <w:lvlText w:val="•"/>
      <w:numFmt w:val="bullet"/>
      <w:start w:val="1"/>
    </w:lvl>
  </w:abstractNum>
  <w:abstractNum w:abstractNumId="80">
    <w:nsid w:val="6CAA2304"/>
    <w:multiLevelType w:val="hybridMultilevel"/>
    <w:lvl w:ilvl="0">
      <w:lvlJc w:val="left"/>
      <w:lvlText w:val="•"/>
      <w:numFmt w:val="bullet"/>
      <w:start w:val="1"/>
    </w:lvl>
  </w:abstractNum>
  <w:abstractNum w:abstractNumId="81">
    <w:nsid w:val="3F7C2FF4"/>
    <w:multiLevelType w:val="hybridMultilevel"/>
    <w:lvl w:ilvl="0">
      <w:lvlJc w:val="left"/>
      <w:lvlText w:val="•"/>
      <w:numFmt w:val="bullet"/>
      <w:start w:val="1"/>
    </w:lvl>
  </w:abstractNum>
  <w:abstractNum w:abstractNumId="82">
    <w:nsid w:val="25413BEC"/>
    <w:multiLevelType w:val="hybridMultilevel"/>
    <w:lvl w:ilvl="0">
      <w:lvlJc w:val="left"/>
      <w:lvlText w:val="•"/>
      <w:numFmt w:val="bullet"/>
      <w:start w:val="1"/>
    </w:lvl>
  </w:abstractNum>
  <w:abstractNum w:abstractNumId="83">
    <w:nsid w:val="17180B0B"/>
    <w:multiLevelType w:val="hybridMultilevel"/>
    <w:lvl w:ilvl="0">
      <w:lvlJc w:val="left"/>
      <w:lvlText w:val="•"/>
      <w:numFmt w:val="bullet"/>
      <w:start w:val="1"/>
    </w:lvl>
  </w:abstractNum>
  <w:abstractNum w:abstractNumId="84">
    <w:nsid w:val="579328B9"/>
    <w:multiLevelType w:val="hybridMultilevel"/>
    <w:lvl w:ilvl="0">
      <w:lvlJc w:val="left"/>
      <w:lvlText w:val="•"/>
      <w:numFmt w:val="bullet"/>
      <w:start w:val="1"/>
    </w:lvl>
  </w:abstractNum>
  <w:abstractNum w:abstractNumId="85">
    <w:nsid w:val="5D205E20"/>
    <w:multiLevelType w:val="hybridMultilevel"/>
    <w:lvl w:ilvl="0">
      <w:lvlJc w:val="left"/>
      <w:lvlText w:val="•"/>
      <w:numFmt w:val="bullet"/>
      <w:start w:val="1"/>
    </w:lvl>
  </w:abstractNum>
  <w:abstractNum w:abstractNumId="86">
    <w:nsid w:val="11CCA8BA"/>
    <w:multiLevelType w:val="hybridMultilevel"/>
    <w:lvl w:ilvl="0">
      <w:lvlJc w:val="left"/>
      <w:lvlText w:val="•"/>
      <w:numFmt w:val="bullet"/>
      <w:start w:val="1"/>
    </w:lvl>
  </w:abstractNum>
  <w:abstractNum w:abstractNumId="87">
    <w:nsid w:val="4D32AB86"/>
    <w:multiLevelType w:val="hybridMultilevel"/>
    <w:lvl w:ilvl="0">
      <w:lvlJc w:val="left"/>
      <w:lvlText w:val="•"/>
      <w:numFmt w:val="bullet"/>
      <w:start w:val="1"/>
    </w:lvl>
  </w:abstractNum>
  <w:abstractNum w:abstractNumId="88">
    <w:nsid w:val="3F07ACC3"/>
    <w:multiLevelType w:val="hybridMultilevel"/>
    <w:lvl w:ilvl="0">
      <w:lvlJc w:val="left"/>
      <w:lvlText w:val="•"/>
      <w:numFmt w:val="bullet"/>
      <w:start w:val="1"/>
    </w:lvl>
  </w:abstractNum>
  <w:abstractNum w:abstractNumId="89">
    <w:nsid w:val="6B47F63E"/>
    <w:multiLevelType w:val="hybridMultilevel"/>
    <w:lvl w:ilvl="0">
      <w:lvlJc w:val="left"/>
      <w:lvlText w:val="•"/>
      <w:numFmt w:val="bullet"/>
      <w:start w:val="1"/>
    </w:lvl>
  </w:abstractNum>
  <w:abstractNum w:abstractNumId="90">
    <w:nsid w:val="5CB44A05"/>
    <w:multiLevelType w:val="hybridMultilevel"/>
    <w:lvl w:ilvl="0">
      <w:lvlJc w:val="left"/>
      <w:lvlText w:val="•"/>
      <w:numFmt w:val="bullet"/>
      <w:start w:val="1"/>
    </w:lvl>
    <w:lvl w:ilvl="1">
      <w:lvlJc w:val="left"/>
      <w:lvlText w:val="◦"/>
      <w:numFmt w:val="bullet"/>
      <w:start w:val="1"/>
    </w:lvl>
  </w:abstractNum>
  <w:abstractNum w:abstractNumId="91">
    <w:nsid w:val="16CF80F1"/>
    <w:multiLevelType w:val="hybridMultilevel"/>
    <w:lvl w:ilvl="0">
      <w:lvlJc w:val="left"/>
      <w:lvlText w:val="•"/>
      <w:numFmt w:val="bullet"/>
      <w:start w:val="1"/>
    </w:lvl>
    <w:lvl w:ilvl="1">
      <w:lvlJc w:val="left"/>
      <w:lvlText w:val="◦"/>
      <w:numFmt w:val="bullet"/>
      <w:start w:val="1"/>
    </w:lvl>
  </w:abstractNum>
  <w:abstractNum w:abstractNumId="92">
    <w:nsid w:val="1C695DEC"/>
    <w:multiLevelType w:val="hybridMultilevel"/>
    <w:lvl w:ilvl="0">
      <w:lvlJc w:val="left"/>
      <w:lvlText w:val="•"/>
      <w:numFmt w:val="bullet"/>
      <w:start w:val="1"/>
    </w:lvl>
  </w:abstractNum>
  <w:abstractNum w:abstractNumId="93">
    <w:nsid w:val="3FCFAED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4">
    <w:nsid w:val="F856867"/>
    <w:multiLevelType w:val="hybridMultilevel"/>
    <w:lvl w:ilvl="0">
      <w:lvlJc w:val="left"/>
      <w:lvlText w:val="•"/>
      <w:numFmt w:val="bullet"/>
      <w:start w:val="1"/>
    </w:lvl>
  </w:abstractNum>
  <w:abstractNum w:abstractNumId="95">
    <w:nsid w:val="11B1CC33"/>
    <w:multiLevelType w:val="hybridMultilevel"/>
    <w:lvl w:ilvl="0">
      <w:lvlJc w:val="left"/>
      <w:lvlText w:val="•"/>
      <w:numFmt w:val="bullet"/>
      <w:start w:val="1"/>
    </w:lvl>
    <w:lvl w:ilvl="1">
      <w:lvlJc w:val="left"/>
      <w:lvlText w:val="◦"/>
      <w:numFmt w:val="bullet"/>
      <w:start w:val="1"/>
    </w:lvl>
  </w:abstractNum>
  <w:abstractNum w:abstractNumId="96">
    <w:nsid w:val="2E22FBB7"/>
    <w:multiLevelType w:val="hybridMultilevel"/>
    <w:lvl w:ilvl="0">
      <w:lvlJc w:val="left"/>
      <w:lvlText w:val="•"/>
      <w:numFmt w:val="bullet"/>
      <w:start w:val="1"/>
    </w:lvl>
  </w:abstractNum>
  <w:abstractNum w:abstractNumId="97">
    <w:nsid w:val="29934699"/>
    <w:multiLevelType w:val="hybridMultilevel"/>
    <w:lvl w:ilvl="0">
      <w:lvlJc w:val="left"/>
      <w:lvlText w:val="(%1)"/>
      <w:numFmt w:val="lowerRoman"/>
      <w:start w:val="2"/>
    </w:lvl>
  </w:abstractNum>
  <w:abstractNum w:abstractNumId="98">
    <w:nsid w:val="77485850"/>
    <w:multiLevelType w:val="hybridMultilevel"/>
    <w:lvl w:ilvl="0">
      <w:lvlJc w:val="left"/>
      <w:lvlText w:val="5"/>
      <w:numFmt w:val="bullet"/>
      <w:start w:val="1"/>
    </w:lvl>
  </w:abstractNum>
  <w:abstractNum w:abstractNumId="99">
    <w:nsid w:val="744939A3"/>
    <w:multiLevelType w:val="hybridMultilevel"/>
    <w:lvl w:ilvl="0">
      <w:lvlJc w:val="left"/>
      <w:lvlText w:val="•"/>
      <w:numFmt w:val="bullet"/>
      <w:start w:val="1"/>
    </w:lvl>
  </w:abstractNum>
  <w:abstractNum w:abstractNumId="100">
    <w:nsid w:val="4FA0D2E3"/>
    <w:multiLevelType w:val="hybridMultilevel"/>
    <w:lvl w:ilvl="0">
      <w:lvlJc w:val="left"/>
      <w:lvlText w:val="•"/>
      <w:numFmt w:val="bullet"/>
      <w:start w:val="1"/>
    </w:lvl>
  </w:abstractNum>
  <w:abstractNum w:abstractNumId="101">
    <w:nsid w:val="6B1D2C14"/>
    <w:multiLevelType w:val="hybridMultilevel"/>
    <w:lvl w:ilvl="0">
      <w:lvlJc w:val="left"/>
      <w:lvlText w:val="•"/>
      <w:numFmt w:val="bullet"/>
      <w:start w:val="1"/>
    </w:lvl>
  </w:abstractNum>
  <w:abstractNum w:abstractNumId="102">
    <w:nsid w:val="68B867D3"/>
    <w:multiLevelType w:val="hybridMultilevel"/>
    <w:lvl w:ilvl="0">
      <w:lvlJc w:val="left"/>
      <w:lvlText w:val="•"/>
      <w:numFmt w:val="bullet"/>
      <w:start w:val="1"/>
    </w:lvl>
  </w:abstractNum>
  <w:abstractNum w:abstractNumId="103">
    <w:nsid w:val="3F7F5DD9"/>
    <w:multiLevelType w:val="hybridMultilevel"/>
    <w:lvl w:ilvl="0">
      <w:lvlJc w:val="left"/>
      <w:lvlText w:val="(%1)"/>
      <w:numFmt w:val="lowerLetter"/>
      <w:start w:val="1"/>
    </w:lvl>
    <w:lvl w:ilvl="1">
      <w:lvlJc w:val="left"/>
      <w:lvlText w:val="(%2)"/>
      <w:numFmt w:val="decimal"/>
      <w:start w:val="1"/>
    </w:lvl>
  </w:abstractNum>
  <w:abstractNum w:abstractNumId="104">
    <w:nsid w:val="2AE05A34"/>
    <w:multiLevelType w:val="hybridMultilevel"/>
    <w:lvl w:ilvl="0">
      <w:lvlJc w:val="left"/>
      <w:lvlText w:val="+"/>
      <w:numFmt w:val="bullet"/>
      <w:start w:val="1"/>
    </w:lvl>
  </w:abstractNum>
  <w:abstractNum w:abstractNumId="105">
    <w:nsid w:val="32794FF7"/>
    <w:multiLevelType w:val="hybridMultilevel"/>
    <w:lvl w:ilvl="0">
      <w:lvlJc w:val="left"/>
      <w:lvlText w:val="#"/>
      <w:numFmt w:val="bullet"/>
      <w:start w:val="1"/>
    </w:lvl>
  </w:abstractNum>
  <w:abstractNum w:abstractNumId="106">
    <w:nsid w:val="5454945E"/>
    <w:multiLevelType w:val="hybridMultilevel"/>
    <w:lvl w:ilvl="0">
      <w:lvlJc w:val="left"/>
      <w:lvlText w:val="^"/>
      <w:numFmt w:val="bullet"/>
      <w:start w:val="1"/>
    </w:lvl>
  </w:abstractNum>
  <w:abstractNum w:abstractNumId="107">
    <w:nsid w:val="4DEFDFA0"/>
    <w:multiLevelType w:val="hybridMultilevel"/>
    <w:lvl w:ilvl="0">
      <w:lvlJc w:val="left"/>
      <w:lvlText w:val="*"/>
      <w:numFmt w:val="bullet"/>
      <w:start w:val="1"/>
    </w:lvl>
  </w:abstractNum>
  <w:abstractNum w:abstractNumId="108">
    <w:nsid w:val="2123D5F2"/>
    <w:multiLevelType w:val="hybridMultilevel"/>
    <w:lvl w:ilvl="0">
      <w:lvlJc w:val="left"/>
      <w:lvlText w:val="•"/>
      <w:numFmt w:val="bullet"/>
      <w:start w:val="1"/>
    </w:lvl>
  </w:abstractNum>
  <w:abstractNum w:abstractNumId="109">
    <w:nsid w:val="135B8110"/>
    <w:multiLevelType w:val="hybridMultilevel"/>
    <w:lvl w:ilvl="0">
      <w:lvlJc w:val="left"/>
      <w:lvlText w:val="(%1)"/>
      <w:numFmt w:val="lowerRoman"/>
      <w:start w:val="3"/>
    </w:lvl>
  </w:abstractNum>
  <w:abstractNum w:abstractNumId="110">
    <w:nsid w:val="94927A8"/>
    <w:multiLevelType w:val="hybridMultilevel"/>
    <w:lvl w:ilvl="0">
      <w:lvlJc w:val="left"/>
      <w:lvlText w:val="%1."/>
      <w:numFmt w:val="decimal"/>
      <w:start w:val="1"/>
    </w:lvl>
  </w:abstractNum>
  <w:abstractNum w:abstractNumId="111">
    <w:nsid w:val="DCDF8F6"/>
    <w:multiLevelType w:val="hybridMultilevel"/>
    <w:lvl w:ilvl="0">
      <w:lvlJc w:val="left"/>
      <w:lvlText w:val="%1"/>
      <w:numFmt w:val="decimal"/>
      <w:start w:val="1"/>
    </w:lvl>
    <w:lvl w:ilvl="1">
      <w:lvlJc w:val="left"/>
      <w:lvlText w:val="(%2)"/>
      <w:numFmt w:val="lowerLetter"/>
      <w:start w:val="1"/>
    </w:lvl>
  </w:abstractNum>
  <w:abstractNum w:abstractNumId="112">
    <w:nsid w:val="52D7B105"/>
    <w:multiLevelType w:val="hybridMultilevel"/>
    <w:lvl w:ilvl="0">
      <w:lvlJc w:val="left"/>
      <w:lvlText w:val="%1."/>
      <w:numFmt w:val="decimal"/>
      <w:start w:val="2"/>
    </w:lvl>
    <w:lvl w:ilvl="1">
      <w:lvlJc w:val="left"/>
      <w:lvlText w:val="%2"/>
      <w:numFmt w:val="lowerLetter"/>
      <w:start w:val="1"/>
    </w:lvl>
  </w:abstractNum>
  <w:abstractNum w:abstractNumId="113">
    <w:nsid w:val="2E8A6394"/>
    <w:multiLevelType w:val="hybridMultilevel"/>
    <w:lvl w:ilvl="0">
      <w:lvlJc w:val="left"/>
      <w:lvlText w:val="(%1)"/>
      <w:numFmt w:val="lowerLetter"/>
      <w:start w:val="1"/>
    </w:lvl>
  </w:abstractNum>
  <w:abstractNum w:abstractNumId="114">
    <w:nsid w:val="24E60401"/>
    <w:multiLevelType w:val="hybridMultilevel"/>
    <w:lvl w:ilvl="0">
      <w:lvlJc w:val="left"/>
      <w:lvlText w:val="(%1)"/>
      <w:numFmt w:val="lowerLetter"/>
      <w:start w:val="2"/>
    </w:lvl>
    <w:lvl w:ilvl="1">
      <w:lvlJc w:val="left"/>
      <w:lvlText w:val="(%2)"/>
      <w:numFmt w:val="lowerRoman"/>
      <w:start w:val="1"/>
    </w:lvl>
  </w:abstractNum>
  <w:abstractNum w:abstractNumId="115">
    <w:nsid w:val="2A6AD9BE"/>
    <w:multiLevelType w:val="hybridMultilevel"/>
    <w:lvl w:ilvl="0">
      <w:lvlJc w:val="left"/>
      <w:lvlText w:val="(%1)"/>
      <w:numFmt w:val="lowerLetter"/>
      <w:start w:val="3"/>
    </w:lvl>
    <w:lvl w:ilvl="1">
      <w:lvlJc w:val="left"/>
      <w:lvlText w:val="(%2)"/>
      <w:numFmt w:val="lowerRoman"/>
      <w:start w:val="1"/>
    </w:lvl>
  </w:abstractNum>
  <w:abstractNum w:abstractNumId="116">
    <w:nsid w:val="BAAC1B4"/>
    <w:multiLevelType w:val="hybridMultilevel"/>
    <w:lvl w:ilvl="0">
      <w:lvlJc w:val="left"/>
      <w:lvlText w:val="(%1)"/>
      <w:numFmt w:val="lowerLetter"/>
      <w:start w:val="4"/>
    </w:lvl>
  </w:abstractNum>
  <w:abstractNum w:abstractNumId="117">
    <w:nsid w:val="36B2ACBC"/>
    <w:multiLevelType w:val="hybridMultilevel"/>
    <w:lvl w:ilvl="0">
      <w:lvlJc w:val="left"/>
      <w:lvlText w:val="%1"/>
      <w:numFmt w:val="decimal"/>
      <w:start w:val="1"/>
    </w:lvl>
    <w:lvl w:ilvl="1">
      <w:lvlJc w:val="left"/>
      <w:lvlText w:val="(%2)"/>
      <w:numFmt w:val="lowerRoman"/>
      <w:start w:val="1"/>
    </w:lvl>
  </w:abstractNum>
  <w:abstractNum w:abstractNumId="118">
    <w:nsid w:val="779D8544"/>
    <w:multiLevelType w:val="hybridMultilevel"/>
    <w:lvl w:ilvl="0">
      <w:lvlJc w:val="left"/>
      <w:lvlText w:val="%1."/>
      <w:numFmt w:val="decimal"/>
      <w:start w:val="3"/>
    </w:lvl>
    <w:lvl w:ilvl="1">
      <w:lvlJc w:val="left"/>
      <w:lvlText w:val="%2"/>
      <w:numFmt w:val="lowerRoman"/>
      <w:start w:val="1"/>
    </w:lvl>
  </w:abstractNum>
  <w:abstractNum w:abstractNumId="119">
    <w:nsid w:val="4AB26E78"/>
    <w:multiLevelType w:val="hybridMultilevel"/>
    <w:lvl w:ilvl="0">
      <w:lvlJc w:val="left"/>
      <w:lvlText w:val="%1."/>
      <w:numFmt w:val="decimal"/>
      <w:start w:val="4"/>
    </w:lvl>
  </w:abstractNum>
  <w:abstractNum w:abstractNumId="120">
    <w:nsid w:val="21FAA2FA"/>
    <w:multiLevelType w:val="hybridMultilevel"/>
    <w:lvl w:ilvl="0">
      <w:lvlJc w:val="left"/>
      <w:lvlText w:val="%1."/>
      <w:numFmt w:val="decimal"/>
      <w:start w:val="5"/>
    </w:lvl>
  </w:abstractNum>
  <w:abstractNum w:abstractNumId="121">
    <w:nsid w:val="5451CF49"/>
    <w:multiLevelType w:val="hybridMultilevel"/>
    <w:lvl w:ilvl="0">
      <w:lvlJc w:val="left"/>
      <w:lvlText w:val="%1."/>
      <w:numFmt w:val="decimal"/>
      <w:start w:val="6"/>
    </w:lvl>
  </w:abstractNum>
  <w:abstractNum w:abstractNumId="122">
    <w:nsid w:val="6181EF69"/>
    <w:multiLevelType w:val="hybridMultilevel"/>
    <w:lvl w:ilvl="0">
      <w:lvlJc w:val="left"/>
      <w:lvlText w:val="%1."/>
      <w:numFmt w:val="decimal"/>
      <w:start w:val="7"/>
    </w:lvl>
  </w:abstractNum>
  <w:abstractNum w:abstractNumId="123">
    <w:nsid w:val="3E6400E6"/>
    <w:multiLevelType w:val="hybridMultilevel"/>
    <w:lvl w:ilvl="0">
      <w:lvlJc w:val="left"/>
      <w:lvlText w:val="(%1)"/>
      <w:numFmt w:val="lowerRoman"/>
      <w:start w:val="1"/>
    </w:lvl>
    <w:lvl w:ilvl="1">
      <w:lvlJc w:val="left"/>
      <w:lvlText w:val="%2."/>
      <w:numFmt w:val="decimal"/>
      <w:start w:val="8"/>
    </w:lvl>
  </w:abstractNum>
  <w:abstractNum w:abstractNumId="124">
    <w:nsid w:val="14217E23"/>
    <w:multiLevelType w:val="hybridMultilevel"/>
    <w:lvl w:ilvl="0">
      <w:lvlJc w:val="left"/>
      <w:lvlText w:val="%1."/>
      <w:numFmt w:val="decimal"/>
      <w:start w:val="9"/>
    </w:lvl>
  </w:abstractNum>
  <w:abstractNum w:abstractNumId="125">
    <w:nsid w:val="710757D0"/>
    <w:multiLevelType w:val="hybridMultilevel"/>
    <w:lvl w:ilvl="0">
      <w:lvlJc w:val="left"/>
      <w:lvlText w:val="%1."/>
      <w:numFmt w:val="decimal"/>
      <w:start w:val="1"/>
    </w:lvl>
    <w:lvl w:ilvl="1">
      <w:lvlJc w:val="left"/>
      <w:lvlText w:val="%2."/>
      <w:numFmt w:val="upperLetter"/>
      <w:start w:val="1"/>
    </w:lvl>
  </w:abstractNum>
  <w:abstractNum w:abstractNumId="126">
    <w:nsid w:val="5015CD1A"/>
    <w:multiLevelType w:val="hybridMultilevel"/>
    <w:lvl w:ilvl="0">
      <w:lvlJc w:val="left"/>
      <w:lvlText w:val="%1"/>
      <w:numFmt w:val="decimal"/>
      <w:start w:val="1"/>
    </w:lvl>
    <w:lvl w:ilvl="1">
      <w:lvlJc w:val="left"/>
      <w:lvlText w:val="%2."/>
      <w:numFmt w:val="upperLetter"/>
      <w:start w:val="4"/>
    </w:lvl>
  </w:abstractNum>
  <w:abstractNum w:abstractNumId="127">
    <w:nsid w:val="424479DA"/>
    <w:multiLevelType w:val="hybridMultilevel"/>
    <w:lvl w:ilvl="0">
      <w:lvlJc w:val="left"/>
      <w:lvlText w:val="%1."/>
      <w:numFmt w:val="decimal"/>
      <w:start w:val="4"/>
    </w:lvl>
    <w:lvl w:ilvl="1">
      <w:lvlJc w:val="left"/>
      <w:lvlText w:val="%2."/>
      <w:numFmt w:val="upperLetter"/>
      <w:start w:val="1"/>
    </w:lvl>
  </w:abstractNum>
  <w:abstractNum w:abstractNumId="128">
    <w:nsid w:val="1A9A9E69"/>
    <w:multiLevelType w:val="hybridMultilevel"/>
    <w:lvl w:ilvl="0">
      <w:lvlJc w:val="left"/>
      <w:lvlText w:val="%1"/>
      <w:numFmt w:val="decimal"/>
      <w:start w:val="1"/>
    </w:lvl>
    <w:lvl w:ilvl="1">
      <w:lvlJc w:val="left"/>
      <w:lvlText w:val="%2."/>
      <w:numFmt w:val="upperLetter"/>
      <w:start w:val="2"/>
    </w:lvl>
  </w:abstractNum>
  <w:abstractNum w:abstractNumId="129">
    <w:nsid w:val="475E256A"/>
    <w:multiLevelType w:val="hybridMultilevel"/>
    <w:lvl w:ilvl="0">
      <w:lvlJc w:val="left"/>
      <w:lvlText w:val="%1."/>
      <w:numFmt w:val="decimal"/>
      <w:start w:val="6"/>
    </w:lvl>
    <w:lvl w:ilvl="1">
      <w:lvlJc w:val="left"/>
      <w:lvlText w:val="%2."/>
      <w:numFmt w:val="upperLetter"/>
      <w:start w:val="1"/>
    </w:lvl>
  </w:abstractNum>
  <w:abstractNum w:abstractNumId="130">
    <w:nsid w:val="368DB37E"/>
    <w:multiLevelType w:val="hybridMultilevel"/>
    <w:lvl w:ilvl="0">
      <w:lvlJc w:val="left"/>
      <w:lvlText w:val="%1."/>
      <w:numFmt w:val="upperLetter"/>
      <w:start w:val="2"/>
    </w:lvl>
  </w:abstractNum>
  <w:abstractNum w:abstractNumId="131">
    <w:nsid w:val="6A3B714C"/>
    <w:multiLevelType w:val="hybridMultilevel"/>
    <w:lvl w:ilvl="0">
      <w:lvlJc w:val="left"/>
      <w:lvlText w:val="%1."/>
      <w:numFmt w:val="upperLetter"/>
      <w:start w:val="8"/>
    </w:lvl>
  </w:abstractNum>
  <w:abstractNum w:abstractNumId="132">
    <w:nsid w:val="327B517E"/>
    <w:multiLevelType w:val="hybridMultilevel"/>
    <w:lvl w:ilvl="0">
      <w:lvlJc w:val="left"/>
      <w:lvlText w:val="%1."/>
      <w:numFmt w:val="decimal"/>
      <w:start w:val="1"/>
    </w:lvl>
    <w:lvl w:ilvl="1">
      <w:lvlJc w:val="left"/>
      <w:lvlText w:val="%2."/>
      <w:numFmt w:val="decimal"/>
      <w:start w:val="1"/>
    </w:lvl>
  </w:abstractNum>
  <w:abstractNum w:abstractNumId="133">
    <w:nsid w:val="1F461B51"/>
    <w:multiLevelType w:val="hybridMultilevel"/>
    <w:lvl w:ilvl="0">
      <w:lvlJc w:val="left"/>
      <w:lvlText w:val="%1."/>
      <w:numFmt w:val="decimal"/>
      <w:start w:val="5"/>
    </w:lvl>
    <w:lvl w:ilvl="1">
      <w:lvlJc w:val="left"/>
      <w:lvlText w:val="%2."/>
      <w:numFmt w:val="upperLetter"/>
      <w:start w:val="1"/>
    </w:lvl>
  </w:abstractNum>
  <w:abstractNum w:abstractNumId="134">
    <w:nsid w:val="29BACF25"/>
    <w:multiLevelType w:val="hybridMultilevel"/>
    <w:lvl w:ilvl="0">
      <w:lvlJc w:val="left"/>
      <w:lvlText w:val="%1."/>
      <w:numFmt w:val="decimal"/>
      <w:start w:val="1"/>
    </w:lvl>
  </w:abstractNum>
  <w:abstractNum w:abstractNumId="135">
    <w:nsid w:val="5D5BABB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6">
    <w:nsid w:val="51BF6B48"/>
    <w:multiLevelType w:val="hybridMultilevel"/>
    <w:lvl w:ilvl="0">
      <w:lvlJc w:val="left"/>
      <w:lvlText w:val="%1."/>
      <w:numFmt w:val="lowerLetter"/>
      <w:start w:val="2"/>
    </w:lvl>
    <w:lvl w:ilvl="1">
      <w:lvlJc w:val="left"/>
      <w:lvlText w:val="%2."/>
      <w:numFmt w:val="lowerRoman"/>
      <w:start w:val="1"/>
    </w:lvl>
  </w:abstractNum>
  <w:abstractNum w:abstractNumId="137">
    <w:nsid w:val="7E0F6384"/>
    <w:multiLevelType w:val="hybridMultilevel"/>
    <w:lvl w:ilvl="0">
      <w:lvlJc w:val="left"/>
      <w:lvlText w:val="%1."/>
      <w:numFmt w:val="decimal"/>
      <w:start w:val="4"/>
    </w:lvl>
  </w:abstractNum>
  <w:abstractNum w:abstractNumId="138">
    <w:nsid w:val="2B4B8B53"/>
    <w:multiLevelType w:val="hybridMultilevel"/>
    <w:lvl w:ilvl="0">
      <w:lvlJc w:val="left"/>
      <w:lvlText w:val="%1."/>
      <w:numFmt w:val="decimal"/>
      <w:start w:val="7"/>
    </w:lvl>
  </w:abstractNum>
  <w:abstractNum w:abstractNumId="139">
    <w:nsid w:val="72E3413A"/>
    <w:multiLevelType w:val="hybridMultilevel"/>
    <w:lvl w:ilvl="0">
      <w:lvlJc w:val="left"/>
      <w:lvlText w:val="%1."/>
      <w:numFmt w:val="decimal"/>
      <w:start w:val="1"/>
    </w:lvl>
    <w:lvl w:ilvl="1">
      <w:lvlJc w:val="left"/>
      <w:lvlText w:val="-"/>
      <w:numFmt w:val="bullet"/>
      <w:start w:val="1"/>
    </w:lvl>
  </w:abstractNum>
  <w:abstractNum w:abstractNumId="140">
    <w:nsid w:val="116AE494"/>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41">
    <w:nsid w:val="3494B2FB"/>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142">
    <w:nsid w:val="B13A31"/>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43">
    <w:nsid w:val="6442959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5"/>
    </w:lvl>
    <w:lvl w:ilvl="3">
      <w:lvlJc w:val="left"/>
      <w:lvlText w:val="-"/>
      <w:numFmt w:val="bullet"/>
      <w:start w:val="1"/>
    </w:lvl>
  </w:abstractNum>
  <w:abstractNum w:abstractNumId="144">
    <w:nsid w:val="631F1690"/>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45">
    <w:nsid w:val="25973E32"/>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146">
    <w:nsid w:val="EAD6F57"/>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147">
    <w:nsid w:val="6EC9D844"/>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148">
    <w:nsid w:val="5C49EAEE"/>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49">
    <w:nsid w:val="64AF49B"/>
    <w:multiLevelType w:val="hybridMultilevel"/>
    <w:lvl w:ilvl="0">
      <w:lvlJc w:val="left"/>
      <w:lvlText w:val="%1."/>
      <w:numFmt w:val="decimal"/>
      <w:start w:val="19"/>
    </w:lvl>
    <w:lvl w:ilvl="1">
      <w:lvlJc w:val="left"/>
      <w:lvlText w:val="%2."/>
      <w:numFmt w:val="lowerLetter"/>
      <w:start w:val="1"/>
    </w:lvl>
    <w:lvl w:ilvl="2">
      <w:lvlJc w:val="left"/>
      <w:lvlText w:val="-"/>
      <w:numFmt w:val="bullet"/>
      <w:start w:val="1"/>
    </w:lvl>
  </w:abstractNum>
  <w:abstractNum w:abstractNumId="150">
    <w:nsid w:val="397C46BC"/>
    <w:multiLevelType w:val="hybridMultilevel"/>
    <w:lvl w:ilvl="0">
      <w:lvlJc w:val="left"/>
      <w:lvlText w:val="%1."/>
      <w:numFmt w:val="decimal"/>
      <w:start w:val="22"/>
    </w:lvl>
  </w:abstractNum>
  <w:abstractNum w:abstractNumId="151">
    <w:nsid w:val="7E448DE9"/>
    <w:multiLevelType w:val="hybridMultilevel"/>
    <w:lvl w:ilvl="0">
      <w:lvlJc w:val="left"/>
      <w:lvlText w:val="%1."/>
      <w:numFmt w:val="decimal"/>
      <w:start w:val="1"/>
    </w:lvl>
    <w:lvl w:ilvl="1">
      <w:lvlJc w:val="left"/>
      <w:lvlText w:val="-"/>
      <w:numFmt w:val="bullet"/>
      <w:start w:val="1"/>
    </w:lvl>
  </w:abstractNum>
  <w:abstractNum w:abstractNumId="152">
    <w:nsid w:val="5A9CC3E5"/>
    <w:multiLevelType w:val="hybridMultilevel"/>
    <w:lvl w:ilvl="0">
      <w:lvlJc w:val="left"/>
      <w:lvlText w:val="%1."/>
      <w:numFmt w:val="decimal"/>
      <w:start w:val="1"/>
    </w:lvl>
  </w:abstractNum>
  <w:abstractNum w:abstractNumId="153">
    <w:nsid w:val="1AFE3625"/>
    <w:multiLevelType w:val="hybridMultilevel"/>
    <w:lvl w:ilvl="0">
      <w:lvlJc w:val="left"/>
      <w:lvlText w:val="%1."/>
      <w:numFmt w:val="decimal"/>
      <w:start w:val="2"/>
    </w:lvl>
  </w:abstractNum>
  <w:abstractNum w:abstractNumId="154">
    <w:nsid w:val="3CA88ECF"/>
    <w:multiLevelType w:val="hybridMultilevel"/>
    <w:lvl w:ilvl="0">
      <w:lvlJc w:val="left"/>
      <w:lvlText w:val="%1"/>
      <w:numFmt w:val="decimal"/>
      <w:start w:val="1"/>
    </w:lvl>
    <w:lvl w:ilvl="1">
      <w:lvlJc w:val="left"/>
      <w:lvlText w:val="%2."/>
      <w:numFmt w:val="decimal"/>
      <w:start w:val="3"/>
    </w:lvl>
  </w:abstractNum>
  <w:abstractNum w:abstractNumId="155">
    <w:nsid w:val="6EBE4208"/>
    <w:multiLevelType w:val="hybridMultilevel"/>
    <w:lvl w:ilvl="0">
      <w:lvlJc w:val="left"/>
      <w:lvlText w:val="%1."/>
      <w:numFmt w:val="decimal"/>
      <w:start w:val="4"/>
    </w:lvl>
    <w:lvl w:ilvl="1">
      <w:lvlJc w:val="left"/>
      <w:lvlText w:val="%2"/>
      <w:numFmt w:val="decimal"/>
      <w:start w:val="1"/>
    </w:lvl>
  </w:abstractNum>
  <w:abstractNum w:abstractNumId="156">
    <w:nsid w:val="C058DF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5"/>
    </w:lvl>
  </w:abstractNum>
  <w:abstractNum w:abstractNumId="157">
    <w:nsid w:val="CBE5BE9"/>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158">
    <w:nsid w:val="3102BBE2"/>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7"/>
    </w:lvl>
  </w:abstractNum>
  <w:abstractNum w:abstractNumId="159">
    <w:nsid w:val="26A02C5E"/>
    <w:multiLevelType w:val="hybridMultilevel"/>
    <w:lvl w:ilvl="0">
      <w:lvlJc w:val="left"/>
      <w:lvlText w:val="(%1)"/>
      <w:numFmt w:val="lowerLetter"/>
      <w:start w:val="1"/>
    </w:lvl>
  </w:abstractNum>
  <w:abstractNum w:abstractNumId="160">
    <w:nsid w:val="541C8153"/>
    <w:multiLevelType w:val="hybridMultilevel"/>
    <w:lvl w:ilvl="0">
      <w:lvlJc w:val="left"/>
      <w:lvlText w:val="(%1)"/>
      <w:numFmt w:val="lowerLetter"/>
      <w:start w:val="2"/>
    </w:lvl>
  </w:abstractNum>
  <w:abstractNum w:abstractNumId="161">
    <w:nsid w:val="67906F60"/>
    <w:multiLevelType w:val="hybridMultilevel"/>
    <w:lvl w:ilvl="0">
      <w:lvlJc w:val="left"/>
      <w:lvlText w:val="%1."/>
      <w:numFmt w:val="decimal"/>
      <w:start w:val="8"/>
    </w:lvl>
  </w:abstractNum>
  <w:abstractNum w:abstractNumId="162">
    <w:nsid w:val="10DB9DAA"/>
    <w:multiLevelType w:val="hybridMultilevel"/>
    <w:lvl w:ilvl="0">
      <w:lvlJc w:val="left"/>
      <w:lvlText w:val="(%1)"/>
      <w:numFmt w:val="lowerLetter"/>
      <w:start w:val="1"/>
    </w:lvl>
  </w:abstractNum>
  <w:abstractNum w:abstractNumId="163">
    <w:nsid w:val="697D2D2"/>
    <w:multiLevelType w:val="hybridMultilevel"/>
    <w:lvl w:ilvl="0">
      <w:lvlJc w:val="left"/>
      <w:lvlText w:val="(%1)"/>
      <w:numFmt w:val="lowerLetter"/>
      <w:start w:val="3"/>
    </w:lvl>
  </w:abstractNum>
  <w:abstractNum w:abstractNumId="164">
    <w:nsid w:val="6D68AB2"/>
    <w:multiLevelType w:val="hybridMultilevel"/>
    <w:lvl w:ilvl="0">
      <w:lvlJc w:val="left"/>
      <w:lvlText w:val="%1"/>
      <w:numFmt w:val="lowerLetter"/>
      <w:start w:val="1"/>
    </w:lvl>
    <w:lvl w:ilvl="1">
      <w:lvlJc w:val="left"/>
      <w:lvlText w:val="(%2)"/>
      <w:numFmt w:val="lowerLetter"/>
      <w:start w:val="9"/>
    </w:lvl>
  </w:abstractNum>
  <w:abstractNum w:abstractNumId="165">
    <w:nsid w:val="3A966CD0"/>
    <w:multiLevelType w:val="hybridMultilevel"/>
    <w:lvl w:ilvl="0">
      <w:lvlJc w:val="left"/>
      <w:lvlText w:val="(%1)"/>
      <w:numFmt w:val="lowerLetter"/>
      <w:start w:val="9"/>
    </w:lvl>
    <w:lvl w:ilvl="1">
      <w:lvlJc w:val="left"/>
      <w:lvlText w:val="(%2)"/>
      <w:numFmt w:val="lowerLetter"/>
      <w:start w:val="11"/>
    </w:lvl>
  </w:abstractNum>
  <w:abstractNum w:abstractNumId="166">
    <w:nsid w:val="63F37E85"/>
    <w:multiLevelType w:val="hybridMultilevel"/>
    <w:lvl w:ilvl="0">
      <w:lvlJc w:val="left"/>
      <w:lvlText w:val="(%1)"/>
      <w:numFmt w:val="lowerLetter"/>
      <w:start w:val="12"/>
    </w:lvl>
  </w:abstractNum>
  <w:abstractNum w:abstractNumId="167">
    <w:nsid w:val="5895F5FA"/>
    <w:multiLevelType w:val="hybridMultilevel"/>
    <w:lvl w:ilvl="0">
      <w:lvlJc w:val="left"/>
      <w:lvlText w:val="(%1)"/>
      <w:numFmt w:val="lowerLetter"/>
      <w:start w:val="16"/>
    </w:lvl>
  </w:abstractNum>
  <w:abstractNum w:abstractNumId="168">
    <w:nsid w:val="38A5D054"/>
    <w:multiLevelType w:val="hybridMultilevel"/>
    <w:lvl w:ilvl="0">
      <w:lvlJc w:val="left"/>
      <w:lvlText w:val="(%1)"/>
      <w:numFmt w:val="lowerLetter"/>
      <w:start w:val="21"/>
    </w:lvl>
  </w:abstractNum>
  <w:abstractNum w:abstractNumId="169">
    <w:nsid w:val="F3F09D8"/>
    <w:multiLevelType w:val="hybridMultilevel"/>
    <w:lvl w:ilvl="0">
      <w:lvlJc w:val="left"/>
      <w:lvlText w:val="(%1)"/>
      <w:numFmt w:val="lowerLetter"/>
      <w:start w:val="26"/>
    </w:lvl>
  </w:abstractNum>
  <w:abstractNum w:abstractNumId="170">
    <w:nsid w:val="4B793735"/>
    <w:multiLevelType w:val="hybridMultilevel"/>
    <w:lvl w:ilvl="0">
      <w:lvlJc w:val="left"/>
      <w:lvlText w:val="(%1)"/>
      <w:numFmt w:val="lowerLetter"/>
      <w:start w:val="27"/>
    </w:lvl>
  </w:abstractNum>
  <w:abstractNum w:abstractNumId="171">
    <w:nsid w:val="4A10B4E8"/>
    <w:multiLevelType w:val="hybridMultilevel"/>
    <w:lvl w:ilvl="0">
      <w:lvlJc w:val="left"/>
      <w:lvlText w:val="(%1)"/>
      <w:numFmt w:val="lowerLetter"/>
      <w:start w:val="28"/>
    </w:lvl>
  </w:abstractNum>
  <w:abstractNum w:abstractNumId="172">
    <w:nsid w:val="43D3BCD4"/>
    <w:multiLevelType w:val="hybridMultilevel"/>
    <w:lvl w:ilvl="0">
      <w:lvlJc w:val="left"/>
      <w:lvlText w:val="%1."/>
      <w:numFmt w:val="decimal"/>
      <w:start w:val="9"/>
    </w:lvl>
  </w:abstractNum>
  <w:abstractNum w:abstractNumId="173">
    <w:nsid w:val="4C2A7166"/>
    <w:multiLevelType w:val="hybridMultilevel"/>
    <w:lvl w:ilvl="0">
      <w:lvlJc w:val="left"/>
      <w:lvlText w:val="%1"/>
      <w:numFmt w:val="lowerLetter"/>
      <w:start w:val="1"/>
    </w:lvl>
    <w:lvl w:ilvl="1">
      <w:lvlJc w:val="left"/>
      <w:lvlText w:val="(%2)"/>
      <w:numFmt w:val="lowerLetter"/>
      <w:start w:val="1"/>
    </w:lvl>
  </w:abstractNum>
  <w:abstractNum w:abstractNumId="174">
    <w:nsid w:val="2E534A82"/>
    <w:multiLevelType w:val="hybridMultilevel"/>
    <w:lvl w:ilvl="0">
      <w:lvlJc w:val="left"/>
      <w:lvlText w:val="(%1)"/>
      <w:numFmt w:val="lowerLetter"/>
      <w:start w:val="35"/>
    </w:lvl>
    <w:lvl w:ilvl="1">
      <w:lvlJc w:val="left"/>
      <w:lvlText w:val="(%2)"/>
      <w:numFmt w:val="lowerLetter"/>
      <w:start w:val="2"/>
    </w:lvl>
  </w:abstractNum>
  <w:abstractNum w:abstractNumId="175">
    <w:nsid w:val="26F2D364"/>
    <w:multiLevelType w:val="hybridMultilevel"/>
    <w:lvl w:ilvl="0">
      <w:lvlJc w:val="left"/>
      <w:lvlText w:val="(%1)"/>
      <w:numFmt w:val="lowerLetter"/>
      <w:start w:val="3"/>
    </w:lvl>
  </w:abstractNum>
  <w:abstractNum w:abstractNumId="176">
    <w:nsid w:val="71C1AF98"/>
    <w:multiLevelType w:val="hybridMultilevel"/>
    <w:lvl w:ilvl="0">
      <w:lvlJc w:val="left"/>
      <w:lvlText w:val="(%1)"/>
      <w:numFmt w:val="lowerLetter"/>
      <w:start w:val="7"/>
    </w:lvl>
  </w:abstractNum>
  <w:abstractNum w:abstractNumId="177">
    <w:nsid w:val="3D00B9D9"/>
    <w:multiLevelType w:val="hybridMultilevel"/>
    <w:lvl w:ilvl="0">
      <w:lvlJc w:val="left"/>
      <w:lvlText w:val="(%1)"/>
      <w:numFmt w:val="lowerLetter"/>
      <w:start w:val="11"/>
    </w:lvl>
  </w:abstractNum>
  <w:abstractNum w:abstractNumId="178">
    <w:nsid w:val="15BCABA8"/>
    <w:multiLevelType w:val="hybridMultilevel"/>
    <w:lvl w:ilvl="0">
      <w:lvlJc w:val="left"/>
      <w:lvlText w:val="(%1)"/>
      <w:numFmt w:val="lowerLetter"/>
      <w:start w:val="15"/>
    </w:lvl>
  </w:abstractNum>
  <w:abstractNum w:abstractNumId="179">
    <w:nsid w:val="4E0B9A87"/>
    <w:multiLevelType w:val="hybridMultilevel"/>
    <w:lvl w:ilvl="0">
      <w:lvlJc w:val="left"/>
      <w:lvlText w:val="(%1)"/>
      <w:numFmt w:val="lowerLetter"/>
      <w:start w:val="20"/>
    </w:lvl>
  </w:abstractNum>
  <w:abstractNum w:abstractNumId="180">
    <w:nsid w:val="434BAE75"/>
    <w:multiLevelType w:val="hybridMultilevel"/>
    <w:lvl w:ilvl="0">
      <w:lvlJc w:val="left"/>
      <w:lvlText w:val="%1."/>
      <w:numFmt w:val="decimal"/>
      <w:start w:val="10"/>
    </w:lvl>
  </w:abstractNum>
  <w:abstractNum w:abstractNumId="181">
    <w:nsid w:val="4F38F265"/>
    <w:multiLevelType w:val="hybridMultilevel"/>
    <w:lvl w:ilvl="0">
      <w:lvlJc w:val="left"/>
      <w:lvlText w:val="(%1)"/>
      <w:numFmt w:val="lowerLetter"/>
      <w:start w:val="1"/>
    </w:lvl>
  </w:abstractNum>
  <w:abstractNum w:abstractNumId="182">
    <w:nsid w:val="4C502870"/>
    <w:multiLevelType w:val="hybridMultilevel"/>
    <w:lvl w:ilvl="0">
      <w:lvlJc w:val="left"/>
      <w:lvlText w:val="(%1)"/>
      <w:numFmt w:val="lowerLetter"/>
      <w:start w:val="2"/>
    </w:lvl>
  </w:abstractNum>
  <w:abstractNum w:abstractNumId="183">
    <w:nsid w:val="1DE8725A"/>
    <w:multiLevelType w:val="hybridMultilevel"/>
    <w:lvl w:ilvl="0">
      <w:lvlJc w:val="left"/>
      <w:lvlText w:val="%1"/>
      <w:numFmt w:val="lowerLetter"/>
      <w:start w:val="1"/>
    </w:lvl>
    <w:lvl w:ilvl="1">
      <w:lvlJc w:val="left"/>
      <w:lvlText w:val="(%2)"/>
      <w:numFmt w:val="lowerLetter"/>
      <w:start w:val="7"/>
    </w:lvl>
  </w:abstractNum>
  <w:abstractNum w:abstractNumId="184">
    <w:nsid w:val="6A37288A"/>
    <w:multiLevelType w:val="hybridMultilevel"/>
    <w:lvl w:ilvl="0">
      <w:lvlJc w:val="left"/>
      <w:lvlText w:val="(%1)"/>
      <w:numFmt w:val="lowerLetter"/>
      <w:start w:val="9"/>
    </w:lvl>
    <w:lvl w:ilvl="1">
      <w:lvlJc w:val="left"/>
      <w:lvlText w:val="(%2)"/>
      <w:numFmt w:val="lowerLetter"/>
      <w:start w:val="15"/>
    </w:lvl>
  </w:abstractNum>
  <w:abstractNum w:abstractNumId="185">
    <w:nsid w:val="8F8B73F"/>
    <w:multiLevelType w:val="hybridMultilevel"/>
    <w:lvl w:ilvl="0">
      <w:lvlJc w:val="left"/>
      <w:lvlText w:val="%1."/>
      <w:numFmt w:val="decimal"/>
      <w:start w:val="11"/>
    </w:lvl>
  </w:abstractNum>
  <w:abstractNum w:abstractNumId="186">
    <w:nsid w:val="CA6B462"/>
    <w:multiLevelType w:val="hybridMultilevel"/>
    <w:lvl w:ilvl="0">
      <w:lvlJc w:val="left"/>
      <w:lvlText w:val="(%1)"/>
      <w:numFmt w:val="lowerLetter"/>
      <w:start w:val="1"/>
    </w:lvl>
  </w:abstractNum>
  <w:abstractNum w:abstractNumId="187">
    <w:nsid w:val="763CB680"/>
    <w:multiLevelType w:val="hybridMultilevel"/>
    <w:lvl w:ilvl="0">
      <w:lvlJc w:val="left"/>
      <w:lvlText w:val="(%1)"/>
      <w:numFmt w:val="lowerLetter"/>
      <w:start w:val="2"/>
    </w:lvl>
  </w:abstractNum>
  <w:abstractNum w:abstractNumId="188">
    <w:nsid w:val="15B71329"/>
    <w:multiLevelType w:val="hybridMultilevel"/>
    <w:lvl w:ilvl="0">
      <w:lvlJc w:val="left"/>
      <w:lvlText w:val="(%1)"/>
      <w:numFmt w:val="lowerLetter"/>
      <w:start w:val="4"/>
    </w:lvl>
  </w:abstractNum>
  <w:abstractNum w:abstractNumId="189">
    <w:nsid w:val="3DA97044"/>
    <w:multiLevelType w:val="hybridMultilevel"/>
    <w:lvl w:ilvl="0">
      <w:lvlJc w:val="left"/>
      <w:lvlText w:val="%1."/>
      <w:numFmt w:val="decimal"/>
      <w:start w:val="12"/>
    </w:lvl>
  </w:abstractNum>
  <w:abstractNum w:abstractNumId="190">
    <w:nsid w:val="1CDCE2DE"/>
    <w:multiLevelType w:val="hybridMultilevel"/>
    <w:lvl w:ilvl="0">
      <w:lvlJc w:val="left"/>
      <w:lvlText w:val="(%1)"/>
      <w:numFmt w:val="lowerLetter"/>
      <w:start w:val="1"/>
    </w:lvl>
  </w:abstractNum>
  <w:abstractNum w:abstractNumId="191">
    <w:nsid w:val="69D3947C"/>
    <w:multiLevelType w:val="hybridMultilevel"/>
    <w:lvl w:ilvl="0">
      <w:lvlJc w:val="left"/>
      <w:lvlText w:val="(%1)"/>
      <w:numFmt w:val="lowerLetter"/>
      <w:start w:val="3"/>
    </w:lvl>
  </w:abstractNum>
  <w:abstractNum w:abstractNumId="192">
    <w:nsid w:val="2539DFA5"/>
    <w:multiLevelType w:val="hybridMultilevel"/>
    <w:lvl w:ilvl="0">
      <w:lvlJc w:val="left"/>
      <w:lvlText w:val="%1."/>
      <w:numFmt w:val="decimal"/>
      <w:start w:val="14"/>
    </w:lvl>
  </w:abstractNum>
  <w:abstractNum w:abstractNumId="193">
    <w:nsid w:val="2DB88089"/>
    <w:multiLevelType w:val="hybridMultilevel"/>
    <w:lvl w:ilvl="0">
      <w:lvlJc w:val="left"/>
      <w:lvlText w:val="%1."/>
      <w:numFmt w:val="decimal"/>
      <w:start w:val="16"/>
    </w:lvl>
  </w:abstractNum>
  <w:abstractNum w:abstractNumId="194">
    <w:nsid w:val="706B674E"/>
    <w:multiLevelType w:val="hybridMultilevel"/>
    <w:lvl w:ilvl="0">
      <w:lvlJc w:val="left"/>
      <w:lvlText w:val="(%1)"/>
      <w:numFmt w:val="lowerLetter"/>
      <w:start w:val="1"/>
    </w:lvl>
  </w:abstractNum>
  <w:abstractNum w:abstractNumId="195">
    <w:nsid w:val="2C106A57"/>
    <w:multiLevelType w:val="hybridMultilevel"/>
    <w:lvl w:ilvl="0">
      <w:lvlJc w:val="left"/>
      <w:lvlText w:val="(%1)"/>
      <w:numFmt w:val="lowerLetter"/>
      <w:start w:val="2"/>
    </w:lvl>
  </w:abstractNum>
  <w:abstractNum w:abstractNumId="196">
    <w:nsid w:val="684EED59"/>
    <w:multiLevelType w:val="hybridMultilevel"/>
    <w:lvl w:ilvl="0">
      <w:lvlJc w:val="left"/>
      <w:lvlText w:val="%1."/>
      <w:numFmt w:val="decimal"/>
      <w:start w:val="21"/>
    </w:lvl>
  </w:abstractNum>
  <w:abstractNum w:abstractNumId="197">
    <w:nsid w:val="545EE5D3"/>
    <w:multiLevelType w:val="hybridMultilevel"/>
    <w:lvl w:ilvl="0">
      <w:lvlJc w:val="left"/>
      <w:lvlText w:val="(%1)"/>
      <w:numFmt w:val="lowerLetter"/>
      <w:start w:val="1"/>
    </w:lvl>
  </w:abstractNum>
  <w:abstractNum w:abstractNumId="198">
    <w:nsid w:val="4A66051"/>
    <w:multiLevelType w:val="hybridMultilevel"/>
    <w:lvl w:ilvl="0">
      <w:lvlJc w:val="left"/>
      <w:lvlText w:val="(%1)"/>
      <w:numFmt w:val="lowerRoman"/>
      <w:start w:val="1"/>
    </w:lvl>
  </w:abstractNum>
  <w:abstractNum w:abstractNumId="199">
    <w:nsid w:val="20F4BDAD"/>
    <w:multiLevelType w:val="hybridMultilevel"/>
    <w:lvl w:ilvl="0">
      <w:lvlJc w:val="left"/>
      <w:lvlText w:val="%1."/>
      <w:numFmt w:val="upperLetter"/>
      <w:start w:val="1"/>
    </w:lvl>
  </w:abstractNum>
  <w:abstractNum w:abstractNumId="200">
    <w:nsid w:val="639DEFA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01">
    <w:nsid w:val="501F9786"/>
    <w:multiLevelType w:val="hybridMultilevel"/>
    <w:lvl w:ilvl="0">
      <w:lvlJc w:val="left"/>
      <w:lvlText w:val="%1."/>
      <w:numFmt w:val="decimal"/>
      <w:start w:val="2"/>
    </w:lvl>
  </w:abstractNum>
  <w:abstractNum w:abstractNumId="202">
    <w:nsid w:val="6B057295"/>
    <w:multiLevelType w:val="hybridMultilevel"/>
    <w:lvl w:ilvl="0">
      <w:lvlJc w:val="left"/>
      <w:lvlText w:val="%1."/>
      <w:numFmt w:val="lowerLetter"/>
      <w:start w:val="1"/>
    </w:lvl>
  </w:abstractNum>
  <w:abstractNum w:abstractNumId="203">
    <w:nsid w:val="2771AC80"/>
    <w:multiLevelType w:val="hybridMultilevel"/>
    <w:lvl w:ilvl="0">
      <w:lvlJc w:val="left"/>
      <w:lvlText w:val="%1."/>
      <w:numFmt w:val="lowerLetter"/>
      <w:start w:val="6"/>
    </w:lvl>
  </w:abstractNum>
  <w:abstractNum w:abstractNumId="204">
    <w:nsid w:val="1C4A08EC"/>
    <w:multiLevelType w:val="hybridMultilevel"/>
    <w:lvl w:ilvl="0">
      <w:lvlJc w:val="left"/>
      <w:lvlText w:val="%1."/>
      <w:numFmt w:val="upperLetter"/>
      <w:start w:val="3"/>
    </w:lvl>
  </w:abstractNum>
  <w:abstractNum w:abstractNumId="205">
    <w:nsid w:val="1958BD17"/>
    <w:multiLevelType w:val="hybridMultilevel"/>
    <w:lvl w:ilvl="0">
      <w:lvlJc w:val="left"/>
      <w:lvlText w:val="%1."/>
      <w:numFmt w:val="upperLetter"/>
      <w:start w:val="4"/>
    </w:lvl>
  </w:abstractNum>
  <w:abstractNum w:abstractNumId="206">
    <w:nsid w:val="4E647FE4"/>
    <w:multiLevelType w:val="hybridMultilevel"/>
    <w:lvl w:ilvl="0">
      <w:lvlJc w:val="left"/>
      <w:lvlText w:val="%1."/>
      <w:numFmt w:val="decimal"/>
      <w:start w:val="1"/>
    </w:lvl>
  </w:abstractNum>
  <w:abstractNum w:abstractNumId="207">
    <w:nsid w:val="E0BB885"/>
    <w:multiLevelType w:val="hybridMultilevel"/>
    <w:lvl w:ilvl="0">
      <w:lvlJc w:val="left"/>
      <w:lvlText w:val="%1."/>
      <w:numFmt w:val="upperLetter"/>
      <w:start w:val="5"/>
    </w:lvl>
    <w:lvl w:ilvl="1">
      <w:lvlJc w:val="left"/>
      <w:lvlText w:val="%2."/>
      <w:numFmt w:val="decimal"/>
      <w:start w:val="1"/>
    </w:lvl>
  </w:abstractNum>
  <w:abstractNum w:abstractNumId="208">
    <w:nsid w:val="565976F1"/>
    <w:multiLevelType w:val="hybridMultilevel"/>
    <w:lvl w:ilvl="0">
      <w:lvlJc w:val="left"/>
      <w:lvlText w:val="%1"/>
      <w:numFmt w:val="upperLetter"/>
      <w:start w:val="1"/>
    </w:lvl>
    <w:lvl w:ilvl="1">
      <w:lvlJc w:val="left"/>
      <w:lvlText w:val="%2."/>
      <w:numFmt w:val="decimal"/>
      <w:start w:val="6"/>
    </w:lvl>
  </w:abstractNum>
  <w:abstractNum w:abstractNumId="209">
    <w:nsid w:val="64212B8C"/>
    <w:multiLevelType w:val="hybridMultilevel"/>
    <w:lvl w:ilvl="0">
      <w:lvlJc w:val="left"/>
      <w:lvlText w:val="%1."/>
      <w:numFmt w:val="upperLetter"/>
      <w:start w:val="6"/>
    </w:lvl>
    <w:lvl w:ilvl="1">
      <w:lvlJc w:val="left"/>
      <w:lvlText w:val="%2."/>
      <w:numFmt w:val="decimal"/>
      <w:start w:val="7"/>
    </w:lvl>
  </w:abstractNum>
  <w:abstractNum w:abstractNumId="210">
    <w:nsid w:val="5C17530C"/>
    <w:multiLevelType w:val="hybridMultilevel"/>
    <w:lvl w:ilvl="0">
      <w:lvlJc w:val="left"/>
      <w:lvlText w:val="%1"/>
      <w:numFmt w:val="upperLetter"/>
      <w:start w:val="1"/>
    </w:lvl>
    <w:lvl w:ilvl="1">
      <w:lvlJc w:val="left"/>
      <w:lvlText w:val="%2."/>
      <w:numFmt w:val="decimal"/>
      <w:start w:val="1"/>
    </w:lvl>
  </w:abstractNum>
  <w:abstractNum w:abstractNumId="211">
    <w:nsid w:val="19A52566"/>
    <w:multiLevelType w:val="hybridMultilevel"/>
    <w:lvl w:ilvl="0">
      <w:lvlJc w:val="left"/>
      <w:lvlText w:val="%1."/>
      <w:numFmt w:val="upperLetter"/>
      <w:start w:val="7"/>
    </w:lvl>
    <w:lvl w:ilvl="1">
      <w:lvlJc w:val="left"/>
      <w:lvlText w:val="%2."/>
      <w:numFmt w:val="decimal"/>
      <w:start w:val="5"/>
    </w:lvl>
  </w:abstractNum>
  <w:abstractNum w:abstractNumId="212">
    <w:nsid w:val="335A1DF1"/>
    <w:multiLevelType w:val="hybridMultilevel"/>
    <w:lvl w:ilvl="0">
      <w:lvlJc w:val="left"/>
      <w:lvlText w:val="%1."/>
      <w:numFmt w:val="decimal"/>
      <w:start w:val="6"/>
    </w:lvl>
  </w:abstractNum>
  <w:abstractNum w:abstractNumId="213">
    <w:nsid w:val="28677B7C"/>
    <w:multiLevelType w:val="hybridMultilevel"/>
    <w:lvl w:ilvl="0">
      <w:lvlJc w:val="left"/>
      <w:lvlText w:val="%1."/>
      <w:numFmt w:val="upperLetter"/>
      <w:start w:val="8"/>
    </w:lvl>
    <w:lvl w:ilvl="1">
      <w:lvlJc w:val="left"/>
      <w:lvlText w:val="%2."/>
      <w:numFmt w:val="decimal"/>
      <w:start w:val="7"/>
    </w:lvl>
  </w:abstractNum>
  <w:abstractNum w:abstractNumId="214">
    <w:nsid w:val="378D97C0"/>
    <w:multiLevelType w:val="hybridMultilevel"/>
    <w:lvl w:ilvl="0">
      <w:lvlJc w:val="left"/>
      <w:lvlText w:val="%1."/>
      <w:numFmt w:val="decimal"/>
      <w:start w:val="1"/>
    </w:lvl>
  </w:abstractNum>
  <w:abstractNum w:abstractNumId="215">
    <w:nsid w:val="1D91467C"/>
    <w:multiLevelType w:val="hybridMultilevel"/>
    <w:lvl w:ilvl="0">
      <w:lvlJc w:val="left"/>
      <w:lvlText w:val="%1."/>
      <w:numFmt w:val="decimal"/>
      <w:start w:val="6"/>
    </w:lvl>
  </w:abstractNum>
  <w:abstractNum w:abstractNumId="216">
    <w:nsid w:val="316032BB"/>
    <w:multiLevelType w:val="hybridMultilevel"/>
    <w:lvl w:ilvl="0">
      <w:lvlJc w:val="left"/>
      <w:lvlText w:val="%1."/>
      <w:numFmt w:val="decimal"/>
      <w:start w:val="7"/>
    </w:lvl>
  </w:abstractNum>
  <w:abstractNum w:abstractNumId="217">
    <w:nsid w:val="44344C22"/>
    <w:multiLevelType w:val="hybridMultilevel"/>
    <w:lvl w:ilvl="0">
      <w:lvlJc w:val="left"/>
      <w:lvlText w:val="%1."/>
      <w:numFmt w:val="upperLetter"/>
      <w:start w:val="9"/>
    </w:lvl>
  </w:abstractNum>
  <w:abstractNum w:abstractNumId="218">
    <w:nsid w:val="13CDFCFC"/>
    <w:multiLevelType w:val="hybridMultilevel"/>
    <w:lvl w:ilvl="0">
      <w:lvlJc w:val="left"/>
      <w:lvlText w:val="%1."/>
      <w:numFmt w:val="upperLetter"/>
      <w:start w:val="10"/>
    </w:lvl>
  </w:abstractNum>
  <w:abstractNum w:abstractNumId="219">
    <w:nsid w:val="471745E4"/>
    <w:multiLevelType w:val="hybridMultilevel"/>
    <w:lvl w:ilvl="0">
      <w:lvlJc w:val="left"/>
      <w:lvlText w:val="%1."/>
      <w:numFmt w:val="upperLetter"/>
      <w:start w:val="11"/>
    </w:lvl>
  </w:abstractNum>
  <w:abstractNum w:abstractNumId="220">
    <w:nsid w:val="1DDBC66"/>
    <w:multiLevelType w:val="hybridMultilevel"/>
    <w:lvl w:ilvl="0">
      <w:lvlJc w:val="left"/>
      <w:lvlText w:val="%1."/>
      <w:numFmt w:val="upperLetter"/>
      <w:start w:val="12"/>
    </w:lvl>
  </w:abstractNum>
  <w:abstractNum w:abstractNumId="221">
    <w:nsid w:val="30AADFDA"/>
    <w:multiLevelType w:val="hybridMultilevel"/>
    <w:lvl w:ilvl="0">
      <w:lvlJc w:val="left"/>
      <w:lvlText w:val="%1."/>
      <w:numFmt w:val="upperLetter"/>
      <w:start w:val="13"/>
    </w:lvl>
  </w:abstractNum>
  <w:abstractNum w:abstractNumId="222">
    <w:nsid w:val="30EADA61"/>
    <w:multiLevelType w:val="hybridMultilevel"/>
    <w:lvl w:ilvl="0">
      <w:lvlJc w:val="left"/>
      <w:lvlText w:val="%1."/>
      <w:numFmt w:val="upperLetter"/>
      <w:start w:val="14"/>
    </w:lvl>
  </w:abstractNum>
  <w:abstractNum w:abstractNumId="223">
    <w:nsid w:val="27179C0B"/>
    <w:multiLevelType w:val="hybridMultilevel"/>
    <w:lvl w:ilvl="0">
      <w:lvlJc w:val="left"/>
      <w:lvlText w:val="%1."/>
      <w:numFmt w:val="decimal"/>
      <w:start w:val="1"/>
    </w:lvl>
    <w:lvl w:ilvl="1">
      <w:lvlJc w:val="left"/>
      <w:lvlText w:val="%2."/>
      <w:numFmt w:val="lowerLetter"/>
      <w:start w:val="1"/>
    </w:lvl>
  </w:abstractNum>
  <w:abstractNum w:abstractNumId="224">
    <w:nsid w:val="5E636063"/>
    <w:multiLevelType w:val="hybridMultilevel"/>
    <w:lvl w:ilvl="0">
      <w:lvlJc w:val="left"/>
      <w:lvlText w:val="%1."/>
      <w:numFmt w:val="decimal"/>
      <w:start w:val="8"/>
    </w:lvl>
    <w:lvl w:ilvl="1">
      <w:lvlJc w:val="left"/>
      <w:lvlText w:val="%2."/>
      <w:numFmt w:val="lowerLetter"/>
      <w:start w:val="1"/>
    </w:lvl>
  </w:abstractNum>
  <w:abstractNum w:abstractNumId="225">
    <w:nsid w:val="215641AF"/>
    <w:multiLevelType w:val="hybridMultilevel"/>
    <w:lvl w:ilvl="0">
      <w:lvlJc w:val="left"/>
      <w:lvlText w:val="%1."/>
      <w:numFmt w:val="decimal"/>
      <w:start w:val="16"/>
    </w:lvl>
  </w:abstractNum>
  <w:abstractNum w:abstractNumId="226">
    <w:nsid w:val="53280662"/>
    <w:multiLevelType w:val="hybridMultilevel"/>
    <w:lvl w:ilvl="0">
      <w:lvlJc w:val="left"/>
      <w:lvlText w:val="%1."/>
      <w:numFmt w:val="decimal"/>
      <w:start w:val="1"/>
    </w:lvl>
    <w:lvl w:ilvl="1">
      <w:lvlJc w:val="left"/>
      <w:lvlText w:val="(%2)"/>
      <w:numFmt w:val="lowerLetter"/>
      <w:start w:val="1"/>
    </w:lvl>
  </w:abstractNum>
  <w:abstractNum w:abstractNumId="227">
    <w:nsid w:val="46B24DBC"/>
    <w:multiLevelType w:val="hybridMultilevel"/>
    <w:lvl w:ilvl="0">
      <w:lvlJc w:val="left"/>
      <w:lvlText w:val="%1."/>
      <w:numFmt w:val="decimal"/>
      <w:start w:val="1"/>
    </w:lvl>
    <w:lvl w:ilvl="1">
      <w:lvlJc w:val="left"/>
      <w:lvlText w:val="(%2)"/>
      <w:numFmt w:val="lowerLetter"/>
      <w:start w:val="1"/>
    </w:lvl>
  </w:abstractNum>
  <w:abstractNum w:abstractNumId="228">
    <w:nsid w:val="75B52783"/>
    <w:multiLevelType w:val="hybridMultilevel"/>
    <w:lvl w:ilvl="0">
      <w:lvlJc w:val="left"/>
      <w:lvlText w:val="%1."/>
      <w:numFmt w:val="decimal"/>
      <w:start w:val="1"/>
    </w:lvl>
  </w:abstractNum>
  <w:abstractNum w:abstractNumId="229">
    <w:nsid w:val="57CE66B4"/>
    <w:multiLevelType w:val="hybridMultilevel"/>
    <w:lvl w:ilvl="0">
      <w:lvlJc w:val="left"/>
      <w:lvlText w:val="%1)"/>
      <w:numFmt w:val="decimal"/>
      <w:start w:val="1"/>
    </w:lvl>
  </w:abstractNum>
  <w:abstractNum w:abstractNumId="230">
    <w:nsid w:val="67A70B69"/>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95" Type="http://schemas.openxmlformats.org/officeDocument/2006/relationships/image" Target="media/image271.png"/><Relationship Id="rId296" Type="http://schemas.openxmlformats.org/officeDocument/2006/relationships/image" Target="media/image272.png"/><Relationship Id="rId321" Type="http://schemas.openxmlformats.org/officeDocument/2006/relationships/image" Target="media/image273.png"/><Relationship Id="rId328" Type="http://schemas.openxmlformats.org/officeDocument/2006/relationships/image" Target="media/image274.png"/><Relationship Id="rId329" Type="http://schemas.openxmlformats.org/officeDocument/2006/relationships/image" Target="media/image275.png"/><Relationship Id="rId330" Type="http://schemas.openxmlformats.org/officeDocument/2006/relationships/image" Target="media/image276.png"/><Relationship Id="rId331" Type="http://schemas.openxmlformats.org/officeDocument/2006/relationships/image" Target="media/image277.png"/><Relationship Id="rId332" Type="http://schemas.openxmlformats.org/officeDocument/2006/relationships/image" Target="media/image278.jpeg"/><Relationship Id="rId333" Type="http://schemas.openxmlformats.org/officeDocument/2006/relationships/image" Target="media/image279.jpeg"/><Relationship Id="rId334" Type="http://schemas.openxmlformats.org/officeDocument/2006/relationships/image" Target="media/image280.png"/><Relationship Id="rId335" Type="http://schemas.openxmlformats.org/officeDocument/2006/relationships/image" Target="media/image281.png"/><Relationship Id="rId336" Type="http://schemas.openxmlformats.org/officeDocument/2006/relationships/image" Target="media/image282.jpeg"/><Relationship Id="rId337" Type="http://schemas.openxmlformats.org/officeDocument/2006/relationships/image" Target="media/image283.jpeg"/><Relationship Id="rId338" Type="http://schemas.openxmlformats.org/officeDocument/2006/relationships/image" Target="media/image284.png"/><Relationship Id="rId339" Type="http://schemas.openxmlformats.org/officeDocument/2006/relationships/image" Target="media/image285.png"/><Relationship Id="rId340" Type="http://schemas.openxmlformats.org/officeDocument/2006/relationships/image" Target="media/image286.png"/><Relationship Id="rId341" Type="http://schemas.openxmlformats.org/officeDocument/2006/relationships/image" Target="media/image287.png"/><Relationship Id="rId342" Type="http://schemas.openxmlformats.org/officeDocument/2006/relationships/image" Target="media/image288.png"/><Relationship Id="rId278" Type="http://schemas.openxmlformats.org/officeDocument/2006/relationships/hyperlink" Target="https://www.sec.gov/Archives/edgar/data/1601830/000119312524196505/d856792dex21.htm" TargetMode="External"/><Relationship Id="rId279" Type="http://schemas.openxmlformats.org/officeDocument/2006/relationships/hyperlink" Target="https://www.sec.gov/Archives/edgar/data/1601830/000110465924114487/tm2427472d1_ex2-1.htm" TargetMode="External"/><Relationship Id="rId280" Type="http://schemas.openxmlformats.org/officeDocument/2006/relationships/hyperlink" Target="https://www.sec.gov/Archives/edgar/data/0001601830/000119312521123764/d149444dex31.htm" TargetMode="External"/><Relationship Id="rId281" Type="http://schemas.openxmlformats.org/officeDocument/2006/relationships/hyperlink" Target="https://www.sec.gov/Archives/edgar/data/1601830/000160183024000009/a1-25x24amendedbylaws.htm" TargetMode="External"/><Relationship Id="rId282" Type="http://schemas.openxmlformats.org/officeDocument/2006/relationships/hyperlink" Target="https://www.sec.gov/Archives/edgar/data/0001601830/000119312521089610/d89478dex42.htm" TargetMode="External"/><Relationship Id="rId283" Type="http://schemas.openxmlformats.org/officeDocument/2006/relationships/hyperlink" Target="https://www.sec.gov/Archives/edgar/data/1601830/000160183023000036/exhibit42-valencexexchange.htm" TargetMode="External"/><Relationship Id="rId284" Type="http://schemas.openxmlformats.org/officeDocument/2006/relationships/hyperlink" Target="https://www.sec.gov/Archives/edgar/data/1601830/000119312522268003/d365090dex102.htm" TargetMode="External"/><Relationship Id="rId285" Type="http://schemas.openxmlformats.org/officeDocument/2006/relationships/hyperlink" Target="https://www.sec.gov/Archives/edgar/data/1601830/000160183023000036/exhibit43-valencexregistra.htm" TargetMode="External"/><Relationship Id="rId286" Type="http://schemas.openxmlformats.org/officeDocument/2006/relationships/hyperlink" Target="https://www.sec.gov/Archives/edgar/data/1601830/000160183023000044/exhibit41registrationagree.htm" TargetMode="External"/><Relationship Id="rId287" Type="http://schemas.openxmlformats.org/officeDocument/2006/relationships/hyperlink" Target="https://www.sec.gov/Archives/edgar/data/1601830/000160183023000050/ex102-rxrxxnvidiaregrights.htm" TargetMode="External"/><Relationship Id="rId288" Type="http://schemas.openxmlformats.org/officeDocument/2006/relationships/hyperlink" Target="https://www.sec.gov/Archives/edgar/data/0001601830/000160183025000035/exhibit48-globalaccesscomm.htm" TargetMode="External"/><Relationship Id="rId289" Type="http://schemas.openxmlformats.org/officeDocument/2006/relationships/hyperlink" Target="https://www.sec.gov/Archives/edgar/data/0001601830/000119312521089610/d89478dex101.htm" TargetMode="External"/><Relationship Id="rId290" Type="http://schemas.openxmlformats.org/officeDocument/2006/relationships/hyperlink" Target="https://www.sec.gov/Archives/edgar/data/1601830/000119312521112364/d89478dex102.htm" TargetMode="External"/><Relationship Id="rId291" Type="http://schemas.openxmlformats.org/officeDocument/2006/relationships/hyperlink" Target="https://www.sec.gov/Archives/edgar/data/1601830/000160183023000010/exhibit103equityincentivep.htm" TargetMode="External"/><Relationship Id="rId292" Type="http://schemas.openxmlformats.org/officeDocument/2006/relationships/hyperlink" Target="https://www.sec.gov/Archives/edgar/data/1601830/000119312521112364/d89478dex104.htm" TargetMode="External"/><Relationship Id="rId293" Type="http://schemas.openxmlformats.org/officeDocument/2006/relationships/hyperlink" Target="https://www.sec.gov/Archives/edgar/data/1601830/000119312524262126/d895868dex46.htm" TargetMode="External"/><Relationship Id="rId294" Type="http://schemas.openxmlformats.org/officeDocument/2006/relationships/hyperlink" Target="https://www.sec.gov/Archives/edgar/data/1601830/000119312524262126/d895868dex44.htm" TargetMode="External"/><Relationship Id="rId297" Type="http://schemas.openxmlformats.org/officeDocument/2006/relationships/hyperlink" Target="https://www.sec.gov/Archives/edgar/data/1601830/000119312524262126/d895868dex45.htm" TargetMode="External"/><Relationship Id="rId298" Type="http://schemas.openxmlformats.org/officeDocument/2006/relationships/hyperlink" Target="https://www.sec.gov/Archives/edgar/data/1601830/000160183023000038/exhibit44-secondamendedand.htm" TargetMode="External"/><Relationship Id="rId299" Type="http://schemas.openxmlformats.org/officeDocument/2006/relationships/hyperlink" Target="https://www.sec.gov/Archives/edgar/data/1601830/000160183023000029/ex44valenceoptionplan.htm" TargetMode="External"/><Relationship Id="rId300" Type="http://schemas.openxmlformats.org/officeDocument/2006/relationships/hyperlink" Target="https://www.sec.gov/Archives/edgar/data/0001601830/000119312521089610/d89478dex1020.htm" TargetMode="External"/><Relationship Id="rId301" Type="http://schemas.openxmlformats.org/officeDocument/2006/relationships/hyperlink" Target="https://www.sec.gov/Archives/edgar/data/0001601830/000119312521089610/d89478dex1021.htm" TargetMode="External"/><Relationship Id="rId302" Type="http://schemas.openxmlformats.org/officeDocument/2006/relationships/hyperlink" Target="https://www.sec.gov/Archives/edgar/data/0001601830/000119312521089610/d89478dex1010.htm" TargetMode="External"/><Relationship Id="rId303" Type="http://schemas.openxmlformats.org/officeDocument/2006/relationships/hyperlink" Target="https://www.sec.gov/Archives/edgar/data/0001601830/000119312521089610/d89478dex105.htm" TargetMode="External"/><Relationship Id="rId304" Type="http://schemas.openxmlformats.org/officeDocument/2006/relationships/hyperlink" Target="https://www.sec.gov/Archives/edgar/data/1601830/000160183024000115/exhibit101-crdoofferletter.htm" TargetMode="External"/><Relationship Id="rId305" Type="http://schemas.openxmlformats.org/officeDocument/2006/relationships/hyperlink" Target="https://www.sec.gov/Archives/edgar/data/0001601830/000160183025000035/exhibit1014-tayloragreement.htm" TargetMode="External"/><Relationship Id="rId306" Type="http://schemas.openxmlformats.org/officeDocument/2006/relationships/hyperlink" Target="https://www.sec.gov/Archives/edgar/data/1601830/000119312521112364/d89478dex1022.htm" TargetMode="External"/><Relationship Id="rId307" Type="http://schemas.openxmlformats.org/officeDocument/2006/relationships/hyperlink" Target="https://www.sec.gov/Archives/edgar/data/1601830/000119312521112364/d89478dex1023.htm" TargetMode="External"/><Relationship Id="rId308" Type="http://schemas.openxmlformats.org/officeDocument/2006/relationships/hyperlink" Target="https://www.sec.gov/Archives/edgar/data/1601830/000160183023000010/exhibit108-vestarofficel.htm" TargetMode="External"/><Relationship Id="rId309" Type="http://schemas.openxmlformats.org/officeDocument/2006/relationships/hyperlink" Target="https://www.sec.gov/Archives/edgar/data/0001601830/000119312521089610/d89478dex1014.htm" TargetMode="External"/><Relationship Id="rId310" Type="http://schemas.openxmlformats.org/officeDocument/2006/relationships/hyperlink" Target="https://www.sec.gov/Archives/edgar/data/1601830/000160183022000012/exhibit1011-bayercollabora.htm" TargetMode="External"/><Relationship Id="rId311" Type="http://schemas.openxmlformats.org/officeDocument/2006/relationships/hyperlink" Target="https://www.sec.gov/Archives/edgar/data/1601830/000160183024000019/exhibit1021-rxrxxbayeragre.htm" TargetMode="External"/><Relationship Id="rId312" Type="http://schemas.openxmlformats.org/officeDocument/2006/relationships/hyperlink" Target="https://www.sec.gov/Archives/edgar/data/0001601830/000119312521089610/d89478dex1015.htm" TargetMode="External"/><Relationship Id="rId313" Type="http://schemas.openxmlformats.org/officeDocument/2006/relationships/hyperlink" Target="https://www.sec.gov/Archives/edgar/data/0001601830/000119312521089610/d89478dex1016.htm" TargetMode="External"/><Relationship Id="rId314" Type="http://schemas.openxmlformats.org/officeDocument/2006/relationships/hyperlink" Target="https://www.sec.gov/Archives/edgar/data/0001601830/000119312521089610/d89478dex1017.htm" TargetMode="External"/><Relationship Id="rId315" Type="http://schemas.openxmlformats.org/officeDocument/2006/relationships/hyperlink" Target="https://www.sec.gov/Archives/edgar/data/1601830/000160183022000012/exhibit1025-rochecollabora.htm" TargetMode="External"/><Relationship Id="rId316" Type="http://schemas.openxmlformats.org/officeDocument/2006/relationships/hyperlink" Target="https://www.sec.gov/Archives/edgar/data/0001601830/000160183023000069/exhibit104-masteragreement.htm" TargetMode="External"/><Relationship Id="rId317" Type="http://schemas.openxmlformats.org/officeDocument/2006/relationships/hyperlink" Target="https://www.sec.gov/Archives/edgar/data/0001601830/000160183025000035/exhibit1035-sanofiagreement.htm" TargetMode="External"/><Relationship Id="rId318" Type="http://schemas.openxmlformats.org/officeDocument/2006/relationships/hyperlink" Target="https://www.sec.gov/Archives/edgar/data/0001601830/000160183025000035/exhibit1036-merckxcollabor.htm" TargetMode="External"/><Relationship Id="rId319" Type="http://schemas.openxmlformats.org/officeDocument/2006/relationships/hyperlink" Target="https://www.sec.gov/Archives/edgar/data/1601830/000119312522268003/d365090dex101.htm" TargetMode="External"/><Relationship Id="rId320" Type="http://schemas.openxmlformats.org/officeDocument/2006/relationships/hyperlink" Target="https://www.sec.gov/Archives/edgar/data/1601830/000160183023000050/ex101-rxrxnvidiastockpurch.htm" TargetMode="External"/><Relationship Id="rId322" Type="http://schemas.openxmlformats.org/officeDocument/2006/relationships/hyperlink" Target="https://www.sec.gov/Archives/edgar/data/1601830/000160183025000035/exhibit1039-atmxsalesagree.htm" TargetMode="External"/><Relationship Id="rId323" Type="http://schemas.openxmlformats.org/officeDocument/2006/relationships/hyperlink" Target="https://www.sec.gov/Archives/edgar/data/1601830/000119312524196505/d856792dex101.htm" TargetMode="External"/><Relationship Id="rId324" Type="http://schemas.openxmlformats.org/officeDocument/2006/relationships/hyperlink" Target="https://www.sec.gov/Archives/edgar/data/1601830/000119312524196505/d856792dex102.htm" TargetMode="External"/><Relationship Id="rId325" Type="http://schemas.openxmlformats.org/officeDocument/2006/relationships/hyperlink" Target="https://www.sec.gov/Archives/edgar/data/1601830/000119312524196505/d856792dex103.htm" TargetMode="External"/><Relationship Id="rId326" Type="http://schemas.openxmlformats.org/officeDocument/2006/relationships/hyperlink" Target="https://www.sec.gov/Archives/edgar/data/1601830/000160183024000140/exhibit101-agreement.htm" TargetMode="External"/><Relationship Id="rId327" Type="http://schemas.openxmlformats.org/officeDocument/2006/relationships/hyperlink" Target="https://www.sec.gov/ix?doc=/Archives/edgar/data/1601830/000160183024000019/rxr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2026-02-25T05:51:21Z</dcterms:created>
  <dcterms:modified xsi:type="dcterms:W3CDTF">2026-02-25T05:51:21Z</dcterms:modified>
</cp:coreProperties>
</file>