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Filed Pursuant to Rule 424(b)(5)</w:t>
        <w:br/>
        <w:t>Registration No. 333-284878</w:t>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color w:val="F1665F"/>
          <w:sz w:val="20"/>
          <w:shd w:fill="FFFFFF" w:val="clear"/>
        </w:rPr>
      </w:pPr>
      <w:r>
        <w:rPr>
          <w:rFonts w:ascii="Times New Roman;serif" w:hAnsi="Times New Roman;serif"/>
          <w:b/>
          <w:color w:val="F1665F"/>
          <w:sz w:val="20"/>
          <w:shd w:fill="FFFFFF" w:val="clear"/>
        </w:rPr>
        <w:t>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w:t>
      </w:r>
    </w:p>
    <w:p>
      <w:pPr>
        <w:pStyle w:val="TextBody"/>
        <w:bidi w:val="0"/>
        <w:spacing w:lineRule="auto" w:line="276" w:before="0" w:after="0"/>
        <w:jc w:val="center"/>
        <w:rPr>
          <w:rFonts w:ascii="Times New Roman;serif" w:hAnsi="Times New Roman;serif"/>
          <w:b/>
          <w:color w:val="F1665F"/>
          <w:sz w:val="20"/>
          <w:shd w:fill="FFFFFF" w:val="clear"/>
        </w:rPr>
      </w:pPr>
      <w:r>
        <w:rPr>
          <w:rFonts w:ascii="Times New Roman;serif" w:hAnsi="Times New Roman;serif"/>
          <w:b/>
          <w:color w:val="F1665F"/>
          <w:sz w:val="20"/>
          <w:shd w:fill="FFFFFF" w:val="clear"/>
        </w:rPr>
        <w:t>Subject to Completion, Dated October 14, 2026</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(to Prospectus dated February 12,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$200,000,000</w:t>
      </w:r>
    </w:p>
    <w:p>
      <w:pPr>
        <w:pStyle w:val="TextBody"/>
        <w:bidi w:val="0"/>
        <w:spacing w:before="0" w:after="0"/>
        <w:jc w:val="center"/>
        <w:rPr>
          <w:shd w:fill="FFFFFF" w:val="clear"/>
        </w:rPr>
      </w:pPr>
      <w:r>
        <w:rPr>
          <w:shd w:fill="FFFFFF" w:val="clear"/>
        </w:rPr>
        <w:drawing>
          <wp:inline distT="0" distB="0" distL="0" distR="0">
            <wp:extent cx="24860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86025" cy="542925"/>
                    </a:xfrm>
                    <a:prstGeom prst="rect">
                      <a:avLst/>
                    </a:prstGeom>
                  </pic:spPr>
                </pic:pic>
              </a:graphicData>
            </a:graphic>
          </wp:inline>
        </w:drawing>
      </w:r>
    </w:p>
    <w:p>
      <w:pPr>
        <w:pStyle w:val="TextBody"/>
        <w:bidi w:val="0"/>
        <w:spacing w:lineRule="auto" w:line="288" w:before="6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Shares of Class A Common Stock</w:t>
      </w:r>
    </w:p>
    <w:p>
      <w:pPr>
        <w:pStyle w:val="TextBody"/>
        <w:bidi w:val="0"/>
        <w:spacing w:lineRule="auto" w:line="240"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offering shares of our Class A Common Stock, $0.00001 par value per share, or Class A Common Stock. Our Class A Common Stock is listed on the Nasdaq Global Select Market under the symbol “RXRX.” On October 14, 2026, the last reported sale price of our Class A Common Stock, as reported on the Nasdaq Global Select Market, was $3.74 per share.</w:t>
      </w:r>
    </w:p>
    <w:p>
      <w:pPr>
        <w:pStyle w:val="TextBody"/>
        <w:bidi w:val="0"/>
        <w:spacing w:lineRule="auto" w:line="288" w:before="0" w:after="0"/>
        <w:ind w:left="0" w:right="0" w:firstLine="360"/>
        <w:jc w:val="both"/>
        <w:rPr/>
      </w:pPr>
      <w:r>
        <w:rPr>
          <w:rFonts w:ascii="Times New Roman;serif" w:hAnsi="Times New Roman;serif"/>
          <w:b/>
          <w:color w:val="000000"/>
          <w:sz w:val="20"/>
          <w:shd w:fill="FFFFFF" w:val="clear"/>
        </w:rPr>
        <w:t>Investing in our Class A Common Stock involves significant risks. Please carefully read the information under the headings “</w:t>
      </w:r>
      <w:hyperlink w:anchor="idc543fa7e22447afbea24cfdff351c98_149647">
        <w:r>
          <w:rPr>
            <w:rStyle w:val="InternetLink"/>
            <w:rFonts w:ascii="Times New Roman;serif" w:hAnsi="Times New Roman;serif"/>
            <w:b/>
            <w:color w:val="0000FF"/>
            <w:sz w:val="20"/>
            <w:u w:val="single"/>
            <w:shd w:fill="FFFFFF" w:val="clear"/>
          </w:rPr>
          <w:t>Risk Factors</w:t>
        </w:r>
      </w:hyperlink>
      <w:r>
        <w:rPr>
          <w:color w:val="000000"/>
          <w:shd w:fill="FFFFFF" w:val="clear"/>
        </w:rPr>
        <w:t xml:space="preserve">” </w:t>
      </w:r>
      <w:r>
        <w:rPr>
          <w:rFonts w:ascii="Times New Roman;serif" w:hAnsi="Times New Roman;serif"/>
          <w:b/>
          <w:color w:val="000000"/>
          <w:sz w:val="20"/>
          <w:shd w:fill="FFFFFF" w:val="clear"/>
        </w:rPr>
        <w:t xml:space="preserve">beginning on page S-7 of this prospectus supplement and the information included and incorporated by reference in this prospectus supplement and the accompanying prospectus before investing in our Class A Common Stock. </w:t>
      </w:r>
    </w:p>
    <w:p>
      <w:pPr>
        <w:pStyle w:val="TextBody"/>
        <w:bidi w:val="0"/>
        <w:spacing w:lineRule="auto" w:line="288" w:before="240" w:after="283"/>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Neither the Securities and Exchange Commission nor any state securities commission or other regulatory body has approved or disapproved of these securities or passed upon the accuracy or adequacy of this prospectus supplement and the accompanying prospectus. Any representation to the contrary is a criminal offense.</w:t>
      </w:r>
    </w:p>
    <w:tbl>
      <w:tblPr>
        <w:tblW w:w="9055" w:type="dxa"/>
        <w:jc w:val="left"/>
        <w:tblInd w:w="0" w:type="dxa"/>
        <w:tblLayout w:type="fixed"/>
        <w:tblCellMar>
          <w:top w:w="28" w:type="dxa"/>
          <w:left w:w="28" w:type="dxa"/>
          <w:bottom w:w="28" w:type="dxa"/>
          <w:right w:w="28" w:type="dxa"/>
        </w:tblCellMar>
      </w:tblPr>
      <w:tblGrid>
        <w:gridCol w:w="1844"/>
        <w:gridCol w:w="1622"/>
        <w:gridCol w:w="1634"/>
        <w:gridCol w:w="109"/>
        <w:gridCol w:w="109"/>
        <w:gridCol w:w="109"/>
        <w:gridCol w:w="919"/>
        <w:gridCol w:w="919"/>
        <w:gridCol w:w="922"/>
        <w:gridCol w:w="109"/>
        <w:gridCol w:w="109"/>
        <w:gridCol w:w="109"/>
        <w:gridCol w:w="158"/>
        <w:gridCol w:w="158"/>
        <w:gridCol w:w="225"/>
      </w:tblGrid>
      <w:tr>
        <w:trPr/>
        <w:tc>
          <w:tcPr>
            <w:tcW w:w="184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 of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Underwriting discounts and commissions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before expenses, to Recursion Pharmaceuticals,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color w:val="000000"/>
          <w:u w:val="single"/>
          <w:shd w:fill="FFFFFF" w:val="clear"/>
        </w:rPr>
      </w:pPr>
      <w:r>
        <w:rPr>
          <w:color w:val="000000"/>
          <w:u w:val="single"/>
          <w:shd w:fill="FFFFFF" w:val="clear"/>
        </w:rPr>
        <w:t>            </w:t>
      </w:r>
    </w:p>
    <w:p>
      <w:pPr>
        <w:pStyle w:val="TextBody"/>
        <w:bidi w:val="0"/>
        <w:spacing w:lineRule="auto" w:line="288" w:before="0" w:after="180"/>
        <w:ind w:left="0" w:right="0" w:hanging="360"/>
        <w:jc w:val="left"/>
        <w:rPr>
          <w:shd w:fill="FFFFFF" w:val="clear"/>
        </w:rPr>
      </w:pPr>
      <w:r>
        <w:rPr>
          <w:rFonts w:ascii="Times New Roman;serif" w:hAnsi="Times New Roman;serif"/>
          <w:b w:val="false"/>
          <w:color w:val="000000"/>
          <w:sz w:val="16"/>
          <w:shd w:fill="FFFFFF" w:val="clear"/>
        </w:rPr>
        <w:t>(a)</w:t>
      </w:r>
      <w:r>
        <w:rPr>
          <w:rFonts w:ascii="Times New Roman;serif" w:hAnsi="Times New Roman;serif"/>
          <w:b w:val="false"/>
          <w:color w:val="000000"/>
          <w:sz w:val="16"/>
          <w:shd w:fill="FFFFFF" w:val="clear"/>
        </w:rPr>
        <w:t>We have agreed to reimburse the underwriters for certain expenses in connection with this offering. See “Underwriting” for a description of the compensation payable to the underwriters.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underwriters expect to deliver the shares of Class A Common Stock against payment in New York on or about October , 2026.</w:t>
      </w:r>
    </w:p>
    <w:p>
      <w:pPr>
        <w:pStyle w:val="TextBody"/>
        <w:bidi w:val="0"/>
        <w:spacing w:before="0" w:after="0"/>
        <w:jc w:val="left"/>
        <w:rPr/>
      </w:pPr>
      <w:r>
        <w:rPr/>
      </w:r>
    </w:p>
    <w:tbl>
      <w:tblPr>
        <w:tblW w:w="8674"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929"/>
        <w:gridCol w:w="929"/>
        <w:gridCol w:w="932"/>
        <w:gridCol w:w="109"/>
        <w:gridCol w:w="109"/>
        <w:gridCol w:w="109"/>
        <w:gridCol w:w="559"/>
        <w:gridCol w:w="559"/>
        <w:gridCol w:w="561"/>
        <w:gridCol w:w="109"/>
        <w:gridCol w:w="109"/>
        <w:gridCol w:w="109"/>
        <w:gridCol w:w="417"/>
        <w:gridCol w:w="417"/>
        <w:gridCol w:w="591"/>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Evercore ISI</w:t>
            </w:r>
          </w:p>
        </w:tc>
      </w:tr>
      <w:tr>
        <w:trPr/>
        <w:tc>
          <w:tcPr>
            <w:tcW w:w="8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Needham &amp; Company</w:t>
            </w:r>
          </w:p>
        </w:tc>
      </w:tr>
    </w:tbl>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Prospectus supplement dated October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9002" w:type="dxa"/>
        <w:jc w:val="left"/>
        <w:tblInd w:w="0" w:type="dxa"/>
        <w:tblLayout w:type="fixed"/>
        <w:tblCellMar>
          <w:top w:w="28" w:type="dxa"/>
          <w:left w:w="28" w:type="dxa"/>
          <w:bottom w:w="28" w:type="dxa"/>
          <w:right w:w="28" w:type="dxa"/>
        </w:tblCellMar>
      </w:tblPr>
      <w:tblGrid>
        <w:gridCol w:w="2766"/>
        <w:gridCol w:w="2434"/>
        <w:gridCol w:w="2449"/>
        <w:gridCol w:w="109"/>
        <w:gridCol w:w="109"/>
        <w:gridCol w:w="109"/>
        <w:gridCol w:w="109"/>
        <w:gridCol w:w="109"/>
        <w:gridCol w:w="109"/>
        <w:gridCol w:w="109"/>
        <w:gridCol w:w="109"/>
        <w:gridCol w:w="109"/>
        <w:gridCol w:w="109"/>
        <w:gridCol w:w="109"/>
        <w:gridCol w:w="154"/>
      </w:tblGrid>
      <w:tr>
        <w:trPr/>
        <w:tc>
          <w:tcPr>
            <w:tcW w:w="276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32a7e10cf7464343a6ae04cebcdd0fbd_6089">
              <w:r>
                <w:rPr>
                  <w:rStyle w:val="InternetLink"/>
                  <w:rFonts w:ascii="Times New Roman;serif" w:hAnsi="Times New Roman;serif"/>
                  <w:b w:val="false"/>
                  <w:color w:val="0000FF"/>
                  <w:sz w:val="20"/>
                  <w:u w:val="single"/>
                </w:rPr>
                <w:t>About This Prospectus Supplement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S-ii</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3705016bf28e4813b6310e6d2a2dab4e_14505">
              <w:r>
                <w:rPr>
                  <w:rStyle w:val="InternetLink"/>
                  <w:rFonts w:ascii="Times New Roman;serif" w:hAnsi="Times New Roman;serif"/>
                  <w:b w:val="false"/>
                  <w:color w:val="0000FF"/>
                  <w:sz w:val="20"/>
                  <w:u w:val="single"/>
                </w:rPr>
                <w:t>Prospectus Supplement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92628e2148d64f1d81419baaa2adba11_10">
              <w:r>
                <w:rPr>
                  <w:rStyle w:val="InternetLink"/>
                  <w:rFonts w:ascii="Times New Roman;serif" w:hAnsi="Times New Roman;serif"/>
                  <w:b w:val="false"/>
                  <w:color w:val="0000FF"/>
                  <w:sz w:val="20"/>
                  <w:u w:val="single"/>
                </w:rPr>
                <w:t>The Offering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7">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S-7</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3">
              <w:r>
                <w:rPr>
                  <w:rStyle w:val="InternetLink"/>
                  <w:rFonts w:ascii="Times New Roman;serif" w:hAnsi="Times New Roman;serif"/>
                  <w:b w:val="false"/>
                  <w:color w:val="0000FF"/>
                  <w:sz w:val="20"/>
                  <w:u w:val="single"/>
                </w:rPr>
                <w:t>Cautionary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S-10</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4">
              <w:r>
                <w:rPr>
                  <w:rStyle w:val="InternetLink"/>
                  <w:rFonts w:ascii="Times New Roman;serif" w:hAnsi="Times New Roman;serif"/>
                  <w:b w:val="false"/>
                  <w:color w:val="0000FF"/>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S-13</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8">
              <w:r>
                <w:rPr>
                  <w:rStyle w:val="InternetLink"/>
                  <w:rFonts w:ascii="Times New Roman;serif" w:hAnsi="Times New Roman;serif"/>
                  <w:b w:val="false"/>
                  <w:color w:val="0000FF"/>
                  <w:sz w:val="20"/>
                  <w:u w:val="single"/>
                </w:rPr>
                <w:t>Dilution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S-14</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Dividend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S-16</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9">
              <w:r>
                <w:rPr>
                  <w:rStyle w:val="InternetLink"/>
                  <w:rFonts w:ascii="Times New Roman;serif" w:hAnsi="Times New Roman;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S-17</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74127">
              <w:r>
                <w:rPr>
                  <w:rStyle w:val="InternetLink"/>
                  <w:rFonts w:ascii="Times New Roman;serif" w:hAnsi="Times New Roman;serif"/>
                  <w:b w:val="false"/>
                  <w:color w:val="0000FF"/>
                  <w:sz w:val="20"/>
                  <w:u w:val="single"/>
                </w:rPr>
                <w:t>Material U.S. Federal Income Tax Considerations For Holders Of Our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S-23</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74128">
              <w:r>
                <w:rPr>
                  <w:rStyle w:val="InternetLink"/>
                  <w:rFonts w:ascii="Times New Roman;serif" w:hAnsi="Times New Roman;serif"/>
                  <w:b w:val="false"/>
                  <w:color w:val="0000FF"/>
                  <w:sz w:val="20"/>
                  <w:u w:val="single"/>
                </w:rPr>
                <w:t>Underwriting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S-28</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5">
              <w:r>
                <w:rPr>
                  <w:rStyle w:val="InternetLink"/>
                  <w:rFonts w:ascii="Times New Roman;serif" w:hAnsi="Times New Roman;serif"/>
                  <w:b w:val="false"/>
                  <w:color w:val="0000FF"/>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50">
              <w:r>
                <w:rPr>
                  <w:rStyle w:val="InternetLink"/>
                  <w:rFonts w:ascii="Times New Roman;serif" w:hAnsi="Times New Roman;serif"/>
                  <w:b w:val="false"/>
                  <w:color w:val="0000FF"/>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46">
              <w:r>
                <w:rPr>
                  <w:rStyle w:val="InternetLink"/>
                  <w:rFonts w:ascii="Times New Roman;serif" w:hAnsi="Times New Roman;serif"/>
                  <w:b w:val="false"/>
                  <w:color w:val="0000FF"/>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S-41</w:t>
            </w:r>
          </w:p>
        </w:tc>
      </w:tr>
      <w:tr>
        <w:trPr/>
        <w:tc>
          <w:tcPr>
            <w:tcW w:w="7649" w:type="dxa"/>
            <w:gridSpan w:val="3"/>
            <w:tcBorders/>
            <w:tcMar>
              <w:top w:w="0" w:type="dxa"/>
              <w:left w:w="0" w:type="dxa"/>
              <w:bottom w:w="0" w:type="dxa"/>
              <w:right w:w="0" w:type="dxa"/>
            </w:tcMar>
            <w:vAlign w:val="center"/>
          </w:tcPr>
          <w:p>
            <w:pPr>
              <w:pStyle w:val="TableContents"/>
              <w:bidi w:val="0"/>
              <w:spacing w:lineRule="auto" w:line="240" w:before="0" w:after="0"/>
              <w:ind w:left="0" w:right="0" w:hanging="200"/>
              <w:jc w:val="left"/>
              <w:rPr/>
            </w:pPr>
            <w:hyperlink w:anchor="idc543fa7e22447afbea24cfdff351c98_149651">
              <w:r>
                <w:rPr>
                  <w:rStyle w:val="InternetLink"/>
                  <w:rFonts w:ascii="Times New Roman;serif" w:hAnsi="Times New Roman;serif"/>
                  <w:b w:val="false"/>
                  <w:color w:val="0000FF"/>
                  <w:sz w:val="20"/>
                  <w:u w:val="single"/>
                </w:rPr>
                <w:t>Information Incorporated by Reference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S-42</w:t>
            </w:r>
          </w:p>
        </w:tc>
      </w:tr>
    </w:tbl>
    <w:p>
      <w:pPr>
        <w:pStyle w:val="TextBody"/>
        <w:bidi w:val="0"/>
        <w:spacing w:lineRule="auto" w:line="240"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w:t>
      </w:r>
    </w:p>
    <w:p>
      <w:pPr>
        <w:pStyle w:val="TextBody"/>
        <w:bidi w:val="0"/>
        <w:spacing w:before="0" w:after="0"/>
        <w:jc w:val="left"/>
        <w:rPr/>
      </w:pPr>
      <w:r>
        <w:rPr/>
      </w:r>
    </w:p>
    <w:tbl>
      <w:tblPr>
        <w:tblW w:w="4014" w:type="dxa"/>
        <w:jc w:val="left"/>
        <w:tblInd w:w="0" w:type="dxa"/>
        <w:tblLayout w:type="fixed"/>
        <w:tblCellMar>
          <w:top w:w="28" w:type="dxa"/>
          <w:left w:w="28" w:type="dxa"/>
          <w:bottom w:w="28" w:type="dxa"/>
          <w:right w:w="28" w:type="dxa"/>
        </w:tblCellMar>
      </w:tblPr>
      <w:tblGrid>
        <w:gridCol w:w="1200"/>
        <w:gridCol w:w="1054"/>
        <w:gridCol w:w="1061"/>
        <w:gridCol w:w="109"/>
        <w:gridCol w:w="109"/>
        <w:gridCol w:w="109"/>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22">
              <w:r>
                <w:rPr>
                  <w:rStyle w:val="InternetLink"/>
                  <w:rFonts w:ascii="Times New Roman;serif" w:hAnsi="Times New Roman;serif"/>
                  <w:b w:val="false"/>
                  <w:color w:val="0563C1"/>
                  <w:sz w:val="20"/>
                  <w:u w:val="single"/>
                </w:rPr>
                <w:t>About this Prospectus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25">
              <w:r>
                <w:rPr>
                  <w:rStyle w:val="InternetLink"/>
                  <w:rFonts w:ascii="Times New Roman;serif" w:hAnsi="Times New Roman;serif"/>
                  <w:b w:val="false"/>
                  <w:color w:val="0563C1"/>
                  <w:sz w:val="20"/>
                  <w:u w:val="single"/>
                </w:rPr>
                <w:t>Prospectus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34">
              <w:r>
                <w:rPr>
                  <w:rStyle w:val="InternetLink"/>
                  <w:rFonts w:ascii="Times New Roman;serif" w:hAnsi="Times New Roman;serif"/>
                  <w:b w:val="false"/>
                  <w:color w:val="0563C1"/>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37">
              <w:r>
                <w:rPr>
                  <w:rStyle w:val="InternetLink"/>
                  <w:rFonts w:ascii="Times New Roman;serif" w:hAnsi="Times New Roman;serif"/>
                  <w:b w:val="false"/>
                  <w:color w:val="0563C1"/>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40">
              <w:r>
                <w:rPr>
                  <w:rStyle w:val="InternetLink"/>
                  <w:rFonts w:ascii="Times New Roman;serif" w:hAnsi="Times New Roman;serif"/>
                  <w:b w:val="false"/>
                  <w:color w:val="0563C1"/>
                  <w:sz w:val="20"/>
                  <w:u w:val="single"/>
                </w:rPr>
                <w:t>Use of Proceeds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43">
              <w:r>
                <w:rPr>
                  <w:rStyle w:val="InternetLink"/>
                  <w:rFonts w:ascii="Times New Roman;serif" w:hAnsi="Times New Roman;serif"/>
                  <w:b w:val="false"/>
                  <w:color w:val="0563C1"/>
                  <w:sz w:val="20"/>
                  <w:u w:val="single"/>
                </w:rPr>
                <w:t>Selling Stockholders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46">
              <w:r>
                <w:rPr>
                  <w:rStyle w:val="InternetLink"/>
                  <w:rFonts w:ascii="Times New Roman;serif" w:hAnsi="Times New Roman;serif"/>
                  <w:b w:val="false"/>
                  <w:color w:val="0563C1"/>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49">
              <w:r>
                <w:rPr>
                  <w:rStyle w:val="InternetLink"/>
                  <w:rFonts w:ascii="Times New Roman;serif" w:hAnsi="Times New Roman;serif"/>
                  <w:b w:val="false"/>
                  <w:color w:val="0563C1"/>
                  <w:sz w:val="20"/>
                  <w:u w:val="single"/>
                </w:rPr>
                <w:t>Description of Debt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64">
              <w:r>
                <w:rPr>
                  <w:rStyle w:val="InternetLink"/>
                  <w:rFonts w:ascii="Times New Roman;serif" w:hAnsi="Times New Roman;serif"/>
                  <w:b w:val="false"/>
                  <w:color w:val="0563C1"/>
                  <w:sz w:val="20"/>
                  <w:u w:val="single"/>
                </w:rPr>
                <w:t>Description of Depositary Shares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73">
              <w:r>
                <w:rPr>
                  <w:rStyle w:val="InternetLink"/>
                  <w:rFonts w:ascii="Times New Roman;serif" w:hAnsi="Times New Roman;serif"/>
                  <w:b w:val="false"/>
                  <w:color w:val="0563C1"/>
                  <w:sz w:val="20"/>
                  <w:u w:val="single"/>
                </w:rPr>
                <w:t>Description of Warrants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76">
              <w:r>
                <w:rPr>
                  <w:rStyle w:val="InternetLink"/>
                  <w:rFonts w:ascii="Times New Roman;serif" w:hAnsi="Times New Roman;serif"/>
                  <w:b w:val="false"/>
                  <w:color w:val="0563C1"/>
                  <w:sz w:val="20"/>
                  <w:u w:val="single"/>
                </w:rPr>
                <w:t>Description of Subscription Rights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79">
              <w:r>
                <w:rPr>
                  <w:rStyle w:val="InternetLink"/>
                  <w:rFonts w:ascii="Times New Roman;serif" w:hAnsi="Times New Roman;serif"/>
                  <w:b w:val="false"/>
                  <w:color w:val="0563C1"/>
                  <w:sz w:val="20"/>
                  <w:u w:val="single"/>
                </w:rPr>
                <w:t>Description of Purchase Contracts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82">
              <w:r>
                <w:rPr>
                  <w:rStyle w:val="InternetLink"/>
                  <w:rFonts w:ascii="Times New Roman;serif" w:hAnsi="Times New Roman;serif"/>
                  <w:b w:val="false"/>
                  <w:color w:val="0563C1"/>
                  <w:sz w:val="20"/>
                  <w:u w:val="single"/>
                </w:rPr>
                <w:t>Description of Units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85">
              <w:r>
                <w:rPr>
                  <w:rStyle w:val="InternetLink"/>
                  <w:rFonts w:ascii="Times New Roman;serif" w:hAnsi="Times New Roman;serif"/>
                  <w:b w:val="false"/>
                  <w:color w:val="0563C1"/>
                  <w:sz w:val="20"/>
                  <w:u w:val="single"/>
                </w:rPr>
                <w:t>Plan of Distribution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94">
              <w:r>
                <w:rPr>
                  <w:rStyle w:val="InternetLink"/>
                  <w:rFonts w:ascii="Times New Roman;serif" w:hAnsi="Times New Roman;serif"/>
                  <w:b w:val="false"/>
                  <w:color w:val="0563C1"/>
                  <w:sz w:val="20"/>
                  <w:u w:val="single"/>
                </w:rPr>
                <w:t>Legal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100" w:after="100"/>
              <w:ind w:left="0" w:right="0" w:hanging="240"/>
              <w:jc w:val="left"/>
              <w:rPr/>
            </w:pPr>
            <w:hyperlink w:anchor="i92628e2148d64f1d81419baaa2adba11_94">
              <w:r>
                <w:rPr>
                  <w:rStyle w:val="InternetLink"/>
                  <w:rFonts w:ascii="Times New Roman;serif" w:hAnsi="Times New Roman;serif"/>
                  <w:b w:val="false"/>
                  <w:color w:val="0563C1"/>
                  <w:sz w:val="20"/>
                  <w:u w:val="single"/>
                </w:rPr>
                <w:t>Experts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97">
              <w:r>
                <w:rPr>
                  <w:rStyle w:val="InternetLink"/>
                  <w:rFonts w:ascii="Times New Roman;serif" w:hAnsi="Times New Roman;serif"/>
                  <w:b w:val="false"/>
                  <w:color w:val="0563C1"/>
                  <w:sz w:val="20"/>
                  <w:u w:val="single"/>
                </w:rPr>
                <w:t>Where You Can Find More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240"/>
              <w:jc w:val="left"/>
              <w:rPr/>
            </w:pPr>
            <w:hyperlink w:anchor="i92628e2148d64f1d81419baaa2adba11_100">
              <w:r>
                <w:rPr>
                  <w:rStyle w:val="InternetLink"/>
                  <w:rFonts w:ascii="Times New Roman;serif" w:hAnsi="Times New Roman;serif"/>
                  <w:b w:val="false"/>
                  <w:color w:val="0563C1"/>
                  <w:sz w:val="20"/>
                  <w:u w:val="single"/>
                </w:rPr>
                <w:t>Incorporation by Reference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3"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0" w:name="i32a7e10cf7464343a6ae04cebcdd0fbd_6089"/>
      <w:bookmarkEnd w:id="0"/>
      <w:r>
        <w:rPr>
          <w:rFonts w:ascii="Times New Roman;serif" w:hAnsi="Times New Roman;serif"/>
          <w:b/>
          <w:color w:val="000000"/>
          <w:sz w:val="20"/>
          <w:shd w:fill="FFFFFF" w:val="clear"/>
        </w:rPr>
        <w:t xml:space="preserve">ABOUT THIS PROSPECTUS SUPPLEMENT </w:t>
      </w:r>
    </w:p>
    <w:p>
      <w:pPr>
        <w:pStyle w:val="TextBody"/>
        <w:bidi w:val="0"/>
        <w:spacing w:lineRule="auto" w:line="288" w:before="240" w:after="283"/>
        <w:ind w:left="0" w:right="0" w:firstLine="720"/>
        <w:jc w:val="both"/>
        <w:rPr>
          <w:shd w:fill="FFFFFF" w:val="clear"/>
        </w:rPr>
      </w:pPr>
      <w:r>
        <w:rPr>
          <w:rFonts w:ascii="Times New Roman;serif" w:hAnsi="Times New Roman;serif"/>
          <w:b w:val="false"/>
          <w:color w:val="000000"/>
          <w:sz w:val="20"/>
          <w:shd w:fill="FFFFFF" w:val="clear"/>
        </w:rPr>
        <w:t>This document is part of the registration statement on Form S-3 (File No. 333</w:t>
      </w:r>
      <w:r>
        <w:rPr>
          <w:rFonts w:ascii="Times New Roman;serif" w:hAnsi="Times New Roman;serif"/>
          <w:b/>
          <w:color w:val="000000"/>
          <w:sz w:val="20"/>
          <w:shd w:fill="FFFFFF" w:val="clear"/>
        </w:rPr>
        <w:t>-</w:t>
      </w:r>
      <w:r>
        <w:rPr>
          <w:rFonts w:ascii="Times New Roman;serif" w:hAnsi="Times New Roman;serif"/>
          <w:b w:val="false"/>
          <w:color w:val="000000"/>
          <w:sz w:val="20"/>
          <w:shd w:fill="FFFFFF" w:val="clear"/>
        </w:rPr>
        <w:t>284878) that we filed on February 12, 2025 with the Securities and Exchange Commission, or SEC, using a “shelf” registration process and consists of two parts. The first part is this prospectus supplement, including the documents incorporated by reference, which describes the specific terms of this offering and also supplements and updates information contained in the accompanying prospectus. The second part is the accompanying prospectus, including the documents incorporated by reference, which provides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Class A Common Stock. You should also read and consider information in the documents we have referred you to in the sections of this prospectus supplement and the accompanying prospectus entitled “Where You Can Find More Information” and “Information Incorporated by Reference.”</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further note that the representations, warranties and covenants made by us in any agreement that is filed as an exhibit to the registration statement or any document that is incorporated by reference herein or into the accompanying prospectus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not authorized, and the underwriters have not authorized, anyone to provide you with any information or to make any representations other than those contained or incorporated by reference in this prospectus supplement, the accompanying prospectus or in any free writing prospectus that we may have authorized for use in connection with this offering. Neither we nor the underwriters take any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the accompanying prospectus or any free writing prospectus that we may have authorized for use in connection with this offering is accurate as of any date other than as of the date of this prospectus supplement, the accompanying prospectus or such free writing prospectus, as the case may be, or in the case of the documents incorporated by reference, the date of such documents, regardless of the time of delivery of this prospectus supplement, the accompanying prospectus and any free writing prospectus or any sale of our securities. Our business, financial condition, results of operations and prospects may have changed since those dates.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All references in this prospectus supplement to “we,” “our” and “us” refer, collectively, to Recursion Pharmaceuticals, Inc., a Delaware corporation, and its consolidated subsidiaries, unless we state otherwise or the context otherwise requires. We use the Recursion Pharmaceuticals logo, and other marks as trademarks in the United States and other countries. This prospectus supplement, the accompanying prospectus and any free writing prospectus that we may have authorized for use in connection with this offering and the information incorporated herein or therein, as the case may be, by reference contain references to our trademarks and service marks and to those belonging to other entities. Solely for convenience, trademarks and trade names referred to in this prospectus supplement, the accompanying prospectus and any free writing prospectus that we may have authorized for use in connection with this offering, including logos, artwork and other visual displays, may appear without the ® or ™ symbols, but such references are not intended to indicate in any way that we will not assert, to the fullest extent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4"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8" w:space="36" w:color="000000"/>
          <w:shd w:fill="FFFFFF" w:val="clear"/>
        </w:rPr>
      </w:pPr>
      <w:bookmarkStart w:id="1" w:name="i3705016bf28e4813b6310e6d2a2dab4e_14505"/>
      <w:bookmarkEnd w:id="1"/>
      <w:r>
        <w:rPr>
          <w:rFonts w:ascii="Times New Roman;serif" w:hAnsi="Times New Roman;serif"/>
          <w:b/>
          <w:color w:val="000000"/>
          <w:sz w:val="20"/>
          <w:bdr w:val="single" w:sz="8" w:space="36" w:color="000000"/>
          <w:shd w:fill="FFFFFF" w:val="clear"/>
        </w:rPr>
        <w:t>PROSPECTUS SUPPLEMENT SUMMARY</w:t>
      </w:r>
    </w:p>
    <w:p>
      <w:pPr>
        <w:pStyle w:val="TextBody"/>
        <w:bidi w:val="0"/>
        <w:spacing w:lineRule="auto" w:line="276" w:before="0" w:after="0"/>
        <w:ind w:left="0" w:right="0" w:firstLine="720"/>
        <w:jc w:val="left"/>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This summary highlights selected information that is incorporated by reference in this prospectus supplement, the accompanying prospectus and any related free writing prospectus. It does not contain all of the information that may be important to you and your investment decision. Before investing in our Class A Common Stock, you should carefully read this entire prospectus supplement, the accompanying prospectus, including the matters set forth under the sections “Risk Factors” of this prospectus supplement, the accompanying prospectus and any related free writing prospectus, as well as the financial statements and related notes and other information that we incorporate by reference herein and therein, including our Annual Report on Form 10-K and our Quarterly Reports on Form 10-Q and the exhibits to the registration statement of which this prospectus supplement and the accompanying prospectus is a part. Unless the context otherwise requires, the terms “Recursion,” the “Company,” “we,” “us” and “our” in this prospectus supplement and the accompanying prospectus refer to the operations of Recursion Pharmaceuticals, Inc., a Delaware corporation, and its consolidated subsidiaries as a whole.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Company Overview</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Recursion is a a leading clinical-stage company pioneering AI-enabled drug discovery and development decoding biology to radically improve lives. Recursion is advancing a portfolio of differentiated investigational medicines across its wholly owned and partnered pipeline in oncology, rare disease, neuroscience, immunology, and other therapeutic areas with significant unmet need. Enabling its mission is the Recursion OS, an AI-native, end-to-end drug discovery and development platform integrating biology, chemistry, and clinical development into a unified intelligence system. Powered by proprietary multimodal data, purpose-built AI models, and bilingual teams fluent in both science and AI, the Recursion OS is designed to translate complex science into medicines that matter — faster, better, and at scale — for patients who are waiting.</w:t>
      </w:r>
    </w:p>
    <w:p>
      <w:pPr>
        <w:pStyle w:val="TextBody"/>
        <w:bidi w:val="0"/>
        <w:spacing w:lineRule="auto" w:line="288" w:before="0" w:after="0"/>
        <w:jc w:val="both"/>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Preliminary Cash, Cash Equivalents, and Restricted Cash</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As of September 30, 2026, we had cash, cash equivalents, and restricted cash of approximately $561 million. The preliminary cash balance includes approximately $86 million in net proceeds from the sale of 23,696,330 shares of Class A Common Stock under our at-the-market program with TD Securities (USA) LLC during the quarter ended September 30, 2026.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consolidated financial statements for the three months ended September 30, 2026 are not yet available. Accordingly, the information presented above reflects the Company’s preliminary estimates subject to the completion of the Company’s financial closing procedures and any adjustments that may result from the completion of the quarterly review of the Company’s consolidated financial statements. As a result, these preliminary estimates may differ from the actual results that will be reflected in the Company’s consolidated financial statements for the quarter when they are completed and publicly disclosed. These preliminary estimates may change and those changes may be material.</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Company’s expectations with respect to its unaudited results for the period discussed above are based upon management estimates and are the responsibility of management. The Company’s independent registered public accounting firm has not audited, reviewed or performed any procedures with respect to these preliminary results and, accordingly, does not express an opinion or any other form of assurance about them.</w:t>
      </w:r>
    </w:p>
    <w:p>
      <w:pPr>
        <w:pStyle w:val="TextBody"/>
        <w:bidi w:val="0"/>
        <w:spacing w:lineRule="auto" w:line="28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Partner Update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Recursion announced that Sanofi has optioned the first development candidate from the two companies’ multi-program research collaboration. The potential first-in-class oral small molecule was designed to achieve a differentiated profile against a challenging dual target implicated in inflammatory disease, and was delivered by the combination of Recursion’s integrated AI-enabled drug design platform and small-molecule chemistry capabilities with Sanofi’s deep expertise in drug discovery and immunology.</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6"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candidate has now been added to Sanofi’s development pipeline and is expected to enter phase 1 clinical trials in 2027, with Sanofi funding and leading further development and commercialization. The option triggered a $10 million milestone payment to Recursion, bringing total upfront and milestone payments under the collaboration to $144 million to date. Recursion remains eligible for more than $300 million in additional milestones for this program, with an average of low double-digit royalties on net product sales if successfully commercialized. With the first development candidate optioned, the collaboration has now achieved six progress-based milestones across five programs.</w:t>
      </w:r>
    </w:p>
    <w:p>
      <w:pPr>
        <w:pStyle w:val="TextBody"/>
        <w:bidi w:val="0"/>
        <w:spacing w:lineRule="auto" w:line="26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REC-4881 Phase 1b/2 Study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we announced updated topline data from our Phase 1b/2 TUPELO study of REC-4881, an investigational MEK1/2 inhibitor for familial adenomatous polyposis (FAP) that targets both Wnt/β-catenin initiation and MAPK evolution pathways via a mechanism identified by Recursion's AI discovery platform. REC-4881 is a potential first-in-class oral therapy granted FDA Orphan Drug and Fast Track designations.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FAP is a genetically defined driver of GI cancer with no approved therapies that affects more than 50,000 patients, 35,000 of which are post-colectomy, in the US and EU5, representing a roughly $15 billion overall addressable market opportunity. In these patients, upper GI (UGI) polyps represent the highest unmet need in FAP due to higher rates of complications such as bleeding and perforations from surgical procedures used to manage the disease. </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Study Design and Population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are conducting a multi-center, open-label trial of REC-4881 in genetically confirmed FAP patients age 18 and over with no active cancer and polyps in the upper or lower GI tracts. Patients are given 4 mg once daily for twelve weeks followed by no treatment for twelve weeks. Polyp burden was defined as the sum of all polyp diameters and evaluated at baseline and weeks 13 and 25. With a data cutoff of September 10, 2026, we reported on sixteen (16) efficacy-evaluable patients, defined as participants with measurable disease (non-zero polyp burden) at baseline endoscopy, who received at least 75% of study drug, and had at least one post-baseline on-study endoscopic assessment. These 16 reflect 4 additional efficacy-evaluable patients from the last update. We also reported on 26 safety evaluable patients, 5 from the Phase 1b and 21 from the Phase 2 portion of the TUPELO study.</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Results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Of the 16 efficacy-evaluable patients, 87% of patients achieved reductions in total polyp burden, with a 47% median reduction in total polyp burden at week 13, consistent with the 43% (n=12) reported previously. Of the four additional patients, all had reductions in overall polyp burden. In the upper GI tract, 92% of 13 evaluable patients experienced reductions, with 46% achieving equal to or greater than a 65% reduction. Two patients achieved reductions in the UGI of equal to or greater than 98%.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After twelve weeks off treatment, 85% of patients remained below their overall baseline polyp burden (n=11/13). In the UGI tract, 92% of patients remained below baseline, with 6 out of 11 with equal or greater reductions from their 13 week assessments. We view the durability results as potentially allowing for dosing flexibility, which may be important for long term disease management.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Half of patients showed Spigelman downstaging at week 13 (n=12), which is in line with our expectation given the 55% median reduction in upper GI polyp burden. Of the 6 patients downstaged at week 13, 4 maintained the greater than or equal to one stage improvement after twelve weeks off treatment; the remaining two were not assessed.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The safety profile remains favorable and supports the potential for chronic dosing. Of 26 safety-evaluable patients, 21 (80.8%) patients had treatment related adverse events (TRAEs) less than or equal to Grade 2, which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7"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were consistent with MEK1/2 inhibition and included dermatitis acneiform, CPK increases, rash, diarrhea, and left ventricular ejection fraction (LVEF) decrease. Of those who experienced LVEF, they were asymptomatic and the decrease was reversible, with one patient lost to follow up. Of 4 reports of Grade 3 TRAEs, two were dermatitis acneiform and rash and 2 were a blood CPK increase. None of the patients with Grade 3 TRAEs discontinued and three of the four resolved prior to the data cutoff. No Grade 4 or 5 TRAEs were reported. </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full Phase 1b/2 trial dataset will be presented at the Collaborative Group of the Americas on Inherited Gastrointestinal Cancer (CGA-IGC) Annual Meeting on Monday, November 2 presented by Lisa Boardman, M.D., Mayo Clinic.</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FDA Next Steps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Recursion has had conversations with the FDA for initiating a registrational trial. Pending the outcome of ongoing discussion with the FDA, the Company anticipates initiating a registrational trial in 2027 and will provide additional details later this year.</w:t>
      </w:r>
    </w:p>
    <w:p>
      <w:pPr>
        <w:pStyle w:val="TextBody"/>
        <w:bidi w:val="0"/>
        <w:spacing w:lineRule="auto" w:line="268" w:before="0" w:after="0"/>
        <w:jc w:val="both"/>
        <w:rPr>
          <w:rFonts w:ascii="Times New Roman;serif" w:hAnsi="Times New Roman;serif"/>
          <w:b w:val="false"/>
          <w:i/>
          <w:color w:val="000000"/>
          <w:sz w:val="20"/>
          <w:bdr w:val="single" w:sz="8" w:space="36" w:color="000000"/>
          <w:shd w:fill="FFFFFF" w:val="clear"/>
        </w:rPr>
      </w:pPr>
      <w:r>
        <w:rPr>
          <w:rFonts w:ascii="Times New Roman;serif" w:hAnsi="Times New Roman;serif"/>
          <w:b w:val="false"/>
          <w:i/>
          <w:color w:val="000000"/>
          <w:sz w:val="20"/>
          <w:bdr w:val="single" w:sz="8" w:space="36" w:color="000000"/>
          <w:shd w:fill="FFFFFF" w:val="clear"/>
        </w:rPr>
        <w:t>REC-1245 Phase 1/2 Study</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On October 15, 2026, Recursion announced initial data from the Phase 1 monotherapy dose escalation portion of DAHLIA, our ongoing open-label Phase 1/2 clinical trial of REC-1245, a potential first-in-class oral molecular glue degrader designed to exploit a synthetic-lethal vulnerability in genomically unstable cancers by degrading RBM39, a splicing factor that regulates genes involved in DNA repair and stress response. The target emerged from Recursion’s platform, which found that degrading RBM39 mimics the loss of CDK12, a cancer vulnerability that has been difficult to target selectively because of its close similarity to CDK13, whose co-inhibition risks added toxicity. We estimate the total addressable patients for the therapy, should it be approved, to be greater than 100,000 in the US and EU5.</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Study Design and Population</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dose escalation portion of DAHLIA enrolled patients with unresectable, locally recurrent or metastatic select solid tumors, or select relapsed or refractory lymphoma, who had progressed following, or were intolerant to, available standard-of-care treatments. Patients received REC-1245 on a continuous once-daily basis at escalating dose levels. The primary objectives of the phase 1 portion of the trial are safety and determining an MTD and/or recommended phase 2 dose, and the secondary objectives are pharmacokinetics and anti-tumor activity. As of the data cutoff date, 30 patients across all dose levels were safety-evaluable, and 12 patients who started treatment at 45 mg (dose level 4) or 65 mg (dose level 5) were efficacy-evaluable. Patients who had not yet reached their first efficacy assessment were excluded from the efficacy-evaluable population.</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data reflect a data cutoff date of August 21, 2026.</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Dose Escalation Results</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Among the 12 efficacy-evaluable patients who started treatment at 45 mg or 65 mg, 11 patients (91.7%) achieved disease control (complete response, partial response or stable disease) at eight weeks. Across all dose levels, 14 of 21 efficacy-evaluable patients (66.7%) achieved disease control at week 9.</w:t>
      </w:r>
    </w:p>
    <w:p>
      <w:pPr>
        <w:pStyle w:val="TextBody"/>
        <w:bidi w:val="0"/>
        <w:spacing w:lineRule="auto" w:line="288" w:before="0" w:after="240"/>
        <w:ind w:left="0" w:right="0" w:firstLine="72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Among the patients who started treatment at 45 mg or 65 mg, three patients achieved a partial response (PR) as measured by target lesion change under RECIST 1.1 criteria, two with endometrial cancer and one with hepatocellular carcinoma (HCC). Two of the responses have been confirmed. One patient with endometrial cancer, who started treatment at 65 mg and was reduced to 45 mg after six days of dosing (90% of dosing was 45 mg), achieved a PR with a 32.3% reduction in target lesions at Week 9, which was confirmed at Week 17 with a 48.9% reduction. A second patient with endometrial cancer, who started treatment at 45 mg, achieved a PR with a 33.9% reduction at Week 9 and a 38.2% reduction at Week 13. Both patients remained on treatment at 45 mg as of the data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8"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cutoff date. The patient with HCC, who started treatment at 65 mg, achieved an unconfirmed PR with a 55.9% reduction at Week 9, but withdrew from the trial due to toxicity, including Grade 3 stomatitis, Grade 4 thrombocytopenia and febrile neutropenia.</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Safety and Tolerability Results</w:t>
      </w:r>
    </w:p>
    <w:p>
      <w:pPr>
        <w:pStyle w:val="TextBody"/>
        <w:bidi w:val="0"/>
        <w:spacing w:before="0" w:after="0"/>
        <w:jc w:val="left"/>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Across all dose levels, 22 of 30 patients (73.3%) experienced treatment related adverse events (TRAEs) of any grade, and eight patients (26.7%) experienced Grade 3 or higher TRAEs. The most common TRAEs were fatigue (30%), anemia (30%), nausea (20%), thrombocytopenia (20%) and stomatitis (16.7%). Grade 3 or higher TRAEs included anemia (10%), thrombocytopenia (10%), stomatitis (10%) and nausea (3.3%).</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At the 45 mg dosing level, 70% of patients experienced TRAEs (fatigue and anemia (30% each), all of which were Grade 1 or 2) with two patients (20%) experienced Grade 3 TRAEs, consisting of elevated creatinine and hypokalemia. No dose limiting toxicities (DLTs) or serious TRAEs were observed at that dose. At 65 mg, three of four DLT-evaluable patients experienced DLTs, including stomatitis, neutropenia or febrile neutropenia, and thrombocytopenia, and the MTD was exceeded.</w:t>
      </w:r>
    </w:p>
    <w:p>
      <w:pPr>
        <w:pStyle w:val="TextBody"/>
        <w:bidi w:val="0"/>
        <w:spacing w:lineRule="auto" w:line="268" w:before="0" w:after="0"/>
        <w:jc w:val="both"/>
        <w:rPr>
          <w:rFonts w:ascii="Times New Roman;serif" w:hAnsi="Times New Roman;serif"/>
          <w:b w:val="false"/>
          <w:color w:val="000000"/>
          <w:sz w:val="20"/>
          <w:u w:val="single"/>
          <w:bdr w:val="single" w:sz="8" w:space="36" w:color="000000"/>
          <w:shd w:fill="FFFFFF" w:val="clear"/>
        </w:rPr>
      </w:pPr>
      <w:r>
        <w:rPr>
          <w:rFonts w:ascii="Times New Roman;serif" w:hAnsi="Times New Roman;serif"/>
          <w:b w:val="false"/>
          <w:color w:val="000000"/>
          <w:sz w:val="20"/>
          <w:u w:val="single"/>
          <w:bdr w:val="single" w:sz="8" w:space="36" w:color="000000"/>
          <w:shd w:fill="FFFFFF" w:val="clear"/>
        </w:rPr>
        <w:t>Next Steps</w:t>
      </w:r>
    </w:p>
    <w:p>
      <w:pPr>
        <w:pStyle w:val="TextBody"/>
        <w:bidi w:val="0"/>
        <w:spacing w:before="0" w:after="0"/>
        <w:jc w:val="left"/>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Based on these data, we selected 45 mg once daily as the dose for monotherapy expansion cohorts, including in endometrial cancer, where second-line treatment options are limited and expect preliminary data in the second half of 2027. We are exploring additional tumor types for dose expansion.</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Additional Phase 1 data from DAHLIA are anticipated in the second half of 2026.</w:t>
      </w:r>
    </w:p>
    <w:p>
      <w:pPr>
        <w:pStyle w:val="TextBody"/>
        <w:bidi w:val="0"/>
        <w:spacing w:lineRule="auto" w:line="240" w:before="0" w:after="0"/>
        <w:jc w:val="both"/>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Corporate Information and History</w:t>
      </w:r>
    </w:p>
    <w:p>
      <w:pPr>
        <w:pStyle w:val="TextBody"/>
        <w:bidi w:val="0"/>
        <w:spacing w:before="0" w:after="0"/>
        <w:jc w:val="both"/>
        <w:rPr/>
      </w:pPr>
      <w:r>
        <w:rPr/>
      </w:r>
    </w:p>
    <w:p>
      <w:pPr>
        <w:pStyle w:val="TextBody"/>
        <w:bidi w:val="0"/>
        <w:spacing w:lineRule="auto" w:line="288" w:before="0" w:after="240"/>
        <w:ind w:left="0" w:right="0" w:firstLine="720"/>
        <w:jc w:val="both"/>
        <w:rPr>
          <w:bdr w:val="single" w:sz="8" w:space="36" w:color="000000"/>
          <w:shd w:fill="FFFFFF" w:val="clear"/>
        </w:rPr>
      </w:pPr>
      <w:r>
        <w:rPr>
          <w:rFonts w:ascii="Times New Roman;serif" w:hAnsi="Times New Roman;serif"/>
          <w:b w:val="false"/>
          <w:color w:val="000000"/>
          <w:sz w:val="20"/>
          <w:bdr w:val="single" w:sz="8" w:space="36" w:color="000000"/>
          <w:shd w:fill="FFFFFF" w:val="clear"/>
        </w:rPr>
        <w:t>We were formed in Delaware as a limited liability company</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in November 2013 under the name Recursion Pharmaceuticals, LLC. In September 2016, we converted to a Delaware corporation and subsequently changed our name to Recursion Pharmaceuticals, Inc. Our principal executive</w:t>
      </w:r>
      <w:r>
        <w:rPr>
          <w:color w:val="000000"/>
          <w:bdr w:val="single" w:sz="8" w:space="36" w:color="000000"/>
          <w:shd w:fill="FFFFFF" w:val="clear"/>
        </w:rPr>
        <w:t xml:space="preserve"> </w:t>
      </w:r>
      <w:r>
        <w:rPr>
          <w:rFonts w:ascii="Times New Roman;serif" w:hAnsi="Times New Roman;serif"/>
          <w:b w:val="false"/>
          <w:color w:val="000000"/>
          <w:sz w:val="20"/>
          <w:bdr w:val="single" w:sz="8" w:space="36" w:color="000000"/>
          <w:shd w:fill="FFFFFF" w:val="clear"/>
        </w:rPr>
        <w:t>office is located at 41 S Rio Grande Street, Salt Lake City, Utah 84101. Our telephone number is (385) 269-0203. Our website is www.recursion.com. Information contained on, or that can be accessed through, our website does not constitute a part of this prospectus supplement or the accompanying prospectus and is not incorporated by reference herein or therein. We have included our website address in this prospectus supplement solely for informational purposes and you should not consider any information contained on, or that can be accessed through, our website as part of this prospectus supplement or in deciding whether to purchase shares of our Class A Common Stock, except as set forth under the section entitled “Information Incorporated by Reference.”</w:t>
      </w:r>
    </w:p>
    <w:p>
      <w:pPr>
        <w:pStyle w:val="TextBody"/>
        <w:bidi w:val="0"/>
        <w:spacing w:before="0" w:after="240"/>
        <w:jc w:val="both"/>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bdr w:val="single" w:sz="8" w:space="36" w:color="000000"/>
          <w:shd w:fill="FFFFFF" w:val="clear"/>
        </w:rPr>
      </w:pPr>
      <w:r>
        <w:rPr>
          <w:rFonts w:ascii="Times New Roman;serif" w:hAnsi="Times New Roman;serif"/>
          <w:b/>
          <w:color w:val="000000"/>
          <w:sz w:val="20"/>
          <w:bdr w:val="single" w:sz="8" w:space="36" w:color="000000"/>
          <w:shd w:fill="FFFFFF" w:val="clear"/>
        </w:rPr>
        <w:t>THE OFFERING</w:t>
      </w:r>
    </w:p>
    <w:tbl>
      <w:tblPr>
        <w:tblW w:w="10205" w:type="dxa"/>
        <w:jc w:val="left"/>
        <w:tblInd w:w="0" w:type="dxa"/>
        <w:tblLayout w:type="fixed"/>
        <w:tblCellMar>
          <w:top w:w="28" w:type="dxa"/>
          <w:left w:w="28" w:type="dxa"/>
          <w:bottom w:w="28" w:type="dxa"/>
          <w:right w:w="28" w:type="dxa"/>
        </w:tblCellMar>
      </w:tblPr>
      <w:tblGrid>
        <w:gridCol w:w="754"/>
        <w:gridCol w:w="495"/>
        <w:gridCol w:w="499"/>
        <w:gridCol w:w="2773"/>
        <w:gridCol w:w="2354"/>
        <w:gridCol w:w="3330"/>
      </w:tblGrid>
      <w:tr>
        <w:trPr/>
        <w:tc>
          <w:tcPr>
            <w:tcW w:w="75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Class A Common Stock offered by us </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    </w:t>
            </w:r>
            <w:r>
              <w:rPr>
                <w:rFonts w:ascii="Times New Roman;serif" w:hAnsi="Times New Roman;serif"/>
                <w:b w:val="false"/>
                <w:color w:val="000000"/>
                <w:sz w:val="20"/>
              </w:rPr>
              <w:t>shares of our Class A Common Stock.</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to be outstanding following the offering</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180"/>
              <w:jc w:val="both"/>
              <w:rPr>
                <w:color w:val="000000"/>
              </w:rPr>
            </w:pPr>
            <w:r>
              <w:rPr>
                <w:color w:val="000000"/>
              </w:rPr>
              <w:t>       </w:t>
            </w:r>
            <w:r>
              <w:rPr>
                <w:rFonts w:ascii="Times New Roman;serif" w:hAnsi="Times New Roman;serif"/>
                <w:b w:val="false"/>
                <w:color w:val="000000"/>
                <w:sz w:val="20"/>
              </w:rPr>
              <w:t>shares of our Class A Common Stock based on 533,191,318 shares of our Class A Common Stock outstanding as of June 30, 2026 and which excludes certain shares as further described below.</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Use of proceeds </w:t>
            </w:r>
          </w:p>
        </w:tc>
        <w:tc>
          <w:tcPr>
            <w:tcW w:w="8457" w:type="dxa"/>
            <w:gridSpan w:val="3"/>
            <w:tcBorders/>
            <w:tcMar>
              <w:top w:w="0" w:type="dxa"/>
              <w:left w:w="0" w:type="dxa"/>
              <w:bottom w:w="0" w:type="dxa"/>
              <w:right w:w="0" w:type="dxa"/>
            </w:tcMar>
            <w:vAlign w:val="center"/>
          </w:tcPr>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estimate that the net proceeds from this offering will be approximately , after deducting underwriting discounts and commissions and estimated offering expenses payable by us.</w:t>
            </w:r>
          </w:p>
          <w:p>
            <w:pPr>
              <w:pStyle w:val="TableContents"/>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intend to use the net proceeds of this offering to fund advancement of our existing preclinical and clinical programs, including a registrational study for REC-4881 in FAP and dose expansion studies for REC-1245 in solid tumors, the advancement of our platform technologies, as well as runway extension, strategic investments and acquisitions and general corporate purposes. However, we have no current agreements, commitments or understandings for any specific acquisitions or strategic investments at this time. See the section titled “Use of Proceeds” for more information.</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Voting rights</w:t>
            </w:r>
          </w:p>
        </w:tc>
        <w:tc>
          <w:tcPr>
            <w:tcW w:w="845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our Class A Common Stock are entitled to one vote per share. See the section titled “Description of Capital Stock” for additional information.</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Nasdaq Global Select Market symbol </w:t>
            </w:r>
          </w:p>
        </w:tc>
        <w:tc>
          <w:tcPr>
            <w:tcW w:w="84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 xml:space="preserve">RXRX” </w:t>
            </w:r>
          </w:p>
        </w:tc>
      </w:tr>
      <w:tr>
        <w:trPr/>
        <w:tc>
          <w:tcPr>
            <w:tcW w:w="1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457"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risks. See “Risk Factors” beginning on page S-7 of this prospectus supplement and other information included or incorporated by reference into this prospectus supplement and the accompanying prospectus for a discussion of the factors you should carefully consider before deciding to invest in our securities.</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number of shares of our Class A Common Stock to be outstanding after this offering is based on 533,191,318 shares of Class A Common Stock outstanding as of June 30, 2026, and excludes: </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928,917 shares of Class A Common Stock issuable upon the vesting, exchange, retraction or redemption of exchangeable shares of a subsidiary of our company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15,484,257 shares of Class A Common Stock issuable upon the exercise of stock options outstanding as of June 30, 2026, at a weighted average exercise price of $6.63 per share;</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27,468,075 shares of Class A Common Stock issuable upon the vesting of restricted stock units outstanding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29,277,634 shares of Class A Common Stock reserved for future issuance under our 2021 Equity Incentive Plan, or our 2021 Plan, as of June 30, 2026, plus any future increases in the number of shares of Class A Common Stock reserved for issuance under our 2021 Plan pursuant to the evergreen provision of our 2021 Plan;</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8,516,511 shares of Class A Common Stock reserved for future issuance under our 2024 Inducement Equity Incentive Plan, or our Inducement Plan,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12,705,056 shares of Class A Common Stock reserved for future issuance under our 2021 Employee Stock Purchase Plan, or our 2021 ESPP, as of June 30, 2026, plus any future increases in the number of shares of Class A Common Stock reserved for issuance under our 2021 ESPP pursuant to the evergreen provision of our 2021 ESPP;</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23,696,330 shares of Class A Common Stock sold through our “at-the-market” program with TD Securities (USA) LLC after June 30, 2026;</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up to an aggregate of $213.3 million of shares of Class A Common Stock that may be sold under our “at-the-market” program with TD Securities (USA) LLC;</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167,450 shares of Class A Common Stock payable in connection with our acquisition of Cyclica, Inc., or Cyclica, that had not yet been issued as of June 30, 2026; and</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any shares of Class A Common Stock that we elect to issue in order to make annual payments in equity in connection with our collaboration agreement with Tempus AI, Inc. (formerly known as Tempus Labs, Inc.), or Tempus.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Except as otherwise indicated, all information in this prospectus supplement assumes no exercise or settlement of stock options, RSUs or other equity awards described above, no grant of additional awards under our 2021 Plan, and no issuance of shares under our 2021 ESPP, in each case, after June 30,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40" w:before="480" w:after="283"/>
        <w:jc w:val="center"/>
        <w:rPr>
          <w:rFonts w:ascii="Times New Roman;serif" w:hAnsi="Times New Roman;serif"/>
          <w:b w:val="false"/>
          <w:color w:val="000000"/>
          <w:sz w:val="2"/>
          <w:shd w:fill="FFFFFF" w:val="clear"/>
        </w:rPr>
      </w:pPr>
      <w:r>
        <w:rPr>
          <w:rFonts w:ascii="Times New Roman;serif" w:hAnsi="Times New Roman;serif"/>
          <w:b w:val="false"/>
          <w:color w:val="000000"/>
          <w:sz w:val="2"/>
          <w:shd w:fill="FFFFFF" w:val="clea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bookmarkStart w:id="2" w:name="idc543fa7e22447afbea24cfdff351c98_149647"/>
      <w:bookmarkEnd w:id="2"/>
      <w:r>
        <w:rPr>
          <w:rFonts w:ascii="Times New Roman;serif" w:hAnsi="Times New Roman;serif"/>
          <w:b/>
          <w:color w:val="000000"/>
          <w:sz w:val="20"/>
          <w:shd w:fill="FFFFFF" w:val="clear"/>
        </w:rPr>
        <w:t xml:space="preserve">RISK FACTORS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in our Class A Common Stock involves a high degree of risk. You should carefully consider the risks referenced below and described in the documents incorporated by reference in this prospectus supplement and the accompanying prospectus, as well as other information we include or incorporate by reference into this prospectus supplement and the accompanying prospectus before making an investment decision. Our business, financial condition, results of operations or prospects could be materially and adversely affected by the realization of any of these risks. The trading price of our Class A Common Stock could decline due to the materialization of any of these risks, and you may lose all or part of your investment. This prospectus supplement and the documents incorporated herein by reference also contain forward-looking statements that involve risks and uncertainties. Actual results could differ materially from those anticipated in these forward-looking statements as a result of certain factors, including the risks referenced below and described in the documents incorporated herein by reference, including our Annual Report on Form 10-K for the year ended December 31, 2025, which is on file with the SEC and is incorporated herein by reference, (ii) our subsequent quarterly reports on Form 10-Q, and (iii) other documents we subsequently file with the SEC that are deemed incorporated by reference into this prospectus supplement and the accompanying prospectus.</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Risks Related to Our Class A Common Stock and this Offering </w: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price of our Class A Common Stock may be volatile and you could lose all or part of your investment.</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price of our Class A Common Stock may be highly volatile and subject to wide fluctuations in response to various factors, some of which we cannot control. As a result of this volatility, investors may not be able to sell their common stock at or above the purchase price. The market price for our Class A Common Stock may be influenced by many factors, including the other risks described in this section and the following:</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results of preclinical studies and clinical trials of our drug candidates or those of our competitors or our existing or future collaborators;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regulatory or legal developments in the United States and other countries, including actions taken by regulatory agencies with respect to our drug candidates, clinical trials, manufacturing process or sales and marketing terms;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success of competitive products or technologies;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developments or disputes concerning patent applications, issued patents, or other proprietary rights;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recruitment or departure of key personnel;</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level of expenses related to any of our drug candidates or clinical development programs and our ability or inability to raise additional capital and the terms on which any additional capital is raised;</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results of our efforts to discover, develop, acquire, or in-license additional drug candidates or drug products;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actual or anticipated changes in estimates as to financial results, development timelines, or recommendations by securities analysts;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failure to meet expectations of research analysts or unfavorable research reports released by research analysts;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variations in our financial results or those of companies that are perceived to be similar to us;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changes in the structure of healthcare payment systems;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announcements by us or our competitors of significant acquisitions, strategic collaborations, joint ventures or capital commitments;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concentrated ownership of our common stock;</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sales of our common stock by us or our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inflation, general supply chain matters, global political instability, or warfare; and</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performance of the overall stock market and shares of biotechnology companies in particular, as well as general economic conditions, including fluctuating interest rates, inflation and the possibility of a recession or other economic downturn.</w:t>
      </w:r>
    </w:p>
    <w:p>
      <w:pPr>
        <w:pStyle w:val="TextBody"/>
        <w:bidi w:val="0"/>
        <w:spacing w:before="0" w:after="0"/>
        <w:jc w:val="both"/>
        <w:rPr/>
      </w:pPr>
      <w:r>
        <w:rPr/>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As a result of volatility</w:t>
      </w:r>
      <w:r>
        <w:rPr>
          <w:color w:val="000000"/>
          <w:shd w:fill="FFFFFF" w:val="clear"/>
        </w:rPr>
        <w:t xml:space="preserve"> </w:t>
      </w:r>
      <w:r>
        <w:rPr>
          <w:rFonts w:ascii="Times New Roman;serif" w:hAnsi="Times New Roman;serif"/>
          <w:b w:val="false"/>
          <w:color w:val="000000"/>
          <w:sz w:val="20"/>
          <w:shd w:fill="FFFFFF" w:val="clear"/>
        </w:rPr>
        <w:t>in the price of our Class A Common Stock, holders of our Class A Common Stock may not be able to sell their stock at or above the price they originally paid for it, which could result in the loss of a part or all of their investment.</w: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will have broad discretion in how we use the net proceeds of this offering. We may not use these proceeds effectively, which could affect our business, financial condition, results of operations and prospects and cause the price of our Class A Common Stock to decline.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Although we currently intend to use the net proceeds from this offering in the manner described in the section entitled “Use of Proceeds” in this prospectus supplement, we will have considerable discretion in the application of the net proceeds of this offering. You will not have the opportunity, as part of your investment decision, to assess whether we are using the proceeds appropriately.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the price of our Class A Common Stock to decline.</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If you purchase shares of Class A Common Stock sold in this offering, you will incur immediate and substantial dilution.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You will suffer immediate and substantial dilution in the net tangible book value of our Class A Common Stock that you purchase in this offering. At the offering price of $ per share of Class A Common Stock, purchasers of Class A Common Stock in this offering will experience immediate dilution of $ per share in net tangible book value of our Class A Common Stock. This dilution is due to the fact that the price per share at which shares of our Class A Common Stock are sold in this offering may be substantially higher than the net tangible book value per share of our Class A Common Stock. You will experience additional dilution upon exercise of the outstanding stock options and other equity awards that may be granted under our equity incentive plans, and when we otherwise issue additional shares of our common stock. For a further description of the dilution that you will experience immediately after this offering, see the section in this prospectus supplement entitled “Dilution.”</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Resales of our Class A Common Stock in the public market by our stockholders as a result of this offering may cause the market price of our Class A Common Stock to fall. In addition, a significant number of our total outstanding shares of Class A Common Stock may be sold into the market in the near future, which could cause the market price of our Class A Common Stock to drop significantly.</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Sales of a substantial number of shares of our Class A Common Stock in the public market could occur at any time. These sales, or the perception in the market that holders of a large number of shares intend to sell shares, could reduce the market price of our Class A Common Stock. The issuance of new shares of our Class A Common Stock in this offering could result in resales of our Class A Common Stock by our current stockholders concerned about the potential ownership dilution of their holdings. In turn, these resales could have the effect of depressing the market price for our Class A Common Stock.</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October 2022 and July 2023, we completed private placements of shares of our Class A Common Stock to several accredited investors. We have filed registration statements covering the resale of these shares by the purchasers in these private placements and have agreed to keep such registration statements effective until the date the shares covered by the respective registration statement have been sold or can be resold without restriction under Rule 144 of the Securities Act of 1933, as amended, or the Securities Act. Further, as of June 30, 2026, up to $213.3 million of shares of our Class A Common Stock remained available for sale under our “at-the-market” program with TD Securities (USA) LLC, 167,450 shares of Class A Common Stock was payable in connection with our acquisition of Cyclica, Inc., or Cyclica, that had not yet been issued, and we may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elect to issue additional shares of our Class A Common Stock in order to make annual payments in equity in connection with our collaboration agreement with Tempus AI, Inc.</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3" w:name="idc543fa7e22447afbea24cfdff351c98_149643"/>
      <w:bookmarkEnd w:id="3"/>
      <w:r>
        <w:rPr>
          <w:rFonts w:ascii="Times New Roman;serif" w:hAnsi="Times New Roman;serif"/>
          <w:b/>
          <w:color w:val="000000"/>
          <w:sz w:val="20"/>
          <w:shd w:fill="FFFFFF" w:val="clear"/>
        </w:rPr>
        <w:t xml:space="preserve">CAUTIONARY NOTE REGARDING FORWARD-LOOKING STATEMENTS </w:t>
      </w:r>
    </w:p>
    <w:p>
      <w:pPr>
        <w:pStyle w:val="TextBody"/>
        <w:bidi w:val="0"/>
        <w:spacing w:before="0" w:after="0"/>
        <w:jc w:val="center"/>
        <w:rPr/>
      </w:pPr>
      <w:r>
        <w:rPr/>
      </w:r>
    </w:p>
    <w:p>
      <w:pPr>
        <w:pStyle w:val="TextBody"/>
        <w:bidi w:val="0"/>
        <w:spacing w:lineRule="auto" w:line="288" w:before="0" w:after="0"/>
        <w:ind w:left="0" w:right="0" w:firstLine="360"/>
        <w:jc w:val="both"/>
        <w:rPr>
          <w:shd w:fill="FFFFFF" w:val="clear"/>
        </w:rPr>
      </w:pPr>
      <w:r>
        <w:rPr>
          <w:rFonts w:ascii="Times New Roman;serif" w:hAnsi="Times New Roman;serif"/>
          <w:b w:val="false"/>
          <w:color w:val="000000"/>
          <w:sz w:val="20"/>
          <w:shd w:fill="FFFFFF" w:val="clear"/>
        </w:rPr>
        <w:t>This prospectus supplement and the information incorporated by reference in this prospectus supplement contain statements, estimates and projections that are “forward-looking statements” as defined under U.S. federal securities laws, including Section 27A of the Securities Act, Section 21E of the Exchange Act and the Private Securities Litigation Reform Act of 1995. These forward-looking statements represent our beliefs, projections and predictions about future events or our future performance, and speak only as of the date we make them. You can identify forward-looking statements by terminology such as “anticipate,” “believe,” “can,” “could,” “estimate,” “expect,” “intend,” “may,” “might,” “plan,” “potential,” “predict,” “project,” “will” or the negative or plural of these terms or other similar expressions or phrases, including references to assumptions. Although we believe that our plans, intentions and expectations reflected in or suggested by such forward-looking statements are reasonable, we cannot assure you that such plans, intentions or expectations will be achieved. By their nature, forward-looking statements involve risks, uncertainties, and other factors (many beyond our control) that could cause our actual results to differ materially from our historical experience or from our current expectations or projections. Some of these risks are described more fully under the heading “Risk Factors” in our most recent Annual Report on Form 10-K, which is incorporated by reference into this prospectus supplement, in this prospectus supplement under the heading “Risk Factors” above, and elsewhere in documents we file with the SEC, which are incorporated by reference in this prospectus supplement. In addition to these risks and uncertainties, important factors that could cause actual results to differ materially from our forward-looking statements include, but are not limited to</w:t>
      </w:r>
      <w:r>
        <w:rPr>
          <w:rFonts w:ascii="Times New Roman;serif" w:hAnsi="Times New Roman;serif"/>
          <w:b w:val="false"/>
          <w:color w:val="000000"/>
          <w:sz w:val="24"/>
          <w:shd w:fill="FFFFFF" w:val="clear"/>
        </w:rPr>
        <w:t>:</w:t>
      </w:r>
    </w:p>
    <w:p>
      <w:pPr>
        <w:pStyle w:val="TextBody"/>
        <w:bidi w:val="0"/>
        <w:spacing w:before="0" w:after="0"/>
        <w:jc w:val="left"/>
        <w:rPr/>
      </w:pPr>
      <w:r>
        <w:rPr/>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estimated cash, cash equivalents and restricted cash as of September 30, 2026;</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expectations regarding our cash runway, including our belief that our existing cash, cash equivalents and restricted cash, together with the net proceeds from this offering, will be sufficient to fund our operating expenses and capital expenditure requirements into 2029;</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amount of dilution in connection with this offering;</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research and development programs;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 and key milestones will be met;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continued ability to achieve milestones and receive associated milestone payments and royalties from current and future collaborations;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reduce our cash burn;</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and likelihood of our ability to shift our wet-lab from a source of data generation to a model for validating data from AI-generated results and the projected impact of our ClinTech platform on our business;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use our combined assets from our business combination to create a fully integrated, technology-first drug discovery platform;</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ability and willingness of our collaborators to continue research and development activities relating to our development candidates and investigational medicines;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future agreements with third parties in connection with the commercialization of our investigational medicines and any other approved product;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timing, scope, or likelihood of foreign regulatory filings and approvals, including our ability to maintain any such approvals;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size of the potential market opportunity for TechBio companies, including the expected impact of AI-enabled technologies;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size of the potential market opportunity for our drug candidates, including our estimates of the number of patients who suffer from the diseases we are targeting;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identify viable new drug candidates for clinical development and the rate at which we expect to identify such candidates, whether through an inferential approach or otherwise;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 that the assets that will drive the most value for us are those that we will identify in the future using our datasets and tools; </w:t>
      </w:r>
    </w:p>
    <w:p>
      <w:pPr>
        <w:pStyle w:val="TextBody"/>
        <w:bidi w:val="0"/>
        <w:spacing w:lineRule="auto" w:line="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develop and advance our current drug candidates and programs into, and successfully complete, clinical studies;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reduce the time or cost or increase the likelihood of success of our research and development relative to the traditional drug discovery paradigm, including the use of data sets from our partners to accelerate the development of our AI-enabled technologies;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improve, and the rate of improvement in, our infrastructure, datasets, biology, technology tools and drug discovery platform, and our ability to realize benefits from such improvements;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effectively use machine learning and artificial intelligence in our drug development process;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leverage our collaborations and partnerships to develop our products and grow our business;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related to the performance and benefits of our BioHive-2 supercomputer, Recursion OS, and our digital chemistry platform;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realize a return on our investment of resources and cash in our drug discovery collaborations;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sell or license assets and re-invest proceeds into funding our long-term strategy;</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scale like a technology company and to add more programs to our pipeline each year;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acquire and generate datasets to train and develop our AI-enabled technologies;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successfully compete in a highly competitive market;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manufacturing, commercialization and marketing capabilities and strategies;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relating to commercializing our drug candidates, if approved, including the geographic areas of focus and sales strategy;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expectations regarding the approval and use of our drug candidates in combination with other drugs;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rate and degree of market acceptance and clinical utility of our current drug candidates, if approved, and other drug candidates we may develop;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competitive position and the success of competing approaches that are or may become available, including with respect to our AI-enabled technologies;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estimates of the number of patients that we will enroll in our clinical trials and the timing of their enrollment;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beneficial characteristics, safety, efficacy and therapeutic effects of our drug candidates;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plans for further development of our drug candidates, including additional indications we may pursue;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any intellectual property disputes and our ability to defend against claims of infringement, misappropriation, or other violations of intellectual property rights;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keep pace with new technological developments, including with respect to AI;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utilize third-party open source software and cloud-based infrastructure, on which we are dependent;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adequacy of our insurance policies and the scope of their coverage;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potential impact of a pandemic, epidemic, or outbreak of an infectious disease, such as COVID-19, or natural disaster, global political instability or warfare, and the effect of such outbreak or natural disaster, global political instability or warfare on our business and financial results;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ability to maintain our technical operations infrastructure to avoid errors, delays, or cybersecurity breaches;</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continued reliance on third parties to conduct additional clinical trials of our drug candidates, and for the manufacture of our drug candidates for preclinical studies and clinical trials;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obtain and negotiate favorable terms of, any collaboration, licensing, or other arrangements that may be necessary or desirable to research, develop, manufacture, or commercialize our platform and drug candidates;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pricing and reimbursement of our current drug candidates and other drug candidates we may develop, if approved;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our estimates regarding expenses, future revenue, capital requirements and need for additional financing;</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financial performance;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period over which we estimate our existing cash and cash equivalents will be sufficient to fund our future operating expenses and capital expenditure requirements; </w:t>
      </w:r>
    </w:p>
    <w:p>
      <w:pPr>
        <w:pStyle w:val="TextBody"/>
        <w:bidi w:val="0"/>
        <w:spacing w:lineRule="auto" w:line="24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raise substantial additional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impact of current and future laws and regulations, and our ability to comply with all regulations that we are, or may become, subject to;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the need to hire additional personnel and our ability to attract and retain such personnel;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the impact of any current or future litigation, which may arise during the ordinary course of business and be costly to defend;</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ability to maintain effective internal control over financial reporting and disclosure controls and procedures, including our ability to remediate the material weaknesses in internal control over financial reporting; </w:t>
      </w:r>
    </w:p>
    <w:p>
      <w:pPr>
        <w:pStyle w:val="TextBody"/>
        <w:bidi w:val="0"/>
        <w:spacing w:lineRule="auto" w:line="240"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 xml:space="preserve">our anticipated use of our existing resources and the net proceeds from our offerings; and </w:t>
      </w:r>
    </w:p>
    <w:p>
      <w:pPr>
        <w:pStyle w:val="TextBody"/>
        <w:bidi w:val="0"/>
        <w:spacing w:lineRule="auto" w:line="268" w:before="0" w:after="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other risks and uncertainties, including those listed in the section titled “Risk Factors.”</w:t>
      </w:r>
    </w:p>
    <w:p>
      <w:pPr>
        <w:pStyle w:val="TextBody"/>
        <w:bidi w:val="0"/>
        <w:spacing w:before="0" w:after="0"/>
        <w:jc w:val="left"/>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statements in this prospectus supplement, the accompanying prospectus or the documents incorporated by reference herein or therein reflect our current views with respect to future events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our most recent Annual Report on Form 10-K for the year ended December 31, 2025, and the section of this prospectus supplement entitled “Risk Factors.” Given these uncertainties, you should not place undue reliance on these forward-looking statements. Except as required by law, we assume no obligation to update or revise these forward-looking statements for any reason, even if new information becomes available in the future. All forward-looking statements, expressed or implied, included in this prospectus supplement, the accompanying prospectus, and the documents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pStyle w:val="TextBody"/>
        <w:bidi w:val="0"/>
        <w:spacing w:lineRule="auto" w:line="288"/>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the accompanying prospectus, and the documents incorporated by reference herein and therein also contain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provided. Unless otherwise expressly stated, we obtained this industry information, business information, market data, prevalence information and other data from reports, research surveys, studies and similar data prepared by market research firms and other third parties, industry, medical and general publications, government data, and similar sources, in each case, from sources we consider to be reliable, and in some cases applying our own assumptions and analysis that may, in the future, prove not to have been accurate.</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4" w:name="idc543fa7e22447afbea24cfdff351c98_149644"/>
      <w:bookmarkEnd w:id="4"/>
      <w:r>
        <w:rPr>
          <w:rFonts w:ascii="Times New Roman;serif" w:hAnsi="Times New Roman;serif"/>
          <w:b/>
          <w:color w:val="000000"/>
          <w:sz w:val="20"/>
          <w:shd w:fill="FFFFFF" w:val="clear"/>
        </w:rPr>
        <w:t xml:space="preserve">USE OF PROCEEDS </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estimate that the net proceeds from this offering will be approximately , after deducting underwriting discounts and commissions and estimated offering expenses payable by us.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intend to use the net proceeds of this offering to fund advancement of our existing preclinical and clinical programs, including a registrational study for REC-4881 in FAP and dose expansion studies for REC-1245 in solid tumors, the advancement of our platform technologies, as well as runway extension, strategic investments and acquisitions and general corporate purposes.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September 30, 2026, we had cash, cash equivalents and restricted cash of approximately $561 million. Following this offering, we expect our existing cash, cash equivalents and restricted cash will enable us to fund our operating expenses and capital expenditure requirements into 2029. We have based this estimate on assumptions that may prove to be wrong, and we could use our available capital resources sooner than we currently expect.</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expected use of the net proceeds from this offering represents our intentions based upon our current plans and business conditions.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in-licenses or acquisitions of, or investments in, complementary businesses, products or technologies. While we have no current agreements, commitments or understandings for any specific acquisitions or strategic investments at this time, we may use a portion of the net proceeds for these purposes, subject to applicable regulatory restrictions. As a result, our management will have broad discretion over the use of the net proceeds from this offering.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amounts and timing of our actual expenditures and the extent of drug candidate development may vary significantly depending on numerous factors, including the progress of our research and development, formulation and manufacturing matters, the timing and success of our current preclinical studies and clinical trials and those we may commence in the future, the timing of patient enrollment in clinical trials, the timing of regulatory submissions and evolving regulatory requirements, any collaboration arrangements that we may enter into with third parties or strategic opportunities that become available to us, and any unforeseen cash needs.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Pending their use, we intend to invest the net proceeds of this offering in short- and intermediate-term, interest-bearing obligations, investment-grade instruments, certificates of deposit or direct or guaranteed obligations of the U.S. government, subject to applicable regulatory restrictions. We cannot predict whether the proceeds invested will yield a favorable return. </w:t>
      </w:r>
    </w:p>
    <w:p>
      <w:pPr>
        <w:pStyle w:val="TextBody"/>
        <w:bidi w:val="0"/>
        <w:spacing w:lineRule="auto" w:line="240" w:before="0" w:after="0"/>
        <w:jc w:val="center"/>
        <w:rPr>
          <w:color w:val="000000"/>
          <w:shd w:fill="FFFFFF" w:val="clear"/>
        </w:rPr>
      </w:pPr>
      <w:r>
        <w:rPr>
          <w:color w:val="000000"/>
          <w:shd w:fill="FFFFFF" w:val="clear"/>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shd w:fill="FFFFFF" w:val="clear"/>
        </w:rPr>
      </w:pPr>
      <w:bookmarkStart w:id="5" w:name="idc543fa7e22447afbea24cfdff351c98_149648"/>
      <w:bookmarkEnd w:id="5"/>
      <w:r>
        <w:rPr>
          <w:rFonts w:ascii="Times New Roman;serif" w:hAnsi="Times New Roman;serif"/>
          <w:b/>
          <w:color w:val="000000"/>
          <w:sz w:val="20"/>
          <w:shd w:fill="FFFFFF" w:val="clear"/>
        </w:rPr>
        <w:t>DILUTION</w: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invest in our Class A Common Stock in this offering, your ownership interest will be diluted immediately to the extent of the difference between the offering price per share of our Class A Common Stock and the as adjusted net tangible book value per share of our Class A Common Stock immediately after this offering.</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historical net tangible book value as of June 30, 2026 was $430.6 million, or $0.81 per share of our Class A Common Stock. Our historical net tangible book value is the amount of our total tangible assets less our total liabilities. Historical net tangible book value per share represents historical net tangible book value divided by the number of shares of our Class A Common Stock outstanding as of June 30, 2026.</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After giving further effect to the sale of shares of Class A Common Stock in this offering at the offering price of $ per share of Class A Common Stock, and after deducting estimated underwriting discounts and commissions and estimated offering expenses payable by us, our as adjusted net tangible book value as of June 30, 2026 would have been approximately $ million, or approximately $ per share of Class A Common Stock. This represents an immediate increase in as adjusted net tangible book value per share of $ to our existing stockholders and an immediate dilution in as adjusted net tangible book value per share of approximately $ to new investors purchasing Class A Common Stock in this offering. Dilution in net tangible book value per share to new investors purchasing Class A Common Stock in this offering is determined by subtracting as adjusted net tangible book value per share after this offering from the offering price per share paid by new investors.</w:t>
      </w:r>
    </w:p>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illustrates this per share dilution: </w:t>
      </w:r>
    </w:p>
    <w:tbl>
      <w:tblPr>
        <w:tblW w:w="8445" w:type="dxa"/>
        <w:jc w:val="center"/>
        <w:tblInd w:w="0" w:type="dxa"/>
        <w:tblLayout w:type="fixed"/>
        <w:tblCellMar>
          <w:top w:w="28" w:type="dxa"/>
          <w:left w:w="28" w:type="dxa"/>
          <w:bottom w:w="28" w:type="dxa"/>
          <w:right w:w="28" w:type="dxa"/>
        </w:tblCellMar>
      </w:tblPr>
      <w:tblGrid>
        <w:gridCol w:w="2278"/>
        <w:gridCol w:w="2003"/>
        <w:gridCol w:w="2018"/>
        <w:gridCol w:w="109"/>
        <w:gridCol w:w="109"/>
        <w:gridCol w:w="109"/>
        <w:gridCol w:w="109"/>
        <w:gridCol w:w="109"/>
        <w:gridCol w:w="109"/>
        <w:gridCol w:w="155"/>
        <w:gridCol w:w="155"/>
        <w:gridCol w:w="156"/>
        <w:gridCol w:w="109"/>
        <w:gridCol w:w="109"/>
        <w:gridCol w:w="109"/>
        <w:gridCol w:w="109"/>
        <w:gridCol w:w="109"/>
        <w:gridCol w:w="109"/>
        <w:gridCol w:w="109"/>
        <w:gridCol w:w="109"/>
        <w:gridCol w:w="154"/>
      </w:tblGrid>
      <w:tr>
        <w:trPr/>
        <w:tc>
          <w:tcPr>
            <w:tcW w:w="227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Offering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Dilution per share to new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foregoing table and discussion is based on 533,191,318 shares of Class A Common Stock and no shares of Class B Common Stock outstanding as of June 30, 2026, and excludes: </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928,917 shares of Class A Common Stock issuable upon the vesting, exchange, retraction or redemption of exchangeable shares of a subsidiary of our company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15,484,257 shares of Class A Common Stock issuable upon the exercise of stock options outstanding as of June 30, 2026, at a weighted average exercise price of $6.63 per share;</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27,468,075 shares of Class A Common Stock issuable upon the vesting of restricted stock units outstanding as of June 30, 2026;</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29,277,634 shares of Class A Common Stock reserved for future issuance under our 2021 Equity Incentive Plan, or our 2021 Plan, as of June 30, 2026, plus any future increases in the number of shares of Class A Common Stock reserved for issuance under our 2021 Plan pursuant to the evergreen provision of our 2021 Plan;</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8,516,511 shares of Class A Common Stock reserved for future issuance under our 2024 Inducement Equity Incentive Plan, or our Inducement Plan, as of June 30, 2026;</w:t>
      </w:r>
    </w:p>
    <w:p>
      <w:pPr>
        <w:pStyle w:val="TextBody"/>
        <w:bidi w:val="0"/>
        <w:spacing w:before="0" w:after="0"/>
        <w:jc w:val="left"/>
        <w:rPr/>
      </w:pPr>
      <w:r>
        <w:rPr/>
      </w:r>
    </w:p>
    <w:p>
      <w:pPr>
        <w:pStyle w:val="TextBody"/>
        <w:bidi w:val="0"/>
        <w:spacing w:lineRule="auto" w:line="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12,705,056 shares of Class A Common Stock reserved for future issuance under our 2021 Employee Stock Purchase Plan, or our 2021 ESPP, as of June 30, 2026, plus any future increases in the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of Class A Common Stock reserved for issuance under our 2021 ESPP pursuant to the evergreen provision of our 2021 ESPP;</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23,696,330 shares of Class A Common Stock sold through our “at-the-market” program with TD Securities (USA) LLC after June 30, 2026;</w:t>
      </w:r>
    </w:p>
    <w:p>
      <w:pPr>
        <w:pStyle w:val="TextBody"/>
        <w:bidi w:val="0"/>
        <w:spacing w:before="0" w:after="0"/>
        <w:jc w:val="both"/>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up to an aggregate of 213.3 million of shares of Class A Common Stock that may be sold under our “at-the-market” program with TD Securities (USA) LLC;</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167,450 shares of Class A Common Stock payable in connection with our acquisition of Cyclica, Inc., or Cyclica, that had not yet been issued as of June 30, 2026; and</w:t>
      </w:r>
    </w:p>
    <w:p>
      <w:pPr>
        <w:pStyle w:val="TextBody"/>
        <w:bidi w:val="0"/>
        <w:spacing w:before="0" w:after="0"/>
        <w:jc w:val="left"/>
        <w:rPr/>
      </w:pPr>
      <w:r>
        <w:rPr/>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any shares of Class A Common Stock that we elect to issue in order to make annual payments in equity in connection with our collaboration agreement with Tempus AI, Inc. (formerly known as Tempus Labs, Inc.), or Tempus.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Except as otherwise indicated, all information in this prospectus supplement assumes no exercise or settlement of stock options, RSUs or other equity awards described above, no grant of additional awards under our 2021 Plan, and no issuance of shares under our 2021 ESPP, in each case, after June 30,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40"/>
        <w:jc w:val="center"/>
        <w:rPr>
          <w:rFonts w:ascii="Times New Roman;serif" w:hAnsi="Times New Roman;serif"/>
          <w:b/>
          <w:color w:val="000000"/>
          <w:sz w:val="20"/>
          <w:shd w:fill="FFFFFF" w:val="clear"/>
        </w:rPr>
      </w:pPr>
      <w:bookmarkStart w:id="6" w:name="idc543fa7e22447afbea24cfdff351c98_174126"/>
      <w:bookmarkEnd w:id="6"/>
      <w:r>
        <w:rPr>
          <w:rFonts w:ascii="Times New Roman;serif" w:hAnsi="Times New Roman;serif"/>
          <w:b/>
          <w:color w:val="000000"/>
          <w:sz w:val="20"/>
          <w:shd w:fill="FFFFFF" w:val="clear"/>
        </w:rPr>
        <w:t>DIVIDEND POLICY</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including restrictions in our current and future debt instruments, our future earnings, capital requirements, financial condition, prospects, and applicable Delaware law, which provides that dividends are only payable out of surplus or current net profits.</w:t>
      </w:r>
    </w:p>
    <w:p>
      <w:pPr>
        <w:pStyle w:val="TextBody"/>
        <w:bidi w:val="0"/>
        <w:spacing w:before="240" w:after="283"/>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7" w:name="idc543fa7e22447afbea24cfdff351c98_149649"/>
      <w:bookmarkEnd w:id="7"/>
      <w:r>
        <w:rPr>
          <w:rFonts w:ascii="Times New Roman;serif" w:hAnsi="Times New Roman;serif"/>
          <w:b/>
          <w:color w:val="000000"/>
          <w:sz w:val="20"/>
          <w:shd w:fill="FFFFFF" w:val="clear"/>
        </w:rPr>
        <w:t>DESCRIPTION OF CAPITAL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description of the material terms and provisions relating to our capital stock. The following description is a summary that is not complete and is subject to and qualified in its entirety by reference to our amended and restated certificate of incorporation and our amended and restated bylaws, and to provisions of the Delaware General Corporation Law, or DGCL. Copies of our amended and restated certificate of incorporation and our amended and restated bylaws, each of which may be amended from time to time, have been publicly filed with the SEC. See “Where You Can Find More Information” and “Incorporation by Reference” in this prospectus supplement.</w:t>
      </w:r>
    </w:p>
    <w:p>
      <w:pPr>
        <w:pStyle w:val="TextBody"/>
        <w:bidi w:val="0"/>
        <w:spacing w:lineRule="auto" w:line="288" w:before="24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General</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capital stock consists of 2,200,000,000 shares of capital stock, $0.00001 par value per share, of which 200,000,000 shares are designated preferred stock and 2,000,000,000 shares are designated common stock. Of our common stock, 1,989,032,117 shares are designated as Class A Common Stock and 10,967,883 shares are designated as Class B Common Stock. As of June 30, 2026, there were 533,191,318 shares of Class A Common stock outstanding and no shares of Class B Common Stock outstanding.</w:t>
      </w:r>
    </w:p>
    <w:p>
      <w:pPr>
        <w:pStyle w:val="TextBody"/>
        <w:bidi w:val="0"/>
        <w:spacing w:lineRule="auto" w:line="288" w:before="24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Common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two series of authorized common stock, Class A Common Stock and Class B Common Stock. The rights of the holders of Class A Common Stock and Class B Common Stock are identical, except with respect to voting and conversion. </w:t>
      </w:r>
    </w:p>
    <w:p>
      <w:pPr>
        <w:pStyle w:val="TextBody"/>
        <w:bidi w:val="0"/>
        <w:spacing w:lineRule="auto" w:line="288" w:before="24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Voting Rights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holder of Class A Common Stock is entitled to one vote for each share on all matters submitted to a vote of the stockholders, including the election of directors, and each holder of Class B Common Stock is entitled to ten votes for each share on all matters submitted to a vote of the stockholders, including the election of directors. The holders of Class A Common Stock and Class B Common Stock vote together as a single class, unless otherwise required by law. Under our amended and restated certificate of incorporation, approval of the holders of a majority of the outstanding shares of our Class B Common Stock voting as a separate class is required to increase the number of authorized shares of our Class B Common Stock. In addition, Delaware law could require either the holders of our Class A Common Stock or Class B Common Stock to vote separately as a single class in the following circumstances:</w:t>
      </w:r>
    </w:p>
    <w:p>
      <w:pPr>
        <w:pStyle w:val="TextBody"/>
        <w:bidi w:val="0"/>
        <w:spacing w:lineRule="auto" w:line="288" w:before="24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if we were to seek to amend our amended and restated certificate of incorporation to increase or decrease the par value of a class of stock, then that class would be required to vote separately to approve the proposed amendment; and</w:t>
      </w:r>
    </w:p>
    <w:p>
      <w:pPr>
        <w:pStyle w:val="TextBody"/>
        <w:bidi w:val="0"/>
        <w:spacing w:lineRule="auto" w:line="288" w:before="120" w:after="283"/>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do not provide for cumulative voting rights. Because of this, the holders of a plurality of the shares of Class A Common Stock and Class B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0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Dividends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preferences that may be applicable to any then-outstanding preferred stock, holders of our Class A Common Stock and Class B Common Stock are entitled to receive dividends, if any, as may be declared from time to time by our board of directors out of legally available funds.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Liquidation</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event of our liquidation, dissolution, or winding up, holders of our Class A Common Stock and Class B Common Stock are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Conversion of Class B Common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Each share of Class B Common Stock is convertible at any time at the option of the holder into one share of Class A Common Stock. Shares of Class B Common Stock automatically convert into shares of Class A Common Stock upon sale or transfer except for certain transfers described in our amended and restated certificate of incorporation, including transfers for estate planning. The shares of Class B Common Stock previously beneficially held by Dr. Christopher Gibson, our founder and former Chief Executive Officer, were converted into shares of Class A Common Stock and cannot be reissued.</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Rights and Preferences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Holders of our Class A Common Stock have no preemptive, conversion, subscription, or other rights, and there are no redemption or sinking fund provisions applicable to our Class A Common Stock. Holders of our Class B Common Stock have no preemptive or subscription rights, but have conversion rights. There are no redemption or sinking fund provisions applicable to our Class B Common Stock. The rights, preferences and privileges of the holders of our Class A Common Stock and Class B Common Stock are subject to and may be adversely affected by the rights of the holders of shares of any series of our preferred stock that we may designate in the future. </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Fully Paid and Nonassessable</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of our outstanding shares of Class A Common Stock and Class B Common Stock are, and the shares of Class A Common Stock to be issued in this offering, upon payment and delivery in accordance with the underwriting agreement, will be fully paid and nonassessable.</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Preferred Stock</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contains provisions that permit our board of directors to issue, without any further vote or action by the stockholders, up to 200,000,000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Class A Common Stock and Class B Common Stock. The issuance of preferred stock could adversely affect the voting power of holders of Class A Common Stock and Class B Common Stock and the likelihood that such holders will receive dividend payments and payments upon liquidation. In addition, the issuance of preferred stock could have the effect of delaying, deferring or preventing a change in our control or other corporate action.</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Anti-takeover Effects of Certain Provisions of Delaware Law, Our Amended and Restated Certificate of Incorporation and Our Amended and Restated Bylaws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Classified Board</w:t>
      </w:r>
    </w:p>
    <w:p>
      <w:pPr>
        <w:pStyle w:val="TextBody"/>
        <w:bidi w:val="0"/>
        <w:spacing w:lineRule="auto" w:line="288" w:before="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our board of directors is divided into three classes, designated Class I, Class II, and Class III. Each class consists of an equal number of directors, as nearly as possible, consisting of one third of the total number of directors constituting the entire board of directors. The directors in each class serve for a three-year term, one class being elected each year by our stockholders, with staggered three-year terms. Only one class of directors is elected at each annual meeting of stockholders, with the other classes continuing for the remainder of their respective three-year terms.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Removal of Directors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stockholders may only remove a director for cause by a vote of no less than a majority of the shares present in person or by proxy at the meeting and entitled to vote.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Director Vacancies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authorizes only our board of directors to fill vacant directorships.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 Cumulative Voting</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provides that stockholders do not have the right to cumulate votes in the election of directors.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Special Meetings of Stockholders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Advance Notice Procedures for Director Nominations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stockholders seeking to nominate candidates for election as directors at an annual or special meeting of stockholders must provide timely notice thereof in writing. To be timely, a stockholder’s notice generally has to be delivered to and received at our principal executive offices before notice of the meeting is issued by the secretary of our company, with such notice being served not less than 90 nor more than 120 days before the meeting. Although our amended and restated bylaws do not give our board of directors the power to approve or disapprove stockholder nominations of candidates to be elected at an annual meeting, our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Action by Written Consent</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amended and restated bylaws provide that any action to be taken by the stockholders must be effected at a duly called annual or special meeting of stockholders and may not be effected by written consent.</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Amending our Certificate of Incorporation and Bylaws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may be amended or altered in any manner provided by the Delaware General Corporation Law, or DGCL. Our amended and restated bylaws may be adopted, amended, altered, or repealed by stockholders only upon approval of at least majority of the voting power of all the then outstanding shares of the Class A Common Stock and Class B Common Stock, except for any amendment of the above provisions, which would require the approval of a two-thirds majority of our then outstanding Class A Common Stock and Class B Common Stock or the separate approval of a majority of our Class B Common Stock for any increase to the authorized number of Class B Common Stock or two-thirds of our then outstanding Class B Common Stock for certain amendments to our Class B Common Stock or certain reclassifications of our Class A Common Stock described above. Additionally, our amended and restated certificate of incorporation provides that our bylaws may be amended, altered, or repealed by the board of directors.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Authorized but Unissued Shares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authorized but unissued shares of Class A Common Stock, Class B Common Stock, and preferred stock is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Class A Common Stock, Class B Common Stock, and preferred stock could render more difficult or discourage an attempt to obtain control of our company by means of a proxy contest, tender offer, merger, or otherwise.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Exclusive Jurisdiction</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claims for which U.S. federal courts have exclusive jurisdiction. Our amended and restated bylaws further provide that the federal district courts of the United States of America are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Business Combinations with Interested Stockholders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years following the time that such stockholder became an interested stockholder, unless (1) prior to such time the board of directors of such corporation approved either the business combination or the transaction that resulted in the stockholder becoming an interested stockholder; (2)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(3)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amended and restated certificate of incorporation and our amended and restated bylaws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Registration Rights</w:t>
      </w:r>
    </w:p>
    <w:p>
      <w:pPr>
        <w:pStyle w:val="TextBody"/>
        <w:bidi w:val="0"/>
        <w:spacing w:lineRule="auto" w:line="288" w:before="0" w:after="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October 2022, in connection with a private placement of our Class A Common Stock to certain investors, we entered into a registration rights agreement providing for the registration for resale of the shares of Class A Common Stock issued in such transaction. A prospectus supplement to our registration statement (File No. 333-264845), or the Shelf Registration Statement, was subsequently filed in October 2022 to register the resale of the shares of Class A Common Stock purchased by such investors. Such agreement and the registration rights thereunder must remain effective until registrable securities covered by the agreement have been sold by the holders or otherwise transferred and subsequent public distribution does not require registration under the Securities Act. In the event the holders cannot sell their shares due to certain circumstances causing the agreement to be ineffective, we must pay each holder of shares outstanding on the date and each month thereafter 1% of the aggregate purchase price paid by the holder without limit until the agreement is cured.</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2023, in connection with the acquisition of Cyclica, we entered into a registration agreement providing for the registration for resale of the shares of Class A Common Stock issued in such transaction. A prospectus supplement to the Shelf Registration Statement was subsequently filed in June 2023 to register the shares for resale by the holders. The Shelf Registration Statement must be continuously effective until the earlier of the date that all shares have been sold thereunder or are able to be publicly sold by relying on Rule 144 of the Securities Act without registration.</w:t>
      </w:r>
    </w:p>
    <w:p>
      <w:pPr>
        <w:pStyle w:val="TextBody"/>
        <w:bidi w:val="0"/>
        <w:spacing w:before="0" w:after="0"/>
        <w:ind w:left="0" w:right="0" w:firstLine="400"/>
        <w:jc w:val="both"/>
        <w:rPr/>
      </w:pPr>
      <w:r>
        <w:rPr/>
      </w:r>
    </w:p>
    <w:p>
      <w:pPr>
        <w:pStyle w:val="TextBody"/>
        <w:bidi w:val="0"/>
        <w:spacing w:lineRule="auto" w:line="288"/>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2023, we entered into a Master Agreement, or the Tempus Agreement, with Tempus pursuant to which Tempus will provide certain services and deliverables to us and license certain data to us. Under the Tempus Agreement, in November 2023, we issued to Tempus an aggregate of 3.2 million shares of our Class A Common Stock in lieu of a cash payment of $22.0 million for the initial license fee owed to Tempus in exchange for the rights granted to us under the Tempus Agreement. In November 2025, we issued to Tempus an aggregate of 7,088,742 shares of our Class A Common Stock in lieu of a cash payment of $32 million for the 2025 annual license fee owed to Tempus in exchange for the rights granted to us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Tempus Agreement. We may in the future issue shares as payment for fees under the Tempus Agreement in lieu of cash payment. We have agreed pursuant to the Tempus Agreement to prepare and file a registration statement (or a prospectus supplement to an effective registration statement on Form S-3 that will become automatically effective upon filing with the SEC pursuant to Rule 462(e)) with the SEC, for resale of the shares of Class A Common Stock issued or issuable under the Tempus Agreement. A prospectus supplement to the Shelf Registration Statement was subsequently filed in December 2023 to register for resale the shares of Class A Common Stock issued to Tempus for the initial license fee under the Tempus Agreement. A new registration statement was filed in February 2025 and a prospectus supplement covering all shares that have been issued under the Tempus Agreement and remained held by Tempus was filed in May 2025 and in November 2025 a prospectus supplement was filed to register shares issued to Tempus in November 2025. After registration of any shares issued to Tempus under the Tempus Agreement, we have agreed to use commercially reasonable efforts to keep such registration statement effective until such date that all shares issued to Tempus covered by such registration statement have been sold or are able to be publicly sold by relying on Rule 144 of the Securities Act without registration.</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July 2025, we entered into a Membership Interest Purchase Agreement, or the Rallybio Purchase Agreement with Exscientia Ventures I, Inc., or Buyer Sub, Rallybio Corporation, and Rallybio IPB, LLC, or Seller, pursuant to which Buyer Sub acquired 50% of the issued and outstanding membership interests of RE Ventures I, LLC, or the Membership Interests, from the Seller in exchange for cash and the issuance of shares of our Class A Common Stock. Under the Rallybio Purchase Agreement, in July 2025, we issued to the Seller an aggregate of 1.4 million shares of our Class A Common Stock, as partial consideration for the acquisition of the Membership Interests, and in August 2025 we issued the Seller an additional 2.4 million shares in connection with the achievement of certain milestones. In connection with the issuance of the shares of Class A Common Stock under the Rallybio Purchase Agreement, we agreed to use commercially reasonable efforts to, as promptly as practicable, following the issuance to the Seller of shares of Class A Common Stock under the Rallybio Purchase Agreement, file a registration statement (or if we are a well-known seasoned issuer as of the filing date, an automatic shelf registration statement or a prospectus supplement to an effective automatic shelf registration statement that will become effective upon filing with the SEC pursuant to Rule 462(e)) with the SEC providing for the resale by the Seller of such issued shares of Class A Common Stock. Prospectus supplements to the such registration statement were subsequently filed in July 2025 and August 2025 to register for resale the shares of Class A Common Stock issued to Seller. After such registration, we have agreed to use commercially reasonable efforts to keep such registration statement effective, subject to limited exceptions, until such date that all shares of Class A Common Stock covered by such registration statement have been sold thereunder or may be sold without restriction or volume limitation under Rule 144 as promulgated by the SEC under the Securities Act. </w:t>
      </w:r>
    </w:p>
    <w:p>
      <w:pPr>
        <w:pStyle w:val="TextBody"/>
        <w:bidi w:val="0"/>
        <w:spacing w:before="0" w:after="0"/>
        <w:jc w:val="left"/>
        <w:rPr/>
      </w:pPr>
      <w:r>
        <w:rPr/>
      </w:r>
    </w:p>
    <w:p>
      <w:pPr>
        <w:pStyle w:val="TextBody"/>
        <w:bidi w:val="0"/>
        <w:spacing w:lineRule="auto" w:line="288" w:before="0" w:after="24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agreed to pay certain expenses in connection with the registration of shares of our Class A Common Stock pursuant to the registration rights described above.</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Listing</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is listed on the Nasdaq Global Select Market under the symbol “RXRX.”</w:t>
      </w:r>
    </w:p>
    <w:p>
      <w:pPr>
        <w:pStyle w:val="TextBody"/>
        <w:bidi w:val="0"/>
        <w:spacing w:lineRule="auto" w:line="288" w:before="0" w:after="240"/>
        <w:ind w:left="0" w:right="0" w:firstLine="4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Transfer Agent and Registrar</w:t>
      </w:r>
    </w:p>
    <w:p>
      <w:pPr>
        <w:pStyle w:val="TextBody"/>
        <w:bidi w:val="0"/>
        <w:spacing w:lineRule="auto" w:line="288" w:before="240" w:after="24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transfer agent and registrar for our Class A Common Stock is Equiniti Trust Company, LLC. The transfer agent and registrar’s address is 6201 15th Avenue, Brooklyn, NY 11219.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8" w:name="idc543fa7e22447afbea24cfdff351c98_174127"/>
      <w:bookmarkEnd w:id="8"/>
      <w:r>
        <w:rPr>
          <w:rFonts w:ascii="Times New Roman;serif" w:hAnsi="Times New Roman;serif"/>
          <w:b/>
          <w:color w:val="000000"/>
          <w:sz w:val="20"/>
          <w:shd w:fill="FFFFFF" w:val="clear"/>
        </w:rPr>
        <w:t>MATERIAL U.S. FEDERAL INCOME TAX CONSIDERATIONS FOR HOLDERS OF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is a summary of the material U.S. federal income tax consequences of the ownership and disposition of our Class A Common Stock acquired in this offering by a "U.S. holder" or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summary also does not address the tax considerations arising under the laws of any non-U.S., state or local jurisdiction or under U.S. federal gift and estate tax rules. In addition, this discussion does not address tax considerations applicable to an investor’s particular circumstances or to investors that may be subject to special tax rules, including, without limitation: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banks, insurance companies, regulated investment companies, real estate investment trusts or other financial institutions;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subject to any minimum tax or the tax on net investment income;</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tax-exempt or governmental organizations;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pension plans and tax-qualified retirement plans;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controlled foreign corporations, foreign controlled foreign corporations, passive foreign investment companies and corporations that accumulate earnings to avoid U.S. federal income tax;</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brokers or dealers in securities or currencies;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traders in securities that elect to use a mark-to-market method of tax accounting for their securities holdings;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that own, or are deemed to own, more than five percent of our capital stock (except to the extent specifically set forth below);</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certain former citizens or long-term residents of the United States;</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hold our Class A Common Stock as a position in a hedging transaction, “straddle,” “conversion transaction” or other risk reduction transaction or integrated investment;</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hold or receive our Class A Common Stock pursuant to the exercise of any option or otherwise as compensation;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entities or arrangements treated as partnerships for U.S. federal income tax purposes and other pass-through entities (and investors therein);</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subject to special tax accounting rules as a result of any item of gross income with respect to our Class A Common Stock being taken into account in an “applicable financial statement” as defined in Section 451 of the Code;</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who do not hold our Class A Common Stock as a capital asset within the meaning of Section 1221 of the Code (generally, property held for investment); or</w:t>
      </w:r>
    </w:p>
    <w:p>
      <w:pPr>
        <w:pStyle w:val="TextBody"/>
        <w:bidi w:val="0"/>
        <w:spacing w:lineRule="auto" w:line="268" w:before="0" w:after="6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persons deemed to sell our Class A Common Stock under the constructive sale provisions of the Code.</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if a partnership, entity or arrangement classified as a partnership or pass-through entity for U.S. federal income tax purposes holds our Class A Common Stock, the tax treatment of a partner or owner generally will depend on the status of the partner or owner and upon the activities of the partnership or other entity. A partner or owner in a partnership or other such entity that will hold our Class A Common Stock should consult his, her or its own tax advisor regarding the tax consequences of the ownership and disposition of our Class A Common Stock through a partnership or other such entity,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You are urged to consult your tax advisor with respect to the application of the U.S. federal income tax laws to your particular situation, as well as any tax consequences of the purchase, ownership and disposition of our Class A Common Stock arising under the U.S. federal gift or estate tax rules or under the laws of any state, local, non-U.S. or other taxing jurisdiction or under any applicable tax treaty.</w:t>
      </w:r>
    </w:p>
    <w:p>
      <w:pPr>
        <w:pStyle w:val="TextBody"/>
        <w:bidi w:val="0"/>
        <w:spacing w:lineRule="auto" w:line="288" w:before="0" w:after="240"/>
        <w:ind w:left="0" w:right="0" w:firstLine="4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U.S. Holder and Non-U.S. Holder Defined</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discussion, you are a “U.S. holder” if you are a beneficial owner of our Class A Common Stock that, for U.S. federal income tax purposes, is any of the following and is not a partnership (including any entity or arrangement treated as a partnership):</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 individual who is a citizen or resident of the United States;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 corporation or other entity taxable as a corporation created or organized in the United States or under the laws of the United States or any political subdivision thereof, or otherwise treated as such for U.S. federal income tax purposes;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an estate whose income is subject to U.S. federal income tax regardless of its source; or</w:t>
      </w:r>
    </w:p>
    <w:p>
      <w:pPr>
        <w:pStyle w:val="TextBody"/>
        <w:bidi w:val="0"/>
        <w:spacing w:lineRule="auto" w:line="26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 trust (x) whose administration is subject to the primary supervision of a U.S. court and that has one or more U.S. persons, as defined under the Code, who have the authority to control all substantial decisions of the trust or (y) that has made a valid election under applicable Treasury Regulations to be treated as a U.S. person.</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this discussion, you are a “non-U.S. holder” if you are a beneficial owner of our Class A Common Stock that is not a U.S. holder, a partnership (or other entity or arrangement classified as a partnership for U.S. federal income tax purposes).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Tax Considerations Applicable to U.S.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Distributions</w:t>
      </w:r>
    </w:p>
    <w:p>
      <w:pPr>
        <w:pStyle w:val="TextBody"/>
        <w:bidi w:val="0"/>
        <w:spacing w:before="0" w:after="0"/>
        <w:jc w:val="left"/>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the section titled “Dividend Policy,” we have never declared or paid cash dividends on our Class A Common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 If you are a non-corporate U.S. holder, and certain requirements are met, a preferential U.S. federal income tax rate will apply to any dividends paid to you if you meet certain holding period requirements.</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you are a corporate shareholder, distributions constituting dividends for U.S. federal income tax purposes may be eligible for the dividends received deduction, or DRD. No assurance can be given that we will have sufficient earnings and profits (as determined under U.S. federal income tax principles) to cause any distributions to be eligible for a DRD. In addition, a DRD is available only if certain holding periods and other taxable income requirements are satisfied.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on Disposition of Class A Common Stock</w:t>
      </w:r>
    </w:p>
    <w:p>
      <w:pPr>
        <w:pStyle w:val="TextBody"/>
        <w:bidi w:val="0"/>
        <w:spacing w:before="0" w:after="0"/>
        <w:jc w:val="both"/>
        <w:rPr/>
      </w:pPr>
      <w:r>
        <w:rPr/>
      </w:r>
    </w:p>
    <w:p>
      <w:pPr>
        <w:pStyle w:val="TextBody"/>
        <w:bidi w:val="0"/>
        <w:spacing w:lineRule="auto" w:line="288" w:before="0" w:after="24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a sale or other taxable disposition of our Class A Common Stock, you generally will recognize capital gain or loss in an amount equal to the difference between the amount realized and your adjusted tax basis in the Class A Common Stock. Capital gain or loss will constitute long-term capital gain or loss if your holding period for the Class A Common Stock exceeds one year. The deductibility of capital losses is subject to certain limitations. U.S. holders who recognize losses with respect to a disposition of our Class A Common Stock should consult their own tax advisors regarding the tax treatment of such losses.</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S-24</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Backup Withholding and Information Reporting</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Information reporting requirements generally will apply to any payments of dividends on our Class A Common Stock and gross proceeds on the sale or other disposition of our Class A Common Stock,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Tax Considerations Applicable to Non-U.S. Holders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Distributions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described in the section titled “Dividend Policy,” we have never declared or paid cash dividends on our Class A Common Stock, and we do not anticipate paying any dividends on our Class A Common Stock following the completion of this offering. However, if we do make distributions on our Class A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A Common Stock, but not below zero, and then will be treated as gain from the sale of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discussions below on effectively connected income and in the sections titled “-Backup Withholding and Information Reporting” and “-Foreign Account Tax Compliance Act,” any dividend paid to you generally will be subject to U.S. federal withholding tax either at a rate of 30% of the gross amount of the dividend or such lower rate as may be specified by an applicable income tax treaty between the United States and your country of residence. Under applicable Treasury Regulations, we (or the applicable withholding agent) may withhold up to 30% of the gross amount of the entire distribution even if the amount constituting a dividend, as described above, is less than the gross amount. In order to receive a reduced treaty rate, you must provide the applicable withholding agent with an IRS Form W-8BEN or W-8BEN-E or other appropriate version of IRS Form W-8 certifying qualification for the reduced rate. A non-U.S. holder of shares of our Class A Common Stock eligible for a reduced rate of U.S. federal withholding tax pursuant to an income tax treaty may obtain a refund of any excess amounts withheld by filing an appropriate claim for refund with the IRS. If the non-U.S. holder holds our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in the sections titled “-Backup Withholding and Information Reporting” and “-Foreign Account Tax Compliance Act.” In order to obtain this exemption, you must provide us or our paying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w: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on Disposition of Class A Common Stock</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Subject to the discussion below regarding “-Backup Withholding and Information Reporting,” you generally will not be required to pay U.S. federal income tax on any gain realized upon the sale or other disposition of our Class A Common Stock unless: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gain is effectively connected with your conduct of a U.S. trade or business (and, if an applicable income tax treaty so provides, the gain is attributable to a permanent establishment or fixed base maintained by you in the United States);</w:t>
      </w:r>
    </w:p>
    <w:p>
      <w:pPr>
        <w:pStyle w:val="TextBody"/>
        <w:bidi w:val="0"/>
        <w:spacing w:lineRule="auto" w:line="268"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you are an individual who is present in the United States for a period or periods aggregating 183 days or more during the calendar year in which the sale or disposition occurs and certain other conditions are met; or</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our Class A Common Stock constitutes a U.S. real property interest by reason of our status as a “United States real property holding corporation,” or USRPHC, for U.S. federal income tax purposes at any time within the shorter of the five-year period preceding your disposition of, or your holding period for,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Class A Common Stock is regularly traded on an established securities market, your Class A Common Stock will be treated as a U.S. real property interest only if you hold more than 5% of our outstanding Class A Common Stock, directly or indirectly, during the applicable testing period. You are encouraged to consult your own tax advisors regarding the possible consequences to you if we are, or were to become, a USRPHC.</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you are a non-U.S. holder described in the first bullet above, you will be required to pay tax on the gain derived from the sale (net of certain deductions and credits) at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 </w: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Backup Withholding and Information Reporting</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Generally, we, or the applicable withholding agent,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Payments of dividends on or of proceeds from the disposition of our Class A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Account Tax Compliance Act</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Foreign Account Tax Compliance Act, Treasury Regulations and other official IRS guidance issued thereunder, or, collectively, FATCA, generally impose a U.S. federal withholding tax of 30% on dividends on, and, subject to the discussion of certain proposed Treasury Regulations below, the gross proceeds from a sale or other disposition of our Class A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Class A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should consult with their own tax advisors regarding the application of FATCA withholding to their investment in, and ownership and disposition of, our Class A Common Stock.</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Treasury Secretary has issued proposed Treasury Regulations, which, if finalized in their present form, would eliminate withholding under FATCA with respect to payment of gross proceeds from a sale or other disposition of our Class A Common Stock. In its preamble to such proposed Treasury Regulations, the U.S. Treasury stated that taxpayers may generally rely on the proposed Treasury Regulations until final regulations are issued.</w:t>
      </w:r>
    </w:p>
    <w:p>
      <w:pPr>
        <w:pStyle w:val="TextBody"/>
        <w:bidi w:val="0"/>
        <w:spacing w:lineRule="auto" w:line="268"/>
        <w:ind w:left="0" w:right="0" w:firstLine="36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Class A Common Stock, including the consequences of any proposed change in applicable laws.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9" w:name="idc543fa7e22447afbea24cfdff351c98_174128"/>
      <w:bookmarkEnd w:id="9"/>
      <w:r>
        <w:rPr>
          <w:rFonts w:ascii="Times New Roman;serif" w:hAnsi="Times New Roman;serif"/>
          <w:b/>
          <w:color w:val="000000"/>
          <w:sz w:val="20"/>
          <w:shd w:fill="FFFFFF" w:val="clear"/>
        </w:rPr>
        <w:t xml:space="preserve">UNDERWRITING </w:t>
      </w:r>
    </w:p>
    <w:p>
      <w:pPr>
        <w:pStyle w:val="TextBody"/>
        <w:bidi w:val="0"/>
        <w:spacing w:before="0" w:after="0"/>
        <w:jc w:val="center"/>
        <w:rPr/>
      </w:pPr>
      <w:r>
        <w:rPr/>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and the underwriters named below have entered into an underwriting agreement with respect to the shares of Class A Common Stock being offered. Subject to certain conditions, each underwriter has severally agreed to purchase the number of shares indicated in the following table. Leerink Partners LLC, Goldman Sachs &amp; Co. LLC, Morgan Stanley &amp; Co. LLC and Evercore Group L.L.C. are the representatives of the underwriters.</w:t>
      </w:r>
    </w:p>
    <w:tbl>
      <w:tblPr>
        <w:tblW w:w="4377"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487"/>
        <w:gridCol w:w="487"/>
        <w:gridCol w:w="691"/>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Underwriters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Leerink Partners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Morgan Stanley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Evercore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Needham &amp;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underwriters are committed to take and pay for all of the shares of Class A Common Stock being offered, if any are taken. Certain of the underwriters may offer and sell shares of our Class A Common Stock through one or more of their affiliates or selling agents. The following table shows the per share total offering price, underwriting discounts and commissions to be paid to the underwriters by us. </w:t>
      </w:r>
    </w:p>
    <w:tbl>
      <w:tblPr>
        <w:tblW w:w="9520" w:type="dxa"/>
        <w:jc w:val="left"/>
        <w:tblInd w:w="0" w:type="dxa"/>
        <w:tblLayout w:type="fixed"/>
        <w:tblCellMar>
          <w:top w:w="28" w:type="dxa"/>
          <w:left w:w="28" w:type="dxa"/>
          <w:bottom w:w="28" w:type="dxa"/>
          <w:right w:w="28" w:type="dxa"/>
        </w:tblCellMar>
      </w:tblPr>
      <w:tblGrid>
        <w:gridCol w:w="1816"/>
        <w:gridCol w:w="1598"/>
        <w:gridCol w:w="1610"/>
        <w:gridCol w:w="109"/>
        <w:gridCol w:w="109"/>
        <w:gridCol w:w="109"/>
        <w:gridCol w:w="413"/>
        <w:gridCol w:w="413"/>
        <w:gridCol w:w="413"/>
        <w:gridCol w:w="413"/>
        <w:gridCol w:w="413"/>
        <w:gridCol w:w="424"/>
        <w:gridCol w:w="109"/>
        <w:gridCol w:w="109"/>
        <w:gridCol w:w="109"/>
        <w:gridCol w:w="109"/>
        <w:gridCol w:w="109"/>
        <w:gridCol w:w="109"/>
        <w:gridCol w:w="109"/>
        <w:gridCol w:w="109"/>
        <w:gridCol w:w="109"/>
        <w:gridCol w:w="109"/>
        <w:gridCol w:w="109"/>
        <w:gridCol w:w="109"/>
        <w:gridCol w:w="109"/>
        <w:gridCol w:w="109"/>
        <w:gridCol w:w="154"/>
      </w:tblGrid>
      <w:tr>
        <w:trPr/>
        <w:tc>
          <w:tcPr>
            <w:tcW w:w="181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6"/>
            <w:vMerge w:val="restart"/>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Per Share of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89"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Offering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Underwriting discounts and commissions to be paid by us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Proceeds, before expenses, to us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Shares sold by the underwriters to the public will initially be offered at the applicable offering price set forth on the cover of this prospectus supplement. Any shares sold by the underwriters to securities dealers may be sold at a discount of up to $ per share from the applicable offering price. After the initial offering of the shares, the representatives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agreed that, for a period of 45 days after the date of this prospectus supplement, we will not, without the prior written consent of Leerink Partners LLC, Goldman Sachs &amp; Co. LLC and Morgan Stanley &amp; Co. LLC, (i) offer, sell, contract to sell, pledge, grant any option to purchase, make any short sale or otherwise transfer or dispose of, directly or indirectly, or file with the Securities and Exchange Commission a registration statement under the Securities Act relating to, any of our securities that are substantially similar to the shares of Class A Common Stock, including but not limited to any options or warrants to purchase shares of common stock or any securities that are convertible into or exchangeable for, or that represent the right to receive, common stock or any such substantially similar securities, or publicly disclose the intention to make any offer, sale, pledge, disposition or filing,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other than (a) the shares to be sold pursuant to the underwriting agreement, (b) any shares of common stock issued upon the conversion or exchange of convertible or exchangeable securities outstanding as of the date of the underwriting agreement, (c) any shares of common stock issued upon the exercise or settlement of options or other awards granted pursuant to our stock-based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shd w:fill="FFFFFF" w:val="clear"/>
        </w:rPr>
      </w:pPr>
      <w:r>
        <w:rPr>
          <w:rFonts w:ascii="Times New Roman;serif" w:hAnsi="Times New Roman;serif"/>
          <w:b w:val="false"/>
          <w:color w:val="000000"/>
          <w:sz w:val="20"/>
          <w:shd w:fill="FFFFFF" w:val="clear"/>
        </w:rPr>
        <w:t>compensation plans described in this prospectus supplement, or under stock-based compensation plans or similar plans of companies acquired by us in effect on the date of acquisition, (d) any shares of common stock, options and other awards granted under a company stock plan or shares issued pursuant to an employee stock purchase plan, in each case as described in this prospectus supplement, (e) the filing by us of any registration statement on Form S-8 with the Securities and Exchange Commission relating to a company stock plan or employee stock purchase plan described in this prospectus supplement and (f) any shares of common stock or other securities issued in connection with a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provided that, in the case of clauses (b), (c), (d) and (f), we cause each recipient of such shares of common stock or other securities to execute and deliver to the representatives a lock-up agreement on substantially the same terms as the lock-up agreements described below, to the extent and for the duration that such terms remain in effect at the time of the transfer; and provided further, that a lock-up agreement shall not be required for any shares issued during the lock-up period pursuant to (1) the Tempus Agreement, (2) the Exchangeable Share Support Agreement dated as of May 16, 2023, providing for the exchange of exchangeable shares of one of our subsidiaries in connection with the acquisition of Valence Discovery Inc., and (3) the Share Purchase Agreement dated May 8, 2023 pursuant to which we acquired Cyclica Inc. The underwriting agreement does not contain any limitation on our ability to issue shares of common stock or other securities in connection with any transaction that includes a commercial relationship, including joint ventures, marketing or distribution arrangements, collaboration agreements, intellectual property license agreements, or lending agreements or arrangements, or any acquisition of assets or acquisition of equity of another entity, other than as described in the preceding sentence.</w:t>
      </w:r>
      <w:r>
        <w:rPr>
          <w:color w:val="000000"/>
          <w:u w:val="single"/>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directors, executive officers and certain affiliated holders of our Class A Common Stock (such persons, the “lock-up parties”) have entered into lock-up agreements with the underwriters prior to the commencement of this offering pursuant to which each lock-up party, with limited exceptions, for a period of 45 days after the date of this prospectus supplement (such period, the “restricted period”), may not (and may not cause any of their direct or indirect affiliates to (subject to certain exceptions)), without the prior written consent of Leerink Partners LLC, Goldman Sachs &amp; Co. LLC and Morgan Stanley &amp; Co. LLC, (i) offer, sell, contract to sell, pledge, grant any option, right or warrant to purchase, purchase any option or contract to sell, lend or otherwise transfer or dispose of any shares of our common stock, or any options or warrants to purchase any shares of our common stock, or any securities convertible into, exchangeable for or that represent the right to receive shares of our common stock (collectively, the “lock-up securities”), including, without limitation, any such lock-up securities now owned or hereafter acquired by the lock-up party,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lock-up party or someone other than the lock-up party),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or transaction described in clause (i), (ii) or (iii) above. Each lock-up party has further acknowledged that it has not, and has not caused or directed any of its affiliates (subject to certain exceptions) to be or become, currently a party to any agreement or arrangement that provides for, is designed to or which reasonably could be expected to lead to or result in any transfer during the restricted period and that the foregoing provisions are equally applicable to shares the lock-up party (if the lock-up party is our director or officer) may purchase in this offering.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Notwithstanding the foregoing, the lock-up parties may transfer the lock-up securities during the restricted period:</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(i)as a bona fide gift or gifts, including, without limitation, to a charitable organization or educational institution, or for bona fide estate planning purposes, provided that the donee or donees thereof agree to be bound in writing by the restrictions set forth in the lock-up agreements,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(ii)to any member of the lock-up party’s immediate family or to any trust or other legal entity for the direct or indirect benefit of the lock-up party or the immediate family of the lock-up party, or if the lock-up party is a trust, to a trustor or beneficiary of the trust or to the estate of a beneficiary of such trust, provided that any such transfer is not a disposition for value, provided that the donee, transferee or distributee agrees to be bound in writing by the restrictions set forth in the lock-up agreements, and provided further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(iii)by will, other testamentary document or the laws of intestate succession, provided that the beneficiary or the estate of a beneficiary thereof agrees to be bound in writing by the restrictions set forth in the lock-up agreements, and provided further that any such transaction shall not involve a disposition for value and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(iv)in connection with the sale of shares of securities acquired in this offering (if the lock-up party is not one of our officers or directors), or in open market transactions after this offering, provided that no filing under Section 16(a) of the Exchange Act (other than a required filing on Form 4 or Form 5), reporting a reduction in beneficial ownership of such shares of common stock, shall be required or shall be voluntarily made during the restricted period; </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(v)if the lock-up party is a corporation, partnership, limited liability company, trust or other business entity, (A) to another corporation, member, partner, partnership, limited liability company, trust or other business entity that is an affiliate (as defined in Rule 405 under the Securities Act) of the lock-up party, or to any investment fund or other entity controlling, controlled by, managing or managed by or under common control with the lock-up party or affiliates of the lock-up party, or (B) as part of a distribution, transfer or disposition by the lock-up party to its or its affiliates’ directors, officers, employees, managers, managing members, members, stockholders, partners, beneficiaries (or the estates thereof) or other equity holders of the lock-up party; provided that each distributee and transferee agrees to be bound in writing by the restrictions set forth in the lock-up agreements, and provided further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(vi)in connection with the surrender or forfeiture to us of shares of common stock in connection with the “net” or “cashless” exercise or settlement of stock options, restricted stock units and other rights to purchase shares of common stock or other awards for the payment of tax withholdings or remittance payments due as a result of the vesting, settlement or exercise of such awards, in all such cases, pursuant to an equity incentive plan, stock purchase plan or other employee benefit plan, in each case described in this prospectus supplement (or any documents incorporated by reference herein); provided that, in each case, the underlying shares of common stock shall continue to be subject to the restrictions on transfer set forth in the lock-up agreements (other than shares surrendered or forfeited),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(vii)to us in connection with the repurchase by us from the lock-up party of lock-up securities pursuant to a repurchase right arising upon the termination of the lock-up party’s service with us; provided that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such repurchase right is pursuant to contractual agreements with us; and provided further that, if required, any public report or filing under Section 16(a) of the Exchange Act shall indicate in the footnotes thereto the nature of the transaction;</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(viii)to a nominee or custodian of a person or entity to whom a transfer would be permissible under clause (i), (ii), (iii) or (v) above, provided that the transferee agrees to be bound in writing by the restrictions set forth in the lock-up agreements and that no filing under Section 16(a) of the Exchange Act (other than a required filing on Form 4 or Form 5), reporting a reduction in beneficial ownership of shares of common stock, shall be required or shall be voluntarily made during the restricted period;</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(ix)pursuant to a bona fide third-party tender offer, merger, consolidation or other similar transaction that is approved by our board of directors and made to all holders of our capital stock on substantially the same terms for holders of a majority of the voting power of our outstanding shares of capital stock involving a change of control of us, provided that in the event that such tender offer, merger, consolidation or other such transaction is not completed, the lock-up securities shall remain subject to the provisions of the lock-up agreements;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(x)by operation of law pursuant to orders of a court, a qualified domestic order or in connection with a divorce settlement, provided that the transferee or transferees thereof agree to be bound in writing by the restrictions set forth in the lock-up agreements;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(xi)any transfer or disposition of the lock-up securities (including, without limitation, any sale or other exercise of remedies by the pledgee and/or transferee thereof) pursuant to a bona fide loan or pledge that is in effect on the date of the lock-up agreement and has been disclosed in writing to the representatives;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(xii)in connection with the sale of shares of common stock made pursuant to a written trading plan that complies with Rule 10b5-1 under the Exchange Act that has been entered into by the lock-up party prior to the date of the lock-up agreement; provided that to the extent a public announcement or filing under the Exchange Act, if any, is required of the lock-up party or us regarding any such sales, such announcement or filing shall include a statement to the effect that any sales were pursuant to such trading plan and no other public announcement shall be required or shall be made voluntarily in connection with such sales;</w:t>
      </w:r>
    </w:p>
    <w:p>
      <w:pPr>
        <w:pStyle w:val="TextBody"/>
        <w:bidi w:val="0"/>
        <w:spacing w:lineRule="auto" w:line="288" w:before="240" w:after="240"/>
        <w:ind w:left="0" w:right="0" w:hanging="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(xiii)by exercise on a cash basis of options or other rights granted pursuant to equity incentive plans described in this prospectus supplement (or any documents incorporated by reference herein), and the receipt by the lock-up party from us of shares of common stock upon such exercise; provided that, in each case, the underlying shares of common stock shall continue to be subject to the restrictions on transfer set forth in the lock-up agreements, and provided further that, if required, any public report or filing under Section 16(a) of the Exchange Act shall indicate in the footnotes thereto the nature of the transaction; or</w:t>
      </w:r>
    </w:p>
    <w:p>
      <w:pPr>
        <w:pStyle w:val="TextBody"/>
        <w:bidi w:val="0"/>
        <w:spacing w:lineRule="auto" w:line="288" w:before="240" w:after="240"/>
        <w:ind w:left="0" w:right="0" w:hanging="540"/>
        <w:jc w:val="both"/>
        <w:rPr>
          <w:shd w:fill="FFFFFF" w:val="clear"/>
        </w:rPr>
      </w:pPr>
      <w:r>
        <w:rPr>
          <w:rFonts w:ascii="Times New Roman;serif" w:hAnsi="Times New Roman;serif"/>
          <w:b w:val="false"/>
          <w:color w:val="000000"/>
          <w:sz w:val="20"/>
          <w:shd w:fill="FFFFFF" w:val="clear"/>
        </w:rPr>
        <w:t>(xiv)by the establishment of a trading plan that complies with Rule 10b5-1 under the Exchange Act for the transfer of shares of common stock; provided that (A) such plan does not provide for the transfer of common stock during the restricted period, (B) no public announcement or filing under the Exchange Act shall be voluntarily made by or on behalf of us or the lock-up party regarding the establishment of such plan during the restricted period and (C) to the extent a filing under the Exchange Act or other public filing is legally required by or on behalf of the lock-up party or us regarding the establishment of such trading plan, such filing shall include a statement to the effect that no transfer of shares of common stock may be made under such trading plan during the restricted period.</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Leerink Partners LLC, Goldman Sachs &amp; Co. LLC and Morgan Stanley &amp; Co. LLC, in their sole discretion, may release the securities subject to any of the lock-up agreements with the underwriters described above, in whole or in part at any time.</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We have agreed to indemnify the underwriters against certain liabilities, including liabilities under the Securities Act.</w:t>
      </w:r>
      <w:r>
        <w:rPr>
          <w:color w:val="000000"/>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Class A Common Stock is listed on the Nasdaq Global Select Market under the symbol “RXRX.”</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Because we have not granted the underwriters an option to purchase additional shares, the underwriters must close out any short positions by purchasing shares in the open market. A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r>
        <w:rPr>
          <w:color w:val="000000"/>
          <w:shd w:fill="FFFFFF" w:val="clear"/>
        </w:rPr>
        <w:t xml:space="preserv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r>
        <w:rPr>
          <w:color w:val="000000"/>
          <w:shd w:fill="FFFFFF" w:val="clear"/>
        </w:rPr>
        <w:t xml:space="preserve">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estimate that our share of the total expenses of the offering, excluding underwriting discounts and commissions, will be approximately $ . We have agreed to reimburse the underwriters for their expenses relating to FINRA counsels fees in an amount up to $15,000. </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firstLine="360"/>
        <w:jc w:val="both"/>
        <w:rPr>
          <w:shd w:fill="FFFFFF" w:val="clear"/>
        </w:rPr>
      </w:pPr>
      <w:r>
        <w:rPr>
          <w:rFonts w:ascii="Times New Roman;serif" w:hAnsi="Times New Roman;serif"/>
          <w:b w:val="false"/>
          <w:color w:val="000000"/>
          <w:sz w:val="20"/>
          <w:shd w:fill="FFFFFF" w:val="clear"/>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color w:val="000000"/>
          <w:sz w:val="20"/>
          <w:shd w:fill="FFFFFF" w:val="clear"/>
        </w:rPr>
        <w:t>Selling Restrictions</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General</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For purposes of the notices below, references to the “securities” are to the shares of our Class A Common Stock offered by this prospectus supplement.</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European Economic Area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legal entity which is a qualified investor as defined under the Prospectus Regulation;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150 natural or legal persons (other than qualified investors as defined under the Prospectus Regulation), subject to obtaining the prior consent of the representatives for any such offer;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(c)in any other circumstances falling within Article 1(4) of the Prospectus Regulation,</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provided that no such offer of securities shall require us or any underwriter to publish a prospectus pursuant to Article 3 of the Prospectus Regulation or supplement a prospectus pursuant to Article 23 of the Prospectus Regulation.</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shd w:fill="FFFFFF" w:val="clear"/>
        </w:rPr>
      </w:pPr>
      <w:r>
        <w:rPr>
          <w:rFonts w:ascii="Times New Roman;serif" w:hAnsi="Times New Roman;serif"/>
          <w:b w:val="false"/>
          <w:color w:val="000000"/>
          <w:sz w:val="20"/>
          <w:shd w:fill="FFFFFF" w:val="clear"/>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United Kingdom</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No securities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is only being distributed to, and is only directed at, persons in the United Kingdom that are qualified investors (as defined in paragraph 15 of Schedule 1 of the POATR) that are also (i)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r>
        <w:rPr>
          <w:color w:val="000000"/>
          <w:shd w:fill="FFFFFF" w:val="clear"/>
        </w:rPr>
        <w:t xml:space="preserve"> </w: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Any invitation or inducement to engage in investment activity (within the meaning of Section 21 of the Financial Services and Markets Act 2000 (the “FSMA”)) may only be communicated or caused to be communicated in connection with the issue or sale of the securities in circumstances in which Section 21(1) of the FSMA does not apply to us. All applicable provisions of the FSMA must be complied with in respect of anything done by any person in relation to the securities in, from or otherwise involving the United Kingdom.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Canada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Pursuant to section 3A.3 of National Instrument 33-105 Underwriting Conflicts (NI 33-105), the underwriters are not required to comply with the disclosure requirements of NI 33-105 regarding underwriter conflicts of interest in connection with this offering.</w:t>
      </w:r>
      <w:r>
        <w:rPr>
          <w:color w:val="000000"/>
          <w:shd w:fill="FFFFFF" w:val="clear"/>
        </w:rPr>
        <w:t xml:space="preserve"> </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Switzerland</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does not constitute an offer to the public or a solicitation to purchase or invest in any securities. No securities have been offered or will be offered to the public in Switzerland, except that offers of securities may be made to the public in Switzerland at any time under the following exemptions under the Swiss Financial Services Act (“FinSA”):</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any person which is a professional client as defined under the FinSA;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fewer than 500 persons (other than professional clients as defined under the FinSA), subject to obtaining the prior consent of the representatives for any such offer; or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(c)in any other circumstances falling within Article 36 FinSA in connection with Article 44 of the Swiss Financial Services Ordinance,</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provided that no such offer of securities shall require us or any underwriter to publish a prospectus pursuant to Article 35 FinSA.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listed or admitted to trading on a trading venue in Switzerland.</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Neither this document nor any other offering or marketing material relating to the securities constitutes a prospectus as such term is understood pursuant to the FinSA and neither this document nor any other offering or marketing material relating to the securities may be publicly distributed or otherwise made publicly available in Switzerland.</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the Dubai International Financial Centre, or DIFC</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the accompanying prospectus relate to an Exempt Offer in accordance with the Markets Rules of the Dubai Financial Services Authority, or the DFSA. This prospectus supplement and the accompanying prospectus are intended for distribution only to persons of a type specified in the Markets Rules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securities to which this prospectus supplement and the accompanying prospectus relate may be illiquid and/or subject to restrictions on their resale. Prospective purchasers of the securities offered should conduct their own due diligence on the securities. If you do not understand the contents of this prospectus supplement and the accompanying prospectus you should consult an authorized financial advisor.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Australia</w:t>
      </w:r>
      <w:r>
        <w:rPr>
          <w:color w:val="000000"/>
          <w:shd w:fill="FFFFFF" w:val="clear"/>
        </w:rPr>
        <w:t xml:space="preserve"> </w:t>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does not constitute a disclosure document or a prospectus under Chapter 6D.2 of the Corporations Act 2001 (Cth), or the Corporations Act;</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has not been, and will not be, lodged with the Australian Securities and Investments Commission, or ASIC, as a disclosure document for the purposes of the Corporations Act and does not purport to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include the information required of a disclosure document for the purposes of the Corporations Act; and</w:t>
      </w:r>
    </w:p>
    <w:p>
      <w:pPr>
        <w:pStyle w:val="TextBody"/>
        <w:bidi w:val="0"/>
        <w:spacing w:lineRule="auto" w:line="288" w:before="0" w:after="24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may only be provided in Australia to select investors who are able to demonstrate that they fall within one or more of the categories of investors available under section 708 of the Corporations Act, or Exempt Investors.</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As any offering of securities under this prospectus supplement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Japan</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pursuant to Article 4, Paragraph 1 of the Financial Instruments and Exchange Act of Japan (Act No. 25 of 1948, as amended), or the FIEA. Accordingly, none of the securities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 in effect at the relevant time.</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Hong Kong</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offered or sold and will not be offered or sold in Hong Kong, by means of any document, other than (a) to “professional investors” as defined in the Securities and Futures Ordinance (Cap. 571 of the Laws of Hong Kong), or the SFO, and any rules made thereunder; or (b) in other circumstances which do not result in the document being a “prospectus” as defined in the Companies (Winding Up and Miscellaneous Provisions) Ordinance (Cap. 32 of the Laws of Hong Kong), or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SFO and any rules made thereunder.</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i/>
          <w:color w:val="000000"/>
          <w:sz w:val="20"/>
          <w:shd w:fill="FFFFFF" w:val="clear"/>
        </w:rPr>
        <w:t>Notice to Prospective Investors in Singapore</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i/>
          <w:color w:val="000000"/>
          <w:sz w:val="20"/>
          <w:shd w:fill="FFFFFF" w:val="clear"/>
        </w:rPr>
        <w:t>Singapore SFA Product Classification</w:t>
      </w:r>
      <w:r>
        <w:rPr>
          <w:color w:val="000000"/>
          <w:shd w:fill="FFFFFF" w:val="clear"/>
        </w:rPr>
        <w:t>—</w:t>
      </w:r>
      <w:r>
        <w:rPr>
          <w:rFonts w:ascii="Times New Roman;serif" w:hAnsi="Times New Roman;serif"/>
          <w:b w:val="false"/>
          <w:color w:val="000000"/>
          <w:sz w:val="20"/>
          <w:shd w:fill="FFFFFF" w:val="clear"/>
        </w:rPr>
        <w:t xml:space="preserve">In connection with Section 309B of the SFA and the CMP Regulations 2018, unless otherwise specified before an offer of securities, we have determined, and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notify all relevant persons (as defined in Section 309A(1) of the SFA), that the securities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Each underwriter has acknowledged that this prospectus supplement and the accompanying prospectus have not been registered as a prospectus with the Monetary Authority of Singapore. Accordingly, each underwriter has represented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the securities, whether directly or indirectly, to any person in Singapore other than:</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(a)to an institutional investor (as defined in Section 4A of the Securities and Futures Act 2001 of Singapore, as modified or amended from time to time, or the SFA) pursuant to Section 274 of the SFA;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(b)to an accredited investor (as defined in Section 4A of the SFA) or other relevant person (as defined in Section 275(2) of the SFA) pursuant to Section 275(1) of the SFA, or any person pursuant to an offer referred to in Section 275(1A) of the SFA, and in accordance with the conditions specified in Section 275 of the SFA;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(c)otherwise pursuant to, and in accordance with the conditions of, any other applicable provision of the SFA.</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Where the securities are subscribed or purchased under Section 275 of the SFA by a relevant person which is:</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(b)a trust (where the trustee is not an accredited investor) whose sole purpose is to hold investments and each beneficiary of the trust is an individual who is an accredited investor,</w:t>
      </w:r>
      <w:r>
        <w:rPr>
          <w:color w:val="000000"/>
          <w:shd w:fill="FFFFFF" w:val="clear"/>
        </w:rPr>
        <w:t xml:space="preserve"> </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r>
        <w:rPr>
          <w:color w:val="000000"/>
          <w:shd w:fill="FFFFFF" w:val="clear"/>
        </w:rPr>
        <w:t xml:space="preserve">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(i)to an institutional investor or to a relevant person, or to any person arising from an offer referred to in Section 275(1A) or Section 276(4)(c)(ii) of the SFA;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(ii)where no consideration is or will be given for the transfer;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(iii)where the transfer is by operation of law;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(iv)as specified in Section 276(7) of the SFA; or </w:t>
      </w:r>
    </w:p>
    <w:p>
      <w:pPr>
        <w:pStyle w:val="TextBody"/>
        <w:bidi w:val="0"/>
        <w:spacing w:lineRule="auto" w:line="288" w:before="0" w:after="240"/>
        <w:ind w:left="0" w:right="0" w:hanging="360"/>
        <w:jc w:val="both"/>
        <w:rPr>
          <w:shd w:fill="FFFFFF" w:val="clear"/>
        </w:rPr>
      </w:pPr>
      <w:r>
        <w:rPr>
          <w:rFonts w:ascii="Times New Roman;serif" w:hAnsi="Times New Roman;serif"/>
          <w:b w:val="false"/>
          <w:color w:val="000000"/>
          <w:sz w:val="20"/>
          <w:shd w:fill="FFFFFF" w:val="clear"/>
        </w:rPr>
        <w:t>(v)as specified in Regulation 37A of the Securities and Futures (Offers of Investments) (Securities and Securities-based Derivatives Contracts) Regulations 2018.</w:t>
      </w:r>
      <w:r>
        <w:rPr>
          <w:color w:val="000000"/>
          <w:shd w:fill="FFFFFF"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S-37</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China</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prospectus supplement and the accompanying prospectus will not be circulated or distributed in the People’s Republic of China, or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the accompanying prospectus nor any advertisement or other offering material may be distributed or published in the PRC, except under circumstances that will result in compliance with applicable laws and regulations.</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Korea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under the Financial Investment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securities exchange in Korea, including, without limitation, the Korea Exchange.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r>
        <w:rPr>
          <w:color w:val="000000"/>
          <w:shd w:fill="FFFFFF" w:val="clear"/>
        </w:rPr>
        <w:t xml:space="preserve"> </w: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Taiwan</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securities in Taiwan.</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Saudi Arabia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document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27 December 2017,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the United Arab Emirates</w:t>
      </w:r>
    </w:p>
    <w:p>
      <w:pPr>
        <w:pStyle w:val="TextBody"/>
        <w:bidi w:val="0"/>
        <w:spacing w:before="0" w:after="0"/>
        <w:jc w:val="left"/>
        <w:rPr/>
      </w:pPr>
      <w:r>
        <w:rPr/>
      </w:r>
    </w:p>
    <w:p>
      <w:pPr>
        <w:pStyle w:val="TextBody"/>
        <w:bidi w:val="0"/>
        <w:spacing w:lineRule="auto" w:line="288" w:before="0" w:after="240"/>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and the accompanying prospectus have not been approved by or filed with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the Central Bank of the United Arab Emirates, the Securities and Commodities Authority, the Financial Services Regulatory Authority (FSRA) or the Dubai Financial Services Authority (DFSA).</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the British Virgin Islands</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are not being, and may not be, offered to the public or to any person in the British Virgin Islands for purchase or subscription by or on behalf of us. The securities may be offered to companies incorporated under the BVI Business Companies Act, 2004 (British Virgin Islands), or BVI Companies, but only where the offer will be made to, and received by, the relevant BVI Company entirely outside of the British Virgin Islands.</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South Africa</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Due to restrictions under the securities laws of South Africa, no “offer to the public” (as such term is defined in the South African Companies Act, No. 71 of 2008 (as amended or re-enacted), or the South African Companies Act) is being made in connection with the issue of the securities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securities are not offered, and the offer shall not be transferred, sold, renounced or delivered, in South Africa or to a person with an address in South Africa, unless one or other of the following exemptions stipulated in section 96(1) applies:</w:t>
      </w:r>
      <w:r>
        <w:rPr>
          <w:color w:val="000000"/>
          <w:shd w:fill="FFFFFF" w:val="clear"/>
        </w:rPr>
        <w:t xml:space="preserve"> </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96(1)(a)    the offer, transfer, sale, renunciation or delivery is to: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(i)persons whose ordinary business, or part of whose ordinary business, is to deal in securities, as principal or agent;</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(ii)the South African Public Investment Corporation;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(iii)persons or entities regulated by the Reserve Bank of South Africa;</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(iv)authorised financial service providers under South African law; (v) financial institutions recognised as such under South African law;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(v)a wholly-owned subsidiary of any person or entity contemplated in (iii), (iv) or (v), acting as agent in the capacity of an authorised portfolio manager for a pension fund, or as manager for a collective investment scheme (in each case duly registered as such under South African law); or </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(vi)any combination of the person in (i) to (vi); or </w:t>
      </w:r>
    </w:p>
    <w:p>
      <w:pPr>
        <w:pStyle w:val="TextBody"/>
        <w:bidi w:val="0"/>
        <w:spacing w:lineRule="auto" w:line="288" w:before="0" w:after="240"/>
        <w:ind w:left="0" w:right="0" w:hanging="1440"/>
        <w:jc w:val="both"/>
        <w:rPr>
          <w:shd w:fill="FFFFFF" w:val="clear"/>
        </w:rPr>
      </w:pPr>
      <w:r>
        <w:rPr>
          <w:rFonts w:ascii="Times New Roman;serif" w:hAnsi="Times New Roman;serif"/>
          <w:b w:val="false"/>
          <w:color w:val="000000"/>
          <w:sz w:val="20"/>
          <w:shd w:fill="FFFFFF" w:val="clear"/>
        </w:rPr>
        <w:t>Section 96(1)(b)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r>
        <w:rPr>
          <w:color w:val="000000"/>
          <w:shd w:fill="FFFFFF" w:val="clear"/>
        </w:rPr>
        <w:t xml:space="preserve"> </w:t>
      </w:r>
    </w:p>
    <w:p>
      <w:pPr>
        <w:pStyle w:val="TextBody"/>
        <w:bidi w:val="0"/>
        <w:spacing w:lineRule="auto" w:line="288" w:before="0" w:after="240"/>
        <w:jc w:val="both"/>
        <w:rPr>
          <w:shd w:fill="FFFFFF" w:val="clear"/>
        </w:rPr>
      </w:pPr>
      <w:r>
        <w:rPr>
          <w:rFonts w:ascii="Times New Roman;serif" w:hAnsi="Times New Roman;serif"/>
          <w:b w:val="false"/>
          <w:color w:val="000000"/>
          <w:sz w:val="20"/>
          <w:shd w:fill="FFFFFF" w:val="clear"/>
        </w:rPr>
        <w:t>Information made available in this prospectus supplement should not be considered as “advice” as defined in the South African Financial Advisory and Intermediary Services Act, 2002.</w:t>
      </w:r>
      <w:r>
        <w:rPr>
          <w:color w:val="000000"/>
          <w:shd w:fill="FFFFFF" w:val="clear"/>
        </w:rPr>
        <w:t xml:space="preserve"> </w:t>
      </w:r>
    </w:p>
    <w:p>
      <w:pPr>
        <w:pStyle w:val="TextBody"/>
        <w:bidi w:val="0"/>
        <w:spacing w:lineRule="auto" w:line="276"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Notice to Prospective Investors in Bermuda</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securities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r>
        <w:rPr>
          <w:color w:val="000000"/>
          <w:shd w:fill="FFFFFF" w:val="clear"/>
        </w:rPr>
        <w:t xml:space="preserve"> </w:t>
      </w:r>
    </w:p>
    <w:p>
      <w:pPr>
        <w:pStyle w:val="TextBody"/>
        <w:bidi w:val="0"/>
        <w:spacing w:lineRule="auto" w:line="276" w:before="0" w:after="0"/>
        <w:jc w:val="left"/>
        <w:rPr>
          <w:shd w:fill="FFFFFF" w:val="clear"/>
        </w:rPr>
      </w:pPr>
      <w:r>
        <w:rPr>
          <w:rFonts w:ascii="Times New Roman;serif" w:hAnsi="Times New Roman;serif"/>
          <w:b/>
          <w:i/>
          <w:color w:val="000000"/>
          <w:sz w:val="20"/>
          <w:shd w:fill="FFFFFF" w:val="clear"/>
        </w:rPr>
        <w:t>Notice to Prospective Investors in Israel</w:t>
      </w:r>
      <w:r>
        <w:rPr>
          <w:color w:val="000000"/>
          <w:shd w:fill="FFFFFF" w:val="clear"/>
        </w:rPr>
        <w:t xml:space="preserve"> </w:t>
      </w:r>
    </w:p>
    <w:p>
      <w:pPr>
        <w:pStyle w:val="TextBody"/>
        <w:bidi w:val="0"/>
        <w:spacing w:before="0" w:after="0"/>
        <w:jc w:val="left"/>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This document does not constitute a prospectus under the Israeli Securities Law, 5728-1968, or the Securities Law, and has not been filed with or approved by the Israel Securities Authority. In Israel, this prospectus supplement and the accompanying prospectus are being distributed only to, and are directed only at, and any offer of the securities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r>
        <w:rPr>
          <w:color w:val="000000"/>
          <w:shd w:fill="FFFFFF" w:val="clear"/>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10" w:name="idc543fa7e22447afbea24cfdff351c98_149645"/>
      <w:bookmarkEnd w:id="10"/>
      <w:r>
        <w:rPr>
          <w:rFonts w:ascii="Times New Roman;serif" w:hAnsi="Times New Roman;serif"/>
          <w:b/>
          <w:color w:val="000000"/>
          <w:sz w:val="20"/>
          <w:shd w:fill="FFFFFF" w:val="clear"/>
        </w:rPr>
        <w:t xml:space="preserve">LEGAL MATTERS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validity of the issuance and sale of our Class A Common Stock offered in this prospectus supplement will be passed upon for us by Wilson Sonsini Goodrich</w:t>
      </w:r>
      <w:r>
        <w:rPr>
          <w:color w:val="000000"/>
          <w:shd w:fill="FFFFFF" w:val="clear"/>
        </w:rPr>
        <w:t xml:space="preserve"> </w:t>
      </w:r>
      <w:r>
        <w:rPr>
          <w:rFonts w:ascii="Times New Roman;serif" w:hAnsi="Times New Roman;serif"/>
          <w:b w:val="false"/>
          <w:color w:val="000000"/>
          <w:sz w:val="20"/>
          <w:shd w:fill="FFFFFF" w:val="clear"/>
        </w:rPr>
        <w:t xml:space="preserve">&amp; Rosati, P.C., Seattle, Washington. Davis Polk &amp; Wardwell LLP, New York, New York, is acting as counsel for the underwriters. </w:t>
      </w:r>
    </w:p>
    <w:p>
      <w:pPr>
        <w:pStyle w:val="TextBody"/>
        <w:bidi w:val="0"/>
        <w:spacing w:lineRule="auto" w:line="240" w:before="240" w:after="283"/>
        <w:jc w:val="center"/>
        <w:rPr>
          <w:rFonts w:ascii="Times New Roman;serif" w:hAnsi="Times New Roman;serif"/>
          <w:b/>
          <w:color w:val="000000"/>
          <w:sz w:val="20"/>
          <w:shd w:fill="FFFFFF" w:val="clear"/>
        </w:rPr>
      </w:pPr>
      <w:bookmarkStart w:id="11" w:name="idc543fa7e22447afbea24cfdff351c98_149650"/>
      <w:bookmarkEnd w:id="11"/>
      <w:r>
        <w:rPr>
          <w:rFonts w:ascii="Times New Roman;serif" w:hAnsi="Times New Roman;serif"/>
          <w:b/>
          <w:color w:val="000000"/>
          <w:sz w:val="20"/>
          <w:shd w:fill="FFFFFF" w:val="clear"/>
        </w:rPr>
        <w:t xml:space="preserve">EXPERTS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financial statements as of December 31, 2025 and December 31, 2024 and for the years then ended and management’s assessment of the effectiveness of internal control over financial reporting (which is included in Management’s Annual Report on Internal Control Over Financial</w:t>
      </w:r>
      <w:r>
        <w:rPr>
          <w:color w:val="000000"/>
          <w:shd w:fill="FFFFFF" w:val="clear"/>
        </w:rPr>
        <w:t xml:space="preserve"> </w:t>
      </w:r>
      <w:r>
        <w:rPr>
          <w:rFonts w:ascii="Times New Roman;serif" w:hAnsi="Times New Roman;serif"/>
          <w:b w:val="false"/>
          <w:color w:val="000000"/>
          <w:sz w:val="20"/>
          <w:shd w:fill="FFFFFF" w:val="clear"/>
        </w:rPr>
        <w:t>Reporting) as of December 31, 2025 incorporated in this Prospectus Supplement by reference to the Annual Report on Form 10-K for the year ended December 31, 2025 have been so incorporated in reliance on the report (which contains an adverse opinion on the effectiveness of the Company’s internal control over financial reporting) of PricewaterhouseCoopers LLP, an independent registered public accounting firm, given on the authority of said firm as experts in auditing and accounting.</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The consolidated statements of operations, comprehensive loss, stockholders’ equity and cash flows of Recursion Pharmaceuticals, Inc. for the year ended</w:t>
      </w:r>
      <w:r>
        <w:rPr>
          <w:color w:val="000000"/>
          <w:shd w:fill="FFFFFF" w:val="clear"/>
        </w:rPr>
        <w:t xml:space="preserve"> </w:t>
      </w:r>
      <w:r>
        <w:rPr>
          <w:rFonts w:ascii="Times New Roman;serif" w:hAnsi="Times New Roman;serif"/>
          <w:b w:val="false"/>
          <w:color w:val="000000"/>
          <w:sz w:val="20"/>
          <w:shd w:fill="FFFFFF" w:val="clear"/>
        </w:rPr>
        <w:t>December 31, 2023, appearing in Recursion Pharmaceuticals, Inc.’s Annual Report (Form 10-K) for the year ended December 31, 2025, have been audited by Ernst &amp; Young LLP, predecessor independent registered public accounting firm, as set forth in their report thereon, included therein, and incorporated herein</w:t>
      </w:r>
      <w:r>
        <w:rPr>
          <w:color w:val="000000"/>
          <w:shd w:fill="FFFFFF" w:val="clear"/>
        </w:rPr>
        <w:t xml:space="preserve"> </w:t>
      </w:r>
      <w:r>
        <w:rPr>
          <w:rFonts w:ascii="Times New Roman;serif" w:hAnsi="Times New Roman;serif"/>
          <w:b w:val="false"/>
          <w:color w:val="000000"/>
          <w:sz w:val="20"/>
          <w:shd w:fill="FFFFFF" w:val="clear"/>
        </w:rPr>
        <w:t>by reference. Such consolidated financial statements are incorporated herein by reference in reliance upon such report given on the authority of such firm as experts in accounting and auditing.</w:t>
      </w:r>
    </w:p>
    <w:p>
      <w:pPr>
        <w:pStyle w:val="TextBody"/>
        <w:bidi w:val="0"/>
        <w:spacing w:lineRule="auto" w:line="240" w:before="240" w:after="283"/>
        <w:jc w:val="center"/>
        <w:rPr>
          <w:rFonts w:ascii="Times New Roman;serif" w:hAnsi="Times New Roman;serif"/>
          <w:b/>
          <w:color w:val="000000"/>
          <w:sz w:val="20"/>
          <w:shd w:fill="FFFFFF" w:val="clear"/>
        </w:rPr>
      </w:pPr>
      <w:bookmarkStart w:id="12" w:name="idc543fa7e22447afbea24cfdff351c98_149646"/>
      <w:bookmarkEnd w:id="12"/>
      <w:r>
        <w:rPr>
          <w:rFonts w:ascii="Times New Roman;serif" w:hAnsi="Times New Roman;serif"/>
          <w:b/>
          <w:color w:val="000000"/>
          <w:sz w:val="20"/>
          <w:shd w:fill="FFFFFF" w:val="clear"/>
        </w:rPr>
        <w:t xml:space="preserve">WHERE YOU CAN FIND MORE INFORMATION </w:t>
      </w:r>
    </w:p>
    <w:p>
      <w:pPr>
        <w:pStyle w:val="TextBody"/>
        <w:bidi w:val="0"/>
        <w:spacing w:before="0" w:after="0"/>
        <w:jc w:val="center"/>
        <w:rPr/>
      </w:pPr>
      <w:r>
        <w:rPr/>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We file annual, quarterly and current reports, proxy statements and other information with the SEC. Our SEC filings are available to the public over the internet at the SEC’s website at</w:t>
      </w:r>
      <w:r>
        <w:rPr>
          <w:color w:val="000000"/>
          <w:shd w:fill="FFFFFF" w:val="clear"/>
        </w:rPr>
        <w:t xml:space="preserve"> </w:t>
      </w:r>
      <w:r>
        <w:rPr>
          <w:rFonts w:ascii="Times New Roman;serif" w:hAnsi="Times New Roman;serif"/>
          <w:b w:val="false"/>
          <w:i/>
          <w:color w:val="000000"/>
          <w:sz w:val="20"/>
          <w:shd w:fill="FFFFFF" w:val="clear"/>
        </w:rPr>
        <w:t>www.sec.gov</w:t>
      </w:r>
      <w:r>
        <w:rPr>
          <w:color w:val="000000"/>
          <w:shd w:fill="FFFFFF" w:val="clear"/>
        </w:rPr>
        <w:t xml:space="preserve"> </w:t>
      </w:r>
      <w:r>
        <w:rPr>
          <w:rFonts w:ascii="Times New Roman;serif" w:hAnsi="Times New Roman;serif"/>
          <w:b w:val="false"/>
          <w:color w:val="000000"/>
          <w:sz w:val="20"/>
          <w:shd w:fill="FFFFFF" w:val="clear"/>
        </w:rPr>
        <w:t>that contains reports, proxy and information statements and other information regarding registrants that file electronically with the SEC. In addition, we maintain a website that contains information about us at</w:t>
      </w:r>
      <w:r>
        <w:rPr>
          <w:color w:val="000000"/>
          <w:shd w:fill="FFFFFF" w:val="clear"/>
        </w:rPr>
        <w:t xml:space="preserve"> </w:t>
      </w:r>
      <w:r>
        <w:rPr>
          <w:rFonts w:ascii="Times New Roman;serif" w:hAnsi="Times New Roman;serif"/>
          <w:b w:val="false"/>
          <w:i/>
          <w:color w:val="000000"/>
          <w:sz w:val="20"/>
          <w:shd w:fill="FFFFFF" w:val="clear"/>
        </w:rPr>
        <w:t>www.recursion.com</w:t>
      </w:r>
      <w:r>
        <w:rPr>
          <w:rFonts w:ascii="Times New Roman;serif" w:hAnsi="Times New Roman;serif"/>
          <w:b w:val="false"/>
          <w:color w:val="000000"/>
          <w:sz w:val="20"/>
          <w:shd w:fill="FFFFFF" w:val="clear"/>
        </w:rPr>
        <w:t>. The information found on, or otherwise accessible through, this website is not incorporated into, and does not form a part of, this prospectus supplement or the accompanying prospectus or any other report or document we file with or furnish to the SEC.</w:t>
      </w:r>
    </w:p>
    <w:p>
      <w:pPr>
        <w:pStyle w:val="TextBody"/>
        <w:bidi w:val="0"/>
        <w:spacing w:lineRule="auto" w:line="288" w:before="0" w:after="240"/>
        <w:ind w:left="0" w:right="0" w:firstLine="490"/>
        <w:jc w:val="both"/>
        <w:rPr>
          <w:shd w:fill="FFFFFF" w:val="clear"/>
        </w:rPr>
      </w:pPr>
      <w:r>
        <w:rPr>
          <w:rFonts w:ascii="Times New Roman;serif" w:hAnsi="Times New Roman;serif"/>
          <w:b w:val="false"/>
          <w:color w:val="000000"/>
          <w:sz w:val="20"/>
          <w:shd w:fill="FFFFFF" w:val="clear"/>
        </w:rPr>
        <w:t xml:space="preserve">We have filed with the SEC a registration statement on Form S-3ASR, of which this prospectus supplement and the accompanying prospectus forms a part. This prospectus supplement and the accompanying prospectus do not contain all of the information set forth in </w:t>
      </w:r>
      <w:r>
        <w:rPr>
          <w:rFonts w:ascii="Times New Roman;serif" w:hAnsi="Times New Roman;serif"/>
          <w:b w:val="false"/>
          <w:color w:val="000000"/>
          <w:sz w:val="24"/>
          <w:shd w:fill="FFFFFF" w:val="clear"/>
        </w:rPr>
        <w:t>the</w:t>
      </w:r>
      <w:r>
        <w:rPr>
          <w:color w:val="000000"/>
          <w:shd w:fill="FFFFFF" w:val="clear"/>
        </w:rPr>
        <w:t xml:space="preserve"> </w:t>
      </w:r>
      <w:r>
        <w:rPr>
          <w:rFonts w:ascii="Times New Roman;serif" w:hAnsi="Times New Roman;serif"/>
          <w:b w:val="false"/>
          <w:color w:val="000000"/>
          <w:sz w:val="20"/>
          <w:shd w:fill="FFFFFF" w:val="clear"/>
        </w:rPr>
        <w:t>registration statement and exhibits and schedules to the registration statement. For further information with respect to the Company and the securities registered hereby,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is an exhibit to the registration statement, each statement is qualified in all respects by the exhibit to which the reference relates.</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shd w:fill="FFFFFF" w:val="clear"/>
        </w:rPr>
      </w:pPr>
      <w:bookmarkStart w:id="13" w:name="idc543fa7e22447afbea24cfdff351c98_149651"/>
      <w:bookmarkEnd w:id="13"/>
      <w:r>
        <w:rPr>
          <w:rFonts w:ascii="Times New Roman;serif" w:hAnsi="Times New Roman;serif"/>
          <w:b/>
          <w:color w:val="000000"/>
          <w:sz w:val="20"/>
          <w:shd w:fill="FFFFFF" w:val="clear"/>
        </w:rPr>
        <w:t>INFORMATION INCORPORATED BY REFERENCE</w:t>
      </w:r>
    </w:p>
    <w:p>
      <w:pPr>
        <w:pStyle w:val="TextBody"/>
        <w:bidi w:val="0"/>
        <w:spacing w:before="0" w:after="0"/>
        <w:jc w:val="center"/>
        <w:rPr/>
      </w:pPr>
      <w:r>
        <w:rPr/>
      </w:r>
    </w:p>
    <w:p>
      <w:pPr>
        <w:pStyle w:val="TextBody"/>
        <w:bidi w:val="0"/>
        <w:spacing w:lineRule="auto" w:line="288" w:before="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supplement and the accompanying prospectus. Because we are incorporating by reference future filings with the SEC, this prospectus is continually updated and those future filings may modify or supersede some of the information included or incorporated by reference in this prospectus supplement and the accompanying prospectus.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and the accompanying prospectus incorporate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Annual Report on </w:t>
      </w:r>
      <w:hyperlink r:id="rId3">
        <w:r>
          <w:rPr>
            <w:rStyle w:val="InternetLink"/>
            <w:rFonts w:ascii="Times New Roman;serif" w:hAnsi="Times New Roman;serif"/>
            <w:b w:val="false"/>
            <w:color w:val="0000FF"/>
            <w:sz w:val="20"/>
            <w:u w:val="single"/>
            <w:shd w:fill="FFFFFF" w:val="clear"/>
          </w:rPr>
          <w:t>Form 10-K</w:t>
        </w:r>
      </w:hyperlink>
      <w:r>
        <w:rPr>
          <w:color w:val="000000"/>
          <w:shd w:fill="FFFFFF" w:val="clear"/>
        </w:rPr>
        <w:t xml:space="preserve"> </w:t>
      </w:r>
      <w:r>
        <w:rPr>
          <w:rFonts w:ascii="Times New Roman;serif" w:hAnsi="Times New Roman;serif"/>
          <w:b w:val="false"/>
          <w:color w:val="000000"/>
          <w:sz w:val="20"/>
          <w:shd w:fill="FFFFFF" w:val="clear"/>
        </w:rPr>
        <w:t>for the year ended December 31, 2025 filed on February 25, 2026;</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information incorporated by reference into our Annual Report on Form 10-K for the year ended December 31, 2025 from our Definitive Proxy Statement on Schedule 14A, filed with the SEC on </w:t>
      </w:r>
      <w:hyperlink r:id="rId4">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Quarterly Reports on Form 10-Q for the quarter ended March 31, 2026 filed on </w:t>
      </w:r>
      <w:hyperlink r:id="rId5">
        <w:r>
          <w:rPr>
            <w:rStyle w:val="InternetLink"/>
            <w:rFonts w:ascii="Times New Roman;serif" w:hAnsi="Times New Roman;serif"/>
            <w:b w:val="false"/>
            <w:color w:val="0000FF"/>
            <w:sz w:val="20"/>
            <w:u w:val="single"/>
            <w:shd w:fill="FFFFFF" w:val="clear"/>
          </w:rPr>
          <w:t>May 6, 2026</w:t>
        </w:r>
      </w:hyperlink>
      <w:r>
        <w:rPr>
          <w:rFonts w:ascii="Times New Roman;serif" w:hAnsi="Times New Roman;serif"/>
          <w:b w:val="false"/>
          <w:color w:val="000000"/>
          <w:sz w:val="20"/>
          <w:shd w:fill="FFFFFF" w:val="clear"/>
        </w:rPr>
        <w:t xml:space="preserve">, and for the quarter ended June 30, 2026 filed on </w:t>
      </w:r>
      <w:hyperlink r:id="rId6">
        <w:r>
          <w:rPr>
            <w:rStyle w:val="InternetLink"/>
            <w:rFonts w:ascii="Times New Roman;serif" w:hAnsi="Times New Roman;serif"/>
            <w:b w:val="false"/>
            <w:color w:val="0000FF"/>
            <w:sz w:val="20"/>
            <w:u w:val="single"/>
            <w:shd w:fill="FFFFFF" w:val="clear"/>
          </w:rPr>
          <w:t>August 5,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Our Current Report on Form 8-K filed on </w:t>
      </w:r>
      <w:hyperlink r:id="rId7">
        <w:r>
          <w:rPr>
            <w:rStyle w:val="InternetLink"/>
            <w:rFonts w:ascii="Times New Roman;serif" w:hAnsi="Times New Roman;serif"/>
            <w:b w:val="false"/>
            <w:color w:val="0000FF"/>
            <w:sz w:val="20"/>
            <w:u w:val="single"/>
            <w:shd w:fill="FFFFFF" w:val="clear"/>
          </w:rPr>
          <w:t>March 25, 2026</w:t>
        </w:r>
      </w:hyperlink>
      <w:r>
        <w:rPr>
          <w:rFonts w:ascii="Times New Roman;serif" w:hAnsi="Times New Roman;serif"/>
          <w:b w:val="false"/>
          <w:color w:val="000000"/>
          <w:sz w:val="20"/>
          <w:shd w:fill="FFFFFF" w:val="clear"/>
        </w:rPr>
        <w:t xml:space="preserve">, </w:t>
      </w:r>
      <w:hyperlink r:id="rId8">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 xml:space="preserve">, </w:t>
      </w:r>
      <w:hyperlink r:id="rId9">
        <w:r>
          <w:rPr>
            <w:rStyle w:val="InternetLink"/>
            <w:rFonts w:ascii="Times New Roman;serif" w:hAnsi="Times New Roman;serif"/>
            <w:b w:val="false"/>
            <w:color w:val="0000FF"/>
            <w:sz w:val="20"/>
            <w:u w:val="single"/>
            <w:shd w:fill="FFFFFF" w:val="clear"/>
          </w:rPr>
          <w:t>June 18, 2026</w:t>
        </w:r>
      </w:hyperlink>
      <w:r>
        <w:rPr>
          <w:rFonts w:ascii="Times New Roman;serif" w:hAnsi="Times New Roman;serif"/>
          <w:b w:val="false"/>
          <w:color w:val="000000"/>
          <w:sz w:val="20"/>
          <w:shd w:fill="FFFFFF" w:val="clear"/>
        </w:rPr>
        <w:t xml:space="preserve">, and </w:t>
      </w:r>
      <w:hyperlink r:id="rId10">
        <w:r>
          <w:rPr>
            <w:rStyle w:val="InternetLink"/>
            <w:rFonts w:ascii="Times New Roman;serif" w:hAnsi="Times New Roman;serif"/>
            <w:b w:val="false"/>
            <w:color w:val="0000FF"/>
            <w:sz w:val="20"/>
            <w:u w:val="single"/>
            <w:shd w:fill="FFFFFF" w:val="clear"/>
          </w:rPr>
          <w:t>September 21, 2026</w:t>
        </w:r>
      </w:hyperlink>
      <w:r>
        <w:rPr>
          <w:rFonts w:ascii="Times New Roman;serif" w:hAnsi="Times New Roman;serif"/>
          <w:b w:val="false"/>
          <w:color w:val="000000"/>
          <w:sz w:val="20"/>
          <w:shd w:fill="FFFFFF" w:val="clear"/>
        </w:rPr>
        <w:t>;</w:t>
      </w:r>
    </w:p>
    <w:p>
      <w:pPr>
        <w:pStyle w:val="TextBody"/>
        <w:bidi w:val="0"/>
        <w:spacing w:lineRule="auto" w:line="26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The description of our Class A Common Stock contained in the Registration Statement on </w:t>
      </w:r>
      <w:hyperlink r:id="rId11">
        <w:r>
          <w:rPr>
            <w:rStyle w:val="InternetLink"/>
            <w:rFonts w:ascii="Times New Roman;serif" w:hAnsi="Times New Roman;serif"/>
            <w:b w:val="false"/>
            <w:color w:val="0000FF"/>
            <w:sz w:val="20"/>
            <w:u w:val="single"/>
            <w:shd w:fill="FFFFFF" w:val="clear"/>
          </w:rPr>
          <w:t xml:space="preserve">Form 8-A </w:t>
        </w:r>
      </w:hyperlink>
      <w:r>
        <w:rPr>
          <w:rFonts w:ascii="Times New Roman;serif" w:hAnsi="Times New Roman;serif"/>
          <w:b w:val="false"/>
          <w:color w:val="000000"/>
          <w:sz w:val="20"/>
          <w:shd w:fill="FFFFFF" w:val="clear"/>
        </w:rPr>
        <w:t>(File No. 001-40323) filed with the SEC on April 12, 2021, pursuant to Section 12(b) of the Securities Exchange Act of 1934, as amended (the “Exchange Act”), including any amendment or report filed for the purpose of updating such description.</w:t>
      </w:r>
    </w:p>
    <w:p>
      <w:pPr>
        <w:pStyle w:val="TextBody"/>
        <w:bidi w:val="0"/>
        <w:spacing w:lineRule="auto" w:line="288" w:before="240" w:after="24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Upon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 copy of these filings, and any exhibits we have specifically incorporated by reference as an exhibit in this prospectus supplement, at no cost by requesting them in writing or by telephone from us at the following address:</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Recursion Pharmaceuticals, Inc. </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41 S Rio Grande Street</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Salt Lake City, Utah 84101</w:t>
      </w:r>
    </w:p>
    <w:p>
      <w:pPr>
        <w:pStyle w:val="TextBody"/>
        <w:bidi w:val="0"/>
        <w:spacing w:lineRule="auto" w:line="240"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Attn: Investor Relations</w:t>
      </w:r>
    </w:p>
    <w:p>
      <w:pPr>
        <w:pStyle w:val="TextBody"/>
        <w:bidi w:val="0"/>
        <w:spacing w:lineRule="auto" w:line="240" w:before="0" w:after="24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(385) 269-0203</w:t>
      </w:r>
    </w:p>
    <w:p>
      <w:pPr>
        <w:pStyle w:val="TextBody"/>
        <w:bidi w:val="0"/>
        <w:spacing w:lineRule="auto" w:line="288" w:before="0" w:after="0"/>
        <w:ind w:left="0" w:right="0" w:firstLine="360"/>
        <w:jc w:val="both"/>
        <w:rPr>
          <w:shd w:fill="FFFFFF" w:val="clear"/>
        </w:rPr>
      </w:pPr>
      <w:r>
        <w:rPr>
          <w:rFonts w:ascii="Times New Roman;serif" w:hAnsi="Times New Roman;serif"/>
          <w:b w:val="false"/>
          <w:color w:val="000000"/>
          <w:sz w:val="20"/>
          <w:shd w:fill="FFFFFF" w:val="clear"/>
        </w:rPr>
        <w:t>You may also access these documents, free of charge on the SEC’s website at</w:t>
      </w:r>
      <w:r>
        <w:rPr>
          <w:color w:val="000000"/>
          <w:shd w:fill="FFFFFF" w:val="clear"/>
        </w:rPr>
        <w:t xml:space="preserve"> </w:t>
      </w:r>
      <w:r>
        <w:rPr>
          <w:rFonts w:ascii="Times New Roman;serif" w:hAnsi="Times New Roman;serif"/>
          <w:b w:val="false"/>
          <w:i/>
          <w:color w:val="000000"/>
          <w:sz w:val="20"/>
          <w:shd w:fill="FFFFFF" w:val="clear"/>
        </w:rPr>
        <w:t>www.sec.gov</w:t>
      </w:r>
      <w:r>
        <w:rPr>
          <w:color w:val="000000"/>
          <w:shd w:fill="FFFFFF" w:val="clear"/>
        </w:rPr>
        <w:t xml:space="preserve"> </w:t>
      </w:r>
      <w:r>
        <w:rPr>
          <w:rFonts w:ascii="Times New Roman;serif" w:hAnsi="Times New Roman;serif"/>
          <w:b w:val="false"/>
          <w:color w:val="000000"/>
          <w:sz w:val="20"/>
          <w:shd w:fill="FFFFFF" w:val="clear"/>
        </w:rPr>
        <w:t>or on our website at www.recursion.com. Information contained on our website is not incorporated by reference into this prospectus supplement, and you should not consider any information on, or that can be accessed from, our website as part of this prospectus supplement or any accompanying prospectus supplement.</w:t>
      </w:r>
    </w:p>
    <w:p>
      <w:pPr>
        <w:pStyle w:val="TextBody"/>
        <w:bidi w:val="0"/>
        <w:spacing w:before="0" w:after="0"/>
        <w:jc w:val="both"/>
        <w:rPr/>
      </w:pPr>
      <w:r>
        <w:rPr/>
      </w:r>
    </w:p>
    <w:p>
      <w:pPr>
        <w:pStyle w:val="TextBody"/>
        <w:bidi w:val="0"/>
        <w:spacing w:lineRule="auto" w:line="288" w:before="0" w:after="0"/>
        <w:ind w:left="0" w:right="0" w:firstLine="4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prospectus supplement is part of a registration statement we filed with the SEC. We have incorporated exhibits into this registration statement. You should read the exhibits carefully for provisions that may be important to you.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PROSPECTUS</w:t>
      </w:r>
    </w:p>
    <w:p>
      <w:pPr>
        <w:pStyle w:val="TextBody"/>
        <w:bidi w:val="0"/>
        <w:spacing w:before="6" w:after="283"/>
        <w:jc w:val="center"/>
        <w:rPr>
          <w:shd w:fill="FFFFFF" w:val="clear"/>
        </w:rPr>
      </w:pPr>
      <w:r>
        <w:rPr>
          <w:shd w:fill="FFFFFF" w:val="clear"/>
        </w:rPr>
        <w:drawing>
          <wp:inline distT="0" distB="0" distL="0" distR="0">
            <wp:extent cx="2286000" cy="48577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12"/>
                    <a:stretch>
                      <a:fillRect/>
                    </a:stretch>
                  </pic:blipFill>
                  <pic:spPr bwMode="auto">
                    <a:xfrm>
                      <a:off x="0" y="0"/>
                      <a:ext cx="2286000" cy="485775"/>
                    </a:xfrm>
                    <a:prstGeom prst="rect">
                      <a:avLst/>
                    </a:prstGeom>
                  </pic:spPr>
                </pic:pic>
              </a:graphicData>
            </a:graphic>
          </wp:inline>
        </w:drawing>
      </w:r>
    </w:p>
    <w:p>
      <w:pPr>
        <w:pStyle w:val="TextBody"/>
        <w:bidi w:val="0"/>
        <w:spacing w:before="41" w:after="283"/>
        <w:jc w:val="left"/>
        <w:rPr/>
      </w:pPr>
      <w:r>
        <w:rPr/>
      </w:r>
    </w:p>
    <w:p>
      <w:pPr>
        <w:pStyle w:val="TextBody"/>
        <w:bidi w:val="0"/>
        <w:spacing w:lineRule="auto" w:line="288" w:before="0" w:after="0"/>
        <w:jc w:val="center"/>
        <w:rPr>
          <w:rFonts w:ascii="Times New Roman;serif" w:hAnsi="Times New Roman;serif"/>
          <w:b/>
          <w:color w:val="231F20"/>
          <w:sz w:val="48"/>
          <w:shd w:fill="FFFFFF" w:val="clear"/>
        </w:rPr>
      </w:pPr>
      <w:r>
        <w:rPr>
          <w:rFonts w:ascii="Times New Roman;serif" w:hAnsi="Times New Roman;serif"/>
          <w:b/>
          <w:color w:val="231F20"/>
          <w:sz w:val="48"/>
          <w:shd w:fill="FFFFFF" w:val="clear"/>
        </w:rPr>
        <w:t>Recursion Pharmaceuticals, Inc.</w:t>
      </w:r>
    </w:p>
    <w:p>
      <w:pPr>
        <w:pStyle w:val="TextBody"/>
        <w:bidi w:val="0"/>
        <w:spacing w:lineRule="auto" w:line="288" w:before="120" w:after="283"/>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Class A Common Stock</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Preferred Stock</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Debt Securities</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Depositary Shares</w:t>
      </w:r>
    </w:p>
    <w:p>
      <w:pPr>
        <w:pStyle w:val="TextBody"/>
        <w:bidi w:val="0"/>
        <w:spacing w:lineRule="auto" w:line="288" w:before="120" w:after="283"/>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 xml:space="preserve">Warrants Subscription </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 xml:space="preserve">Rights Purchase </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Contracts</w:t>
      </w:r>
    </w:p>
    <w:p>
      <w:pPr>
        <w:pStyle w:val="TextBody"/>
        <w:bidi w:val="0"/>
        <w:spacing w:lineRule="auto" w:line="288" w:before="0" w:after="0"/>
        <w:jc w:val="center"/>
        <w:rPr>
          <w:rFonts w:ascii="Times New Roman;serif" w:hAnsi="Times New Roman;serif"/>
          <w:b/>
          <w:color w:val="231F20"/>
          <w:sz w:val="28"/>
          <w:shd w:fill="FFFFFF" w:val="clear"/>
        </w:rPr>
      </w:pPr>
      <w:r>
        <w:rPr>
          <w:rFonts w:ascii="Times New Roman;serif" w:hAnsi="Times New Roman;serif"/>
          <w:b/>
          <w:color w:val="231F20"/>
          <w:sz w:val="28"/>
          <w:shd w:fill="FFFFFF" w:val="clear"/>
        </w:rPr>
        <w:t>Units</w:t>
      </w:r>
    </w:p>
    <w:p>
      <w:pPr>
        <w:pStyle w:val="TextBody"/>
        <w:bidi w:val="0"/>
        <w:spacing w:before="0" w:after="0"/>
        <w:jc w:val="center"/>
        <w:rPr>
          <w:shd w:fill="FFFFFF" w:val="clear"/>
        </w:rPr>
      </w:pPr>
      <w:r>
        <w:rPr>
          <w:shd w:fill="FFFFFF" w:val="clear"/>
        </w:rPr>
        <w:drawing>
          <wp:inline distT="0" distB="0" distL="0" distR="0">
            <wp:extent cx="1219200" cy="1460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13"/>
                    <a:stretch>
                      <a:fillRect/>
                    </a:stretch>
                  </pic:blipFill>
                  <pic:spPr bwMode="auto">
                    <a:xfrm>
                      <a:off x="0" y="0"/>
                      <a:ext cx="1219200" cy="14605"/>
                    </a:xfrm>
                    <a:prstGeom prst="rect">
                      <a:avLst/>
                    </a:prstGeom>
                  </pic:spPr>
                </pic:pic>
              </a:graphicData>
            </a:graphic>
          </wp:inline>
        </w:drawing>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w:t>
      </w:r>
    </w:p>
    <w:p>
      <w:pPr>
        <w:pStyle w:val="TextBody"/>
        <w:bidi w:val="0"/>
        <w:spacing w:lineRule="auto" w:line="288" w:before="167"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the selling stockholders to be named in a supplement to this prospectus may from time to time offer or sell shares of our Class A Common Stock. To the extent that any selling stockholders resell any securities, the selling stockholders may be required to provide you with this prospectus and a prospectus supplement identifying and containing specific information about the selling stockholders and the amount and terms of the securities being offered. We will not receive any proceeds from the sale of our Class A Common Stock by the selling stockholders.</w:t>
      </w:r>
    </w:p>
    <w:p>
      <w:pPr>
        <w:pStyle w:val="TextBody"/>
        <w:bidi w:val="0"/>
        <w:spacing w:lineRule="auto" w:line="288" w:before="167"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lineRule="auto" w:line="288" w:before="16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Our Class A Common Stock is listed on the Nasdaq Global Select Market under the symbol “RXRX.” Each prospectus supplement will indicate whether the securities offered thereby will be listed on any securities exchange.</w:t>
      </w:r>
    </w:p>
    <w:p>
      <w:pPr>
        <w:pStyle w:val="TextBody"/>
        <w:bidi w:val="0"/>
        <w:spacing w:before="240" w:after="283"/>
        <w:jc w:val="center"/>
        <w:rPr>
          <w:shd w:fill="FFFFFF" w:val="clear"/>
        </w:rPr>
      </w:pPr>
      <w:r>
        <w:rPr>
          <w:shd w:fill="FFFFFF" w:val="clear"/>
        </w:rPr>
        <w:drawing>
          <wp:inline distT="0" distB="0" distL="0" distR="0">
            <wp:extent cx="1219200" cy="1460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14"/>
                    <a:stretch>
                      <a:fillRect/>
                    </a:stretch>
                  </pic:blipFill>
                  <pic:spPr bwMode="auto">
                    <a:xfrm>
                      <a:off x="0" y="0"/>
                      <a:ext cx="1219200" cy="14605"/>
                    </a:xfrm>
                    <a:prstGeom prst="rect">
                      <a:avLst/>
                    </a:prstGeom>
                  </pic:spPr>
                </pic:pic>
              </a:graphicData>
            </a:graphic>
          </wp:inline>
        </w:drawing>
      </w:r>
    </w:p>
    <w:p>
      <w:pPr>
        <w:pStyle w:val="TextBody"/>
        <w:bidi w:val="0"/>
        <w:spacing w:lineRule="auto" w:line="242" w:before="207" w:after="283"/>
        <w:jc w:val="left"/>
        <w:rPr>
          <w:rFonts w:ascii="Times New Roman;serif" w:hAnsi="Times New Roman;serif"/>
          <w:b/>
          <w:color w:val="231F20"/>
          <w:sz w:val="24"/>
          <w:shd w:fill="FFFFFF" w:val="clear"/>
        </w:rPr>
      </w:pPr>
      <w:r>
        <w:rPr>
          <w:rFonts w:ascii="Times New Roman;serif" w:hAnsi="Times New Roman;serif"/>
          <w:b/>
          <w:color w:val="231F20"/>
          <w:sz w:val="24"/>
          <w:shd w:fill="FFFFFF" w:val="clear"/>
        </w:rPr>
        <w:t>Investing in our securities involves risks. Please carefully read the information under the headings “Risk Factors” beginning on page 4 of this prospectus and “Item 1A – Risk Factors” of our most recent report on Form 10-K or 10-Q that is incorporated by reference in this prospectus before you invest in our securities.</w:t>
      </w:r>
    </w:p>
    <w:p>
      <w:pPr>
        <w:pStyle w:val="TextBody"/>
        <w:bidi w:val="0"/>
        <w:spacing w:lineRule="auto" w:line="288" w:before="170"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240" w:after="283"/>
        <w:jc w:val="center"/>
        <w:rPr>
          <w:shd w:fill="FFFFFF" w:val="clear"/>
        </w:rPr>
      </w:pPr>
      <w:r>
        <w:rPr>
          <w:shd w:fill="FFFFFF" w:val="clear"/>
        </w:rPr>
        <w:drawing>
          <wp:inline distT="0" distB="0" distL="0" distR="0">
            <wp:extent cx="1219200" cy="1460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15"/>
                    <a:stretch>
                      <a:fillRect/>
                    </a:stretch>
                  </pic:blipFill>
                  <pic:spPr bwMode="auto">
                    <a:xfrm>
                      <a:off x="0" y="0"/>
                      <a:ext cx="1219200" cy="14605"/>
                    </a:xfrm>
                    <a:prstGeom prst="rect">
                      <a:avLst/>
                    </a:prstGeom>
                  </pic:spPr>
                </pic:pic>
              </a:graphicData>
            </a:graphic>
          </wp:inline>
        </w:drawing>
      </w:r>
    </w:p>
    <w:p>
      <w:pPr>
        <w:pStyle w:val="TextBody"/>
        <w:bidi w:val="0"/>
        <w:spacing w:lineRule="auto" w:line="288" w:before="215"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The date of this prospectus is February 12,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TABLE OF CONTENTS</w:t>
      </w:r>
    </w:p>
    <w:p>
      <w:pPr>
        <w:pStyle w:val="TextBody"/>
        <w:bidi w:val="0"/>
        <w:spacing w:lineRule="auto" w:line="288" w:before="207" w:after="283"/>
        <w:jc w:val="right"/>
        <w:rPr>
          <w:rFonts w:ascii="Times New Roman;serif" w:hAnsi="Times New Roman;serif"/>
          <w:b/>
          <w:color w:val="231F20"/>
          <w:sz w:val="16"/>
          <w:shd w:fill="FFFFFF" w:val="clear"/>
        </w:rPr>
      </w:pPr>
      <w:r>
        <w:rPr>
          <w:rFonts w:ascii="Times New Roman;serif" w:hAnsi="Times New Roman;serif"/>
          <w:b/>
          <w:color w:val="231F20"/>
          <w:sz w:val="16"/>
          <w:shd w:fill="FFFFFF" w:val="clear"/>
        </w:rPr>
        <w:t>Page</w:t>
      </w:r>
    </w:p>
    <w:tbl>
      <w:tblPr>
        <w:tblW w:w="3687" w:type="dxa"/>
        <w:jc w:val="left"/>
        <w:tblInd w:w="0" w:type="dxa"/>
        <w:tblLayout w:type="fixed"/>
        <w:tblCellMar>
          <w:top w:w="28" w:type="dxa"/>
          <w:left w:w="28" w:type="dxa"/>
          <w:bottom w:w="28" w:type="dxa"/>
          <w:right w:w="28" w:type="dxa"/>
        </w:tblCellMar>
      </w:tblPr>
      <w:tblGrid>
        <w:gridCol w:w="1200"/>
        <w:gridCol w:w="1054"/>
        <w:gridCol w:w="1061"/>
        <w:gridCol w:w="109"/>
        <w:gridCol w:w="109"/>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22">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22">
              <w:r>
                <w:rPr>
                  <w:rStyle w:val="InternetLink"/>
                  <w:rFonts w:ascii="Times New Roman;serif" w:hAnsi="Times New Roman;serif"/>
                  <w:b w:val="false"/>
                  <w:strike w:val="false"/>
                  <w:dstrike w:val="false"/>
                  <w:color w:val="000000"/>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25">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25">
              <w:r>
                <w:rPr>
                  <w:rStyle w:val="InternetLink"/>
                  <w:rFonts w:ascii="Times New Roman;serif" w:hAnsi="Times New Roman;serif"/>
                  <w:b w:val="false"/>
                  <w:strike w:val="false"/>
                  <w:dstrike w:val="false"/>
                  <w:color w:val="000000"/>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34">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34">
              <w:r>
                <w:rPr>
                  <w:rStyle w:val="InternetLink"/>
                  <w:rFonts w:ascii="Times New Roman;serif" w:hAnsi="Times New Roman;serif"/>
                  <w:b w:val="false"/>
                  <w:strike w:val="false"/>
                  <w:dstrike w:val="false"/>
                  <w:color w:val="000000"/>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37">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37">
              <w:r>
                <w:rPr>
                  <w:rStyle w:val="InternetLink"/>
                  <w:rFonts w:ascii="Times New Roman;serif" w:hAnsi="Times New Roman;serif"/>
                  <w:b w:val="false"/>
                  <w:strike w:val="false"/>
                  <w:dstrike w:val="false"/>
                  <w:color w:val="000000"/>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40">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40">
              <w:r>
                <w:rPr>
                  <w:rStyle w:val="InternetLink"/>
                  <w:rFonts w:ascii="Times New Roman;serif" w:hAnsi="Times New Roman;serif"/>
                  <w:b w:val="false"/>
                  <w:strike w:val="false"/>
                  <w:dstrike w:val="false"/>
                  <w:color w:val="000000"/>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43">
              <w:r>
                <w:rPr>
                  <w:rStyle w:val="InternetLink"/>
                  <w:rFonts w:ascii="Times New Roman;serif" w:hAnsi="Times New Roman;serif"/>
                  <w:b w:val="false"/>
                  <w:color w:val="0000FF"/>
                  <w:sz w:val="20"/>
                  <w:u w:val="single"/>
                </w:rPr>
                <w:t>Selling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43">
              <w:r>
                <w:rPr>
                  <w:rStyle w:val="InternetLink"/>
                  <w:rFonts w:ascii="Times New Roman;serif" w:hAnsi="Times New Roman;serif"/>
                  <w:b w:val="false"/>
                  <w:strike w:val="false"/>
                  <w:dstrike w:val="false"/>
                  <w:color w:val="000000"/>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46">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46">
              <w:r>
                <w:rPr>
                  <w:rStyle w:val="InternetLink"/>
                  <w:rFonts w:ascii="Times New Roman;serif" w:hAnsi="Times New Roman;serif"/>
                  <w:b w:val="false"/>
                  <w:strike w:val="false"/>
                  <w:dstrike w:val="false"/>
                  <w:color w:val="000000"/>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49">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49">
              <w:r>
                <w:rPr>
                  <w:rStyle w:val="InternetLink"/>
                  <w:rFonts w:ascii="Times New Roman;serif" w:hAnsi="Times New Roman;serif"/>
                  <w:b w:val="false"/>
                  <w:strike w:val="false"/>
                  <w:dstrike w:val="false"/>
                  <w:color w:val="000000"/>
                  <w:sz w:val="20"/>
                  <w:u w:val="none"/>
                  <w:effect w:val="none"/>
                </w:rPr>
                <w:t>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64">
              <w:r>
                <w:rPr>
                  <w:rStyle w:val="InternetLink"/>
                  <w:rFonts w:ascii="Times New Roman;serif" w:hAnsi="Times New Roman;serif"/>
                  <w:b w:val="false"/>
                  <w:color w:val="0000FF"/>
                  <w:sz w:val="20"/>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64">
              <w:r>
                <w:rPr>
                  <w:rStyle w:val="InternetLink"/>
                  <w:rFonts w:ascii="Times New Roman;serif" w:hAnsi="Times New Roman;serif"/>
                  <w:b w:val="false"/>
                  <w:strike w:val="false"/>
                  <w:dstrike w:val="false"/>
                  <w:color w:val="000000"/>
                  <w:sz w:val="20"/>
                  <w:u w:val="none"/>
                  <w:effect w:val="none"/>
                </w:rPr>
                <w:t>17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73">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73">
              <w:r>
                <w:rPr>
                  <w:rStyle w:val="InternetLink"/>
                  <w:rFonts w:ascii="Times New Roman;serif" w:hAnsi="Times New Roman;serif"/>
                  <w:b w:val="false"/>
                  <w:strike w:val="false"/>
                  <w:dstrike w:val="false"/>
                  <w:color w:val="000000"/>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76">
              <w:r>
                <w:rPr>
                  <w:rStyle w:val="InternetLink"/>
                  <w:rFonts w:ascii="Times New Roman;serif" w:hAnsi="Times New Roman;serif"/>
                  <w:b w:val="false"/>
                  <w:color w:val="0000FF"/>
                  <w:sz w:val="20"/>
                  <w:u w:val="single"/>
                </w:rPr>
                <w:t>Description of Subscription Rights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76">
              <w:r>
                <w:rPr>
                  <w:rStyle w:val="InternetLink"/>
                  <w:rFonts w:ascii="Times New Roman;serif" w:hAnsi="Times New Roman;serif"/>
                  <w:b w:val="false"/>
                  <w:strike w:val="false"/>
                  <w:dstrike w:val="false"/>
                  <w:color w:val="000000"/>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79">
              <w:r>
                <w:rPr>
                  <w:rStyle w:val="InternetLink"/>
                  <w:rFonts w:ascii="Times New Roman;serif" w:hAnsi="Times New Roman;serif"/>
                  <w:b w:val="false"/>
                  <w:color w:val="0000FF"/>
                  <w:sz w:val="20"/>
                  <w:u w:val="single"/>
                </w:rPr>
                <w:t>Description of Purchase Contracts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79">
              <w:r>
                <w:rPr>
                  <w:rStyle w:val="InternetLink"/>
                  <w:rFonts w:ascii="Times New Roman;serif" w:hAnsi="Times New Roman;serif"/>
                  <w:b w:val="false"/>
                  <w:strike w:val="false"/>
                  <w:dstrike w:val="false"/>
                  <w:color w:val="000000"/>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82">
              <w:r>
                <w:rPr>
                  <w:rStyle w:val="InternetLink"/>
                  <w:rFonts w:ascii="Times New Roman;serif" w:hAnsi="Times New Roman;serif"/>
                  <w:b w:val="false"/>
                  <w:color w:val="0000FF"/>
                  <w:sz w:val="20"/>
                  <w:u w:val="single"/>
                </w:rPr>
                <w:t>Description of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82">
              <w:r>
                <w:rPr>
                  <w:rStyle w:val="InternetLink"/>
                  <w:rFonts w:ascii="Times New Roman;serif" w:hAnsi="Times New Roman;serif"/>
                  <w:b w:val="false"/>
                  <w:strike w:val="false"/>
                  <w:dstrike w:val="false"/>
                  <w:color w:val="000000"/>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85">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85">
              <w:r>
                <w:rPr>
                  <w:rStyle w:val="InternetLink"/>
                  <w:rFonts w:ascii="Times New Roman;serif" w:hAnsi="Times New Roman;serif"/>
                  <w:b w:val="false"/>
                  <w:strike w:val="false"/>
                  <w:dstrike w:val="false"/>
                  <w:color w:val="000000"/>
                  <w:sz w:val="20"/>
                  <w:u w:val="none"/>
                  <w:effect w:val="none"/>
                </w:rPr>
                <w:t>24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94">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94">
              <w:r>
                <w:rPr>
                  <w:rStyle w:val="InternetLink"/>
                  <w:rFonts w:ascii="Times New Roman;serif" w:hAnsi="Times New Roman;serif"/>
                  <w:b w:val="false"/>
                  <w:strike w:val="false"/>
                  <w:dstrike w:val="false"/>
                  <w:color w:val="000000"/>
                  <w:sz w:val="20"/>
                  <w:u w:val="none"/>
                  <w:effect w:val="none"/>
                </w:rPr>
                <w:t>27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94">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94">
              <w:r>
                <w:rPr>
                  <w:rStyle w:val="InternetLink"/>
                  <w:rFonts w:ascii="Times New Roman;serif" w:hAnsi="Times New Roman;serif"/>
                  <w:b w:val="false"/>
                  <w:strike w:val="false"/>
                  <w:dstrike w:val="false"/>
                  <w:color w:val="000000"/>
                  <w:sz w:val="20"/>
                  <w:u w:val="none"/>
                  <w:effect w:val="none"/>
                </w:rPr>
                <w:t>27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97">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97">
              <w:r>
                <w:rPr>
                  <w:rStyle w:val="InternetLink"/>
                  <w:rFonts w:ascii="Times New Roman;serif" w:hAnsi="Times New Roman;serif"/>
                  <w:b w:val="false"/>
                  <w:strike w:val="false"/>
                  <w:dstrike w:val="false"/>
                  <w:color w:val="000000"/>
                  <w:sz w:val="20"/>
                  <w:u w:val="none"/>
                  <w:effect w:val="none"/>
                </w:rPr>
                <w:t>28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pPr>
            <w:hyperlink w:anchor="i92628e2148d64f1d81419baaa2adba11_100">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628e2148d64f1d81419baaa2adba11_100">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ABOUT THIS PROSPECTUS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is part of a registration statement that we filed with the Securities and Exchange Commission, or the SEC, as a “well-known seasoned issuer” as defined in Rule 405 of the Securities Act of 1933, as amended, using a “shelf” registration process. Under this shelf registration process, we or the selling stockholders may from time to time sell any combination of the securities described in this prospectus in one or more offerings.</w:t>
      </w:r>
    </w:p>
    <w:p>
      <w:pPr>
        <w:pStyle w:val="TextBody"/>
        <w:bidi w:val="0"/>
        <w:spacing w:before="14"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provides you with a general description of the securities that may be offered. Each time we or the selling stockholders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before="15"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w:t>
      </w:r>
    </w:p>
    <w:p>
      <w:pPr>
        <w:pStyle w:val="TextBody"/>
        <w:bidi w:val="0"/>
        <w:spacing w:lineRule="auto" w:line="288" w:before="24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Our business, financial condition, results of operations and prospects may have changed materially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3" w:after="283"/>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PROSPECTUS SUMMARY</w:t>
      </w:r>
    </w:p>
    <w:p>
      <w:pPr>
        <w:pStyle w:val="TextBody"/>
        <w:bidi w:val="0"/>
        <w:spacing w:before="32" w:after="283"/>
        <w:jc w:val="left"/>
        <w:rPr/>
      </w:pPr>
      <w:r>
        <w:rPr/>
      </w:r>
    </w:p>
    <w:p>
      <w:pPr>
        <w:pStyle w:val="TextBody"/>
        <w:bidi w:val="0"/>
        <w:spacing w:lineRule="auto" w:line="288" w:before="0" w:after="0"/>
        <w:jc w:val="both"/>
        <w:rPr>
          <w:rFonts w:ascii="Times New Roman;serif" w:hAnsi="Times New Roman;serif"/>
          <w:b w:val="false"/>
          <w:i/>
          <w:color w:val="231F20"/>
          <w:sz w:val="20"/>
          <w:bdr w:val="single" w:sz="8" w:space="48" w:color="000000"/>
          <w:shd w:fill="FFFFFF" w:val="clear"/>
        </w:rPr>
      </w:pPr>
      <w:r>
        <w:rPr>
          <w:rFonts w:ascii="Times New Roman;serif" w:hAnsi="Times New Roman;serif"/>
          <w:b w:val="false"/>
          <w:i/>
          <w:color w:val="231F20"/>
          <w:sz w:val="20"/>
          <w:bdr w:val="single" w:sz="8" w:space="48" w:color="000000"/>
          <w:shd w:fill="FFFFFF" w:val="clear"/>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most recent Annual Report on Form 10-K and any subsequently filed Quarterly Reports on Form 10-Q. Unless the context indicates otherwise, references in this prospectus to “Recursion Pharmaceuticals, Inc.,” “we,” “our” and “us” refer, collectively, to Recursion Pharmaceuticals, Inc., a Delaware corporation, and its subsidiaries taken as a whole.</w:t>
      </w:r>
    </w:p>
    <w:p>
      <w:pPr>
        <w:pStyle w:val="TextBody"/>
        <w:bidi w:val="0"/>
        <w:spacing w:before="154" w:after="283"/>
        <w:jc w:val="left"/>
        <w:rPr/>
      </w:pPr>
      <w:r>
        <w:rPr/>
      </w:r>
    </w:p>
    <w:p>
      <w:pPr>
        <w:pStyle w:val="TextBody"/>
        <w:bidi w:val="0"/>
        <w:spacing w:lineRule="auto" w:line="288" w:before="0" w:after="0"/>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Company Overview</w:t>
      </w:r>
    </w:p>
    <w:p>
      <w:pPr>
        <w:pStyle w:val="TextBody"/>
        <w:bidi w:val="0"/>
        <w:spacing w:lineRule="auto" w:line="288" w:before="136"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are a clinical stage TechBio company leading this burgeoning space by decoding biology and chemistry to industrialize drug discovery. Central to our mission is the Recursion Operating System (OS), a platform built across diverse technologies that enables us to map and navigate trillions of biological and chemical relationships within the Recursion Data Universe, one of the world’s largest proprietary biological and chemical datasets. We frame this integration of the physical and digital components as iterative loops of atoms and bits. Scaled</w:t>
      </w:r>
    </w:p>
    <w:p>
      <w:pPr>
        <w:pStyle w:val="TextBody"/>
        <w:bidi w:val="0"/>
        <w:spacing w:lineRule="auto" w:line="288" w:before="4" w:after="283"/>
        <w:jc w:val="both"/>
        <w:rPr>
          <w:bdr w:val="single" w:sz="8" w:space="48" w:color="000000"/>
          <w:shd w:fill="FFFFFF" w:val="clear"/>
        </w:rPr>
      </w:pPr>
      <w:r>
        <w:rPr>
          <w:color w:val="231F20"/>
          <w:bdr w:val="single" w:sz="8" w:space="48" w:color="000000"/>
          <w:shd w:fill="FFFFFF" w:val="clear"/>
        </w:rPr>
        <w:t>‘</w:t>
      </w:r>
      <w:r>
        <w:rPr>
          <w:rFonts w:ascii="Times New Roman;serif" w:hAnsi="Times New Roman;serif"/>
          <w:b w:val="false"/>
          <w:color w:val="231F20"/>
          <w:sz w:val="20"/>
          <w:bdr w:val="single" w:sz="8" w:space="48" w:color="000000"/>
          <w:shd w:fill="FFFFFF" w:val="clear"/>
        </w:rPr>
        <w:t xml:space="preserve">wet-lab’ biology and chemistry data built in-house (atoms) are organized into virtuous cycles with ‘dry-lab’ computational tools (bits) to rapidly translate </w:t>
      </w:r>
      <w:r>
        <w:rPr>
          <w:rFonts w:ascii="Times New Roman;serif" w:hAnsi="Times New Roman;serif"/>
          <w:b w:val="false"/>
          <w:i/>
          <w:color w:val="231F20"/>
          <w:sz w:val="20"/>
          <w:bdr w:val="single" w:sz="8" w:space="48" w:color="000000"/>
          <w:shd w:fill="FFFFFF" w:val="clear"/>
        </w:rPr>
        <w:t xml:space="preserve">in silico </w:t>
      </w:r>
      <w:r>
        <w:rPr>
          <w:rFonts w:ascii="Times New Roman;serif" w:hAnsi="Times New Roman;serif"/>
          <w:b w:val="false"/>
          <w:color w:val="231F20"/>
          <w:sz w:val="20"/>
          <w:bdr w:val="single" w:sz="8" w:space="48" w:color="000000"/>
          <w:shd w:fill="FFFFFF" w:val="clear"/>
        </w:rPr>
        <w:t>hypotheses into validated insights and novel chemistry. Our focus on mapping and navigating the complexities of biology and chemistry beyond the published literature and in a target-agnostic way differentiates us from other companies in our space and leads us to confront a fundamental cause of failure for the majority of clinical-stage programs: the wrong target is chosen due to an incomplete and reductionist view of biology. Our balanced team of life scientists and computational and technical experts creates an environment where empirical data, statistical rigor and creative thinking are brought to bear on our decisions.</w:t>
      </w:r>
    </w:p>
    <w:p>
      <w:pPr>
        <w:pStyle w:val="TextBody"/>
        <w:bidi w:val="0"/>
        <w:spacing w:before="29" w:after="283"/>
        <w:jc w:val="both"/>
        <w:rPr/>
      </w:pPr>
      <w:r>
        <w:rPr/>
      </w:r>
    </w:p>
    <w:p>
      <w:pPr>
        <w:pStyle w:val="TextBody"/>
        <w:bidi w:val="0"/>
        <w:spacing w:lineRule="auto" w:line="288" w:before="0" w:after="0"/>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There are three key value drivers at Recursion:</w:t>
      </w:r>
    </w:p>
    <w:p>
      <w:pPr>
        <w:pStyle w:val="TextBody"/>
        <w:bidi w:val="0"/>
        <w:spacing w:lineRule="auto" w:line="288" w:before="136" w:after="283"/>
        <w:ind w:left="0" w:right="0" w:hanging="630"/>
        <w:jc w:val="both"/>
        <w:rPr>
          <w:shd w:fill="FFFFFF" w:val="clear"/>
        </w:rPr>
      </w:pPr>
      <w:r>
        <w:rPr>
          <w:rFonts w:ascii="Times New Roman;serif" w:hAnsi="Times New Roman;serif"/>
          <w:b w:val="false"/>
          <w:color w:val="231F20"/>
          <w:sz w:val="20"/>
          <w:shd w:fill="FFFFFF" w:val="clear"/>
        </w:rPr>
        <w:t xml:space="preserve">(a.An expansive </w:t>
      </w:r>
      <w:r>
        <w:rPr>
          <w:rFonts w:ascii="Times New Roman;serif" w:hAnsi="Times New Roman;serif"/>
          <w:b/>
          <w:color w:val="231F20"/>
          <w:sz w:val="20"/>
          <w:shd w:fill="FFFFFF" w:val="clear"/>
        </w:rPr>
        <w:t xml:space="preserve">pipeline </w:t>
      </w:r>
      <w:r>
        <w:rPr>
          <w:rFonts w:ascii="Times New Roman;serif" w:hAnsi="Times New Roman;serif"/>
          <w:b w:val="false"/>
          <w:color w:val="231F20"/>
          <w:sz w:val="20"/>
          <w:shd w:fill="FFFFFF" w:val="clear"/>
        </w:rPr>
        <w:t>of internally-developed clinical and preclinical programs focused on genetically- driven rare diseases and oncology with significant unmet need and market opportunities in some cases potentially in excess of $1 billion in annual sales.</w:t>
      </w:r>
    </w:p>
    <w:p>
      <w:pPr>
        <w:pStyle w:val="TextBody"/>
        <w:bidi w:val="0"/>
        <w:spacing w:before="24" w:after="283"/>
        <w:ind w:left="0" w:right="0" w:hanging="630"/>
        <w:jc w:val="both"/>
        <w:rPr/>
      </w:pPr>
      <w:r>
        <w:rPr/>
      </w:r>
    </w:p>
    <w:p>
      <w:pPr>
        <w:pStyle w:val="TextBody"/>
        <w:bidi w:val="0"/>
        <w:spacing w:lineRule="auto" w:line="288" w:before="1" w:after="283"/>
        <w:ind w:left="0" w:right="0" w:hanging="630"/>
        <w:jc w:val="both"/>
        <w:rPr>
          <w:shd w:fill="FFFFFF" w:val="clear"/>
        </w:rPr>
      </w:pPr>
      <w:r>
        <w:rPr>
          <w:rFonts w:ascii="Times New Roman;serif" w:hAnsi="Times New Roman;serif"/>
          <w:b w:val="false"/>
          <w:color w:val="231F20"/>
          <w:sz w:val="20"/>
          <w:shd w:fill="FFFFFF" w:val="clear"/>
        </w:rPr>
        <w:t xml:space="preserve">(b.Transformational </w:t>
      </w:r>
      <w:r>
        <w:rPr>
          <w:rFonts w:ascii="Times New Roman;serif" w:hAnsi="Times New Roman;serif"/>
          <w:b/>
          <w:color w:val="231F20"/>
          <w:sz w:val="20"/>
          <w:shd w:fill="FFFFFF" w:val="clear"/>
        </w:rPr>
        <w:t xml:space="preserve">partnerships </w:t>
      </w:r>
      <w:r>
        <w:rPr>
          <w:rFonts w:ascii="Times New Roman;serif" w:hAnsi="Times New Roman;serif"/>
          <w:b w:val="false"/>
          <w:color w:val="231F20"/>
          <w:sz w:val="20"/>
          <w:shd w:fill="FFFFFF" w:val="clear"/>
        </w:rPr>
        <w:t>with leading biopharma companies to map and navigate intractable areas of biology, identify novel targets and develop potential new medicines by using advanced computational and data resources.</w:t>
      </w:r>
    </w:p>
    <w:p>
      <w:pPr>
        <w:pStyle w:val="TextBody"/>
        <w:bidi w:val="0"/>
        <w:spacing w:before="24" w:after="283"/>
        <w:ind w:left="0" w:right="0" w:hanging="630"/>
        <w:jc w:val="both"/>
        <w:rPr/>
      </w:pPr>
      <w:r>
        <w:rPr/>
      </w:r>
    </w:p>
    <w:p>
      <w:pPr>
        <w:pStyle w:val="TextBody"/>
        <w:bidi w:val="0"/>
        <w:spacing w:lineRule="auto" w:line="288" w:before="0" w:after="0"/>
        <w:ind w:left="0" w:right="0" w:hanging="630"/>
        <w:jc w:val="both"/>
        <w:rPr>
          <w:shd w:fill="FFFFFF" w:val="clear"/>
        </w:rPr>
      </w:pPr>
      <w:r>
        <w:rPr>
          <w:rFonts w:ascii="Times New Roman;serif" w:hAnsi="Times New Roman;serif"/>
          <w:b w:val="false"/>
          <w:color w:val="231F20"/>
          <w:sz w:val="20"/>
          <w:shd w:fill="FFFFFF" w:val="clear"/>
        </w:rPr>
        <w:t xml:space="preserve">(c.An industry-leading </w:t>
      </w:r>
      <w:r>
        <w:rPr>
          <w:rFonts w:ascii="Times New Roman;serif" w:hAnsi="Times New Roman;serif"/>
          <w:b/>
          <w:color w:val="231F20"/>
          <w:sz w:val="20"/>
          <w:shd w:fill="FFFFFF" w:val="clear"/>
        </w:rPr>
        <w:t xml:space="preserve">dataset </w:t>
      </w:r>
      <w:r>
        <w:rPr>
          <w:rFonts w:ascii="Times New Roman;serif" w:hAnsi="Times New Roman;serif"/>
          <w:b w:val="false"/>
          <w:color w:val="231F20"/>
          <w:sz w:val="20"/>
          <w:shd w:fill="FFFFFF" w:val="clear"/>
        </w:rPr>
        <w:t>intentionally designed to capitalize on computational tools and accelerate value created through our pipeline, partnerships and technology products.</w:t>
      </w:r>
    </w:p>
    <w:p>
      <w:pPr>
        <w:pStyle w:val="TextBody"/>
        <w:bidi w:val="0"/>
        <w:spacing w:before="23" w:after="283"/>
        <w:jc w:val="both"/>
        <w:rPr/>
      </w:pPr>
      <w:r>
        <w:rPr/>
      </w:r>
    </w:p>
    <w:p>
      <w:pPr>
        <w:pStyle w:val="TextBody"/>
        <w:bidi w:val="0"/>
        <w:spacing w:lineRule="auto" w:line="288" w:before="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On November 20, 2024, Recursion completed the acquisition of Exscientia plc (“Exscientia”), a technology- driven clinical stage drug design and development company, committed to creating more effective medicines for patients, faster. As a result of the acquisition, Exscientia became a wholly owned subsidiary of Recursion, creating a vertically-integrated and technology-enabled drug discovery platform.</w:t>
      </w:r>
    </w:p>
    <w:p>
      <w:pPr>
        <w:pStyle w:val="TextBody"/>
        <w:bidi w:val="0"/>
        <w:spacing w:before="151" w:after="283"/>
        <w:jc w:val="both"/>
        <w:rPr/>
      </w:pPr>
      <w:r>
        <w:rPr/>
      </w:r>
    </w:p>
    <w:p>
      <w:pPr>
        <w:pStyle w:val="TextBody"/>
        <w:bidi w:val="0"/>
        <w:spacing w:lineRule="auto" w:line="288" w:before="0" w:after="0"/>
        <w:jc w:val="both"/>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Corporate Information</w:t>
      </w:r>
    </w:p>
    <w:p>
      <w:pPr>
        <w:pStyle w:val="TextBody"/>
        <w:bidi w:val="0"/>
        <w:spacing w:lineRule="auto" w:line="288" w:before="136"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Our principal executive office is located at 41 S Rio Grande Street, Salt Lake City, Utah 84101. Our telephone number is (385) 269-0203. Our website is www.recursion.com. Information contained in, or that can be accessed through, our website is not a part of, and is not incorporated into,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63" w:after="283"/>
        <w:jc w:val="left"/>
        <w:rPr/>
      </w:pPr>
      <w:r>
        <w:rPr/>
      </w:r>
    </w:p>
    <w:p>
      <w:pPr>
        <w:pStyle w:val="TextBody"/>
        <w:bidi w:val="0"/>
        <w:spacing w:lineRule="auto" w:line="288" w:before="0" w:after="0"/>
        <w:jc w:val="left"/>
        <w:rPr>
          <w:rFonts w:ascii="Times New Roman;serif" w:hAnsi="Times New Roman;serif"/>
          <w:b/>
          <w:color w:val="231F20"/>
          <w:sz w:val="20"/>
          <w:bdr w:val="single" w:sz="8" w:space="48" w:color="000000"/>
          <w:shd w:fill="FFFFFF" w:val="clear"/>
        </w:rPr>
      </w:pPr>
      <w:r>
        <w:rPr>
          <w:rFonts w:ascii="Times New Roman;serif" w:hAnsi="Times New Roman;serif"/>
          <w:b/>
          <w:color w:val="231F20"/>
          <w:sz w:val="20"/>
          <w:bdr w:val="single" w:sz="8" w:space="48" w:color="000000"/>
          <w:shd w:fill="FFFFFF" w:val="clear"/>
        </w:rPr>
        <w:t>The Securities That May Be Offered</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or sell Class A Common Stock, preferred stock, depositary shares, debt securities, warrants, subscription rights, purchase contracts and units in one or more offerings and in any combination, and the selling stockholders to be named in a supplement to this prospectus may from time to time offer and sell shares of our Class A Common Stock. Each time securities are offered with this prospectus, we will provide a prospectus supplement that will describe the specific amounts, prices and terms of the securities being offered and the net proceeds we expect to receive from that sale. We will not receive any proceeds from the sale of our Class A Common Stock by the selling stockholders.</w:t>
      </w:r>
    </w:p>
    <w:p>
      <w:pPr>
        <w:pStyle w:val="TextBody"/>
        <w:bidi w:val="0"/>
        <w:spacing w:lineRule="auto" w:line="288" w:before="207"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before="77"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Class A Common Stock</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or the selling stockholders may offer shares of our Class A Common Stock, par value $0.00001 per share,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pStyle w:val="TextBody"/>
        <w:bidi w:val="0"/>
        <w:spacing w:before="78"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Preferred Stock</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pStyle w:val="TextBody"/>
        <w:bidi w:val="0"/>
        <w:spacing w:before="78"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Depositary Shares</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pStyle w:val="TextBody"/>
        <w:bidi w:val="0"/>
        <w:spacing w:before="77"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Debt Securities</w:t>
      </w:r>
    </w:p>
    <w:p>
      <w:pPr>
        <w:pStyle w:val="TextBody"/>
        <w:bidi w:val="0"/>
        <w:spacing w:lineRule="auto" w:line="288" w:before="111"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Class A Common Stock or other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63" w:after="283"/>
        <w:jc w:val="left"/>
        <w:rPr/>
      </w:pPr>
      <w:r>
        <w:rPr/>
      </w:r>
    </w:p>
    <w:p>
      <w:pPr>
        <w:pStyle w:val="TextBody"/>
        <w:bidi w:val="0"/>
        <w:spacing w:lineRule="auto" w:line="288" w:before="0" w:after="0"/>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before="133"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Warrants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warrants for the purchase of Class A Common Stock, preferred stock, debt securities or depositary shares. We may offer warrants independently or together with other securities.</w:t>
      </w:r>
    </w:p>
    <w:p>
      <w:pPr>
        <w:pStyle w:val="TextBody"/>
        <w:bidi w:val="0"/>
        <w:spacing w:before="131"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Subscription Rights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before="133" w:after="283"/>
        <w:jc w:val="left"/>
        <w:rPr/>
      </w:pPr>
      <w:r>
        <w:rPr/>
      </w:r>
    </w:p>
    <w:p>
      <w:pPr>
        <w:pStyle w:val="TextBody"/>
        <w:bidi w:val="0"/>
        <w:spacing w:lineRule="auto" w:line="288" w:before="0" w:after="0"/>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Purchase Contracts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purchase contracts, including contracts obligating holders or us to purchase from the other a specific or variable number of securities at a future date or dates.</w:t>
      </w:r>
    </w:p>
    <w:p>
      <w:pPr>
        <w:pStyle w:val="TextBody"/>
        <w:bidi w:val="0"/>
        <w:spacing w:before="131" w:after="283"/>
        <w:jc w:val="left"/>
        <w:rPr/>
      </w:pPr>
      <w:r>
        <w:rPr/>
      </w:r>
    </w:p>
    <w:p>
      <w:pPr>
        <w:pStyle w:val="TextBody"/>
        <w:bidi w:val="0"/>
        <w:spacing w:lineRule="auto" w:line="288" w:before="1" w:after="283"/>
        <w:jc w:val="left"/>
        <w:rPr>
          <w:rFonts w:ascii="Times New Roman;serif" w:hAnsi="Times New Roman;serif"/>
          <w:b/>
          <w:i/>
          <w:color w:val="231F20"/>
          <w:sz w:val="20"/>
          <w:bdr w:val="single" w:sz="8" w:space="48" w:color="000000"/>
          <w:shd w:fill="FFFFFF" w:val="clear"/>
        </w:rPr>
      </w:pPr>
      <w:r>
        <w:rPr>
          <w:rFonts w:ascii="Times New Roman;serif" w:hAnsi="Times New Roman;serif"/>
          <w:b/>
          <w:i/>
          <w:color w:val="231F20"/>
          <w:sz w:val="20"/>
          <w:bdr w:val="single" w:sz="8" w:space="48" w:color="000000"/>
          <w:shd w:fill="FFFFFF" w:val="clear"/>
        </w:rPr>
        <w:t>Units</w:t>
      </w:r>
    </w:p>
    <w:p>
      <w:pPr>
        <w:pStyle w:val="TextBody"/>
        <w:bidi w:val="0"/>
        <w:spacing w:lineRule="auto" w:line="288" w:before="130" w:after="283"/>
        <w:jc w:val="both"/>
        <w:rPr>
          <w:rFonts w:ascii="Times New Roman;serif" w:hAnsi="Times New Roman;serif"/>
          <w:b w:val="false"/>
          <w:color w:val="231F20"/>
          <w:sz w:val="20"/>
          <w:bdr w:val="single" w:sz="8" w:space="48" w:color="000000"/>
          <w:shd w:fill="FFFFFF" w:val="clear"/>
        </w:rPr>
      </w:pPr>
      <w:r>
        <w:rPr>
          <w:rFonts w:ascii="Times New Roman;serif" w:hAnsi="Times New Roman;serif"/>
          <w:b w:val="false"/>
          <w:color w:val="231F20"/>
          <w:sz w:val="20"/>
          <w:bdr w:val="single" w:sz="8" w:space="48" w:color="000000"/>
          <w:shd w:fill="FFFFFF" w:val="clear"/>
        </w:rPr>
        <w:t>We may offer units comprised of one or more of the other classes of securities described in this prospectus in any combination. Each unit will be issued so that the holder of the unit is also the holder of each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RISK FACTORS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in “Part II— Item 1A—Risk Factors” in our subsequently filed Quarterly Reports on Form 10-Q, and in Item 8.01 in our Current Report on Form 8-K filed with the SEC on September 3, 2024, each of which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FORWARD-LOOKING STATEMENTS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w:t>
      </w:r>
    </w:p>
    <w:p>
      <w:pPr>
        <w:pStyle w:val="TextBody"/>
        <w:bidi w:val="0"/>
        <w:spacing w:lineRule="auto" w:line="288" w:before="24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are cautioned that any such forward-looking statements are not guarantees of future performance and involve risks and uncertainties, and that actual results may differ materially from those projected in the forward- looking statements as a result of various factors.</w:t>
      </w:r>
    </w:p>
    <w:p>
      <w:pPr>
        <w:pStyle w:val="TextBody"/>
        <w:bidi w:val="0"/>
        <w:spacing w:before="12"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before="16"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5"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USE OF PROCEEDS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 We may also use a portion of the net proceeds to acquire, license or invest in complementary products, technologies or businesses; however, we currently have no agreements or commitments to complete any such transaction. The expected use of net proceeds of this offering represents our current intentions based on our present plans and business conditions. We cannot specify with certainty all of the particular uses for the net proceeds to be received upon the closing of this offering. Pending these uses, we may invest the net proceeds of this offering in short- and intermediate-term, interest-bearing obligations, investment-grade instruments, certificates of deposit or direct or guaranteed obligations of the U.S. government.</w:t>
      </w:r>
    </w:p>
    <w:p>
      <w:pPr>
        <w:pStyle w:val="TextBody"/>
        <w:bidi w:val="0"/>
        <w:spacing w:before="18" w:after="283"/>
        <w:jc w:val="both"/>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not receive any of the proceeds from the sale of our securities by the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0"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SELLING STOCKHOLDERS</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also relates to the possible resale by certain of our stockholders, who we refer to in this prospectus as the “selling stockholders,” of shares of our Class A Common Stock that were issued and outstanding prior to the original date of filing of the registration statement of which this prospectus forms a part. Information about any selling stockholders, where applicable, including their identities and the number of shares of Class A Common Stock to be registered on their behalf, will be set forth in a prospectus supplement, in a post- effective amendment, or in filings we make with the SEC under the Exchange Act that are incorporated by reference. The selling stockholders shall not sell any shares of our Class A Common Stock pursuant to this prospectus until we have identified such selling stockholders and the shares being offered for resale by such selling stockholders. However, the selling stockholders may sell or transfer all or a portion of their shares of our Class A Common Stock pursuant to any available exemption from the registration requirements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1"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CAPITAL STOCK</w:t>
      </w:r>
    </w:p>
    <w:p>
      <w:pPr>
        <w:pStyle w:val="TextBody"/>
        <w:bidi w:val="0"/>
        <w:spacing w:before="20"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description of our capital stock is incorporated by reference to Exhibit 4.2 to our Annual Report on Form 10-K for the fiscal year ended December 31, 2023, filed with the SEC on February 29,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2"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DEBT SECURITIES</w:t>
      </w:r>
    </w:p>
    <w:p>
      <w:pPr>
        <w:pStyle w:val="TextBody"/>
        <w:bidi w:val="0"/>
        <w:spacing w:before="5"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lineRule="auto" w:line="288" w:before="229"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pStyle w:val="TextBody"/>
        <w:bidi w:val="0"/>
        <w:spacing w:lineRule="auto" w:line="288" w:before="228"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before="11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General</w:t>
      </w:r>
    </w:p>
    <w:p>
      <w:pPr>
        <w:pStyle w:val="TextBody"/>
        <w:bidi w:val="0"/>
        <w:spacing w:lineRule="auto" w:line="288" w:before="122"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90" w:before="24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title and ranking of the debt securities (including the terms of any subordination provisions);</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any limit upon the aggregate principal amount of the debt securities;</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date or dates on which the principal of the securities of the series is payable;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0"/>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right, if any, to defer payments of interest and the maximum length of such deferral period;</w:t>
      </w:r>
    </w:p>
    <w:p>
      <w:pPr>
        <w:pStyle w:val="TextBody"/>
        <w:bidi w:val="0"/>
        <w:spacing w:lineRule="auto" w:line="288"/>
        <w:ind w:left="0" w:right="0" w:hanging="270"/>
        <w:jc w:val="both"/>
        <w:rPr>
          <w:shd w:fill="FFFFFF" w:val="clear"/>
        </w:rPr>
      </w:pPr>
      <w:r>
        <w:rPr>
          <w:color w:val="231F20"/>
          <w:shd w:fill="FFFFFF" w:val="clear"/>
        </w:rPr>
        <w:t>•</w:t>
      </w:r>
      <w:r>
        <w:rPr>
          <w:rFonts w:ascii="Times New Roman;serif" w:hAnsi="Times New Roman;serif"/>
          <w:b w:val="false"/>
          <w:color w:val="231F20"/>
          <w:sz w:val="20"/>
          <w:shd w:fill="FFFFFF" w:val="clear"/>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3"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provisions, if any, relating to conversion or exchange of any debt securities of such series into our Class A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denominations in which the debt securities will be issued, if other than denominations of $1,000, and any integral multiple thereof;</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debt securities will be issued in the form of certificated debt securities or global debt securities (including the terms pertaining to the exchange of any such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portion of principal amount of the debt securities payable upon declaration of acceleration of the maturity date, if other than the principal amount;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provisions relating to any security provided for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depositaries, interest rate calculation agents, exchange rate calculation agents or other agents with respect to the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there is more than one trustee or a different trustee, the identity of the trustee and, if not the trustee, the identity of each security registrar, paying agent or authenticating agent with respect to such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24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any of our direct or indirect subsidiaries will guarantee the debt securities of that series, including the terms of subordination, if any, of such guarantees.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lineRule="auto" w:line="288" w:before="22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106" w:after="283"/>
        <w:jc w:val="left"/>
        <w:rPr/>
      </w:pPr>
      <w:r>
        <w:rPr/>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4"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Transfer and Exchange</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pStyle w:val="TextBody"/>
        <w:bidi w:val="0"/>
        <w:spacing w:before="107" w:after="283"/>
        <w:jc w:val="left"/>
        <w:rPr/>
      </w:pPr>
      <w:r>
        <w:rPr/>
      </w:r>
    </w:p>
    <w:p>
      <w:pPr>
        <w:pStyle w:val="TextBody"/>
        <w:bidi w:val="0"/>
        <w:spacing w:lineRule="auto" w:line="288" w:before="0" w:after="0"/>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Certificated Debt Securities</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22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105" w:after="283"/>
        <w:jc w:val="left"/>
        <w:rPr/>
      </w:pPr>
      <w:r>
        <w:rPr/>
      </w:r>
    </w:p>
    <w:p>
      <w:pPr>
        <w:pStyle w:val="TextBody"/>
        <w:bidi w:val="0"/>
        <w:spacing w:lineRule="auto" w:line="288" w:before="0" w:after="0"/>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Global Debt Securities and Book-Entry System</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global debt security representing book-entry debt securities will be deposited with, or on behalf of, the depositary, and registered in the name of the depositary or a nominee of the depositary.</w:t>
      </w:r>
    </w:p>
    <w:p>
      <w:pPr>
        <w:pStyle w:val="TextBody"/>
        <w:bidi w:val="0"/>
        <w:spacing w:before="103" w:after="283"/>
        <w:jc w:val="left"/>
        <w:rPr/>
      </w:pPr>
      <w:r>
        <w:rPr/>
      </w:r>
    </w:p>
    <w:p>
      <w:pPr>
        <w:pStyle w:val="TextBody"/>
        <w:bidi w:val="0"/>
        <w:spacing w:lineRule="auto" w:line="288" w:before="1"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Covenants</w:t>
      </w:r>
    </w:p>
    <w:p>
      <w:pPr>
        <w:pStyle w:val="TextBody"/>
        <w:bidi w:val="0"/>
        <w:spacing w:lineRule="auto" w:line="288" w:before="1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set forth in the applicable prospectus supplement any restrictive covenants applicable to any issue or series of debt securities.</w:t>
      </w:r>
    </w:p>
    <w:p>
      <w:pPr>
        <w:pStyle w:val="TextBody"/>
        <w:bidi w:val="0"/>
        <w:spacing w:before="10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 Protection in the Event of a Change of Control</w:t>
      </w:r>
    </w:p>
    <w:p>
      <w:pPr>
        <w:pStyle w:val="TextBody"/>
        <w:bidi w:val="0"/>
        <w:spacing w:lineRule="auto" w:line="288" w:before="120" w:after="283"/>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5"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Consolidation, Merger and Sale of Assets</w:t>
      </w:r>
    </w:p>
    <w:p>
      <w:pPr>
        <w:pStyle w:val="TextBody"/>
        <w:bidi w:val="0"/>
        <w:spacing w:lineRule="auto" w:line="290"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immediately after giving effect to the transaction, no Default or Event of Default, shall have occurred and be continuing.</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Notwithstanding the above, any of our subsidiaries may consolidate with, merge into or transfer all or part of its properties to us.</w:t>
      </w:r>
    </w:p>
    <w:p>
      <w:pPr>
        <w:pStyle w:val="TextBody"/>
        <w:bidi w:val="0"/>
        <w:spacing w:before="132"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Events of Default</w:t>
      </w:r>
    </w:p>
    <w:p>
      <w:pPr>
        <w:pStyle w:val="TextBody"/>
        <w:bidi w:val="0"/>
        <w:spacing w:lineRule="auto" w:line="290" w:before="240" w:after="240"/>
        <w:jc w:val="left"/>
        <w:rPr>
          <w:color w:val="231F20"/>
          <w:shd w:fill="FFFFFF" w:val="clear"/>
        </w:rPr>
      </w:pPr>
      <w:r>
        <w:rPr>
          <w:color w:val="231F20"/>
          <w:shd w:fill="FFFFFF" w:val="clear"/>
        </w:rPr>
        <w:t>“</w:t>
      </w:r>
      <w:r>
        <w:rPr>
          <w:rFonts w:ascii="Times New Roman;serif" w:hAnsi="Times New Roman;serif"/>
          <w:b w:val="false"/>
          <w:color w:val="231F20"/>
          <w:sz w:val="20"/>
          <w:shd w:fill="FFFFFF" w:val="clear"/>
        </w:rPr>
        <w:t>Event of Default” means with respect to any series of debt securities, any of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payment of principal of any security of that series at its maturity;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certain voluntary or involuntary events of bankruptcy, insolvency or reorganization of us;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Event of Default provided with respect to debt securities of that series that is described in the applicable prospectus supplement.</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1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12"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6"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218"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90"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that holder has previously given to the trustee written notice of a continuing Event of Default with respect to debt securities of that series;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pStyle w:val="TextBody"/>
        <w:bidi w:val="0"/>
        <w:spacing w:lineRule="auto" w:line="288" w:before="214"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21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9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Modification and Waiver</w:t>
      </w:r>
    </w:p>
    <w:p>
      <w:pPr>
        <w:pStyle w:val="TextBody"/>
        <w:bidi w:val="0"/>
        <w:spacing w:lineRule="auto" w:line="290" w:before="115"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and the trustee may modify, amend or supplement the indenture or the debt securities of any series without the consent of any holder of any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cure any ambiguity, defect or inconsistency;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covenants in the indenture described in the section titled “—Consolidation, Merger and Sale of Assets”;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provide for uncertificated securities in addition to or in place of certificated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add guarantees with respect to debt securities of any series or secure debt securities of any series;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surrender any of our rights or powers under the indenture;</w:t>
      </w:r>
    </w:p>
    <w:p>
      <w:pPr>
        <w:pStyle w:val="TextBody"/>
        <w:bidi w:val="0"/>
        <w:spacing w:lineRule="auto" w:line="288"/>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add covenants or events of default for the benefit of the holders of debt securities of any series;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7"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the applicable procedures of the applicable depositary;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make any change that does not adversely affect the rights of any holder of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provide for the issuance of, and establish the form and terms and conditions of debt securities of, any series as permitted by the indenture;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24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to comply with requirements of the SEC in order to effect or maintain the qualification of the indenture under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amount of debt securities whose holders must consent to an amendment, supplement or waiver;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rate of or extend the time for payment of interest (including default interest) on any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reduce the principal amount of discount securities payable upon acceleration of maturity;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make the principal of or premium or interest on any debt security payable in currency other than that stated in the debt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waive a redemption payment with respect to any debt security.</w:t>
      </w:r>
    </w:p>
    <w:p>
      <w:pPr>
        <w:pStyle w:val="TextBody"/>
        <w:bidi w:val="0"/>
        <w:spacing w:lineRule="auto" w:line="288" w:before="20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lineRule="auto" w:line="288" w:before="240"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Defeasance of Debt Securities and Certain Covenants in Certain Circumstances</w:t>
      </w:r>
    </w:p>
    <w:p>
      <w:pPr>
        <w:pStyle w:val="TextBody"/>
        <w:bidi w:val="0"/>
        <w:spacing w:lineRule="auto" w:line="288" w:before="130" w:after="283"/>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Legal Defeasance</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8"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sinking fund payments in respect of the debt securities of that series on the stated maturity of those payments in accordance with the terms of the indenture and those debt securities.</w:t>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136" w:after="283"/>
        <w:jc w:val="left"/>
        <w:rPr/>
      </w:pPr>
      <w:r>
        <w:rPr/>
      </w:r>
    </w:p>
    <w:p>
      <w:pPr>
        <w:pStyle w:val="TextBody"/>
        <w:bidi w:val="0"/>
        <w:spacing w:lineRule="auto" w:line="288" w:before="1" w:after="283"/>
        <w:jc w:val="left"/>
        <w:rPr>
          <w:rFonts w:ascii="Times New Roman;serif" w:hAnsi="Times New Roman;serif"/>
          <w:b/>
          <w:i/>
          <w:color w:val="231F20"/>
          <w:sz w:val="20"/>
          <w:shd w:fill="FFFFFF" w:val="clear"/>
        </w:rPr>
      </w:pPr>
      <w:r>
        <w:rPr>
          <w:rFonts w:ascii="Times New Roman;serif" w:hAnsi="Times New Roman;serif"/>
          <w:b/>
          <w:i/>
          <w:color w:val="231F20"/>
          <w:sz w:val="20"/>
          <w:shd w:fill="FFFFFF" w:val="clear"/>
        </w:rPr>
        <w:t>Defeasance of Certain Covenants</w:t>
      </w:r>
    </w:p>
    <w:p>
      <w:pPr>
        <w:pStyle w:val="TextBody"/>
        <w:bidi w:val="0"/>
        <w:spacing w:lineRule="auto" w:line="290" w:before="13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unless otherwise provided by the terms of the applicable series of debt securities, upon compliance with certain conditions: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omission to comply with those covenants will not constitute a Default or an Event of Default with respect to the debt securities of that series.</w:t>
      </w:r>
    </w:p>
    <w:p>
      <w:pPr>
        <w:pStyle w:val="TextBody"/>
        <w:bidi w:val="0"/>
        <w:spacing w:before="11"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refer to this as covenant defeasance. The conditions include: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such deposit will not result in a breach or violation of, or constitute a default under the indenture or any other agreement to which we are a party;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no Default or Event of Default with respect to the applicable series of debt securities shall have occurred or is continuing on the date of such deposit;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before="134"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 Personal Liability of Directors, Officers, Employees or Stockholders</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9"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release may not be effective to waive liabilities under U.S. federal securities laws, and it is the view of the SEC that such a waiver is against public policy.</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Governing Law</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and the debt securities, including any claim or controversy arising out of or relating to the indenture or the securities, will be governed by the laws of the State of New York.</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1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0"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DEPOSITARY SHARES</w:t>
      </w:r>
    </w:p>
    <w:p>
      <w:pPr>
        <w:pStyle w:val="TextBody"/>
        <w:bidi w:val="0"/>
        <w:spacing w:lineRule="auto" w:line="288" w:before="119"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General</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22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shares will be evidenced by depositary receipts issued pursuant to the deposit agreement.</w:t>
      </w:r>
    </w:p>
    <w:p>
      <w:pPr>
        <w:pStyle w:val="TextBody"/>
        <w:bidi w:val="0"/>
        <w:spacing w:lineRule="auto" w:line="288" w:before="1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Holders of depositary receipts agree to be bound by the deposit agreement, which requires holders to take certain actions such as filing proof of residence and paying certain charges.</w:t>
      </w:r>
    </w:p>
    <w:p>
      <w:pPr>
        <w:pStyle w:val="TextBody"/>
        <w:bidi w:val="0"/>
        <w:spacing w:lineRule="auto" w:line="288" w:before="22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before="9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Dividends and Other Distributions</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222"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Liquidation Preference</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before="100"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Withdrawal of Stock</w:t>
      </w:r>
    </w:p>
    <w:p>
      <w:pPr>
        <w:pStyle w:val="TextBody"/>
        <w:bidi w:val="0"/>
        <w:spacing w:lineRule="auto" w:line="288" w:before="119"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1"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Redemption of Depositary Shares</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before="46"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before="179"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Voting the Preferred Stock</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before="184"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Charges of the Depositary</w:t>
      </w:r>
    </w:p>
    <w:p>
      <w:pPr>
        <w:pStyle w:val="TextBody"/>
        <w:bidi w:val="0"/>
        <w:spacing w:lineRule="auto" w:line="288" w:before="145"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before="183"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Amendment and Termination of the Deposit Agreement</w:t>
      </w:r>
    </w:p>
    <w:p>
      <w:pPr>
        <w:pStyle w:val="TextBody"/>
        <w:bidi w:val="0"/>
        <w:spacing w:lineRule="auto" w:line="290" w:before="145"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all outstanding depositary shares have been redeemed;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there has been a final distribution of the preferred stock in connection with our dissolution and such distribution has been made to all the holders of depositary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2"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Resignation and Removal of Depositary</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Notices</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before="135" w:after="283"/>
        <w:jc w:val="left"/>
        <w:rPr/>
      </w:pPr>
      <w:r>
        <w:rPr/>
      </w:r>
    </w:p>
    <w:p>
      <w:pPr>
        <w:pStyle w:val="TextBody"/>
        <w:bidi w:val="0"/>
        <w:spacing w:lineRule="auto" w:line="288" w:before="0" w:after="0"/>
        <w:jc w:val="left"/>
        <w:rPr>
          <w:rFonts w:ascii="Times New Roman;serif" w:hAnsi="Times New Roman;serif"/>
          <w:b/>
          <w:color w:val="231F20"/>
          <w:sz w:val="20"/>
          <w:shd w:fill="FFFFFF" w:val="clear"/>
        </w:rPr>
      </w:pPr>
      <w:r>
        <w:rPr>
          <w:rFonts w:ascii="Times New Roman;serif" w:hAnsi="Times New Roman;serif"/>
          <w:b/>
          <w:color w:val="231F20"/>
          <w:sz w:val="20"/>
          <w:shd w:fill="FFFFFF" w:val="clear"/>
        </w:rPr>
        <w:t>Limitation of Liability</w:t>
      </w:r>
    </w:p>
    <w:p>
      <w:pPr>
        <w:pStyle w:val="TextBody"/>
        <w:bidi w:val="0"/>
        <w:spacing w:lineRule="auto" w:line="288" w:before="13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3"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WARRANTS</w:t>
      </w:r>
    </w:p>
    <w:p>
      <w:pPr>
        <w:pStyle w:val="TextBody"/>
        <w:bidi w:val="0"/>
        <w:spacing w:before="44"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warrants to purchase debt securities, preferred stock, depositary shares or Class A Common Stock. We may offer warrants separately or together with one or more additional warrants, debt securities, preferred stock, depositary shares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specific designation and aggregate number of, and the offering price at which we will issue,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currency or currency units in which the offering price, if any, and the exercise price are payable;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warrants are to be sold separately or with other securities as parts of units;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applicable material U.S. federal income tax consequences;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identity of the warrant agent for the warrants and of any other depositaries, execution or paying agents, transfer agents, registrars or other agents;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proposed listing, if any, of the warrants or any securities purchasable upon exercise of the warrants on any securities exchange;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and terms of any equity securities purchasable upon exercise of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aggregate principal amount, currency and terms of any debt securities that may be purchased upon exercise of the warrants;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designation and terms of the debt securities, preferred stock, depositary shares or Class A Common Stock with which the warrants are issued and the number of warrants issued with each security;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date from and after which any warrants issued as part of a unit and the related debt securities, preferred stock, depositary shares or Class A Common Stock will be separately transferable;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of shares of preferred stock, the number of depositary shares or the number of shares of Class A Common Stock purchasable upon exercise of a warrant and the price at which those shares may be purchased;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minimum or maximum amount of the warrants that may be exercised at any one time;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information with respect to book-entry procedures, if any;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antidilution provisions, and other provisions for changes to or adjustment in the exercise price, of the warrants, if any;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redemption or call provisions;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4"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SUBSCRIPTION RIGHTS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subscription rights to purchase our Class A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1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relating to any subscription rights we offer, if any, will, to the extent applicable, include specific terms relating to the offering, including some or all of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price, if any, for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exercise price payable for our Class A Common Stock, preferred stock, debt securities, depositary shares, warrants or units consisting of some or all of these securities upon the exercise of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of subscription rights to be issued to each stockholder;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number and terms of our Class A Common Stock, preferred stock, debt securities, depositary shares, warrants or units consisting of some or all of these securities which may be purchased per each subscription right;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extent to which the subscription rights are transferable;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subscription rights, including the terms, procedures and limitations relating to the exchange and exercise of the subscription rights;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date on which the right to exercise the subscription rights shall commence, and the date on which the subscription rights shall expire;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material terms of any standby underwriting or purchase arrangement which may be entered into by us in connection with the offering of subscription rights.</w:t>
      </w:r>
    </w:p>
    <w:p>
      <w:pPr>
        <w:pStyle w:val="TextBody"/>
        <w:bidi w:val="0"/>
        <w:spacing w:before="11"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5"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PURCHASE CONTRACTS</w:t>
      </w:r>
    </w:p>
    <w:p>
      <w:pPr>
        <w:pStyle w:val="TextBody"/>
        <w:bidi w:val="0"/>
        <w:spacing w:before="7"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before="4"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offer any purchase contracts, certain terms of that series of purchase contracts will be described in the applicable prospectus supplement, including, without limitation,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price of the securities or other property subject to the purchase contracts (which may be determined by reference to a specific formula described in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requirement for us to make periodic payments to holders or vice versa, and whether the payments are unsecured or pre-funded;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provisions relating to any security provided for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to be prepaid or not;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are to be settled by delivery, or by reference or linkage to the value, performance or level of the securities subject to purchase under the purchase contract;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acceleration, cancellation, termination or other provisions relating to the settlement of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 discussion of certain U.S. federal income tax considerations applicable to the purchase contracts;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purchase contracts will be issued in fully registered or global form;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other terms of the purchase contracts and any securities subject to such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6"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DESCRIPTION OF UNITS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may offer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14"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unit will be issued so that the holder of the unit also is the holder of each security included in the unit.</w:t>
      </w:r>
    </w:p>
    <w:p>
      <w:pPr>
        <w:pStyle w:val="TextBody"/>
        <w:bidi w:val="0"/>
        <w:spacing w:lineRule="auto" w:line="288" w:before="10"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before="1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relating to any particular issuance of units will describe the terms of those units, including, to the extent applicable,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provision for the issuance, payment, settlement, transfer or exchange of the units or of the securities comprising the units;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whether the units will be issued in fully registered or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7"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PLAN OF DISTRIBUTION</w:t>
      </w:r>
    </w:p>
    <w:p>
      <w:pPr>
        <w:pStyle w:val="TextBody"/>
        <w:bidi w:val="0"/>
        <w:spacing w:before="35"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and the selling stockholders may sell securities: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dealers;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agents;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directly to purchasers;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through a combination of any of these methods of sale.</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addition, we may issue the securities as a dividend or distribution or in a subscription rights offering to our existing securityholders.</w:t>
      </w:r>
    </w:p>
    <w:p>
      <w:pPr>
        <w:pStyle w:val="TextBody"/>
        <w:bidi w:val="0"/>
        <w:spacing w:before="26"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We or the selling stockholders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before="30"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distribution of the securities may be effected from time to time in one or more transactions: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a fixed price or prices that may be changed from time to time;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market prices prevailing at the time of sale;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prices related to such prevailing market prices; or</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at negotiated prices.</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Each prospectus supplement will describe the method of distribution of the securities and any applicable restrictions.</w:t>
      </w:r>
    </w:p>
    <w:p>
      <w:pPr>
        <w:pStyle w:val="TextBody"/>
        <w:bidi w:val="0"/>
        <w:spacing w:before="27"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prospectus supplement with respect to the securities of a particular series will describe the terms of the offering of the securities, including the following:</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name of the agent or any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public offering or purchase price;</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applicable, the names of any selling stockholders;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discounts and commissions to be allowed or paid to the agent or underwriters;</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all other items constituting underwriting compensation;</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discounts and commissions to be allowed or paid to dealers;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any exchanges on which the securities will be listed.</w:t>
      </w:r>
    </w:p>
    <w:p>
      <w:pPr>
        <w:pStyle w:val="TextBody"/>
        <w:bidi w:val="0"/>
        <w:spacing w:before="35"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any underwriters or agents are utilized in the sale of the securities in respect of which this prospectus is delivered, we and the selling stockholders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8"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a dealer is utilized in the sale of the securities in respect of which the prospectus is delivered, we or the selling stockholders will sell such securities to the dealer, as principal. The dealer may then resell such securities to the public at varying prices to be determined by such dealer at the time of resale.</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before="14"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Agents, underwriters, dealers and other persons may be entitled under agreements that they may enter into with us and the selling stockholders to indemnification by us against certain civil liabilities, including liabilities under the Securities Act.</w:t>
      </w:r>
    </w:p>
    <w:p>
      <w:pPr>
        <w:pStyle w:val="TextBody"/>
        <w:bidi w:val="0"/>
        <w:spacing w:before="13" w:after="283"/>
        <w:jc w:val="left"/>
        <w:rPr/>
      </w:pPr>
      <w:r>
        <w:rPr/>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the purchase by an institution of the securities covered under that contract shall not at the time of delivery be prohibited under the laws of the jurisdiction to which that institution is subject; and</w:t>
      </w:r>
    </w:p>
    <w:p>
      <w:pPr>
        <w:pStyle w:val="TextBody"/>
        <w:bidi w:val="0"/>
        <w:spacing w:lineRule="auto" w:line="288" w:before="0" w:after="0"/>
        <w:ind w:left="0" w:right="0" w:hanging="270"/>
        <w:jc w:val="left"/>
        <w:rPr>
          <w:shd w:fill="FFFFFF" w:val="clear"/>
        </w:rPr>
      </w:pPr>
      <w:r>
        <w:rPr>
          <w:color w:val="231F20"/>
          <w:shd w:fill="FFFFFF" w:val="clear"/>
        </w:rPr>
        <w:t>•</w:t>
      </w:r>
      <w:r>
        <w:rPr>
          <w:rFonts w:ascii="Times New Roman;serif" w:hAnsi="Times New Roman;serif"/>
          <w:b w:val="false"/>
          <w:color w:val="231F20"/>
          <w:sz w:val="20"/>
          <w:shd w:fill="FFFFFF" w:val="clear"/>
        </w:rPr>
        <w:t>if the securities are also being sold to underwriters acting as principals for their own account, the underwriters shall have purchased such securities not sold for delayed delivery.</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underwriters and other persons acting as agents will not have any responsibility in respect of the validity or performance of delayed delivery contracts.</w:t>
      </w:r>
    </w:p>
    <w:p>
      <w:pPr>
        <w:pStyle w:val="TextBody"/>
        <w:bidi w:val="0"/>
        <w:spacing w:before="12"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before="12"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before="18" w:after="283"/>
        <w:jc w:val="left"/>
        <w:rPr/>
      </w:pPr>
      <w:r>
        <w:rPr/>
      </w:r>
    </w:p>
    <w:p>
      <w:pPr>
        <w:pStyle w:val="TextBody"/>
        <w:bidi w:val="0"/>
        <w:spacing w:lineRule="auto" w:line="288" w:before="1"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9"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pStyle w:val="TextBody"/>
        <w:bidi w:val="0"/>
        <w:spacing w:before="12" w:after="283"/>
        <w:jc w:val="left"/>
        <w:rPr/>
      </w:pPr>
      <w:r>
        <w:rPr/>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0"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LEGAL MATTERS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validity of the securities offered hereby will be passed upon for us by Wilson Sonsini Goodrich &amp; Rosati, Professional Corporation, Seattle, Washington. Additional legal matters may be passed on for us, or any underwriters, dealers or agents, by counsel that we will name in the applicable prospectus supplement.</w:t>
      </w:r>
    </w:p>
    <w:p>
      <w:pPr>
        <w:pStyle w:val="TextBody"/>
        <w:bidi w:val="0"/>
        <w:spacing w:before="0" w:after="0"/>
        <w:jc w:val="left"/>
        <w:rPr/>
      </w:pPr>
      <w:r>
        <w:rPr/>
      </w:r>
    </w:p>
    <w:p>
      <w:pPr>
        <w:pStyle w:val="TextBody"/>
        <w:bidi w:val="0"/>
        <w:spacing w:before="22" w:after="283"/>
        <w:jc w:val="left"/>
        <w:rPr/>
      </w:pPr>
      <w:r>
        <w:rPr/>
      </w:r>
    </w:p>
    <w:p>
      <w:pPr>
        <w:pStyle w:val="TextBody"/>
        <w:bidi w:val="0"/>
        <w:spacing w:lineRule="auto" w:line="288" w:before="0" w:after="0"/>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EXPERTS</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consolidated financial statements of Recursion Pharmaceuticals, Inc. appearing in Recursion Pharmaceuticals, Inc.’s Annual Report (Form 10-K) for the year ended December 31, 2023, and the effectiveness of Recursion Pharmaceuticals, Inc.’s internal control over financial reporting as of December 31, 2023, have been audited by Ernst &amp; Young LLP, predecessor independent registered public accounting firm, as set forth in its reports thereon, which conclude, among other things, that Recursion Pharmaceuticals, Inc. did not maintain effective internal control over financial reporting as of December 31, 2023,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pStyle w:val="TextBody"/>
        <w:bidi w:val="0"/>
        <w:spacing w:before="18"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audited historical financial statements of Exscientia plc included in Exhibit 99.3 of Recursion Pharmaceuticals, Inc.’s Current Report on Form 8-K dated September 3, 2024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1"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WHERE YOU CAN FIND MORE INFORMATION</w:t>
      </w:r>
    </w:p>
    <w:p>
      <w:pPr>
        <w:pStyle w:val="TextBody"/>
        <w:bidi w:val="0"/>
        <w:spacing w:before="20" w:after="283"/>
        <w:jc w:val="left"/>
        <w:rPr/>
      </w:pPr>
      <w:r>
        <w:rPr/>
      </w:r>
    </w:p>
    <w:p>
      <w:pPr>
        <w:pStyle w:val="TextBody"/>
        <w:bidi w:val="0"/>
        <w:spacing w:lineRule="auto" w:line="288" w:before="0" w:after="0"/>
        <w:jc w:val="left"/>
        <w:rPr>
          <w:shd w:fill="FFFFFF" w:val="clear"/>
        </w:rPr>
      </w:pPr>
      <w:r>
        <w:rPr>
          <w:rFonts w:ascii="Times New Roman;serif" w:hAnsi="Times New Roman;serif"/>
          <w:b w:val="false"/>
          <w:color w:val="231F20"/>
          <w:sz w:val="20"/>
          <w:shd w:fill="FFFFFF" w:val="clear"/>
        </w:rPr>
        <w:t xml:space="preserve">We file annual, quarterly and current reports, proxy statements and other information with the SEC. Our SEC filings are available to the public over the Internet at the SEC’s website at </w:t>
      </w:r>
      <w:r>
        <w:rPr>
          <w:rFonts w:ascii="Times New Roman;serif" w:hAnsi="Times New Roman;serif"/>
          <w:b w:val="false"/>
          <w:i/>
          <w:color w:val="231F20"/>
          <w:sz w:val="20"/>
          <w:shd w:fill="FFFFFF" w:val="clear"/>
        </w:rPr>
        <w:t>www.sec.gov</w:t>
      </w:r>
      <w:r>
        <w:rPr>
          <w:rFonts w:ascii="Times New Roman;serif" w:hAnsi="Times New Roman;serif"/>
          <w:b w:val="false"/>
          <w:color w:val="231F20"/>
          <w:sz w:val="20"/>
          <w:shd w:fill="FFFFFF" w:val="clear"/>
        </w:rPr>
        <w:t xml:space="preserve">. Copies of certain information filed by us with the SEC are also available on our website at </w:t>
      </w:r>
      <w:r>
        <w:rPr>
          <w:rFonts w:ascii="Times New Roman;serif" w:hAnsi="Times New Roman;serif"/>
          <w:b w:val="false"/>
          <w:i/>
          <w:color w:val="231F20"/>
          <w:sz w:val="20"/>
          <w:shd w:fill="FFFFFF" w:val="clear"/>
        </w:rPr>
        <w:t>www.recursion.com</w:t>
      </w:r>
      <w:r>
        <w:rPr>
          <w:rFonts w:ascii="Times New Roman;serif" w:hAnsi="Times New Roman;serif"/>
          <w:b w:val="false"/>
          <w:color w:val="231F20"/>
          <w:sz w:val="20"/>
          <w:shd w:fill="FFFFFF" w:val="clear"/>
        </w:rPr>
        <w:t>. Information accessible on or through our website is not a part of this prospectus.</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2"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3" w:after="283"/>
        <w:jc w:val="center"/>
        <w:rPr>
          <w:rFonts w:ascii="Times New Roman;serif" w:hAnsi="Times New Roman;serif"/>
          <w:b/>
          <w:color w:val="231F20"/>
          <w:sz w:val="20"/>
          <w:shd w:fill="FFFFFF" w:val="clear"/>
        </w:rPr>
      </w:pPr>
      <w:r>
        <w:rPr>
          <w:rFonts w:ascii="Times New Roman;serif" w:hAnsi="Times New Roman;serif"/>
          <w:b/>
          <w:color w:val="231F20"/>
          <w:sz w:val="20"/>
          <w:shd w:fill="FFFFFF" w:val="clear"/>
        </w:rPr>
        <w:t>INCORPORATION BY REFERENCE</w:t>
      </w:r>
    </w:p>
    <w:p>
      <w:pPr>
        <w:pStyle w:val="TextBody"/>
        <w:bidi w:val="0"/>
        <w:spacing w:before="20"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w:t>
      </w:r>
    </w:p>
    <w:p>
      <w:pPr>
        <w:pStyle w:val="TextBody"/>
        <w:bidi w:val="0"/>
        <w:spacing w:lineRule="auto" w:line="288" w:before="0" w:after="24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w:t>
      </w:r>
      <w:hyperlink r:id="rId16">
        <w:r>
          <w:rPr>
            <w:rStyle w:val="InternetLink"/>
            <w:rFonts w:ascii="Times New Roman;serif" w:hAnsi="Times New Roman;serif"/>
            <w:b w:val="false"/>
            <w:color w:val="0000FF"/>
            <w:sz w:val="20"/>
            <w:u w:val="single"/>
            <w:shd w:fill="FFFFFF" w:val="clear"/>
          </w:rPr>
          <w:t>Annual Report on Form 10-K for the year ended December 31, 2023 filed on February 29, 2024</w:t>
        </w:r>
      </w:hyperlink>
      <w:r>
        <w:rPr>
          <w:rFonts w:ascii="Times New Roman;serif" w:hAnsi="Times New Roman;serif"/>
          <w:b w:val="false"/>
          <w:color w:val="231F20"/>
          <w:sz w:val="20"/>
          <w:shd w:fill="FFFFFF" w:val="clear"/>
        </w:rPr>
        <w:t>;</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Quarterly Reports on Form 10-Q for the quarter ended </w:t>
      </w:r>
      <w:hyperlink r:id="rId17">
        <w:r>
          <w:rPr>
            <w:rStyle w:val="InternetLink"/>
            <w:rFonts w:ascii="Times New Roman;serif" w:hAnsi="Times New Roman;serif"/>
            <w:b w:val="false"/>
            <w:color w:val="0000FF"/>
            <w:sz w:val="20"/>
            <w:u w:val="single"/>
            <w:shd w:fill="FFFFFF" w:val="clear"/>
          </w:rPr>
          <w:t>March 31, 2024 filed on May 9, 2024</w:t>
        </w:r>
      </w:hyperlink>
      <w:r>
        <w:rPr>
          <w:rFonts w:ascii="Times New Roman;serif" w:hAnsi="Times New Roman;serif"/>
          <w:b w:val="false"/>
          <w:color w:val="231F20"/>
          <w:sz w:val="20"/>
          <w:shd w:fill="FFFFFF" w:val="clear"/>
        </w:rPr>
        <w:t xml:space="preserve">, for the quarter ended </w:t>
      </w:r>
      <w:hyperlink r:id="rId18">
        <w:r>
          <w:rPr>
            <w:rStyle w:val="InternetLink"/>
            <w:rFonts w:ascii="Times New Roman;serif" w:hAnsi="Times New Roman;serif"/>
            <w:b w:val="false"/>
            <w:color w:val="0000FF"/>
            <w:sz w:val="20"/>
            <w:u w:val="single"/>
            <w:shd w:fill="FFFFFF" w:val="clear"/>
          </w:rPr>
          <w:t>June 30, 2024 filed on August 8, 2024</w:t>
        </w:r>
      </w:hyperlink>
      <w:r>
        <w:rPr>
          <w:rFonts w:ascii="Times New Roman;serif" w:hAnsi="Times New Roman;serif"/>
          <w:b w:val="false"/>
          <w:color w:val="231F20"/>
          <w:sz w:val="20"/>
          <w:shd w:fill="FFFFFF" w:val="clear"/>
        </w:rPr>
        <w:t xml:space="preserve">, and for the quarter ended </w:t>
      </w:r>
      <w:hyperlink r:id="rId19">
        <w:r>
          <w:rPr>
            <w:rStyle w:val="InternetLink"/>
            <w:rFonts w:ascii="Times New Roman;serif" w:hAnsi="Times New Roman;serif"/>
            <w:b w:val="false"/>
            <w:color w:val="0000FF"/>
            <w:sz w:val="20"/>
            <w:u w:val="single"/>
            <w:shd w:fill="FFFFFF" w:val="clear"/>
          </w:rPr>
          <w:t>September 30, 2024 filed on November 6, 2024</w:t>
        </w:r>
      </w:hyperlink>
      <w:r>
        <w:rPr>
          <w:rFonts w:ascii="Times New Roman;serif" w:hAnsi="Times New Roman;serif"/>
          <w:b w:val="false"/>
          <w:color w:val="231F20"/>
          <w:sz w:val="20"/>
          <w:shd w:fill="FFFFFF" w:val="clear"/>
        </w:rPr>
        <w:t>;</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w:t>
      </w:r>
      <w:hyperlink r:id="rId20">
        <w:r>
          <w:rPr>
            <w:rStyle w:val="InternetLink"/>
            <w:rFonts w:ascii="Times New Roman;serif" w:hAnsi="Times New Roman;serif"/>
            <w:b w:val="false"/>
            <w:color w:val="0000FF"/>
            <w:sz w:val="20"/>
            <w:u w:val="single"/>
            <w:shd w:fill="FFFFFF" w:val="clear"/>
          </w:rPr>
          <w:t>Definitive Proxy Statement on Schedule 14A filed with the SEC on April 23, 2024</w:t>
        </w:r>
      </w:hyperlink>
      <w:r>
        <w:rPr>
          <w:rFonts w:ascii="Times New Roman;serif" w:hAnsi="Times New Roman;serif"/>
          <w:b w:val="false"/>
          <w:color w:val="231F20"/>
          <w:sz w:val="20"/>
          <w:shd w:fill="FFFFFF" w:val="clear"/>
        </w:rPr>
        <w:t xml:space="preserve">, as supplemented by the Registrant’s Supplement to </w:t>
      </w:r>
      <w:hyperlink r:id="rId21">
        <w:r>
          <w:rPr>
            <w:rStyle w:val="InternetLink"/>
            <w:rFonts w:ascii="Times New Roman;serif" w:hAnsi="Times New Roman;serif"/>
            <w:b w:val="false"/>
            <w:color w:val="0000FF"/>
            <w:sz w:val="20"/>
            <w:u w:val="single"/>
            <w:shd w:fill="FFFFFF" w:val="clear"/>
          </w:rPr>
          <w:t>Definitive Proxy Statement filed on May 24, 2024</w:t>
        </w:r>
      </w:hyperlink>
      <w:r>
        <w:rPr>
          <w:rFonts w:ascii="Times New Roman;serif" w:hAnsi="Times New Roman;serif"/>
          <w:b w:val="false"/>
          <w:color w:val="231F20"/>
          <w:sz w:val="20"/>
          <w:shd w:fill="FFFFFF" w:val="clear"/>
        </w:rPr>
        <w:t>, that are specifically incorporated by reference into the Registrant’s Annual Report on Form 10-K;</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Recursion’s Current Reports on Form 8-K filed on </w:t>
      </w:r>
      <w:hyperlink r:id="rId22">
        <w:r>
          <w:rPr>
            <w:rStyle w:val="InternetLink"/>
            <w:rFonts w:ascii="Times New Roman;serif" w:hAnsi="Times New Roman;serif"/>
            <w:b w:val="false"/>
            <w:color w:val="0000FF"/>
            <w:sz w:val="20"/>
            <w:u w:val="single"/>
            <w:shd w:fill="FFFFFF" w:val="clear"/>
          </w:rPr>
          <w:t>January 31, 2024</w:t>
        </w:r>
      </w:hyperlink>
      <w:r>
        <w:rPr>
          <w:rFonts w:ascii="Times New Roman;serif" w:hAnsi="Times New Roman;serif"/>
          <w:b w:val="false"/>
          <w:color w:val="231F20"/>
          <w:sz w:val="20"/>
          <w:shd w:fill="FFFFFF" w:val="clear"/>
        </w:rPr>
        <w:t xml:space="preserve">, </w:t>
      </w:r>
      <w:hyperlink r:id="rId23">
        <w:r>
          <w:rPr>
            <w:rStyle w:val="InternetLink"/>
            <w:rFonts w:ascii="Times New Roman;serif" w:hAnsi="Times New Roman;serif"/>
            <w:b w:val="false"/>
            <w:color w:val="0000FF"/>
            <w:sz w:val="20"/>
            <w:u w:val="single"/>
            <w:shd w:fill="FFFFFF" w:val="clear"/>
          </w:rPr>
          <w:t>February 7, 2024</w:t>
        </w:r>
      </w:hyperlink>
      <w:r>
        <w:rPr>
          <w:rFonts w:ascii="Times New Roman;serif" w:hAnsi="Times New Roman;serif"/>
          <w:b w:val="false"/>
          <w:color w:val="231F20"/>
          <w:sz w:val="20"/>
          <w:shd w:fill="FFFFFF" w:val="clear"/>
        </w:rPr>
        <w:t xml:space="preserve">, </w:t>
      </w:r>
      <w:hyperlink r:id="rId24">
        <w:r>
          <w:rPr>
            <w:rStyle w:val="InternetLink"/>
            <w:rFonts w:ascii="Times New Roman;serif" w:hAnsi="Times New Roman;serif"/>
            <w:b w:val="false"/>
            <w:color w:val="0000FF"/>
            <w:sz w:val="20"/>
            <w:u w:val="single"/>
            <w:shd w:fill="FFFFFF" w:val="clear"/>
          </w:rPr>
          <w:t>April 16, 2024</w:t>
        </w:r>
      </w:hyperlink>
      <w:r>
        <w:rPr>
          <w:rFonts w:ascii="Times New Roman;serif" w:hAnsi="Times New Roman;serif"/>
          <w:b w:val="false"/>
          <w:color w:val="231F20"/>
          <w:sz w:val="20"/>
          <w:shd w:fill="FFFFFF" w:val="clear"/>
        </w:rPr>
        <w:t xml:space="preserve">, </w:t>
      </w:r>
      <w:hyperlink r:id="rId25">
        <w:r>
          <w:rPr>
            <w:rStyle w:val="InternetLink"/>
            <w:rFonts w:ascii="Times New Roman;serif" w:hAnsi="Times New Roman;serif"/>
            <w:b w:val="false"/>
            <w:color w:val="0000FF"/>
            <w:sz w:val="20"/>
            <w:u w:val="single"/>
            <w:shd w:fill="FFFFFF" w:val="clear"/>
          </w:rPr>
          <w:t>May 9, 2024</w:t>
        </w:r>
      </w:hyperlink>
      <w:r>
        <w:rPr>
          <w:rFonts w:ascii="Times New Roman;serif" w:hAnsi="Times New Roman;serif"/>
          <w:b w:val="false"/>
          <w:color w:val="231F20"/>
          <w:sz w:val="20"/>
          <w:shd w:fill="FFFFFF" w:val="clear"/>
        </w:rPr>
        <w:t xml:space="preserve">, </w:t>
      </w:r>
      <w:hyperlink r:id="rId26">
        <w:r>
          <w:rPr>
            <w:rStyle w:val="InternetLink"/>
            <w:rFonts w:ascii="Times New Roman;serif" w:hAnsi="Times New Roman;serif"/>
            <w:b w:val="false"/>
            <w:color w:val="0000FF"/>
            <w:sz w:val="20"/>
            <w:u w:val="single"/>
            <w:shd w:fill="FFFFFF" w:val="clear"/>
          </w:rPr>
          <w:t>May 24, 2024</w:t>
        </w:r>
      </w:hyperlink>
      <w:r>
        <w:rPr>
          <w:rFonts w:ascii="Times New Roman;serif" w:hAnsi="Times New Roman;serif"/>
          <w:b w:val="false"/>
          <w:color w:val="231F20"/>
          <w:sz w:val="20"/>
          <w:shd w:fill="FFFFFF" w:val="clear"/>
        </w:rPr>
        <w:t xml:space="preserve">, </w:t>
      </w:r>
      <w:hyperlink r:id="rId27">
        <w:r>
          <w:rPr>
            <w:rStyle w:val="InternetLink"/>
            <w:rFonts w:ascii="Times New Roman;serif" w:hAnsi="Times New Roman;serif"/>
            <w:b w:val="false"/>
            <w:color w:val="0000FF"/>
            <w:sz w:val="20"/>
            <w:u w:val="single"/>
            <w:shd w:fill="FFFFFF" w:val="clear"/>
          </w:rPr>
          <w:t>June 7, 2024</w:t>
        </w:r>
      </w:hyperlink>
      <w:r>
        <w:rPr>
          <w:rFonts w:ascii="Times New Roman;serif" w:hAnsi="Times New Roman;serif"/>
          <w:b w:val="false"/>
          <w:color w:val="231F20"/>
          <w:sz w:val="20"/>
          <w:shd w:fill="FFFFFF" w:val="clear"/>
        </w:rPr>
        <w:t xml:space="preserve">, </w:t>
      </w:r>
      <w:hyperlink r:id="rId28">
        <w:r>
          <w:rPr>
            <w:rStyle w:val="InternetLink"/>
            <w:rFonts w:ascii="Times New Roman;serif" w:hAnsi="Times New Roman;serif"/>
            <w:b w:val="false"/>
            <w:color w:val="0000FF"/>
            <w:sz w:val="20"/>
            <w:u w:val="single"/>
            <w:shd w:fill="FFFFFF" w:val="clear"/>
          </w:rPr>
          <w:t>June 27, 2024</w:t>
        </w:r>
      </w:hyperlink>
      <w:r>
        <w:rPr>
          <w:rFonts w:ascii="Times New Roman;serif" w:hAnsi="Times New Roman;serif"/>
          <w:b w:val="false"/>
          <w:color w:val="231F20"/>
          <w:sz w:val="20"/>
          <w:shd w:fill="FFFFFF" w:val="clear"/>
        </w:rPr>
        <w:t xml:space="preserve">, </w:t>
      </w:r>
      <w:hyperlink r:id="rId29">
        <w:r>
          <w:rPr>
            <w:rStyle w:val="InternetLink"/>
            <w:rFonts w:ascii="Times New Roman;serif" w:hAnsi="Times New Roman;serif"/>
            <w:b w:val="false"/>
            <w:color w:val="0000FF"/>
            <w:sz w:val="20"/>
            <w:u w:val="single"/>
            <w:shd w:fill="FFFFFF" w:val="clear"/>
          </w:rPr>
          <w:t>August 6, 2024</w:t>
        </w:r>
      </w:hyperlink>
      <w:r>
        <w:rPr>
          <w:rFonts w:ascii="Times New Roman;serif" w:hAnsi="Times New Roman;serif"/>
          <w:b w:val="false"/>
          <w:color w:val="231F20"/>
          <w:sz w:val="20"/>
          <w:shd w:fill="FFFFFF" w:val="clear"/>
        </w:rPr>
        <w:t xml:space="preserve">, </w:t>
      </w:r>
      <w:hyperlink r:id="rId30">
        <w:r>
          <w:rPr>
            <w:rStyle w:val="InternetLink"/>
            <w:rFonts w:ascii="Times New Roman;serif" w:hAnsi="Times New Roman;serif"/>
            <w:b w:val="false"/>
            <w:color w:val="0000FF"/>
            <w:sz w:val="20"/>
            <w:u w:val="single"/>
            <w:shd w:fill="FFFFFF" w:val="clear"/>
          </w:rPr>
          <w:t>August 8, 2024</w:t>
        </w:r>
      </w:hyperlink>
      <w:r>
        <w:rPr>
          <w:rFonts w:ascii="Times New Roman;serif" w:hAnsi="Times New Roman;serif"/>
          <w:b w:val="false"/>
          <w:color w:val="231F20"/>
          <w:sz w:val="20"/>
          <w:shd w:fill="FFFFFF" w:val="clear"/>
        </w:rPr>
        <w:t xml:space="preserve">, </w:t>
      </w:r>
      <w:hyperlink r:id="rId31">
        <w:r>
          <w:rPr>
            <w:rStyle w:val="InternetLink"/>
            <w:rFonts w:ascii="Times New Roman;serif" w:hAnsi="Times New Roman;serif"/>
            <w:b w:val="false"/>
            <w:color w:val="0000FF"/>
            <w:sz w:val="20"/>
            <w:u w:val="single"/>
            <w:shd w:fill="FFFFFF" w:val="clear"/>
          </w:rPr>
          <w:t>August 28, 2024</w:t>
        </w:r>
      </w:hyperlink>
      <w:r>
        <w:rPr>
          <w:rFonts w:ascii="Times New Roman;serif" w:hAnsi="Times New Roman;serif"/>
          <w:b w:val="false"/>
          <w:color w:val="231F20"/>
          <w:sz w:val="20"/>
          <w:shd w:fill="FFFFFF" w:val="clear"/>
        </w:rPr>
        <w:t xml:space="preserve">, </w:t>
      </w:r>
      <w:hyperlink r:id="rId32">
        <w:r>
          <w:rPr>
            <w:rStyle w:val="InternetLink"/>
            <w:rFonts w:ascii="Times New Roman;serif" w:hAnsi="Times New Roman;serif"/>
            <w:b w:val="false"/>
            <w:color w:val="0000FF"/>
            <w:sz w:val="20"/>
            <w:u w:val="single"/>
            <w:shd w:fill="FFFFFF" w:val="clear"/>
          </w:rPr>
          <w:t>September 3, 2024</w:t>
        </w:r>
      </w:hyperlink>
      <w:r>
        <w:rPr>
          <w:rFonts w:ascii="Times New Roman;serif" w:hAnsi="Times New Roman;serif"/>
          <w:b w:val="false"/>
          <w:color w:val="231F20"/>
          <w:sz w:val="20"/>
          <w:shd w:fill="FFFFFF" w:val="clear"/>
        </w:rPr>
        <w:t xml:space="preserve">, </w:t>
      </w:r>
      <w:hyperlink r:id="rId33">
        <w:r>
          <w:rPr>
            <w:rStyle w:val="InternetLink"/>
            <w:rFonts w:ascii="Times New Roman;serif" w:hAnsi="Times New Roman;serif"/>
            <w:b w:val="false"/>
            <w:color w:val="0000FF"/>
            <w:sz w:val="20"/>
            <w:u w:val="single"/>
            <w:shd w:fill="FFFFFF" w:val="clear"/>
          </w:rPr>
          <w:t>November 6, 2024</w:t>
        </w:r>
      </w:hyperlink>
      <w:r>
        <w:rPr>
          <w:rFonts w:ascii="Times New Roman;serif" w:hAnsi="Times New Roman;serif"/>
          <w:b w:val="false"/>
          <w:color w:val="231F20"/>
          <w:sz w:val="20"/>
          <w:shd w:fill="FFFFFF" w:val="clear"/>
        </w:rPr>
        <w:t xml:space="preserve">, </w:t>
      </w:r>
      <w:hyperlink r:id="rId34">
        <w:r>
          <w:rPr>
            <w:rStyle w:val="InternetLink"/>
            <w:rFonts w:ascii="Times New Roman;serif" w:hAnsi="Times New Roman;serif"/>
            <w:b w:val="false"/>
            <w:color w:val="0000FF"/>
            <w:sz w:val="20"/>
            <w:u w:val="single"/>
            <w:shd w:fill="FFFFFF" w:val="clear"/>
          </w:rPr>
          <w:t>November 13, 2024</w:t>
        </w:r>
      </w:hyperlink>
      <w:r>
        <w:rPr>
          <w:rFonts w:ascii="Times New Roman;serif" w:hAnsi="Times New Roman;serif"/>
          <w:b w:val="false"/>
          <w:color w:val="231F20"/>
          <w:sz w:val="20"/>
          <w:shd w:fill="FFFFFF" w:val="clear"/>
        </w:rPr>
        <w:t xml:space="preserve">, </w:t>
      </w:r>
      <w:hyperlink r:id="rId35">
        <w:r>
          <w:rPr>
            <w:rStyle w:val="InternetLink"/>
            <w:rFonts w:ascii="Times New Roman;serif" w:hAnsi="Times New Roman;serif"/>
            <w:b w:val="false"/>
            <w:color w:val="0000FF"/>
            <w:sz w:val="20"/>
            <w:u w:val="single"/>
            <w:shd w:fill="FFFFFF" w:val="clear"/>
          </w:rPr>
          <w:t>November 13, 2024</w:t>
        </w:r>
      </w:hyperlink>
      <w:r>
        <w:rPr>
          <w:rFonts w:ascii="Times New Roman;serif" w:hAnsi="Times New Roman;serif"/>
          <w:b w:val="false"/>
          <w:color w:val="231F20"/>
          <w:sz w:val="20"/>
          <w:shd w:fill="FFFFFF" w:val="clear"/>
        </w:rPr>
        <w:t xml:space="preserve">, </w:t>
      </w:r>
      <w:hyperlink r:id="rId36">
        <w:r>
          <w:rPr>
            <w:rStyle w:val="InternetLink"/>
            <w:rFonts w:ascii="Times New Roman;serif" w:hAnsi="Times New Roman;serif"/>
            <w:b w:val="false"/>
            <w:color w:val="0000FF"/>
            <w:sz w:val="20"/>
            <w:u w:val="single"/>
            <w:shd w:fill="FFFFFF" w:val="clear"/>
          </w:rPr>
          <w:t>November 20, 2024</w:t>
        </w:r>
      </w:hyperlink>
      <w:r>
        <w:rPr>
          <w:rFonts w:ascii="Times New Roman;serif" w:hAnsi="Times New Roman;serif"/>
          <w:b w:val="false"/>
          <w:color w:val="231F20"/>
          <w:sz w:val="20"/>
          <w:shd w:fill="FFFFFF" w:val="clear"/>
        </w:rPr>
        <w:t xml:space="preserve">, </w:t>
      </w:r>
      <w:hyperlink r:id="rId37">
        <w:r>
          <w:rPr>
            <w:rStyle w:val="InternetLink"/>
            <w:rFonts w:ascii="Times New Roman;serif" w:hAnsi="Times New Roman;serif"/>
            <w:b w:val="false"/>
            <w:color w:val="0000FF"/>
            <w:sz w:val="20"/>
            <w:u w:val="single"/>
            <w:shd w:fill="FFFFFF" w:val="clear"/>
          </w:rPr>
          <w:t>November 26, 2024</w:t>
        </w:r>
      </w:hyperlink>
      <w:r>
        <w:rPr>
          <w:rFonts w:ascii="Times New Roman;serif" w:hAnsi="Times New Roman;serif"/>
          <w:b w:val="false"/>
          <w:color w:val="231F20"/>
          <w:sz w:val="20"/>
          <w:shd w:fill="FFFFFF" w:val="clear"/>
        </w:rPr>
        <w:t xml:space="preserve">, </w:t>
      </w:r>
      <w:hyperlink r:id="rId38">
        <w:r>
          <w:rPr>
            <w:rStyle w:val="InternetLink"/>
            <w:rFonts w:ascii="Times New Roman;serif" w:hAnsi="Times New Roman;serif"/>
            <w:b w:val="false"/>
            <w:color w:val="0000FF"/>
            <w:sz w:val="20"/>
            <w:u w:val="single"/>
            <w:shd w:fill="FFFFFF" w:val="clear"/>
          </w:rPr>
          <w:t>November 27, 2024</w:t>
        </w:r>
      </w:hyperlink>
      <w:r>
        <w:rPr>
          <w:rFonts w:ascii="Times New Roman;serif" w:hAnsi="Times New Roman;serif"/>
          <w:b w:val="false"/>
          <w:color w:val="231F20"/>
          <w:sz w:val="20"/>
          <w:shd w:fill="FFFFFF" w:val="clear"/>
        </w:rPr>
        <w:t xml:space="preserve">, </w:t>
      </w:r>
      <w:hyperlink r:id="rId39">
        <w:r>
          <w:rPr>
            <w:rStyle w:val="InternetLink"/>
            <w:rFonts w:ascii="Times New Roman;serif" w:hAnsi="Times New Roman;serif"/>
            <w:b w:val="false"/>
            <w:color w:val="0000FF"/>
            <w:sz w:val="20"/>
            <w:u w:val="single"/>
            <w:shd w:fill="FFFFFF" w:val="clear"/>
          </w:rPr>
          <w:t>December 3, 2024</w:t>
        </w:r>
      </w:hyperlink>
      <w:r>
        <w:rPr>
          <w:rFonts w:ascii="Times New Roman;serif" w:hAnsi="Times New Roman;serif"/>
          <w:b w:val="false"/>
          <w:color w:val="231F20"/>
          <w:sz w:val="20"/>
          <w:shd w:fill="FFFFFF" w:val="clear"/>
        </w:rPr>
        <w:t xml:space="preserve">, </w:t>
      </w:r>
      <w:hyperlink r:id="rId40">
        <w:r>
          <w:rPr>
            <w:rStyle w:val="InternetLink"/>
            <w:rFonts w:ascii="Times New Roman;serif" w:hAnsi="Times New Roman;serif"/>
            <w:b w:val="false"/>
            <w:color w:val="0000FF"/>
            <w:sz w:val="20"/>
            <w:u w:val="single"/>
            <w:shd w:fill="FFFFFF" w:val="clear"/>
          </w:rPr>
          <w:t>December 17, 2024</w:t>
        </w:r>
      </w:hyperlink>
      <w:r>
        <w:rPr>
          <w:rFonts w:ascii="Times New Roman;serif" w:hAnsi="Times New Roman;serif"/>
          <w:b w:val="false"/>
          <w:color w:val="231F20"/>
          <w:sz w:val="20"/>
          <w:shd w:fill="FFFFFF" w:val="clear"/>
        </w:rPr>
        <w:t>; and</w:t>
      </w:r>
    </w:p>
    <w:p>
      <w:pPr>
        <w:pStyle w:val="TextBody"/>
        <w:bidi w:val="0"/>
        <w:spacing w:lineRule="auto" w:line="288" w:before="0" w:after="0"/>
        <w:ind w:left="0" w:right="0" w:hanging="270"/>
        <w:jc w:val="left"/>
        <w:rPr/>
      </w:pPr>
      <w:r>
        <w:rPr>
          <w:color w:val="231F20"/>
          <w:shd w:fill="FFFFFF" w:val="clear"/>
        </w:rPr>
        <w:t>•</w:t>
      </w:r>
      <w:r>
        <w:rPr>
          <w:rFonts w:ascii="Times New Roman;serif" w:hAnsi="Times New Roman;serif"/>
          <w:b w:val="false"/>
          <w:color w:val="231F20"/>
          <w:sz w:val="20"/>
          <w:shd w:fill="FFFFFF" w:val="clear"/>
        </w:rPr>
        <w:t xml:space="preserve">The description of the Registrant’s Class A common stock contained in the Recursion’s Registration Statement on </w:t>
      </w:r>
      <w:hyperlink r:id="rId41">
        <w:r>
          <w:rPr>
            <w:rStyle w:val="InternetLink"/>
            <w:rFonts w:ascii="Times New Roman;serif" w:hAnsi="Times New Roman;serif"/>
            <w:b w:val="false"/>
            <w:color w:val="0000FF"/>
            <w:sz w:val="20"/>
            <w:u w:val="single"/>
            <w:shd w:fill="FFFFFF" w:val="clear"/>
          </w:rPr>
          <w:t>Form 8-A</w:t>
        </w:r>
      </w:hyperlink>
      <w:r>
        <w:rPr>
          <w:color w:val="231F20"/>
          <w:shd w:fill="FFFFFF" w:val="clear"/>
        </w:rPr>
        <w:t xml:space="preserve"> </w:t>
      </w:r>
      <w:r>
        <w:rPr>
          <w:rFonts w:ascii="Times New Roman;serif" w:hAnsi="Times New Roman;serif"/>
          <w:b w:val="false"/>
          <w:color w:val="231F20"/>
          <w:sz w:val="20"/>
          <w:shd w:fill="FFFFFF" w:val="clear"/>
        </w:rPr>
        <w:t>(File No. 001-40323) filed with the Commission on April 12, 2021, pursuant to Section 12(b) of the Securities Exchange Act of 1934, as amended (the “Exchange Act”), including any amendment or report filed for the purpose of updating such description.</w:t>
      </w:r>
    </w:p>
    <w:p>
      <w:pPr>
        <w:pStyle w:val="TextBody"/>
        <w:bidi w:val="0"/>
        <w:spacing w:before="13" w:after="283"/>
        <w:jc w:val="left"/>
        <w:rPr/>
      </w:pPr>
      <w:r>
        <w:rPr/>
      </w:r>
    </w:p>
    <w:p>
      <w:pPr>
        <w:pStyle w:val="TextBody"/>
        <w:bidi w:val="0"/>
        <w:spacing w:lineRule="auto" w:line="288" w:before="0" w:after="0"/>
        <w:jc w:val="left"/>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You may request a copy of these filings, at no cost, by writing or telephoning us at the following address and telephone number:</w:t>
      </w:r>
    </w:p>
    <w:p>
      <w:pPr>
        <w:pStyle w:val="TextBody"/>
        <w:bidi w:val="0"/>
        <w:spacing w:before="11" w:after="283"/>
        <w:jc w:val="left"/>
        <w:rPr/>
      </w:pPr>
      <w:r>
        <w:rPr/>
      </w:r>
    </w:p>
    <w:p>
      <w:pPr>
        <w:pStyle w:val="TextBody"/>
        <w:bidi w:val="0"/>
        <w:spacing w:lineRule="auto" w:line="288" w:before="1"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Recursion Pharmaceuticals, Inc.</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41 S Rio Grande Street</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Salt Lake City, Utah 84101</w:t>
      </w:r>
    </w:p>
    <w:p>
      <w:pPr>
        <w:pStyle w:val="TextBody"/>
        <w:bidi w:val="0"/>
        <w:spacing w:lineRule="auto" w:line="288" w:before="10"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Attn: Investor Relations</w:t>
      </w:r>
    </w:p>
    <w:p>
      <w:pPr>
        <w:pStyle w:val="TextBody"/>
        <w:bidi w:val="0"/>
        <w:spacing w:lineRule="auto" w:line="288" w:before="2" w:after="283"/>
        <w:jc w:val="center"/>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(385) 269-0203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3"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$200,000,000</w:t>
      </w:r>
    </w:p>
    <w:p>
      <w:pPr>
        <w:pStyle w:val="TextBody"/>
        <w:bidi w:val="0"/>
        <w:spacing w:before="0" w:after="0"/>
        <w:jc w:val="center"/>
        <w:rPr/>
      </w:pPr>
      <w:r>
        <w:rPr/>
      </w:r>
    </w:p>
    <w:p>
      <w:pPr>
        <w:pStyle w:val="TextBody"/>
        <w:bidi w:val="0"/>
        <w:spacing w:before="0" w:after="0"/>
        <w:jc w:val="center"/>
        <w:rPr>
          <w:shd w:fill="FFFFFF" w:val="clear"/>
        </w:rPr>
      </w:pPr>
      <w:r>
        <w:rPr>
          <w:shd w:fill="FFFFFF" w:val="clear"/>
        </w:rPr>
        <w:drawing>
          <wp:inline distT="0" distB="0" distL="0" distR="0">
            <wp:extent cx="2286000" cy="485775"/>
            <wp:effectExtent l="0" t="0" r="0" b="0"/>
            <wp:docPr id="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 descr=""/>
                    <pic:cNvPicPr>
                      <a:picLocks noChangeAspect="1" noChangeArrowheads="1"/>
                    </pic:cNvPicPr>
                  </pic:nvPicPr>
                  <pic:blipFill>
                    <a:blip r:embed="rId42"/>
                    <a:stretch>
                      <a:fillRect/>
                    </a:stretch>
                  </pic:blipFill>
                  <pic:spPr bwMode="auto">
                    <a:xfrm>
                      <a:off x="0" y="0"/>
                      <a:ext cx="2286000" cy="4857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40" w:before="120" w:after="283"/>
        <w:jc w:val="center"/>
        <w:rPr>
          <w:rFonts w:ascii="Arial;sans-serif" w:hAnsi="Arial;sans-serif"/>
          <w:b/>
          <w:color w:val="000000"/>
          <w:sz w:val="36"/>
          <w:shd w:fill="FFFFFF" w:val="clear"/>
        </w:rPr>
      </w:pPr>
      <w:r>
        <w:rPr>
          <w:rFonts w:ascii="Arial;sans-serif" w:hAnsi="Arial;sans-serif"/>
          <w:b/>
          <w:color w:val="000000"/>
          <w:sz w:val="36"/>
          <w:shd w:fill="FFFFFF" w:val="clear"/>
        </w:rPr>
        <w:t xml:space="preserve">Recursion Pharmaceuticals, Inc. </w:t>
      </w:r>
    </w:p>
    <w:p>
      <w:pPr>
        <w:pStyle w:val="TextBody"/>
        <w:bidi w:val="0"/>
        <w:spacing w:before="0" w:after="0"/>
        <w:jc w:val="left"/>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8"/>
          <w:shd w:fill="FFFFFF" w:val="clear"/>
        </w:rPr>
      </w:pPr>
      <w:r>
        <w:rPr>
          <w:rFonts w:ascii="Arial;sans-serif" w:hAnsi="Arial;sans-serif"/>
          <w:b/>
          <w:color w:val="000000"/>
          <w:sz w:val="28"/>
          <w:shd w:fill="FFFFFF" w:val="clear"/>
        </w:rPr>
        <w:t>Class A Common Stock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ind w:left="0" w:right="0" w:hanging="360"/>
              <w:jc w:val="center"/>
              <w:rPr/>
            </w:pPr>
            <w:r>
              <w:rPr/>
            </w:r>
          </w:p>
        </w:tc>
      </w:tr>
    </w:tbl>
    <w:p>
      <w:pPr>
        <w:pStyle w:val="TextBody"/>
        <w:bidi w:val="0"/>
        <w:spacing w:lineRule="auto" w:line="240" w:before="180" w:after="283"/>
        <w:jc w:val="center"/>
        <w:rPr>
          <w:rFonts w:ascii="Arial;sans-serif" w:hAnsi="Arial;sans-serif"/>
          <w:b/>
          <w:color w:val="000000"/>
          <w:sz w:val="24"/>
          <w:shd w:fill="FFFFFF" w:val="clear"/>
        </w:rPr>
      </w:pPr>
      <w:r>
        <w:rPr>
          <w:rFonts w:ascii="Arial;sans-serif" w:hAnsi="Arial;sans-serif"/>
          <w:b/>
          <w:color w:val="000000"/>
          <w:sz w:val="24"/>
          <w:shd w:fill="FFFFFF" w:val="clear"/>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40"/>
              <w:ind w:left="0" w:right="0" w:hanging="180"/>
              <w:jc w:val="center"/>
              <w:rPr>
                <w:color w:val="000000"/>
                <w:shd w:fill="FFFFFF" w:val="clear"/>
              </w:rPr>
            </w:pPr>
            <w:r>
              <w:rPr>
                <w:color w:val="000000"/>
                <w:shd w:fill="FFFFFF" w:val="clear"/>
              </w:rPr>
              <w:t>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4"/>
          <w:shd w:fill="FFFFFF" w:val="clear"/>
        </w:rPr>
      </w:pPr>
      <w:r>
        <w:rPr>
          <w:rFonts w:ascii="Arial;sans-serif" w:hAnsi="Arial;sans-serif"/>
          <w:b/>
          <w:color w:val="000000"/>
          <w:sz w:val="24"/>
          <w:shd w:fill="FFFFFF" w:val="clear"/>
        </w:rPr>
        <w:t>October ,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674" w:type="dxa"/>
        <w:jc w:val="left"/>
        <w:tblInd w:w="0" w:type="dxa"/>
        <w:tblLayout w:type="fixed"/>
        <w:tblCellMar>
          <w:top w:w="28" w:type="dxa"/>
          <w:left w:w="28" w:type="dxa"/>
          <w:bottom w:w="28" w:type="dxa"/>
          <w:right w:w="28" w:type="dxa"/>
        </w:tblCellMar>
      </w:tblPr>
      <w:tblGrid>
        <w:gridCol w:w="651"/>
        <w:gridCol w:w="573"/>
        <w:gridCol w:w="575"/>
        <w:gridCol w:w="109"/>
        <w:gridCol w:w="109"/>
        <w:gridCol w:w="109"/>
        <w:gridCol w:w="929"/>
        <w:gridCol w:w="929"/>
        <w:gridCol w:w="932"/>
        <w:gridCol w:w="109"/>
        <w:gridCol w:w="109"/>
        <w:gridCol w:w="109"/>
        <w:gridCol w:w="559"/>
        <w:gridCol w:w="559"/>
        <w:gridCol w:w="561"/>
        <w:gridCol w:w="109"/>
        <w:gridCol w:w="109"/>
        <w:gridCol w:w="109"/>
        <w:gridCol w:w="417"/>
        <w:gridCol w:w="417"/>
        <w:gridCol w:w="591"/>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Leerink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Morgan Stanley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Evercore ISI</w:t>
            </w:r>
          </w:p>
        </w:tc>
      </w:tr>
      <w:tr>
        <w:trPr/>
        <w:tc>
          <w:tcPr>
            <w:tcW w:w="8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Needham &amp; Company</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01830/000160183026000039/rxrx-20251231.htm" TargetMode="External"/><Relationship Id="rId4" Type="http://schemas.openxmlformats.org/officeDocument/2006/relationships/hyperlink" Target="http://www.sec.gov/Archives/edgar/data/1601830/000160183026000065/0001601830-26-000065-index.html" TargetMode="External"/><Relationship Id="rId5" Type="http://schemas.openxmlformats.org/officeDocument/2006/relationships/hyperlink" Target="http://www.sec.gov/Archives/edgar/data/1601830/000160183026000078/rxrx-20260331.htm" TargetMode="External"/><Relationship Id="rId6" Type="http://schemas.openxmlformats.org/officeDocument/2006/relationships/hyperlink" Target="http://www.sec.gov/Archives/edgar/data/1601830/000160183026000098/rxrx-20260630.htm" TargetMode="External"/><Relationship Id="rId7" Type="http://schemas.openxmlformats.org/officeDocument/2006/relationships/hyperlink" Target="http://www.sec.gov/Archives/edgar/data/1601830/000160183026000054/rxrx-20260325.htm" TargetMode="External"/><Relationship Id="rId8" Type="http://schemas.openxmlformats.org/officeDocument/2006/relationships/hyperlink" Target="http://www.sec.gov/Archives/edgar/data/1601830/000160183026000064/rxrx-20260428.htm" TargetMode="External"/><Relationship Id="rId9" Type="http://schemas.openxmlformats.org/officeDocument/2006/relationships/hyperlink" Target="http://www.sec.gov/Archives/edgar/data/1601830/000160183026000080/rxrx-20260617.htm" TargetMode="External"/><Relationship Id="rId10" Type="http://schemas.openxmlformats.org/officeDocument/2006/relationships/hyperlink" Target="http://www.sec.gov/Archives/edgar/data/1601830/000160183026000112/rxrx-20260915.htm" TargetMode="External"/><Relationship Id="rId11" Type="http://schemas.openxmlformats.org/officeDocument/2006/relationships/hyperlink" Target="https://www.sec.gov/Archives/edgar/data/1601830/000119312521112361/d146224d8a12b.htm" TargetMode="External"/><Relationship Id="rId12" Type="http://schemas.openxmlformats.org/officeDocument/2006/relationships/image" Target="media/image2.jpe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image" Target="media/image3.png"/><Relationship Id="rId16" Type="http://schemas.openxmlformats.org/officeDocument/2006/relationships/hyperlink" Target="http://www.sec.gov/ix?doc=/Archives/edgar/data/1601830/000160183024000019/rxrx-20231231.htm" TargetMode="External"/><Relationship Id="rId17" Type="http://schemas.openxmlformats.org/officeDocument/2006/relationships/hyperlink" Target="http://www.sec.gov/ix?doc=/Archives/edgar/data/1601830/000160183024000052/rxrx-20240331.htm" TargetMode="External"/><Relationship Id="rId18" Type="http://schemas.openxmlformats.org/officeDocument/2006/relationships/hyperlink" Target="http://www.sec.gov/ix?doc=/Archives/edgar/data/1601830/000160183024000115/rxrx-20240630.htm" TargetMode="External"/><Relationship Id="rId19" Type="http://schemas.openxmlformats.org/officeDocument/2006/relationships/hyperlink" Target="http://www.sec.gov/ix?doc=/Archives/edgar/data/1601830/000160183024000196/rxrx-20240930.htm" TargetMode="External"/><Relationship Id="rId20" Type="http://schemas.openxmlformats.org/officeDocument/2006/relationships/hyperlink" Target="http://www.sec.gov/ix?doc=/Archives/edgar/data/1601830/000160183024000040/rxrx-20240423.htm" TargetMode="External"/><Relationship Id="rId21" Type="http://schemas.openxmlformats.org/officeDocument/2006/relationships/hyperlink" Target="http://www.sec.gov/Archives/edgar/data/1601830/000160183024000066/recursion-proxysupplementx.htm" TargetMode="External"/><Relationship Id="rId22" Type="http://schemas.openxmlformats.org/officeDocument/2006/relationships/hyperlink" Target="http://www.sec.gov/ix?doc=/Archives/edgar/data/1601830/000160183024000009/rxrx-20240125.htm" TargetMode="External"/><Relationship Id="rId23" Type="http://schemas.openxmlformats.org/officeDocument/2006/relationships/hyperlink" Target="http://www.sec.gov/ix?doc=/Archives/edgar/data/1601830/000160183024000012/rxrx-20240206.htm" TargetMode="External"/><Relationship Id="rId24" Type="http://schemas.openxmlformats.org/officeDocument/2006/relationships/hyperlink" Target="http://www.sec.gov/ix?doc=/Archives/edgar/data/1601830/000160183024000035/rxrx-20240415.htm" TargetMode="External"/><Relationship Id="rId25" Type="http://schemas.openxmlformats.org/officeDocument/2006/relationships/hyperlink" Target="http://www.sec.gov/ix?doc=/Archives/edgar/data/1601830/000160183024000051/rxrx-20240507.htm" TargetMode="External"/><Relationship Id="rId26" Type="http://schemas.openxmlformats.org/officeDocument/2006/relationships/hyperlink" Target="http://www.sec.gov/ix?doc=/Archives/edgar/data/1601830/000160183024000065/rxrx-20240521.htm" TargetMode="External"/><Relationship Id="rId27" Type="http://schemas.openxmlformats.org/officeDocument/2006/relationships/hyperlink" Target="http://www.sec.gov/ix?doc=/Archives/edgar/data/1601830/000160183024000076/rxrx-20240603.htm" TargetMode="External"/><Relationship Id="rId28" Type="http://schemas.openxmlformats.org/officeDocument/2006/relationships/hyperlink" Target="http://www.sec.gov/ix?doc=/Archives/edgar/data/1601830/000160183024000091/rxrx-20240626.htm" TargetMode="External"/><Relationship Id="rId29" Type="http://schemas.openxmlformats.org/officeDocument/2006/relationships/hyperlink" Target="http://www.sec.gov/ix?doc=/Archives/edgar/data/1601830/000160183024000110/rxrx-20240806.htm" TargetMode="External"/><Relationship Id="rId30" Type="http://schemas.openxmlformats.org/officeDocument/2006/relationships/hyperlink" Target="http://www.sec.gov/ix?doc=/Archives/edgar/data/1601830/000119312524196505/d856792d8k.htm" TargetMode="External"/><Relationship Id="rId31" Type="http://schemas.openxmlformats.org/officeDocument/2006/relationships/hyperlink" Target="http://www.sec.gov/ix?doc=/Archives/edgar/data/1601830/000160183024000140/rxrx-20240828.htm" TargetMode="External"/><Relationship Id="rId32" Type="http://schemas.openxmlformats.org/officeDocument/2006/relationships/hyperlink" Target="http://www.sec.gov/ix?doc=/Archives/edgar/data/1601830/000160183024000148/rxrx-20240903.htm" TargetMode="External"/><Relationship Id="rId33" Type="http://schemas.openxmlformats.org/officeDocument/2006/relationships/hyperlink" Target="http://www.sec.gov/ix?doc=/Archives/edgar/data/1601830/000110465924114487/tm2427472d1_8k.htm" TargetMode="External"/><Relationship Id="rId34" Type="http://schemas.openxmlformats.org/officeDocument/2006/relationships/hyperlink" Target="http://www.sec.gov/ix?doc=/Archives/edgar/data/1601830/000160183024000199/rxrx-20241113.htm" TargetMode="External"/><Relationship Id="rId35" Type="http://schemas.openxmlformats.org/officeDocument/2006/relationships/hyperlink" Target="http://www.sec.gov/ix?doc=/Archives/edgar/data/1601830/000160183024000201/rxrx-20241112.htm" TargetMode="External"/><Relationship Id="rId36" Type="http://schemas.openxmlformats.org/officeDocument/2006/relationships/hyperlink" Target="http://www.sec.gov/ix?doc=/Archives/edgar/data/1601830/000160183024000217/rxrx-20241119.htm" TargetMode="External"/><Relationship Id="rId37" Type="http://schemas.openxmlformats.org/officeDocument/2006/relationships/hyperlink" Target="http://www.sec.gov/ix?doc=/Archives/edgar/data/1601830/000160183024000224/rxrx-20240808.htm" TargetMode="External"/><Relationship Id="rId38" Type="http://schemas.openxmlformats.org/officeDocument/2006/relationships/hyperlink" Target="http://www.sec.gov/ix?doc=/Archives/edgar/data/1601830/000160183024000229/rxrx-20241119.htm" TargetMode="External"/><Relationship Id="rId39" Type="http://schemas.openxmlformats.org/officeDocument/2006/relationships/hyperlink" Target="http://www.sec.gov/ix?doc=/Archives/edgar/data/1601830/000160183024000232/rxrx-20241202.htm" TargetMode="External"/><Relationship Id="rId40" Type="http://schemas.openxmlformats.org/officeDocument/2006/relationships/hyperlink" Target="http://www.sec.gov/ix?doc=/Archives/edgar/data/1601830/000160183024000245/rxrx-20241217.htm" TargetMode="External"/><Relationship Id="rId41" Type="http://schemas.openxmlformats.org/officeDocument/2006/relationships/hyperlink" Target="http://www.sec.gov/Archives/edgar/data/1601830/000119312521112361/d146224d8a12b.htm" TargetMode="External"/><Relationship Id="rId42" Type="http://schemas.openxmlformats.org/officeDocument/2006/relationships/image" Target="media/image2.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39266</Words>
  <Characters>207431</Characters>
  <CharactersWithSpaces>245874</CharactersWithSpaces>
  <Paragraphs>1035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