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2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August 6, 2024</w:t>
      </w:r>
    </w:p>
    <w:p>
      <w:pPr>
        <w:spacing w:after="0" w:line="237"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RECURSION PHARMACEUTICALS, INC.</w:t>
      </w:r>
    </w:p>
    <w:p>
      <w:pPr>
        <w:spacing w:after="0" w:line="5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ectPr>
          <w:pgSz w:w="11900" w:h="16838" w:orient="portrait"/>
          <w:cols w:equalWidth="0" w:num="1">
            <w:col w:w="11260"/>
          </w:cols>
          <w:pgMar w:left="320" w:top="1440" w:right="319" w:bottom="1440" w:gutter="0" w:footer="0" w:header="0"/>
        </w:sectPr>
      </w:pPr>
    </w:p>
    <w:p>
      <w:pPr>
        <w:spacing w:after="0" w:line="295" w:lineRule="exact"/>
        <w:rPr>
          <w:sz w:val="24"/>
          <w:szCs w:val="24"/>
          <w:color w:val="auto"/>
        </w:rPr>
      </w:pPr>
    </w:p>
    <w:p>
      <w:pPr>
        <w:ind w:left="164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88"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001-40323</w:t>
      </w:r>
    </w:p>
    <w:p>
      <w:pPr>
        <w:spacing w:after="0" w:line="20" w:lineRule="exact"/>
        <w:rPr>
          <w:sz w:val="24"/>
          <w:szCs w:val="24"/>
          <w:color w:val="auto"/>
        </w:rPr>
      </w:pPr>
      <w:r>
        <w:rPr>
          <w:sz w:val="24"/>
          <w:szCs w:val="24"/>
          <w:color w:val="auto"/>
        </w:rPr>
        <w:br w:type="column"/>
      </w:r>
    </w:p>
    <w:p>
      <w:pPr>
        <w:spacing w:after="0" w:line="275"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46-4099738</w:t>
      </w:r>
    </w:p>
    <w:p>
      <w:pPr>
        <w:spacing w:after="0" w:line="64" w:lineRule="exact"/>
        <w:rPr>
          <w:sz w:val="24"/>
          <w:szCs w:val="24"/>
          <w:color w:val="auto"/>
        </w:rPr>
      </w:pPr>
    </w:p>
    <w:p>
      <w:pPr>
        <w:sectPr>
          <w:pgSz w:w="11900" w:h="16838" w:orient="portrait"/>
          <w:cols w:equalWidth="0" w:num="3">
            <w:col w:w="4440" w:space="720"/>
            <w:col w:w="3480" w:space="720"/>
            <w:col w:w="1900"/>
          </w:cols>
          <w:pgMar w:left="320" w:top="1440" w:right="319" w:bottom="1440" w:gutter="0" w:footer="0" w:header="0"/>
          <w:type w:val="continuous"/>
        </w:sectPr>
      </w:pPr>
    </w:p>
    <w:p>
      <w:pPr>
        <w:ind w:left="2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(I.R.S. Employer Identification No.)</w:t>
      </w:r>
    </w:p>
    <w:p>
      <w:pPr>
        <w:spacing w:after="0" w:line="87" w:lineRule="exact"/>
        <w:rPr>
          <w:sz w:val="24"/>
          <w:szCs w:val="24"/>
          <w:color w:val="auto"/>
        </w:rPr>
      </w:pPr>
    </w:p>
    <w:p>
      <w:pPr>
        <w:sectPr>
          <w:pgSz w:w="11900" w:h="16838" w:orient="portrait"/>
          <w:cols w:equalWidth="0" w:num="3">
            <w:col w:w="3840" w:space="720"/>
            <w:col w:w="2900" w:space="720"/>
            <w:col w:w="3080"/>
          </w:cols>
          <w:pgMar w:left="320" w:top="1440" w:right="319" w:bottom="1440" w:gutter="0" w:footer="0" w:header="0"/>
          <w:type w:val="continuous"/>
        </w:sectPr>
      </w:pPr>
    </w:p>
    <w:p>
      <w:pPr>
        <w:jc w:val="center"/>
        <w:ind w:right="20"/>
        <w:spacing w:after="0"/>
        <w:rPr>
          <w:sz w:val="20"/>
          <w:szCs w:val="20"/>
          <w:color w:val="auto"/>
        </w:rPr>
      </w:pPr>
      <w:r>
        <w:rPr>
          <w:rFonts w:ascii="Arial" w:cs="Arial" w:eastAsia="Arial" w:hAnsi="Arial"/>
          <w:sz w:val="16"/>
          <w:szCs w:val="16"/>
          <w:b w:val="1"/>
          <w:bCs w:val="1"/>
          <w:color w:val="auto"/>
        </w:rPr>
        <w:t>41 S Rio Grande Street</w:t>
      </w:r>
    </w:p>
    <w:p>
      <w:pPr>
        <w:spacing w:after="0" w:line="35"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Salt Lake City, UT 84101</w:t>
      </w:r>
    </w:p>
    <w:p>
      <w:pPr>
        <w:spacing w:after="0" w:line="5"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(Address of principal executive offices) (Zip code)</w:t>
      </w:r>
    </w:p>
    <w:p>
      <w:pPr>
        <w:spacing w:after="0" w:line="23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(385) 269 - 0203</w:t>
      </w:r>
    </w:p>
    <w:p>
      <w:pPr>
        <w:spacing w:after="0" w:line="35"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260"/>
          </w:cols>
          <w:pgMar w:left="320" w:top="1440" w:right="319" w:bottom="1440" w:gutter="0" w:footer="0" w:header="0"/>
          <w:type w:val="continuous"/>
        </w:sectPr>
      </w:pPr>
    </w:p>
    <w:p>
      <w:pPr>
        <w:spacing w:after="0" w:line="23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Not Applicable</w:t>
      </w:r>
    </w:p>
    <w:p>
      <w:pPr>
        <w:spacing w:after="0" w:line="35"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27" w:lineRule="exact"/>
        <w:rPr>
          <w:sz w:val="24"/>
          <w:szCs w:val="24"/>
          <w:color w:val="auto"/>
        </w:rPr>
      </w:pPr>
    </w:p>
    <w:p>
      <w:pPr>
        <w:ind w:right="160"/>
        <w:spacing w:after="0" w:line="28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0"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000" w:firstLine="8"/>
        <w:spacing w:after="0" w:line="417" w:lineRule="auto"/>
        <w:tabs>
          <w:tab w:leader="none" w:pos="36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25"/>
        </w:trPr>
        <w:tc>
          <w:tcPr>
            <w:tcW w:w="38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Title of each class</w:t>
            </w:r>
          </w:p>
        </w:tc>
        <w:tc>
          <w:tcPr>
            <w:tcW w:w="22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Trading symbol(s)</w:t>
            </w:r>
          </w:p>
        </w:tc>
        <w:tc>
          <w:tcPr>
            <w:tcW w:w="52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169"/>
        </w:trPr>
        <w:tc>
          <w:tcPr>
            <w:tcW w:w="3800" w:type="dxa"/>
            <w:vAlign w:val="bottom"/>
            <w:tcBorders>
              <w:left w:val="single" w:sz="8" w:color="auto"/>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9"/>
              </w:rPr>
              <w:t>Class A Common Stock, par value $0.00001</w:t>
            </w:r>
          </w:p>
        </w:tc>
        <w:tc>
          <w:tcPr>
            <w:tcW w:w="2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RXRX</w:t>
            </w:r>
          </w:p>
        </w:tc>
        <w:tc>
          <w:tcPr>
            <w:tcW w:w="5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Nasdaq Global Select Market</w:t>
            </w:r>
          </w:p>
        </w:tc>
        <w:tc>
          <w:tcPr>
            <w:tcW w:w="0" w:type="dxa"/>
            <w:vAlign w:val="bottom"/>
          </w:tcPr>
          <w:p>
            <w:pPr>
              <w:spacing w:after="0"/>
              <w:rPr>
                <w:sz w:val="1"/>
                <w:szCs w:val="1"/>
                <w:color w:val="auto"/>
              </w:rPr>
            </w:pPr>
          </w:p>
        </w:tc>
      </w:tr>
      <w:tr>
        <w:trPr>
          <w:trHeight w:val="243"/>
        </w:trPr>
        <w:tc>
          <w:tcPr>
            <w:tcW w:w="38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per share</w:t>
            </w:r>
          </w:p>
        </w:tc>
        <w:tc>
          <w:tcPr>
            <w:tcW w:w="2200" w:type="dxa"/>
            <w:vAlign w:val="bottom"/>
            <w:tcBorders>
              <w:bottom w:val="single" w:sz="8" w:color="auto"/>
              <w:right w:val="single" w:sz="8" w:color="auto"/>
            </w:tcBorders>
            <w:vMerge w:val="continue"/>
          </w:tcPr>
          <w:p>
            <w:pPr>
              <w:spacing w:after="0"/>
              <w:rPr>
                <w:sz w:val="21"/>
                <w:szCs w:val="21"/>
                <w:color w:val="auto"/>
              </w:rPr>
            </w:pPr>
          </w:p>
        </w:tc>
        <w:tc>
          <w:tcPr>
            <w:tcW w:w="526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319" w:lineRule="exact"/>
        <w:rPr>
          <w:sz w:val="24"/>
          <w:szCs w:val="24"/>
          <w:color w:val="auto"/>
        </w:rPr>
      </w:pPr>
    </w:p>
    <w:p>
      <w:pPr>
        <w:ind w:right="680"/>
        <w:spacing w:after="0" w:line="28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(§230.405 of this chapter) or Rule 12b-2 of the Securities Exchange Act of 1934 (§240.12b-2 of this chapter).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1005205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type w:val="continuous"/>
        </w:sectPr>
      </w:pPr>
    </w:p>
    <w:bookmarkStart w:id="1" w:name="page2"/>
    <w:bookmarkEnd w:id="1"/>
    <w:p>
      <w:pPr>
        <w:ind w:left="8880"/>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304" w:lineRule="exact"/>
        <w:rPr>
          <w:sz w:val="20"/>
          <w:szCs w:val="20"/>
          <w:color w:val="auto"/>
        </w:rPr>
      </w:pPr>
    </w:p>
    <w:p>
      <w:pPr>
        <w:ind w:right="200"/>
        <w:spacing w:after="0" w:line="23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39" w:lineRule="exact"/>
        <w:rPr>
          <w:sz w:val="20"/>
          <w:szCs w:val="20"/>
          <w:color w:val="auto"/>
        </w:rPr>
      </w:pPr>
    </w:p>
    <w:p>
      <w:pPr>
        <w:ind w:right="220" w:firstLine="648"/>
        <w:spacing w:after="0" w:line="262" w:lineRule="auto"/>
        <w:rPr>
          <w:sz w:val="20"/>
          <w:szCs w:val="20"/>
          <w:color w:val="auto"/>
        </w:rPr>
      </w:pPr>
      <w:r>
        <w:rPr>
          <w:rFonts w:ascii="Arial" w:cs="Arial" w:eastAsia="Arial" w:hAnsi="Arial"/>
          <w:sz w:val="18"/>
          <w:szCs w:val="18"/>
          <w:color w:val="auto"/>
        </w:rPr>
        <w:t>On August 6, 2024, Recursion Pharmaceuticals, Inc. (the “Company” or “Recursion”) announced the exercise of the option by Genentech, Inc. for the first Neuroscience Phenomap generated by Recursion under the Collaboration and License Agreement with Genentech, Inc. and F. Hoffmann-La Roche Ltd (collectively “Roche”) dated December 5, 2021 (the “Agreement”). Pursuant to the terms of the Agreement, Roche will pay to the Company an Acceptance Fee of $30 million.</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 on August 6, 2024.</w:t>
      </w:r>
    </w:p>
    <w:p>
      <w:pPr>
        <w:spacing w:after="0" w:line="22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RECURSION PHARMACEUTICALS, INC.</w:t>
      </w:r>
    </w:p>
    <w:p>
      <w:pPr>
        <w:spacing w:after="0" w:line="279" w:lineRule="exact"/>
        <w:rPr>
          <w:sz w:val="20"/>
          <w:szCs w:val="20"/>
          <w:color w:val="auto"/>
        </w:rPr>
      </w:pPr>
    </w:p>
    <w:p>
      <w:pPr>
        <w:ind w:left="5640"/>
        <w:spacing w:after="0"/>
        <w:tabs>
          <w:tab w:leader="none" w:pos="6080" w:val="left"/>
        </w:tabs>
        <w:rPr>
          <w:sz w:val="20"/>
          <w:szCs w:val="20"/>
          <w:color w:val="auto"/>
        </w:rPr>
      </w:pPr>
      <w:r>
        <w:rPr>
          <w:rFonts w:ascii="Arial" w:cs="Arial" w:eastAsia="Arial" w:hAnsi="Arial"/>
          <w:sz w:val="18"/>
          <w:szCs w:val="18"/>
          <w:color w:val="auto"/>
        </w:rPr>
        <w:t>By:</w:t>
        <w:tab/>
        <w:t>/s/ Christopher Gibson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17780</wp:posOffset>
            </wp:positionV>
            <wp:extent cx="32746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0"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Christopher Gibson</w:t>
      </w:r>
    </w:p>
    <w:p>
      <w:pPr>
        <w:spacing w:after="0" w:line="6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Chief Executive Officer</w:t>
      </w:r>
    </w:p>
    <w:sectPr>
      <w:pgSz w:w="11900" w:h="16838" w:orient="portrait"/>
      <w:cols w:equalWidth="0" w:num="1">
        <w:col w:w="11240"/>
      </w:cols>
      <w:pgMar w:left="320" w:top="137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2024-08-06T15:12:32Z</dcterms:created>
  <dcterms:modified xsi:type="dcterms:W3CDTF">2024-08-06T15:12:32Z</dcterms:modified>
</cp:coreProperties>
</file>