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29, 2025</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RECURSION PHARMACEUTICALS,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295" w:lineRule="exact"/>
        <w:rPr>
          <w:sz w:val="24"/>
          <w:szCs w:val="24"/>
          <w:color w:val="auto"/>
        </w:rPr>
      </w:pPr>
    </w:p>
    <w:p>
      <w:pPr>
        <w:ind w:left="16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001-40323</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46-4099738</w:t>
      </w:r>
    </w:p>
    <w:p>
      <w:pPr>
        <w:spacing w:after="0" w:line="64" w:lineRule="exact"/>
        <w:rPr>
          <w:sz w:val="24"/>
          <w:szCs w:val="24"/>
          <w:color w:val="auto"/>
        </w:rPr>
      </w:pPr>
    </w:p>
    <w:p>
      <w:pPr>
        <w:sectPr>
          <w:pgSz w:w="11900" w:h="16838" w:orient="portrait"/>
          <w:cols w:equalWidth="0" w:num="3">
            <w:col w:w="4440" w:space="720"/>
            <w:col w:w="3480" w:space="720"/>
            <w:col w:w="1900"/>
          </w:cols>
          <w:pgMar w:left="320" w:top="1440"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87" w:lineRule="exact"/>
        <w:rPr>
          <w:sz w:val="24"/>
          <w:szCs w:val="24"/>
          <w:color w:val="auto"/>
        </w:rPr>
      </w:pPr>
    </w:p>
    <w:p>
      <w:pPr>
        <w:sectPr>
          <w:pgSz w:w="11900" w:h="16838" w:orient="portrait"/>
          <w:cols w:equalWidth="0" w:num="3">
            <w:col w:w="3840" w:space="720"/>
            <w:col w:w="2900" w:space="720"/>
            <w:col w:w="3080"/>
          </w:cols>
          <w:pgMar w:left="320" w:top="1440" w:right="3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Salt Lake City, UT 84101</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 (Zip code)</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(385) 269 - 0203</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60"/>
          </w:cols>
          <w:pgMar w:left="320" w:top="1440" w:right="319" w:bottom="1440" w:gutter="0" w:footer="0" w:header="0"/>
          <w:type w:val="continuous"/>
        </w:sectPr>
      </w:pP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27" w:lineRule="exact"/>
        <w:rPr>
          <w:sz w:val="24"/>
          <w:szCs w:val="24"/>
          <w:color w:val="auto"/>
        </w:rPr>
      </w:pPr>
    </w:p>
    <w:p>
      <w:pPr>
        <w:ind w:right="16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000" w:firstLine="8"/>
        <w:spacing w:after="0" w:line="417" w:lineRule="auto"/>
        <w:tabs>
          <w:tab w:leader="none" w:pos="36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symbol(s)</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80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Class A Common Stock, par value $0.00001</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RXRX</w:t>
            </w:r>
          </w:p>
        </w:tc>
        <w:tc>
          <w:tcPr>
            <w:tcW w:w="5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Nasdaq Global Select Market</w:t>
            </w: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per share</w:t>
            </w:r>
          </w:p>
        </w:tc>
        <w:tc>
          <w:tcPr>
            <w:tcW w:w="2200" w:type="dxa"/>
            <w:vAlign w:val="bottom"/>
            <w:tcBorders>
              <w:bottom w:val="single" w:sz="8" w:color="auto"/>
              <w:right w:val="single" w:sz="8" w:color="auto"/>
            </w:tcBorders>
            <w:vMerge w:val="continue"/>
          </w:tcPr>
          <w:p>
            <w:pPr>
              <w:spacing w:after="0"/>
              <w:rPr>
                <w:sz w:val="21"/>
                <w:szCs w:val="21"/>
                <w:color w:val="auto"/>
              </w:rPr>
            </w:pPr>
          </w:p>
        </w:tc>
        <w:tc>
          <w:tcPr>
            <w:tcW w:w="52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68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0"/>
          <w:szCs w:val="20"/>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October 29, 2025, Recursion Pharmaceuticals, Inc. (the “Company” or “Recursion”) announced the exercise of the option by Roche (as defined below) for a Microglia Map—a first-of-its-kind whole genome map of the brain’s immune cells—generated by Recursion under the Collaboration and License Agreement with Genentech, Inc. and F. Hoffmann-La Roche Ltd (collectively “Roche”) dated December 5, 2021 (the “Agreement”). Pursuant to the terms of the Agreement, Roche will pay to the Company an Acceptance Fee of $30 million.</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 on October 29, 2025.</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RECURSION PHARMACEUTICALS, INC.</w:t>
      </w:r>
    </w:p>
    <w:p>
      <w:pPr>
        <w:spacing w:after="0" w:line="27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Christopher Gibson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120"/>
      </w:cols>
      <w:pgMar w:left="320" w:top="14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2025-10-29T07:01:06Z</dcterms:created>
  <dcterms:modified xsi:type="dcterms:W3CDTF">2025-10-29T07:01:06Z</dcterms:modified>
</cp:coreProperties>
</file>