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1E1E1E"/>
        </w:rPr>
        <w:t>UNITED STATES</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1E1E1E"/>
        </w:rPr>
        <w:t>SECURITIES AND EXCHANGE COMMISSION</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1E1E1E"/>
        </w:rPr>
        <w:t>Washington, D.C. 20549</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1E1E1E"/>
        </w:rPr>
        <w:t xml:space="preserve">FORM </w:t>
      </w:r>
      <w:r>
        <w:rPr>
          <w:rFonts w:ascii="Arial" w:cs="Arial" w:eastAsia="Arial" w:hAnsi="Arial"/>
          <w:sz w:val="24"/>
          <w:szCs w:val="24"/>
          <w:b w:val="1"/>
          <w:bCs w:val="1"/>
          <w:color w:val="000000"/>
        </w:rPr>
        <w:t>10-K</w:t>
      </w:r>
    </w:p>
    <w:p>
      <w:pPr>
        <w:spacing w:after="0" w:line="263" w:lineRule="exact"/>
        <w:rPr>
          <w:sz w:val="24"/>
          <w:szCs w:val="24"/>
          <w:color w:val="auto"/>
        </w:rPr>
      </w:pPr>
    </w:p>
    <w:p>
      <w:pPr>
        <w:ind w:left="120"/>
        <w:spacing w:after="0"/>
        <w:rPr>
          <w:sz w:val="20"/>
          <w:szCs w:val="20"/>
          <w:color w:val="auto"/>
        </w:rPr>
      </w:pPr>
      <w:r>
        <w:rPr>
          <w:rFonts w:ascii="Arial" w:cs="Arial" w:eastAsia="Arial" w:hAnsi="Arial"/>
          <w:sz w:val="15"/>
          <w:szCs w:val="15"/>
          <w:color w:val="1E1E1E"/>
        </w:rPr>
        <w:t>(Mark One)</w:t>
      </w:r>
    </w:p>
    <w:p>
      <w:pPr>
        <w:spacing w:after="0" w:line="6" w:lineRule="exact"/>
        <w:rPr>
          <w:sz w:val="24"/>
          <w:szCs w:val="24"/>
          <w:color w:val="auto"/>
        </w:rPr>
      </w:pPr>
    </w:p>
    <w:p>
      <w:pPr>
        <w:ind w:left="120" w:right="599" w:firstLine="466"/>
        <w:spacing w:after="0" w:line="255" w:lineRule="auto"/>
        <w:tabs>
          <w:tab w:leader="none" w:pos="791"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1E1E1E"/>
        </w:rPr>
        <w:t xml:space="preserve">ANNUAL REPORT PURSUANT TO SECTION 13 OR 15(d) OF THE SECURITIES EXCHANGE ACT OF 1934 </w:t>
      </w:r>
      <w:r>
        <w:rPr>
          <w:rFonts w:ascii="Arial" w:cs="Arial" w:eastAsia="Arial" w:hAnsi="Arial"/>
          <w:sz w:val="15"/>
          <w:szCs w:val="15"/>
          <w:color w:val="1E1E1E"/>
        </w:rPr>
        <w:t>For the fiscal year ended December 31, 2024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1E1E1E"/>
        </w:rPr>
        <w:t>or</w:t>
      </w:r>
    </w:p>
    <w:p>
      <w:pPr>
        <w:spacing w:after="0" w:line="8" w:lineRule="exact"/>
        <w:rPr>
          <w:sz w:val="24"/>
          <w:szCs w:val="24"/>
          <w:color w:val="auto"/>
        </w:rPr>
      </w:pPr>
    </w:p>
    <w:p>
      <w:pPr>
        <w:ind w:left="120" w:right="439" w:firstLine="341"/>
        <w:spacing w:after="0" w:line="308" w:lineRule="auto"/>
        <w:tabs>
          <w:tab w:leader="none" w:pos="667"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1E1E1E"/>
        </w:rPr>
        <w:t xml:space="preserve">TRANSITION REPORT PURSUANT TO SECTION 13 OR 15(d) OF THE SECURITIES EXCHANGE ACT OF 1934 </w:t>
      </w:r>
      <w:r>
        <w:rPr>
          <w:rFonts w:ascii="Arial" w:cs="Arial" w:eastAsia="Arial" w:hAnsi="Arial"/>
          <w:sz w:val="15"/>
          <w:szCs w:val="15"/>
          <w:color w:val="1E1E1E"/>
        </w:rPr>
        <w:t>For the transition period from to</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1E1E1E"/>
        </w:rPr>
        <w:t xml:space="preserve">Commission File Number: </w:t>
      </w:r>
      <w:r>
        <w:rPr>
          <w:rFonts w:ascii="Arial" w:cs="Arial" w:eastAsia="Arial" w:hAnsi="Arial"/>
          <w:sz w:val="15"/>
          <w:szCs w:val="15"/>
          <w:b w:val="1"/>
          <w:bCs w:val="1"/>
          <w:color w:val="000000"/>
        </w:rPr>
        <w:t>001-40323</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1E1E1E"/>
        </w:rPr>
        <w:t>Recursion Pharmaceuticals,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1E1E1E"/>
        </w:rPr>
        <w:t>(Exact name of registrant as specified in its charter)</w:t>
      </w:r>
    </w:p>
    <w:p>
      <w:pPr>
        <w:spacing w:after="0" w:line="240" w:lineRule="exact"/>
        <w:rPr>
          <w:sz w:val="24"/>
          <w:szCs w:val="24"/>
          <w:color w:val="auto"/>
        </w:rPr>
      </w:pPr>
    </w:p>
    <w:p>
      <w:pPr>
        <w:ind w:left="2380"/>
        <w:spacing w:after="0"/>
        <w:rPr>
          <w:sz w:val="20"/>
          <w:szCs w:val="20"/>
          <w:color w:val="auto"/>
        </w:rPr>
      </w:pPr>
      <w:r>
        <w:rPr>
          <w:rFonts w:ascii="Arial" w:cs="Arial" w:eastAsia="Arial" w:hAnsi="Arial"/>
          <w:sz w:val="15"/>
          <w:szCs w:val="15"/>
          <w:b w:val="1"/>
          <w:bCs w:val="1"/>
          <w:color w:val="auto"/>
        </w:rPr>
        <w:t>Delaware</w:t>
      </w:r>
      <w:r>
        <w:rPr>
          <w:rFonts w:ascii="Arial" w:cs="Arial" w:eastAsia="Arial" w:hAnsi="Arial"/>
          <w:sz w:val="15"/>
          <w:szCs w:val="15"/>
          <w:b w:val="1"/>
          <w:bCs w:val="1"/>
          <w:color w:val="FFFFFF"/>
        </w:rPr>
        <w:t>___________________________________________________</w:t>
      </w:r>
      <w:r>
        <w:rPr>
          <w:rFonts w:ascii="Arial" w:cs="Arial" w:eastAsia="Arial" w:hAnsi="Arial"/>
          <w:sz w:val="15"/>
          <w:szCs w:val="15"/>
          <w:b w:val="1"/>
          <w:bCs w:val="1"/>
          <w:color w:val="auto"/>
        </w:rPr>
        <w:t xml:space="preserve"> 46-4099738</w:t>
      </w:r>
    </w:p>
    <w:p>
      <w:pPr>
        <w:spacing w:after="0" w:line="24" w:lineRule="exact"/>
        <w:rPr>
          <w:sz w:val="24"/>
          <w:szCs w:val="24"/>
          <w:color w:val="auto"/>
        </w:rPr>
      </w:pPr>
    </w:p>
    <w:p>
      <w:pPr>
        <w:ind w:left="360"/>
        <w:spacing w:after="0"/>
        <w:rPr>
          <w:sz w:val="20"/>
          <w:szCs w:val="20"/>
          <w:color w:val="auto"/>
        </w:rPr>
      </w:pPr>
      <w:r>
        <w:rPr>
          <w:rFonts w:ascii="Arial" w:cs="Arial" w:eastAsia="Arial" w:hAnsi="Arial"/>
          <w:sz w:val="15"/>
          <w:szCs w:val="15"/>
          <w:color w:val="auto"/>
        </w:rPr>
        <w:t>(State or other jurisdiction of incorporation or organization)</w:t>
      </w:r>
      <w:r>
        <w:rPr>
          <w:rFonts w:ascii="Arial" w:cs="Arial" w:eastAsia="Arial" w:hAnsi="Arial"/>
          <w:sz w:val="15"/>
          <w:szCs w:val="15"/>
          <w:color w:val="FFFFFF"/>
        </w:rPr>
        <w:t>______________________</w:t>
      </w:r>
      <w:r>
        <w:rPr>
          <w:rFonts w:ascii="Arial" w:cs="Arial" w:eastAsia="Arial" w:hAnsi="Arial"/>
          <w:sz w:val="15"/>
          <w:szCs w:val="15"/>
          <w:color w:val="auto"/>
        </w:rPr>
        <w:t xml:space="preserve"> (I.R.S. Employer Identification No.)</w:t>
      </w: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41 S Rio Grande Street</w:t>
      </w:r>
    </w:p>
    <w:p>
      <w:pPr>
        <w:jc w:val="center"/>
        <w:ind w:right="19"/>
        <w:spacing w:after="0" w:line="215" w:lineRule="auto"/>
        <w:rPr>
          <w:sz w:val="20"/>
          <w:szCs w:val="20"/>
          <w:color w:val="auto"/>
        </w:rPr>
      </w:pPr>
      <w:r>
        <w:rPr>
          <w:rFonts w:ascii="Arial" w:cs="Arial" w:eastAsia="Arial" w:hAnsi="Arial"/>
          <w:sz w:val="15"/>
          <w:szCs w:val="15"/>
          <w:b w:val="1"/>
          <w:bCs w:val="1"/>
          <w:color w:val="auto"/>
        </w:rPr>
        <w:t>Salt Lake City, UT 84101</w:t>
      </w:r>
    </w:p>
    <w:p>
      <w:pPr>
        <w:jc w:val="center"/>
        <w:ind w:right="19"/>
        <w:spacing w:after="0" w:line="215" w:lineRule="auto"/>
        <w:rPr>
          <w:sz w:val="20"/>
          <w:szCs w:val="20"/>
          <w:color w:val="auto"/>
        </w:rPr>
      </w:pPr>
      <w:r>
        <w:rPr>
          <w:rFonts w:ascii="Arial" w:cs="Arial" w:eastAsia="Arial" w:hAnsi="Arial"/>
          <w:sz w:val="15"/>
          <w:szCs w:val="15"/>
          <w:b w:val="1"/>
          <w:bCs w:val="1"/>
          <w:color w:val="auto"/>
        </w:rPr>
        <w:t>(Address of principal executive offices) (Zip code)</w:t>
      </w:r>
    </w:p>
    <w:p>
      <w:pPr>
        <w:jc w:val="center"/>
        <w:ind w:right="19"/>
        <w:spacing w:after="0" w:line="215" w:lineRule="auto"/>
        <w:rPr>
          <w:sz w:val="20"/>
          <w:szCs w:val="20"/>
          <w:color w:val="auto"/>
        </w:rPr>
      </w:pPr>
      <w:r>
        <w:rPr>
          <w:rFonts w:ascii="Arial" w:cs="Arial" w:eastAsia="Arial" w:hAnsi="Arial"/>
          <w:sz w:val="15"/>
          <w:szCs w:val="15"/>
          <w:b w:val="1"/>
          <w:bCs w:val="1"/>
          <w:color w:val="auto"/>
        </w:rPr>
        <w:t>(385) 269 - 0203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105" w:lineRule="exact"/>
        <w:rPr>
          <w:sz w:val="24"/>
          <w:szCs w:val="24"/>
          <w:color w:val="auto"/>
        </w:rPr>
      </w:pPr>
    </w:p>
    <w:tbl>
      <w:tblPr>
        <w:tblLayout w:type="fixed"/>
        <w:tblInd w:w="110" w:type="dxa"/>
        <w:tblCellMar>
          <w:top w:w="0" w:type="dxa"/>
          <w:left w:w="0" w:type="dxa"/>
          <w:bottom w:w="0" w:type="dxa"/>
          <w:right w:w="0" w:type="dxa"/>
        </w:tblCellMar>
      </w:tblPr>
      <w:tr>
        <w:trPr>
          <w:trHeight w:val="245"/>
        </w:trPr>
        <w:tc>
          <w:tcPr>
            <w:tcW w:w="3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24"/>
        </w:trPr>
        <w:tc>
          <w:tcPr>
            <w:tcW w:w="3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Class A Common Stock, par value $0.00001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RXRX</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Nasdaq Global Select Market</w:t>
            </w:r>
          </w:p>
        </w:tc>
      </w:tr>
    </w:tbl>
    <w:p>
      <w:pPr>
        <w:spacing w:after="0" w:line="102" w:lineRule="exact"/>
        <w:rPr>
          <w:sz w:val="24"/>
          <w:szCs w:val="24"/>
          <w:color w:val="auto"/>
        </w:rPr>
      </w:pPr>
    </w:p>
    <w:p>
      <w:pPr>
        <w:ind w:left="120"/>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21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_____________________________________________________________________________________________________</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(Title of class)</w:t>
      </w:r>
    </w:p>
    <w:p>
      <w:pPr>
        <w:spacing w:after="0" w:line="194" w:lineRule="exact"/>
        <w:rPr>
          <w:sz w:val="24"/>
          <w:szCs w:val="24"/>
          <w:color w:val="auto"/>
        </w:rPr>
      </w:pPr>
    </w:p>
    <w:p>
      <w:pPr>
        <w:ind w:left="12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jc w:val="right"/>
        <w:ind w:right="119"/>
        <w:spacing w:after="0" w:line="208" w:lineRule="auto"/>
        <w:tabs>
          <w:tab w:leader="none" w:pos="420" w:val="left"/>
        </w:tabs>
        <w:rPr>
          <w:sz w:val="20"/>
          <w:szCs w:val="20"/>
          <w:color w:val="auto"/>
        </w:rPr>
      </w:pPr>
      <w:r>
        <w:rPr>
          <w:rFonts w:ascii="Arial" w:cs="Arial" w:eastAsia="Arial" w:hAnsi="Arial"/>
          <w:sz w:val="15"/>
          <w:szCs w:val="15"/>
          <w:color w:val="auto"/>
        </w:rPr>
        <w:t xml:space="preserve">Yes </w:t>
      </w:r>
      <w:r>
        <w:rPr>
          <w:rFonts w:ascii="Wingdings" w:cs="Wingdings" w:eastAsia="Wingdings" w:hAnsi="Wingdings"/>
          <w:sz w:val="17"/>
          <w:szCs w:val="17"/>
          <w:b w:val="1"/>
          <w:bCs w:val="1"/>
          <w:color w:val="auto"/>
        </w:rPr>
        <w:t>x</w:t>
      </w:r>
      <w:r>
        <w:rPr>
          <w:sz w:val="20"/>
          <w:szCs w:val="20"/>
          <w:color w:val="auto"/>
        </w:rPr>
        <w:tab/>
      </w:r>
      <w:r>
        <w:rPr>
          <w:rFonts w:ascii="Arial" w:cs="Arial" w:eastAsia="Arial" w:hAnsi="Arial"/>
          <w:sz w:val="17"/>
          <w:szCs w:val="17"/>
          <w:color w:val="auto"/>
        </w:rPr>
        <w:t xml:space="preserve">No </w:t>
      </w:r>
      <w:r>
        <w:rPr>
          <w:rFonts w:ascii="Wingdings" w:cs="Wingdings" w:eastAsia="Wingdings" w:hAnsi="Wingdings"/>
          <w:sz w:val="17"/>
          <w:szCs w:val="17"/>
          <w:b w:val="1"/>
          <w:bCs w:val="1"/>
          <w:color w:val="auto"/>
        </w:rPr>
        <w:t>o</w:t>
      </w:r>
    </w:p>
    <w:p>
      <w:pPr>
        <w:ind w:left="120"/>
        <w:spacing w:after="0" w:line="214" w:lineRule="auto"/>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jc w:val="right"/>
        <w:ind w:right="119"/>
        <w:spacing w:after="0"/>
        <w:tabs>
          <w:tab w:leader="none" w:pos="420" w:val="left"/>
        </w:tabs>
        <w:rPr>
          <w:sz w:val="20"/>
          <w:szCs w:val="20"/>
          <w:color w:val="auto"/>
        </w:rPr>
      </w:pPr>
      <w:r>
        <w:rPr>
          <w:rFonts w:ascii="Arial" w:cs="Arial" w:eastAsia="Arial" w:hAnsi="Arial"/>
          <w:sz w:val="15"/>
          <w:szCs w:val="15"/>
          <w:color w:val="auto"/>
        </w:rPr>
        <w:t xml:space="preserve">Yes </w:t>
      </w:r>
      <w:r>
        <w:rPr>
          <w:rFonts w:ascii="Wingdings" w:cs="Wingdings" w:eastAsia="Wingdings" w:hAnsi="Wingdings"/>
          <w:sz w:val="17"/>
          <w:szCs w:val="17"/>
          <w:b w:val="1"/>
          <w:bCs w:val="1"/>
          <w:color w:val="auto"/>
        </w:rPr>
        <w:t>o</w:t>
      </w:r>
      <w:r>
        <w:rPr>
          <w:rFonts w:ascii="Arial" w:cs="Arial" w:eastAsia="Arial" w:hAnsi="Arial"/>
          <w:sz w:val="15"/>
          <w:szCs w:val="15"/>
          <w:color w:val="auto"/>
        </w:rPr>
        <w:tab/>
        <w:t xml:space="preserve">No </w:t>
      </w:r>
      <w:r>
        <w:rPr>
          <w:rFonts w:ascii="Wingdings" w:cs="Wingdings" w:eastAsia="Wingdings" w:hAnsi="Wingdings"/>
          <w:sz w:val="17"/>
          <w:szCs w:val="17"/>
          <w:b w:val="1"/>
          <w:bCs w:val="1"/>
          <w:color w:val="auto"/>
        </w:rPr>
        <w:t>x</w:t>
      </w:r>
    </w:p>
    <w:p>
      <w:pPr>
        <w:spacing w:after="0" w:line="192" w:lineRule="exact"/>
        <w:rPr>
          <w:sz w:val="24"/>
          <w:szCs w:val="24"/>
          <w:color w:val="auto"/>
        </w:rPr>
      </w:pPr>
    </w:p>
    <w:p>
      <w:pPr>
        <w:ind w:left="120" w:right="179"/>
        <w:spacing w:after="0" w:line="22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8020"/>
        <w:spacing w:after="0" w:line="173" w:lineRule="exact"/>
        <w:rPr>
          <w:sz w:val="20"/>
          <w:szCs w:val="20"/>
          <w:color w:val="auto"/>
        </w:rPr>
      </w:pPr>
      <w:r>
        <w:rPr>
          <w:rFonts w:ascii="Arial" w:cs="Arial" w:eastAsia="Arial" w:hAnsi="Arial"/>
          <w:sz w:val="15"/>
          <w:szCs w:val="15"/>
          <w:color w:val="auto"/>
        </w:rPr>
        <w:t xml:space="preserve">Yes </w:t>
      </w:r>
      <w:r>
        <w:rPr>
          <w:rFonts w:ascii="Wingdings" w:cs="Wingdings" w:eastAsia="Wingdings" w:hAnsi="Wingdings"/>
          <w:sz w:val="15"/>
          <w:szCs w:val="15"/>
          <w:b w:val="1"/>
          <w:bCs w:val="1"/>
          <w:color w:val="auto"/>
        </w:rPr>
        <w:t>x</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4" w:lineRule="exact"/>
        <w:rPr>
          <w:sz w:val="24"/>
          <w:szCs w:val="24"/>
          <w:color w:val="auto"/>
        </w:rPr>
      </w:pPr>
    </w:p>
    <w:p>
      <w:pPr>
        <w:ind w:left="120" w:right="299"/>
        <w:spacing w:after="0" w:line="22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8020"/>
        <w:spacing w:after="0" w:line="173" w:lineRule="exact"/>
        <w:rPr>
          <w:sz w:val="20"/>
          <w:szCs w:val="20"/>
          <w:color w:val="auto"/>
        </w:rPr>
      </w:pPr>
      <w:r>
        <w:rPr>
          <w:rFonts w:ascii="Arial" w:cs="Arial" w:eastAsia="Arial" w:hAnsi="Arial"/>
          <w:sz w:val="15"/>
          <w:szCs w:val="15"/>
          <w:color w:val="auto"/>
        </w:rPr>
        <w:t xml:space="preserve">Yes </w:t>
      </w:r>
      <w:r>
        <w:rPr>
          <w:rFonts w:ascii="Wingdings" w:cs="Wingdings" w:eastAsia="Wingdings" w:hAnsi="Wingdings"/>
          <w:sz w:val="15"/>
          <w:szCs w:val="15"/>
          <w:b w:val="1"/>
          <w:bCs w:val="1"/>
          <w:color w:val="auto"/>
        </w:rPr>
        <w:t>x</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4" w:lineRule="exact"/>
        <w:rPr>
          <w:sz w:val="24"/>
          <w:szCs w:val="24"/>
          <w:color w:val="auto"/>
        </w:rPr>
      </w:pPr>
    </w:p>
    <w:p>
      <w:pPr>
        <w:jc w:val="both"/>
        <w:ind w:left="120" w:right="279"/>
        <w:spacing w:after="0" w:line="23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04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1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87" w:lineRule="exact"/>
        <w:rPr>
          <w:sz w:val="24"/>
          <w:szCs w:val="24"/>
          <w:color w:val="auto"/>
        </w:rPr>
      </w:pPr>
    </w:p>
    <w:p>
      <w:pPr>
        <w:sectPr>
          <w:pgSz w:w="11900" w:h="16838" w:orient="portrait"/>
          <w:cols w:equalWidth="0" w:num="3">
            <w:col w:w="1640" w:space="280"/>
            <w:col w:w="4360" w:space="720"/>
            <w:col w:w="2019"/>
          </w:cols>
          <w:pgMar w:left="1440" w:top="1045" w:right="1440" w:bottom="1440" w:gutter="0" w:footer="0" w:header="0"/>
          <w:type w:val="continuous"/>
        </w:sectPr>
      </w:pPr>
    </w:p>
    <w:p>
      <w:pPr>
        <w:spacing w:after="0" w:line="21" w:lineRule="exact"/>
        <w:rPr>
          <w:sz w:val="24"/>
          <w:szCs w:val="24"/>
          <w:color w:val="auto"/>
        </w:rPr>
      </w:pPr>
    </w:p>
    <w:p>
      <w:pPr>
        <w:ind w:left="120"/>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72" w:lineRule="exact"/>
        <w:rPr>
          <w:sz w:val="24"/>
          <w:szCs w:val="24"/>
          <w:color w:val="auto"/>
        </w:rPr>
      </w:pPr>
    </w:p>
    <w:p>
      <w:pPr>
        <w:sectPr>
          <w:pgSz w:w="11900" w:h="16838" w:orient="portrait"/>
          <w:cols w:equalWidth="0" w:num="3">
            <w:col w:w="1220" w:space="700"/>
            <w:col w:w="3940" w:space="720"/>
            <w:col w:w="2439"/>
          </w:cols>
          <w:pgMar w:left="1440" w:top="1045" w:right="1440" w:bottom="1440" w:gutter="0" w:footer="0" w:header="0"/>
          <w:type w:val="continuous"/>
        </w:sectPr>
      </w:pPr>
    </w:p>
    <w:p>
      <w:pPr>
        <w:ind w:left="658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019"/>
          </w:cols>
          <w:pgMar w:left="1440" w:top="1045" w:right="1440" w:bottom="1440" w:gutter="0" w:footer="0" w:header="0"/>
          <w:type w:val="continuous"/>
        </w:sectPr>
      </w:pPr>
    </w:p>
    <w:bookmarkStart w:id="1" w:name="page2"/>
    <w:bookmarkEnd w:id="1"/>
    <w:p>
      <w:pPr>
        <w:ind w:left="120" w:right="159"/>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3" w:lineRule="exact"/>
        <w:rPr>
          <w:sz w:val="20"/>
          <w:szCs w:val="20"/>
          <w:color w:val="auto"/>
        </w:rPr>
      </w:pPr>
    </w:p>
    <w:p>
      <w:pPr>
        <w:ind w:left="120" w:right="239"/>
        <w:spacing w:after="0" w:line="178"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64" w:lineRule="exact"/>
        <w:rPr>
          <w:sz w:val="20"/>
          <w:szCs w:val="20"/>
          <w:color w:val="auto"/>
        </w:rPr>
      </w:pPr>
    </w:p>
    <w:p>
      <w:pPr>
        <w:ind w:left="120" w:right="299"/>
        <w:spacing w:after="0" w:line="190"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63" w:lineRule="exact"/>
        <w:rPr>
          <w:sz w:val="20"/>
          <w:szCs w:val="20"/>
          <w:color w:val="auto"/>
        </w:rPr>
      </w:pPr>
    </w:p>
    <w:p>
      <w:pPr>
        <w:ind w:left="120" w:right="319"/>
        <w:spacing w:after="0" w:line="178"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28" w:lineRule="exact"/>
        <w:rPr>
          <w:sz w:val="20"/>
          <w:szCs w:val="20"/>
          <w:color w:val="auto"/>
        </w:rPr>
      </w:pPr>
    </w:p>
    <w:p>
      <w:pPr>
        <w:ind w:left="12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50" w:lineRule="exact"/>
        <w:rPr>
          <w:sz w:val="20"/>
          <w:szCs w:val="20"/>
          <w:color w:val="auto"/>
        </w:rPr>
      </w:pPr>
    </w:p>
    <w:p>
      <w:pPr>
        <w:ind w:left="120" w:right="199"/>
        <w:spacing w:after="0" w:line="238" w:lineRule="auto"/>
        <w:rPr>
          <w:sz w:val="20"/>
          <w:szCs w:val="20"/>
          <w:color w:val="auto"/>
        </w:rPr>
      </w:pPr>
      <w:r>
        <w:rPr>
          <w:rFonts w:ascii="Arial" w:cs="Arial" w:eastAsia="Arial" w:hAnsi="Arial"/>
          <w:sz w:val="15"/>
          <w:szCs w:val="15"/>
          <w:color w:val="auto"/>
        </w:rPr>
        <w:t>The aggregate market value of the 201,103,102 shares of Class A common voting stock held by non-affiliates of the Registrant, computed by reference to the closing price as reported on the Nasdaq Stock Exchange, as of the last business day of the registrant’s most recently completed second fiscal quarter (June 30, 2024) was $1,508.3 million.</w:t>
      </w:r>
    </w:p>
    <w:p>
      <w:pPr>
        <w:spacing w:after="0" w:line="196" w:lineRule="exact"/>
        <w:rPr>
          <w:sz w:val="20"/>
          <w:szCs w:val="20"/>
          <w:color w:val="auto"/>
        </w:rPr>
      </w:pPr>
    </w:p>
    <w:p>
      <w:pPr>
        <w:ind w:left="120" w:right="719"/>
        <w:spacing w:after="0" w:line="294" w:lineRule="auto"/>
        <w:rPr>
          <w:sz w:val="20"/>
          <w:szCs w:val="20"/>
          <w:color w:val="auto"/>
        </w:rPr>
      </w:pPr>
      <w:r>
        <w:rPr>
          <w:rFonts w:ascii="Arial" w:cs="Arial" w:eastAsia="Arial" w:hAnsi="Arial"/>
          <w:sz w:val="15"/>
          <w:szCs w:val="15"/>
          <w:color w:val="auto"/>
        </w:rPr>
        <w:t>As of January 31, 2025, there were 395,072,094 and 6,918,575 shares of the registrant’s Class A and B common stock, respectively, par value $0.00001 per share outstanding, respectively.</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216" w:lineRule="exact"/>
        <w:rPr>
          <w:sz w:val="20"/>
          <w:szCs w:val="20"/>
          <w:color w:val="auto"/>
        </w:rPr>
      </w:pPr>
    </w:p>
    <w:p>
      <w:pPr>
        <w:ind w:left="120" w:right="259"/>
        <w:spacing w:after="0" w:line="259" w:lineRule="auto"/>
        <w:rPr>
          <w:sz w:val="20"/>
          <w:szCs w:val="20"/>
          <w:color w:val="auto"/>
        </w:rPr>
      </w:pPr>
      <w:r>
        <w:rPr>
          <w:rFonts w:ascii="Arial" w:cs="Arial" w:eastAsia="Arial" w:hAnsi="Arial"/>
          <w:sz w:val="15"/>
          <w:szCs w:val="15"/>
          <w:color w:val="auto"/>
        </w:rPr>
        <w:t>Portions of the definitive proxy statement for use in connection with the registrant’s 2025 Annual Meeting of Stockholders to be filed hereafter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814705</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66" w:right="1440" w:bottom="1440" w:gutter="0" w:footer="0" w:header="0"/>
        </w:sectPr>
      </w:pPr>
    </w:p>
    <w:bookmarkStart w:id="2" w:name="page3"/>
    <w:bookmarkEnd w:id="2"/>
    <w:p>
      <w:pPr>
        <w:spacing w:after="0" w:line="23" w:lineRule="exact"/>
        <w:rPr>
          <w:sz w:val="20"/>
          <w:szCs w:val="20"/>
          <w:color w:val="auto"/>
        </w:rPr>
      </w:pPr>
    </w:p>
    <w:p>
      <w:pPr>
        <w:ind w:right="4000"/>
        <w:spacing w:after="0" w:line="326" w:lineRule="auto"/>
        <w:rPr>
          <w:sz w:val="20"/>
          <w:szCs w:val="20"/>
          <w:color w:val="auto"/>
        </w:rPr>
      </w:pPr>
      <w:r>
        <w:rPr>
          <w:rFonts w:ascii="Arial" w:cs="Arial" w:eastAsia="Arial" w:hAnsi="Arial"/>
          <w:sz w:val="51"/>
          <w:szCs w:val="51"/>
          <w:b w:val="1"/>
          <w:bCs w:val="1"/>
          <w:color w:val="513491"/>
        </w:rPr>
        <w:t>A Letter from Our Co-Founder and CEO</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color w:val="513491"/>
        </w:rPr>
        <w:t>Dear Shareholders,</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5"/>
          <w:szCs w:val="15"/>
          <w:color w:val="1E1E1E"/>
        </w:rPr>
        <w:t>As we step into 2025, I want to take a moment to reflect on where Recursion stands today and where we are headed. The future of our company—and of the broader pharmaceutical industry—depends on our ability to maintain an unwavering commitment to a bold, audacious vision. This is even more true in challenging times where funding, both for biotech companies and the early research that drives our industry forward, are facing headwinds. At Recursion, we are driven by a singular mission: to decode biology to radically improve lives. We are harnessing the power of cutting-edge technology, vast datasets, and foundation models to transform the way drugs are discovered and developed. And while we’ve adjusted our sails to the winds of our industry, capital markets and more, we’ve never altered our destination. We won’t settle for anything less than achieving this mission, and I’m proud to lead a company where we take that approach, from our employees, to our leadership, and to our Board of Directors. Our boldness in the face of stormy weather is one of the things that makes us the leader in TechBio.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236855</wp:posOffset>
            </wp:positionV>
            <wp:extent cx="5894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ectPr>
          <w:pgSz w:w="11900" w:h="16838" w:orient="portrait"/>
          <w:cols w:equalWidth="0" w:num="1">
            <w:col w:w="9240"/>
          </w:cols>
          <w:pgMar w:left="1320" w:top="1440" w:right="1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right="280"/>
        <w:spacing w:after="0" w:line="236" w:lineRule="auto"/>
        <w:rPr>
          <w:sz w:val="20"/>
          <w:szCs w:val="20"/>
          <w:color w:val="auto"/>
        </w:rPr>
      </w:pPr>
      <w:r>
        <w:rPr>
          <w:rFonts w:ascii="Arial" w:cs="Arial" w:eastAsia="Arial" w:hAnsi="Arial"/>
          <w:sz w:val="41"/>
          <w:szCs w:val="41"/>
          <w:b w:val="1"/>
          <w:bCs w:val="1"/>
          <w:color w:val="0E103B"/>
        </w:rPr>
        <w:t>Largest merger or acquisition</w:t>
      </w:r>
    </w:p>
    <w:p>
      <w:pPr>
        <w:spacing w:after="0" w:line="4" w:lineRule="exact"/>
        <w:rPr>
          <w:sz w:val="20"/>
          <w:szCs w:val="20"/>
          <w:color w:val="auto"/>
        </w:rPr>
      </w:pPr>
    </w:p>
    <w:p>
      <w:pPr>
        <w:ind w:right="620"/>
        <w:spacing w:after="0" w:line="338" w:lineRule="auto"/>
        <w:rPr>
          <w:sz w:val="20"/>
          <w:szCs w:val="20"/>
          <w:color w:val="auto"/>
        </w:rPr>
      </w:pPr>
      <w:r>
        <w:rPr>
          <w:rFonts w:ascii="Arial" w:cs="Arial" w:eastAsia="Arial" w:hAnsi="Arial"/>
          <w:sz w:val="13"/>
          <w:szCs w:val="13"/>
          <w:b w:val="1"/>
          <w:bCs w:val="1"/>
          <w:color w:val="1AA7DF"/>
        </w:rPr>
        <w:t>IN THE TECHBIO SPACE TO DATE WITH EXSCIENTIA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1784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43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478155</wp:posOffset>
            </wp:positionV>
            <wp:extent cx="1571625" cy="1809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1625" cy="1809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line="285" w:lineRule="auto"/>
        <w:rPr>
          <w:sz w:val="20"/>
          <w:szCs w:val="20"/>
          <w:color w:val="auto"/>
        </w:rPr>
      </w:pPr>
      <w:r>
        <w:rPr>
          <w:rFonts w:ascii="Arial" w:cs="Arial" w:eastAsia="Arial" w:hAnsi="Arial"/>
          <w:sz w:val="15"/>
          <w:szCs w:val="15"/>
          <w:color w:val="1E1E1E"/>
        </w:rPr>
        <w:t>Recursion’s commitment to revolutionizing drug development took a major leap forward last year with the announcement of the largest merger or acquisition in the TechBio space to date—our combination with Exscientia. This was not just a transaction; it was the formation of a first-of-its-kind, fully integrated, technology-first drug discovery platform, and it was a transaction that we’ve known could be transformative for years. By uniting Recursion’s strength in scaling biological insights and clinical translation with Exscientia’s precision chemistry and small-molecule expertise, we have created a seamless, AI-driven approach spanning from early discovery to clinical development.</w:t>
      </w:r>
    </w:p>
    <w:p>
      <w:pPr>
        <w:spacing w:after="0" w:line="179" w:lineRule="exact"/>
        <w:rPr>
          <w:sz w:val="20"/>
          <w:szCs w:val="20"/>
          <w:color w:val="auto"/>
        </w:rPr>
      </w:pPr>
    </w:p>
    <w:p>
      <w:pPr>
        <w:spacing w:after="0" w:line="283" w:lineRule="auto"/>
        <w:rPr>
          <w:sz w:val="20"/>
          <w:szCs w:val="20"/>
          <w:color w:val="auto"/>
        </w:rPr>
      </w:pPr>
      <w:r>
        <w:rPr>
          <w:rFonts w:ascii="Arial" w:cs="Arial" w:eastAsia="Arial" w:hAnsi="Arial"/>
          <w:sz w:val="15"/>
          <w:szCs w:val="15"/>
          <w:color w:val="1E1E1E"/>
        </w:rPr>
        <w:t>Through this combination, we have built a unique full-stack platform. Way back in 2013, we started with a point-solution; leveraging computer vision to unlock all of the information in cell morphology. Our pioneering work in phenomics, which is now a part of nearly every large pharmaceutical company’s discovery workstream, was just the beginning. While hundreds of TechBio startups today are optimizing their first point-solution, we’ve continued advancing our tech-enabled philosophy to build, buy and combine point solutions across virtually all major steps in drug discovery from target discovery to clinical development. We’ve continued investing, from scaling new high-dimensional -omics assays, to building BioHive-2, the most advanced supercomputer in the pharmaceutical industry, all because we believe more than ever that a technology-driven approach is what will finally unlock the much needed and anticipated shift in the way drugs are discovered and developed.</w:t>
      </w:r>
    </w:p>
    <w:p>
      <w:pPr>
        <w:spacing w:after="0" w:line="380" w:lineRule="exact"/>
        <w:rPr>
          <w:sz w:val="20"/>
          <w:szCs w:val="20"/>
          <w:color w:val="auto"/>
        </w:rPr>
      </w:pPr>
    </w:p>
    <w:p>
      <w:pPr>
        <w:spacing w:after="0" w:line="285" w:lineRule="auto"/>
        <w:rPr>
          <w:sz w:val="20"/>
          <w:szCs w:val="20"/>
          <w:color w:val="auto"/>
        </w:rPr>
      </w:pPr>
      <w:r>
        <w:rPr>
          <w:rFonts w:ascii="Arial" w:cs="Arial" w:eastAsia="Arial" w:hAnsi="Arial"/>
          <w:sz w:val="15"/>
          <w:szCs w:val="15"/>
          <w:color w:val="1E1E1E"/>
        </w:rPr>
        <w:t>And while I’m proud that we have led the burgeoning TechBio space for more than a decade, I’m even happier to see hundreds of companies, big and small, following in our footsteps. For years we preached the potential of combining sophisticated computational techniques with large biological and chemical dataset creation to a skeptical (and sometimes hostile) audience. Today, the naysayers are part of a slimming minority and the progressive visionaries of the industry are all plotting their path to this inevitable future of drug discovery. The era of TechBio is truly here, and we are proud to be such a big part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608330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334645</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2">
            <w:col w:w="2460" w:space="720"/>
            <w:col w:w="6060"/>
          </w:cols>
          <w:pgMar w:left="1320" w:top="1440" w:right="1339" w:bottom="1440" w:gutter="0" w:footer="0" w:header="0"/>
          <w:type w:val="continuous"/>
        </w:sectPr>
      </w:pPr>
    </w:p>
    <w:bookmarkStart w:id="3" w:name="page4"/>
    <w:bookmarkEnd w:id="3"/>
    <w:p>
      <w:pPr>
        <w:spacing w:after="0" w:line="249" w:lineRule="auto"/>
        <w:rPr>
          <w:sz w:val="20"/>
          <w:szCs w:val="20"/>
          <w:color w:val="auto"/>
        </w:rPr>
      </w:pPr>
      <w:r>
        <w:rPr>
          <w:rFonts w:ascii="Arial" w:cs="Arial" w:eastAsia="Arial" w:hAnsi="Arial"/>
          <w:sz w:val="41"/>
          <w:szCs w:val="41"/>
          <w:b w:val="1"/>
          <w:bCs w:val="1"/>
          <w:color w:val="0E103B"/>
        </w:rPr>
        <w:t>10 key clinical milestones</w:t>
      </w:r>
    </w:p>
    <w:p>
      <w:pPr>
        <w:spacing w:after="0" w:line="4" w:lineRule="exact"/>
        <w:rPr>
          <w:sz w:val="20"/>
          <w:szCs w:val="20"/>
          <w:color w:val="auto"/>
        </w:rPr>
      </w:pPr>
    </w:p>
    <w:p>
      <w:pPr>
        <w:ind w:right="700"/>
        <w:spacing w:after="0" w:line="296" w:lineRule="auto"/>
        <w:rPr>
          <w:sz w:val="20"/>
          <w:szCs w:val="20"/>
          <w:color w:val="auto"/>
        </w:rPr>
      </w:pPr>
      <w:r>
        <w:rPr>
          <w:rFonts w:ascii="Arial" w:cs="Arial" w:eastAsia="Arial" w:hAnsi="Arial"/>
          <w:sz w:val="14"/>
          <w:szCs w:val="14"/>
          <w:b w:val="1"/>
          <w:bCs w:val="1"/>
          <w:color w:val="1AA7DF"/>
        </w:rPr>
        <w:t>EXPECTED OVER THE NEXT 18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4160520</wp:posOffset>
            </wp:positionV>
            <wp:extent cx="1784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435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321310</wp:posOffset>
            </wp:positionV>
            <wp:extent cx="1784350" cy="1899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4350" cy="189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1"/>
          <w:szCs w:val="41"/>
          <w:b w:val="1"/>
          <w:bCs w:val="1"/>
          <w:color w:val="0E103B"/>
        </w:rPr>
        <w:t>&gt;$450 Million</w:t>
      </w:r>
    </w:p>
    <w:p>
      <w:pPr>
        <w:spacing w:after="0" w:line="52" w:lineRule="exact"/>
        <w:rPr>
          <w:sz w:val="20"/>
          <w:szCs w:val="20"/>
          <w:color w:val="auto"/>
        </w:rPr>
      </w:pPr>
    </w:p>
    <w:p>
      <w:pPr>
        <w:ind w:right="400"/>
        <w:spacing w:after="0" w:line="289" w:lineRule="auto"/>
        <w:rPr>
          <w:sz w:val="20"/>
          <w:szCs w:val="20"/>
          <w:color w:val="auto"/>
        </w:rPr>
      </w:pPr>
      <w:r>
        <w:rPr>
          <w:rFonts w:ascii="Arial" w:cs="Arial" w:eastAsia="Arial" w:hAnsi="Arial"/>
          <w:sz w:val="14"/>
          <w:szCs w:val="14"/>
          <w:b w:val="1"/>
          <w:bCs w:val="1"/>
          <w:color w:val="1AA7DF"/>
        </w:rPr>
        <w:t>IN COLLABORATION PAYMENTS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1784350" cy="1899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4350" cy="1899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180"/>
        <w:spacing w:after="0" w:line="269" w:lineRule="auto"/>
        <w:rPr>
          <w:sz w:val="20"/>
          <w:szCs w:val="20"/>
          <w:color w:val="auto"/>
        </w:rPr>
      </w:pPr>
      <w:r>
        <w:rPr>
          <w:rFonts w:ascii="Arial" w:cs="Arial" w:eastAsia="Arial" w:hAnsi="Arial"/>
          <w:sz w:val="26"/>
          <w:szCs w:val="26"/>
          <w:b w:val="1"/>
          <w:bCs w:val="1"/>
          <w:color w:val="E2188A"/>
        </w:rPr>
        <w:t>A Look Back at 2024: Delivering on the Promise of AI and Data-Driven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-2029460</wp:posOffset>
            </wp:positionH>
            <wp:positionV relativeFrom="paragraph">
              <wp:posOffset>-530225</wp:posOffset>
            </wp:positionV>
            <wp:extent cx="5894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271" w:lineRule="auto"/>
        <w:rPr>
          <w:sz w:val="20"/>
          <w:szCs w:val="20"/>
          <w:color w:val="auto"/>
        </w:rPr>
      </w:pPr>
      <w:r>
        <w:rPr>
          <w:rFonts w:ascii="Arial" w:cs="Arial" w:eastAsia="Arial" w:hAnsi="Arial"/>
          <w:sz w:val="15"/>
          <w:szCs w:val="15"/>
          <w:color w:val="1E1E1E"/>
        </w:rPr>
        <w:t>The strength of our approach is evident in our growing portfolio. We now have 10 clinical and preclinical programs, with approximately 10 key clinical milestones expected over the next 18 months. Beyond that, we have more than 10 advanced discovery programs advancing rapidly toward the clinic alongside some incredibly exciting programs and molecules that are a part of our discovery collaborations.</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5"/>
          <w:szCs w:val="15"/>
          <w:color w:val="1E1E1E"/>
        </w:rPr>
        <w:t>One compelling example is REC-1245, a potential first-in-class RBM39 degrader for biomarker-enriched solid tumors and lymphoma. This program, one of the first to result from our end-to-end AI-enabled platform, leveraged advanced maps of biology to identify RBM39 as a critical target and our early AI-enabled chemistry platform to advance the molecule to candidate. Through preclinical models, we validated that RBM39 degradation disrupts key DNA damage response (DDR) networks, potentially halting cancer growth. The journey from target identification to IND-enabling studies was completed in just 18 months—less than half of the industry average—leading to our first patient being dosed in the fourth quarter of 2024.</w:t>
      </w:r>
    </w:p>
    <w:p>
      <w:pPr>
        <w:spacing w:after="0" w:line="168" w:lineRule="exact"/>
        <w:rPr>
          <w:sz w:val="20"/>
          <w:szCs w:val="20"/>
          <w:color w:val="auto"/>
        </w:rPr>
      </w:pPr>
    </w:p>
    <w:p>
      <w:pPr>
        <w:ind w:right="240"/>
        <w:spacing w:after="0" w:line="265" w:lineRule="auto"/>
        <w:rPr>
          <w:sz w:val="20"/>
          <w:szCs w:val="20"/>
          <w:color w:val="auto"/>
        </w:rPr>
      </w:pPr>
      <w:r>
        <w:rPr>
          <w:rFonts w:ascii="Arial" w:cs="Arial" w:eastAsia="Arial" w:hAnsi="Arial"/>
          <w:sz w:val="15"/>
          <w:szCs w:val="15"/>
          <w:color w:val="1E1E1E"/>
        </w:rPr>
        <w:t>Another breakthrough is REC-617, our precision-designed CDK7 inhibitor, which has shown promising interim results in the Phase 1/2 ELUCIDATE trial. Early data demonstrates robust target engagement, a favorable pharmacokinetic and pharmacodynamic profile, and compelling initial clinical activity. Notably, a confirmed partial response was observed in a heavily pre-treated patient with platinum-resistant ovarian cancer, lasting more than six months, alongside four additional patients achieving stable disease. Designed entirely using our AI-led platform, REC-617 was synthesized from hit to candidate in just under 12 months, requiring only 136 novel molecules—an order of magnitude more efficient than conventional drug discovery.</w:t>
      </w:r>
    </w:p>
    <w:p>
      <w:pPr>
        <w:spacing w:after="0" w:line="168"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1E1E1E"/>
        </w:rPr>
        <w:t>Beyond our own programs, we continue to collaborate with leading biopharma partners like Roche and Genentech, Sanofi, Bayer, and Merck KGaA, Darmstadt, Germany. These partnerships validate our platform and amplify our impact. For example, our collaboration with Roche and Genentech achieved a groundbreaking milestone: the world’s first genome-scale Neuromap, a comprehensive AI-powered model of neurobiology built from human-induced pluripotent stem cell (hiPSC)-derived neurons. This effort, which required generating over a trillion neurons, led to a first-of-its-kind neuroscience phenomap that Roche-Genentech optioned for $30 million.</w:t>
      </w:r>
    </w:p>
    <w:p>
      <w:pPr>
        <w:spacing w:after="0" w:line="165"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1E1E1E"/>
        </w:rPr>
        <w:t>Similarly, our work with Sanofi continues to drive value. In 2024, we received $15 million in milestone payments after advancing two discovery programs into lead optimization, each showing strong differentiation and best-in-class potential. To date, we have generated over $450 million in collaboration payments, not only through upfront payments, but by consistently delivering on milestones, a feat achieved by few other biotech companies in history. As we look ahead, we are well on our way toward unlocking up to $20 billion in potential milestone payments before royalties—fueling the next generation of AI-driven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2809875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2535555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2">
            <w:col w:w="2780" w:space="400"/>
            <w:col w:w="6040"/>
          </w:cols>
          <w:pgMar w:left="1320" w:top="897" w:right="135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313" w:lineRule="auto"/>
        <w:rPr>
          <w:sz w:val="20"/>
          <w:szCs w:val="20"/>
          <w:color w:val="auto"/>
        </w:rPr>
      </w:pPr>
      <w:r>
        <w:rPr>
          <w:rFonts w:ascii="Arial" w:cs="Arial" w:eastAsia="Arial" w:hAnsi="Arial"/>
          <w:sz w:val="19"/>
          <w:szCs w:val="19"/>
          <w:b w:val="1"/>
          <w:bCs w:val="1"/>
          <w:color w:val="1E1E1E"/>
        </w:rPr>
        <w:t>Four interconnected layers of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93980</wp:posOffset>
            </wp:positionV>
            <wp:extent cx="1768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68475" cy="8255"/>
                    </a:xfrm>
                    <a:prstGeom prst="rect">
                      <a:avLst/>
                    </a:prstGeom>
                    <a:noFill/>
                  </pic:spPr>
                </pic:pic>
              </a:graphicData>
            </a:graphic>
          </wp:anchor>
        </w:drawing>
      </w:r>
    </w:p>
    <w:p>
      <w:pPr>
        <w:spacing w:after="0" w:line="273" w:lineRule="exact"/>
        <w:rPr>
          <w:sz w:val="20"/>
          <w:szCs w:val="20"/>
          <w:color w:val="auto"/>
        </w:rPr>
      </w:pPr>
    </w:p>
    <w:p>
      <w:pPr>
        <w:ind w:left="240" w:right="420" w:hanging="240"/>
        <w:spacing w:after="0" w:line="318" w:lineRule="auto"/>
        <w:tabs>
          <w:tab w:leader="none" w:pos="234" w:val="left"/>
        </w:tabs>
        <w:numPr>
          <w:ilvl w:val="0"/>
          <w:numId w:val="3"/>
        </w:numPr>
        <w:rPr>
          <w:rFonts w:ascii="Arial" w:cs="Arial" w:eastAsia="Arial" w:hAnsi="Arial"/>
          <w:sz w:val="23"/>
          <w:szCs w:val="23"/>
          <w:b w:val="1"/>
          <w:bCs w:val="1"/>
          <w:color w:val="0E103B"/>
        </w:rPr>
      </w:pPr>
      <w:r>
        <w:rPr>
          <w:rFonts w:ascii="Arial" w:cs="Arial" w:eastAsia="Arial" w:hAnsi="Arial"/>
          <w:sz w:val="23"/>
          <w:szCs w:val="23"/>
          <w:b w:val="1"/>
          <w:bCs w:val="1"/>
          <w:color w:val="0E103B"/>
        </w:rPr>
        <w:t>Population-Scale Patient-Level Data</w:t>
      </w:r>
    </w:p>
    <w:p>
      <w:pPr>
        <w:spacing w:after="0" w:line="33" w:lineRule="exact"/>
        <w:rPr>
          <w:rFonts w:ascii="Arial" w:cs="Arial" w:eastAsia="Arial" w:hAnsi="Arial"/>
          <w:sz w:val="23"/>
          <w:szCs w:val="23"/>
          <w:b w:val="1"/>
          <w:bCs w:val="1"/>
          <w:color w:val="0E103B"/>
        </w:rPr>
      </w:pPr>
    </w:p>
    <w:p>
      <w:pPr>
        <w:ind w:left="220" w:hanging="220"/>
        <w:spacing w:after="0"/>
        <w:tabs>
          <w:tab w:leader="none" w:pos="220" w:val="left"/>
        </w:tabs>
        <w:numPr>
          <w:ilvl w:val="0"/>
          <w:numId w:val="3"/>
        </w:numPr>
        <w:rPr>
          <w:rFonts w:ascii="Arial" w:cs="Arial" w:eastAsia="Arial" w:hAnsi="Arial"/>
          <w:sz w:val="24"/>
          <w:szCs w:val="24"/>
          <w:b w:val="1"/>
          <w:bCs w:val="1"/>
          <w:color w:val="0E103B"/>
        </w:rPr>
      </w:pPr>
      <w:r>
        <w:rPr>
          <w:rFonts w:ascii="Arial" w:cs="Arial" w:eastAsia="Arial" w:hAnsi="Arial"/>
          <w:sz w:val="24"/>
          <w:szCs w:val="24"/>
          <w:b w:val="1"/>
          <w:bCs w:val="1"/>
          <w:color w:val="0E103B"/>
        </w:rPr>
        <w:t>Pathway-Level Data</w:t>
      </w:r>
    </w:p>
    <w:p>
      <w:pPr>
        <w:spacing w:after="0" w:line="162" w:lineRule="exact"/>
        <w:rPr>
          <w:rFonts w:ascii="Arial" w:cs="Arial" w:eastAsia="Arial" w:hAnsi="Arial"/>
          <w:sz w:val="24"/>
          <w:szCs w:val="24"/>
          <w:b w:val="1"/>
          <w:bCs w:val="1"/>
          <w:color w:val="0E103B"/>
        </w:rPr>
      </w:pPr>
    </w:p>
    <w:p>
      <w:pPr>
        <w:ind w:left="220" w:hanging="220"/>
        <w:spacing w:after="0"/>
        <w:tabs>
          <w:tab w:leader="none" w:pos="220" w:val="left"/>
        </w:tabs>
        <w:numPr>
          <w:ilvl w:val="0"/>
          <w:numId w:val="3"/>
        </w:numPr>
        <w:rPr>
          <w:rFonts w:ascii="Arial" w:cs="Arial" w:eastAsia="Arial" w:hAnsi="Arial"/>
          <w:sz w:val="24"/>
          <w:szCs w:val="24"/>
          <w:b w:val="1"/>
          <w:bCs w:val="1"/>
          <w:color w:val="0E103B"/>
        </w:rPr>
      </w:pPr>
      <w:r>
        <w:rPr>
          <w:rFonts w:ascii="Arial" w:cs="Arial" w:eastAsia="Arial" w:hAnsi="Arial"/>
          <w:sz w:val="24"/>
          <w:szCs w:val="24"/>
          <w:b w:val="1"/>
          <w:bCs w:val="1"/>
          <w:color w:val="0E103B"/>
        </w:rPr>
        <w:t>Protein-Level Insights</w:t>
      </w:r>
    </w:p>
    <w:p>
      <w:pPr>
        <w:spacing w:after="0" w:line="175" w:lineRule="exact"/>
        <w:rPr>
          <w:rFonts w:ascii="Arial" w:cs="Arial" w:eastAsia="Arial" w:hAnsi="Arial"/>
          <w:sz w:val="24"/>
          <w:szCs w:val="24"/>
          <w:b w:val="1"/>
          <w:bCs w:val="1"/>
          <w:color w:val="0E103B"/>
        </w:rPr>
      </w:pPr>
    </w:p>
    <w:p>
      <w:pPr>
        <w:ind w:left="240" w:right="720" w:hanging="240"/>
        <w:spacing w:after="0" w:line="318" w:lineRule="auto"/>
        <w:tabs>
          <w:tab w:leader="none" w:pos="234" w:val="left"/>
        </w:tabs>
        <w:numPr>
          <w:ilvl w:val="0"/>
          <w:numId w:val="3"/>
        </w:numPr>
        <w:rPr>
          <w:rFonts w:ascii="Arial" w:cs="Arial" w:eastAsia="Arial" w:hAnsi="Arial"/>
          <w:sz w:val="23"/>
          <w:szCs w:val="23"/>
          <w:b w:val="1"/>
          <w:bCs w:val="1"/>
          <w:color w:val="0E103B"/>
        </w:rPr>
      </w:pPr>
      <w:r>
        <w:rPr>
          <w:rFonts w:ascii="Arial" w:cs="Arial" w:eastAsia="Arial" w:hAnsi="Arial"/>
          <w:sz w:val="23"/>
          <w:szCs w:val="23"/>
          <w:b w:val="1"/>
          <w:bCs w:val="1"/>
          <w:color w:val="0E103B"/>
        </w:rPr>
        <w:t>Atomistic-Level Simulations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E2188A"/>
        </w:rPr>
        <w:t>2025 and Beyond: The Dawn of the Virtual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-302895</wp:posOffset>
            </wp:positionV>
            <wp:extent cx="5894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94070" cy="8255"/>
                    </a:xfrm>
                    <a:prstGeom prst="rect">
                      <a:avLst/>
                    </a:prstGeom>
                    <a:noFill/>
                  </pic:spPr>
                </pic:pic>
              </a:graphicData>
            </a:graphic>
          </wp:anchor>
        </w:drawing>
      </w:r>
    </w:p>
    <w:p>
      <w:pPr>
        <w:spacing w:after="0" w:line="57"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1E1E1E"/>
        </w:rPr>
        <w:t>For the small set of leaders in TechBio—spanning companies, institutes and academics - we are converging around a breakthrough in the coming years that has the potential to create a transformational shift. We are approaching a future where many biological processes can be accurately simulated—a concept we call the "virtual cell." Today, our wet labs primarily generate the data needed to train AI models. But in the near future, these labs will primarily validate AI-driven predictions, fundamentally flipping the paradigm of drug discovery.</w:t>
      </w:r>
    </w:p>
    <w:p>
      <w:pPr>
        <w:spacing w:after="0" w:line="214" w:lineRule="exact"/>
        <w:rPr>
          <w:sz w:val="20"/>
          <w:szCs w:val="20"/>
          <w:color w:val="auto"/>
        </w:rPr>
      </w:pPr>
    </w:p>
    <w:p>
      <w:pPr>
        <w:ind w:right="180"/>
        <w:spacing w:after="0" w:line="330" w:lineRule="auto"/>
        <w:rPr>
          <w:sz w:val="20"/>
          <w:szCs w:val="20"/>
          <w:color w:val="auto"/>
        </w:rPr>
      </w:pPr>
      <w:r>
        <w:rPr>
          <w:rFonts w:ascii="Arial" w:cs="Arial" w:eastAsia="Arial" w:hAnsi="Arial"/>
          <w:sz w:val="15"/>
          <w:szCs w:val="15"/>
          <w:color w:val="1E1E1E"/>
        </w:rPr>
        <w:t>We believe that achieving this vision will require excellence across four interconnected layers of biology:</w:t>
      </w:r>
    </w:p>
    <w:p>
      <w:pPr>
        <w:spacing w:after="0" w:line="26" w:lineRule="exact"/>
        <w:rPr>
          <w:sz w:val="20"/>
          <w:szCs w:val="20"/>
          <w:color w:val="auto"/>
        </w:rPr>
      </w:pPr>
    </w:p>
    <w:p>
      <w:pPr>
        <w:ind w:left="620" w:right="20" w:hanging="312"/>
        <w:spacing w:after="0" w:line="289" w:lineRule="auto"/>
        <w:tabs>
          <w:tab w:leader="none" w:pos="620" w:val="left"/>
        </w:tabs>
        <w:numPr>
          <w:ilvl w:val="0"/>
          <w:numId w:val="4"/>
        </w:numPr>
        <w:rPr>
          <w:rFonts w:ascii="Arial" w:cs="Arial" w:eastAsia="Arial" w:hAnsi="Arial"/>
          <w:sz w:val="15"/>
          <w:szCs w:val="15"/>
          <w:color w:val="1E1E1E"/>
        </w:rPr>
      </w:pPr>
      <w:r>
        <w:rPr>
          <w:rFonts w:ascii="Arial" w:cs="Arial" w:eastAsia="Arial" w:hAnsi="Arial"/>
          <w:sz w:val="15"/>
          <w:szCs w:val="15"/>
          <w:b w:val="1"/>
          <w:bCs w:val="1"/>
          <w:color w:val="1E1E1E"/>
        </w:rPr>
        <w:t xml:space="preserve">Population-Scale Patient-Level Data: </w:t>
      </w:r>
      <w:r>
        <w:rPr>
          <w:rFonts w:ascii="Arial" w:cs="Arial" w:eastAsia="Arial" w:hAnsi="Arial"/>
          <w:sz w:val="15"/>
          <w:szCs w:val="15"/>
          <w:color w:val="1E1E1E"/>
        </w:rPr>
        <w:t>Thanks to the genomic revolution and</w:t>
      </w:r>
      <w:r>
        <w:rPr>
          <w:rFonts w:ascii="Arial" w:cs="Arial" w:eastAsia="Arial" w:hAnsi="Arial"/>
          <w:sz w:val="15"/>
          <w:szCs w:val="15"/>
          <w:b w:val="1"/>
          <w:bCs w:val="1"/>
          <w:color w:val="1E1E1E"/>
        </w:rPr>
        <w:t xml:space="preserve"> </w:t>
      </w:r>
      <w:r>
        <w:rPr>
          <w:rFonts w:ascii="Arial" w:cs="Arial" w:eastAsia="Arial" w:hAnsi="Arial"/>
          <w:sz w:val="15"/>
          <w:szCs w:val="15"/>
          <w:color w:val="1E1E1E"/>
        </w:rPr>
        <w:t>the progressive thinking of a small number of governments around the world, we and many others have had access to population-scale -omics data from patients. In the last 18 months, we have dramatically expanded the power of our approach by signing deals with companies like Tempus and Helix to bring tens of petabytes of proprietary data to support our discovery and development.</w:t>
      </w:r>
    </w:p>
    <w:p>
      <w:pPr>
        <w:spacing w:after="0" w:line="17" w:lineRule="exact"/>
        <w:rPr>
          <w:rFonts w:ascii="Arial" w:cs="Arial" w:eastAsia="Arial" w:hAnsi="Arial"/>
          <w:sz w:val="15"/>
          <w:szCs w:val="15"/>
          <w:color w:val="1E1E1E"/>
        </w:rPr>
      </w:pPr>
    </w:p>
    <w:p>
      <w:pPr>
        <w:ind w:left="620" w:right="40" w:hanging="312"/>
        <w:spacing w:after="0" w:line="295" w:lineRule="auto"/>
        <w:tabs>
          <w:tab w:leader="none" w:pos="620" w:val="left"/>
        </w:tabs>
        <w:numPr>
          <w:ilvl w:val="0"/>
          <w:numId w:val="4"/>
        </w:numPr>
        <w:rPr>
          <w:rFonts w:ascii="Arial" w:cs="Arial" w:eastAsia="Arial" w:hAnsi="Arial"/>
          <w:sz w:val="15"/>
          <w:szCs w:val="15"/>
          <w:color w:val="1E1E1E"/>
        </w:rPr>
      </w:pPr>
      <w:r>
        <w:rPr>
          <w:rFonts w:ascii="Arial" w:cs="Arial" w:eastAsia="Arial" w:hAnsi="Arial"/>
          <w:sz w:val="15"/>
          <w:szCs w:val="15"/>
          <w:b w:val="1"/>
          <w:bCs w:val="1"/>
          <w:color w:val="1E1E1E"/>
        </w:rPr>
        <w:t xml:space="preserve">Pathway-Level Data: </w:t>
      </w:r>
      <w:r>
        <w:rPr>
          <w:rFonts w:ascii="Arial" w:cs="Arial" w:eastAsia="Arial" w:hAnsi="Arial"/>
          <w:sz w:val="15"/>
          <w:szCs w:val="15"/>
          <w:color w:val="1E1E1E"/>
        </w:rPr>
        <w:t>We are far ahead in systematically mapping gene</w:t>
      </w:r>
      <w:r>
        <w:rPr>
          <w:rFonts w:ascii="Arial" w:cs="Arial" w:eastAsia="Arial" w:hAnsi="Arial"/>
          <w:sz w:val="15"/>
          <w:szCs w:val="15"/>
          <w:b w:val="1"/>
          <w:bCs w:val="1"/>
          <w:color w:val="1E1E1E"/>
        </w:rPr>
        <w:t xml:space="preserve"> </w:t>
      </w:r>
      <w:r>
        <w:rPr>
          <w:rFonts w:ascii="Arial" w:cs="Arial" w:eastAsia="Arial" w:hAnsi="Arial"/>
          <w:sz w:val="15"/>
          <w:szCs w:val="15"/>
          <w:color w:val="1E1E1E"/>
        </w:rPr>
        <w:t>networks across multiple cellular contexts, using techniques like whole-genome CRISPR knockout and high-dimensional -omics analysis across hundreds of millions of proprietary experiments.</w:t>
      </w:r>
    </w:p>
    <w:p>
      <w:pPr>
        <w:spacing w:after="0" w:line="2" w:lineRule="exact"/>
        <w:rPr>
          <w:rFonts w:ascii="Arial" w:cs="Arial" w:eastAsia="Arial" w:hAnsi="Arial"/>
          <w:sz w:val="15"/>
          <w:szCs w:val="15"/>
          <w:color w:val="1E1E1E"/>
        </w:rPr>
      </w:pPr>
    </w:p>
    <w:p>
      <w:pPr>
        <w:ind w:left="620" w:hanging="312"/>
        <w:spacing w:after="0" w:line="301" w:lineRule="auto"/>
        <w:tabs>
          <w:tab w:leader="none" w:pos="620" w:val="left"/>
        </w:tabs>
        <w:numPr>
          <w:ilvl w:val="0"/>
          <w:numId w:val="4"/>
        </w:numPr>
        <w:rPr>
          <w:rFonts w:ascii="Arial" w:cs="Arial" w:eastAsia="Arial" w:hAnsi="Arial"/>
          <w:sz w:val="15"/>
          <w:szCs w:val="15"/>
          <w:color w:val="1E1E1E"/>
        </w:rPr>
      </w:pPr>
      <w:r>
        <w:rPr>
          <w:rFonts w:ascii="Arial" w:cs="Arial" w:eastAsia="Arial" w:hAnsi="Arial"/>
          <w:sz w:val="15"/>
          <w:szCs w:val="15"/>
          <w:b w:val="1"/>
          <w:bCs w:val="1"/>
          <w:color w:val="1E1E1E"/>
        </w:rPr>
        <w:t xml:space="preserve">Protein-Level Insights: </w:t>
      </w:r>
      <w:r>
        <w:rPr>
          <w:rFonts w:ascii="Arial" w:cs="Arial" w:eastAsia="Arial" w:hAnsi="Arial"/>
          <w:sz w:val="15"/>
          <w:szCs w:val="15"/>
          <w:color w:val="1E1E1E"/>
        </w:rPr>
        <w:t>AlphaFold and similar tools have revolutionized protein</w:t>
      </w:r>
      <w:r>
        <w:rPr>
          <w:rFonts w:ascii="Arial" w:cs="Arial" w:eastAsia="Arial" w:hAnsi="Arial"/>
          <w:sz w:val="15"/>
          <w:szCs w:val="15"/>
          <w:b w:val="1"/>
          <w:bCs w:val="1"/>
          <w:color w:val="1E1E1E"/>
        </w:rPr>
        <w:t xml:space="preserve"> </w:t>
      </w:r>
      <w:r>
        <w:rPr>
          <w:rFonts w:ascii="Arial" w:cs="Arial" w:eastAsia="Arial" w:hAnsi="Arial"/>
          <w:sz w:val="15"/>
          <w:szCs w:val="15"/>
          <w:color w:val="1E1E1E"/>
        </w:rPr>
        <w:t>modeling. By integrating state-of-the-art protein-protein interaction and ligand-binding predictions, we remain at the forefront of this rapidly evolving space.</w:t>
      </w:r>
    </w:p>
    <w:p>
      <w:pPr>
        <w:spacing w:after="0" w:line="8" w:lineRule="exact"/>
        <w:rPr>
          <w:rFonts w:ascii="Arial" w:cs="Arial" w:eastAsia="Arial" w:hAnsi="Arial"/>
          <w:sz w:val="15"/>
          <w:szCs w:val="15"/>
          <w:color w:val="1E1E1E"/>
        </w:rPr>
      </w:pPr>
    </w:p>
    <w:p>
      <w:pPr>
        <w:ind w:left="620" w:right="140" w:hanging="312"/>
        <w:spacing w:after="0" w:line="303" w:lineRule="auto"/>
        <w:tabs>
          <w:tab w:leader="none" w:pos="620" w:val="left"/>
        </w:tabs>
        <w:numPr>
          <w:ilvl w:val="0"/>
          <w:numId w:val="4"/>
        </w:numPr>
        <w:rPr>
          <w:rFonts w:ascii="Arial" w:cs="Arial" w:eastAsia="Arial" w:hAnsi="Arial"/>
          <w:sz w:val="15"/>
          <w:szCs w:val="15"/>
          <w:color w:val="1E1E1E"/>
        </w:rPr>
      </w:pPr>
      <w:r>
        <w:rPr>
          <w:rFonts w:ascii="Arial" w:cs="Arial" w:eastAsia="Arial" w:hAnsi="Arial"/>
          <w:sz w:val="15"/>
          <w:szCs w:val="15"/>
          <w:b w:val="1"/>
          <w:bCs w:val="1"/>
          <w:color w:val="1E1E1E"/>
        </w:rPr>
        <w:t xml:space="preserve">Atomistic-Level Simulations: </w:t>
      </w:r>
      <w:r>
        <w:rPr>
          <w:rFonts w:ascii="Arial" w:cs="Arial" w:eastAsia="Arial" w:hAnsi="Arial"/>
          <w:sz w:val="15"/>
          <w:szCs w:val="15"/>
          <w:color w:val="1E1E1E"/>
        </w:rPr>
        <w:t>With Exscientia’s quantum</w:t>
      </w:r>
      <w:r>
        <w:rPr>
          <w:rFonts w:ascii="Arial" w:cs="Arial" w:eastAsia="Arial" w:hAnsi="Arial"/>
          <w:sz w:val="15"/>
          <w:szCs w:val="15"/>
          <w:b w:val="1"/>
          <w:bCs w:val="1"/>
          <w:color w:val="1E1E1E"/>
        </w:rPr>
        <w:t xml:space="preserve"> </w:t>
      </w:r>
      <w:r>
        <w:rPr>
          <w:rFonts w:ascii="Arial" w:cs="Arial" w:eastAsia="Arial" w:hAnsi="Arial"/>
          <w:sz w:val="15"/>
          <w:szCs w:val="15"/>
          <w:color w:val="1E1E1E"/>
        </w:rPr>
        <w:t>mechanics/molecular dynamics (QM/MD) expertise now part of Recursion, we are uniquely positioned to lead in simulating molecular interactions at atomic precision.</w:t>
      </w:r>
    </w:p>
    <w:p>
      <w:pPr>
        <w:spacing w:after="0" w:line="251" w:lineRule="exact"/>
        <w:rPr>
          <w:sz w:val="20"/>
          <w:szCs w:val="20"/>
          <w:color w:val="auto"/>
        </w:rPr>
      </w:pPr>
    </w:p>
    <w:p>
      <w:pPr>
        <w:spacing w:after="0" w:line="295" w:lineRule="auto"/>
        <w:rPr>
          <w:sz w:val="20"/>
          <w:szCs w:val="20"/>
          <w:color w:val="auto"/>
        </w:rPr>
      </w:pPr>
      <w:r>
        <w:rPr>
          <w:rFonts w:ascii="Arial" w:cs="Arial" w:eastAsia="Arial" w:hAnsi="Arial"/>
          <w:sz w:val="15"/>
          <w:szCs w:val="15"/>
          <w:color w:val="1E1E1E"/>
        </w:rPr>
        <w:t xml:space="preserve">By integrating these layers, Recursion is building one of the most advanced predictive models of human biology ever created. This will allow us to explore the vast landscape of potential drugs and disease mechanisms in </w:t>
      </w:r>
      <w:r>
        <w:rPr>
          <w:rFonts w:ascii="Arial" w:cs="Arial" w:eastAsia="Arial" w:hAnsi="Arial"/>
          <w:sz w:val="15"/>
          <w:szCs w:val="15"/>
          <w:i w:val="1"/>
          <w:iCs w:val="1"/>
          <w:color w:val="1E1E1E"/>
        </w:rPr>
        <w:t>silico</w:t>
      </w:r>
      <w:r>
        <w:rPr>
          <w:rFonts w:ascii="Arial" w:cs="Arial" w:eastAsia="Arial" w:hAnsi="Arial"/>
          <w:sz w:val="15"/>
          <w:szCs w:val="15"/>
          <w:color w:val="1E1E1E"/>
        </w:rPr>
        <w:t xml:space="preserve"> before ever stepping into the lab— dramatically accelerating drug development timelines and reducing costs.</w:t>
      </w:r>
    </w:p>
    <w:p>
      <w:pPr>
        <w:spacing w:after="0" w:line="181" w:lineRule="exact"/>
        <w:rPr>
          <w:sz w:val="20"/>
          <w:szCs w:val="20"/>
          <w:color w:val="auto"/>
        </w:rPr>
      </w:pPr>
    </w:p>
    <w:p>
      <w:pPr>
        <w:sectPr>
          <w:pgSz w:w="11900" w:h="16838" w:orient="portrait"/>
          <w:cols w:equalWidth="0" w:num="2">
            <w:col w:w="2740" w:space="420"/>
            <w:col w:w="6080"/>
          </w:cols>
          <w:pgMar w:left="1320" w:top="96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24"/>
          <w:szCs w:val="24"/>
          <w:color w:val="513491"/>
        </w:rPr>
        <w:t>“This is not just about technology for the sake of technology. It is about ensuring that the boldest ideas in biotech are realized and that the future of medicine is shaped by those who are willing to embrace the extraordinary.”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-2107565</wp:posOffset>
            </wp:positionV>
            <wp:extent cx="1768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8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85" w:lineRule="auto"/>
        <w:rPr>
          <w:sz w:val="20"/>
          <w:szCs w:val="20"/>
          <w:color w:val="auto"/>
        </w:rPr>
      </w:pPr>
      <w:r>
        <w:rPr>
          <w:rFonts w:ascii="Arial" w:cs="Arial" w:eastAsia="Arial" w:hAnsi="Arial"/>
          <w:sz w:val="26"/>
          <w:szCs w:val="26"/>
          <w:b w:val="1"/>
          <w:bCs w:val="1"/>
          <w:color w:val="E2188A"/>
        </w:rPr>
        <w:t>Transforming Clinical Development with AI and Automation</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5"/>
          <w:szCs w:val="15"/>
          <w:color w:val="1E1E1E"/>
        </w:rPr>
        <w:t>In 2025, we are also doubling down on transforming clinical development through our ClinTech platform, powered by AI, automation, and real-world evidence. Our partnerships with Tempus, Helix and a growing cohort of other data sources provide us with access to critical patient data, allowing us to:</w:t>
      </w:r>
    </w:p>
    <w:p>
      <w:pPr>
        <w:spacing w:after="0" w:line="72" w:lineRule="exact"/>
        <w:rPr>
          <w:sz w:val="20"/>
          <w:szCs w:val="20"/>
          <w:color w:val="auto"/>
        </w:rPr>
      </w:pPr>
    </w:p>
    <w:p>
      <w:pPr>
        <w:ind w:left="620" w:right="20" w:hanging="312"/>
        <w:spacing w:after="0" w:line="313" w:lineRule="auto"/>
        <w:tabs>
          <w:tab w:leader="none" w:pos="609" w:val="left"/>
        </w:tabs>
        <w:numPr>
          <w:ilvl w:val="0"/>
          <w:numId w:val="5"/>
        </w:numPr>
        <w:rPr>
          <w:rFonts w:ascii="Arial" w:cs="Arial" w:eastAsia="Arial" w:hAnsi="Arial"/>
          <w:sz w:val="15"/>
          <w:szCs w:val="15"/>
          <w:color w:val="1E1E1E"/>
        </w:rPr>
      </w:pPr>
      <w:r>
        <w:rPr>
          <w:rFonts w:ascii="Arial" w:cs="Arial" w:eastAsia="Arial" w:hAnsi="Arial"/>
          <w:sz w:val="15"/>
          <w:szCs w:val="15"/>
          <w:color w:val="1E1E1E"/>
        </w:rPr>
        <w:t>Use AI-driven simulations to optimize trial design and enhance our probability of success.</w:t>
      </w:r>
    </w:p>
    <w:p>
      <w:pPr>
        <w:spacing w:after="0" w:line="1" w:lineRule="exact"/>
        <w:rPr>
          <w:rFonts w:ascii="Arial" w:cs="Arial" w:eastAsia="Arial" w:hAnsi="Arial"/>
          <w:sz w:val="15"/>
          <w:szCs w:val="15"/>
          <w:color w:val="1E1E1E"/>
        </w:rPr>
      </w:pPr>
    </w:p>
    <w:p>
      <w:pPr>
        <w:ind w:left="620" w:right="660" w:hanging="312"/>
        <w:spacing w:after="0" w:line="313" w:lineRule="auto"/>
        <w:tabs>
          <w:tab w:leader="none" w:pos="609" w:val="left"/>
        </w:tabs>
        <w:numPr>
          <w:ilvl w:val="0"/>
          <w:numId w:val="5"/>
        </w:numPr>
        <w:rPr>
          <w:rFonts w:ascii="Arial" w:cs="Arial" w:eastAsia="Arial" w:hAnsi="Arial"/>
          <w:sz w:val="15"/>
          <w:szCs w:val="15"/>
          <w:color w:val="1E1E1E"/>
        </w:rPr>
      </w:pPr>
      <w:r>
        <w:rPr>
          <w:rFonts w:ascii="Arial" w:cs="Arial" w:eastAsia="Arial" w:hAnsi="Arial"/>
          <w:sz w:val="15"/>
          <w:szCs w:val="15"/>
          <w:color w:val="1E1E1E"/>
        </w:rPr>
        <w:t>Automate critical processes like patient recruitment and site activation, dramatically reducing enrollment timelines.</w:t>
      </w:r>
    </w:p>
    <w:p>
      <w:pPr>
        <w:spacing w:after="0" w:line="1" w:lineRule="exact"/>
        <w:rPr>
          <w:rFonts w:ascii="Arial" w:cs="Arial" w:eastAsia="Arial" w:hAnsi="Arial"/>
          <w:sz w:val="15"/>
          <w:szCs w:val="15"/>
          <w:color w:val="1E1E1E"/>
        </w:rPr>
      </w:pPr>
    </w:p>
    <w:p>
      <w:pPr>
        <w:ind w:left="620" w:right="160" w:hanging="312"/>
        <w:spacing w:after="0" w:line="330" w:lineRule="auto"/>
        <w:tabs>
          <w:tab w:leader="none" w:pos="609" w:val="left"/>
        </w:tabs>
        <w:numPr>
          <w:ilvl w:val="0"/>
          <w:numId w:val="5"/>
        </w:numPr>
        <w:rPr>
          <w:rFonts w:ascii="Arial" w:cs="Arial" w:eastAsia="Arial" w:hAnsi="Arial"/>
          <w:sz w:val="15"/>
          <w:szCs w:val="15"/>
          <w:color w:val="1E1E1E"/>
        </w:rPr>
      </w:pPr>
      <w:r>
        <w:rPr>
          <w:rFonts w:ascii="Arial" w:cs="Arial" w:eastAsia="Arial" w:hAnsi="Arial"/>
          <w:sz w:val="15"/>
          <w:szCs w:val="15"/>
          <w:color w:val="1E1E1E"/>
        </w:rPr>
        <w:t>Leverage real-world evidence to inform regulatory strategies and increase the likelihood of clinical success.</w:t>
      </w:r>
    </w:p>
    <w:p>
      <w:pPr>
        <w:spacing w:after="0" w:line="41"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1E1E1E"/>
        </w:rPr>
        <w:t>And through partnerships with Faro Health and other industry leaders, we are industrializing clinical workflows, reducing trial costs, and streamlining operations—all while increasing the speed at which we bring new medicines to patients. We are in the early days of this work, but I am so excited at the potential I am already seeing. Coupling these advances with our discovery and translational platform will magnify all of our clintech work and continue to accelerate our lead in the TechBio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778510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504190</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2">
            <w:col w:w="2680" w:space="480"/>
            <w:col w:w="6080"/>
          </w:cols>
          <w:pgMar w:left="1320" w:top="963" w:right="1339" w:bottom="1440" w:gutter="0" w:footer="0" w:header="0"/>
          <w:type w:val="continuous"/>
        </w:sectPr>
      </w:pPr>
    </w:p>
    <w:bookmarkStart w:id="5" w:name="page6"/>
    <w:bookmarkEnd w:id="5"/>
    <w:p>
      <w:pPr>
        <w:ind w:left="3060"/>
        <w:spacing w:after="0"/>
        <w:rPr>
          <w:sz w:val="20"/>
          <w:szCs w:val="20"/>
          <w:color w:val="auto"/>
        </w:rPr>
      </w:pPr>
      <w:r>
        <w:rPr>
          <w:rFonts w:ascii="Arial" w:cs="Arial" w:eastAsia="Arial" w:hAnsi="Arial"/>
          <w:sz w:val="26"/>
          <w:szCs w:val="26"/>
          <w:b w:val="1"/>
          <w:bCs w:val="1"/>
          <w:color w:val="E2188A"/>
        </w:rPr>
        <w:drawing>
          <wp:anchor simplePos="0" relativeHeight="251657728" behindDoc="1" locked="0" layoutInCell="0" allowOverlap="1">
            <wp:simplePos x="0" y="0"/>
            <wp:positionH relativeFrom="page">
              <wp:posOffset>827405</wp:posOffset>
            </wp:positionH>
            <wp:positionV relativeFrom="page">
              <wp:posOffset>498475</wp:posOffset>
            </wp:positionV>
            <wp:extent cx="58940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94070" cy="8255"/>
                    </a:xfrm>
                    <a:prstGeom prst="rect">
                      <a:avLst/>
                    </a:prstGeom>
                    <a:noFill/>
                  </pic:spPr>
                </pic:pic>
              </a:graphicData>
            </a:graphic>
          </wp:anchor>
        </w:drawing>
        <w:t>The Future of TechBio: A Call to Boldness</w:t>
      </w:r>
    </w:p>
    <w:p>
      <w:pPr>
        <w:spacing w:after="0" w:line="77" w:lineRule="exact"/>
        <w:rPr>
          <w:sz w:val="20"/>
          <w:szCs w:val="20"/>
          <w:color w:val="auto"/>
        </w:rPr>
      </w:pPr>
    </w:p>
    <w:p>
      <w:pPr>
        <w:ind w:left="3060" w:right="120"/>
        <w:spacing w:after="0" w:line="295" w:lineRule="auto"/>
        <w:rPr>
          <w:sz w:val="20"/>
          <w:szCs w:val="20"/>
          <w:color w:val="auto"/>
        </w:rPr>
      </w:pPr>
      <w:r>
        <w:rPr>
          <w:rFonts w:ascii="Arial" w:cs="Arial" w:eastAsia="Arial" w:hAnsi="Arial"/>
          <w:sz w:val="15"/>
          <w:szCs w:val="15"/>
          <w:color w:val="1E1E1E"/>
        </w:rPr>
        <w:t>The path we are charting is not an easy one. It is filled with challenges, and it requires taking risks that others shy away from. But if we are to fulfill our promise—to revolutionize drug discovery and improve patient lives at scale—we must push forward with conviction.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-284480</wp:posOffset>
            </wp:positionV>
            <wp:extent cx="1727200" cy="1924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7200" cy="1924050"/>
                    </a:xfrm>
                    <a:prstGeom prst="rect">
                      <a:avLst/>
                    </a:prstGeom>
                    <a:noFill/>
                  </pic:spPr>
                </pic:pic>
              </a:graphicData>
            </a:graphic>
          </wp:anchor>
        </w:drawing>
      </w:r>
    </w:p>
    <w:p>
      <w:pPr>
        <w:spacing w:after="0" w:line="138" w:lineRule="exact"/>
        <w:rPr>
          <w:sz w:val="20"/>
          <w:szCs w:val="20"/>
          <w:color w:val="auto"/>
        </w:rPr>
      </w:pPr>
    </w:p>
    <w:p>
      <w:pPr>
        <w:ind w:left="3060" w:right="20"/>
        <w:spacing w:after="0" w:line="288" w:lineRule="auto"/>
        <w:rPr>
          <w:sz w:val="20"/>
          <w:szCs w:val="20"/>
          <w:color w:val="auto"/>
        </w:rPr>
      </w:pPr>
      <w:r>
        <w:rPr>
          <w:rFonts w:ascii="Arial" w:cs="Arial" w:eastAsia="Arial" w:hAnsi="Arial"/>
          <w:sz w:val="15"/>
          <w:szCs w:val="15"/>
          <w:color w:val="1E1E1E"/>
        </w:rPr>
        <w:t>This is not just about technology for the sake of technology. It is about ensuring that the boldest ideas in biotech are realized and that the future of medicine is shaped by those who are willing to embrace the extraordinary. As we step into 2025, I am more confident than ever that Recursion is leading the way. With a solid foundation, a world-class team, and a relentless commitment to innovation, we are poised to make this year our most transformative yet.</w:t>
      </w:r>
    </w:p>
    <w:p>
      <w:pPr>
        <w:spacing w:after="0" w:line="176" w:lineRule="exact"/>
        <w:rPr>
          <w:sz w:val="20"/>
          <w:szCs w:val="20"/>
          <w:color w:val="auto"/>
        </w:rPr>
      </w:pPr>
    </w:p>
    <w:p>
      <w:pPr>
        <w:ind w:left="3060"/>
        <w:spacing w:after="0" w:line="330" w:lineRule="auto"/>
        <w:rPr>
          <w:sz w:val="20"/>
          <w:szCs w:val="20"/>
          <w:color w:val="auto"/>
        </w:rPr>
      </w:pPr>
      <w:r>
        <w:rPr>
          <w:rFonts w:ascii="Arial" w:cs="Arial" w:eastAsia="Arial" w:hAnsi="Arial"/>
          <w:sz w:val="15"/>
          <w:szCs w:val="15"/>
          <w:color w:val="1E1E1E"/>
        </w:rPr>
        <w:t>Thank you for your continued belief in our mission. Together, we are unlocking the future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26035</wp:posOffset>
            </wp:positionV>
            <wp:extent cx="744855" cy="286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4855" cy="28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1E1E1E"/>
        </w:rPr>
        <w:t>Chris Gibson, Ph.D.</w:t>
      </w:r>
    </w:p>
    <w:p>
      <w:pPr>
        <w:spacing w:after="0" w:line="74" w:lineRule="exact"/>
        <w:rPr>
          <w:sz w:val="20"/>
          <w:szCs w:val="20"/>
          <w:color w:val="auto"/>
        </w:rPr>
      </w:pPr>
    </w:p>
    <w:p>
      <w:pPr>
        <w:ind w:left="3060"/>
        <w:spacing w:after="0"/>
        <w:rPr>
          <w:sz w:val="20"/>
          <w:szCs w:val="20"/>
          <w:color w:val="auto"/>
        </w:rPr>
      </w:pPr>
      <w:r>
        <w:rPr>
          <w:rFonts w:ascii="Arial" w:cs="Arial" w:eastAsia="Arial" w:hAnsi="Arial"/>
          <w:sz w:val="15"/>
          <w:szCs w:val="15"/>
          <w:color w:val="1E1E1E"/>
        </w:rPr>
        <w:t>Founder and CEO, Recursion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777875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504190</wp:posOffset>
            </wp:positionV>
            <wp:extent cx="713867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9100"/>
          </w:cols>
          <w:pgMar w:left="1440" w:top="963" w:right="1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1700"/>
        <w:spacing w:after="0"/>
        <w:rPr>
          <w:sz w:val="20"/>
          <w:szCs w:val="20"/>
          <w:color w:val="auto"/>
        </w:rPr>
      </w:pPr>
      <w:r>
        <w:rPr>
          <w:rFonts w:ascii="Arial" w:cs="Arial" w:eastAsia="Arial" w:hAnsi="Arial"/>
          <w:sz w:val="24"/>
          <w:szCs w:val="24"/>
          <w:color w:val="513491"/>
        </w:rPr>
        <w:t>TABLE OF CONTENTS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Borders>
              <w:right w:val="single" w:sz="8" w:color="4CBFC4"/>
            </w:tcBorders>
            <w:vMerge w:val="restart"/>
          </w:tcPr>
          <w:p>
            <w:pPr>
              <w:spacing w:after="0"/>
              <w:rPr>
                <w:sz w:val="20"/>
                <w:szCs w:val="20"/>
                <w:color w:val="auto"/>
              </w:rPr>
            </w:pPr>
            <w:r>
              <w:rPr>
                <w:rFonts w:ascii="Arial" w:cs="Arial" w:eastAsia="Arial" w:hAnsi="Arial"/>
                <w:sz w:val="14"/>
                <w:szCs w:val="14"/>
                <w:b w:val="1"/>
                <w:bCs w:val="1"/>
                <w:color w:val="4CBFC4"/>
              </w:rPr>
              <w:t xml:space="preserve">PART </w:t>
            </w:r>
            <w:r>
              <w:rPr>
                <w:rFonts w:ascii="Arial" w:cs="Arial" w:eastAsia="Arial" w:hAnsi="Arial"/>
                <w:sz w:val="89"/>
                <w:szCs w:val="89"/>
                <w:color w:val="4CBFC4"/>
              </w:rPr>
              <w:t>01</w:t>
            </w:r>
          </w:p>
        </w:tc>
        <w:tc>
          <w:tcPr>
            <w:tcW w:w="920" w:type="dxa"/>
            <w:vAlign w:val="bottom"/>
          </w:tcPr>
          <w:p>
            <w:pPr>
              <w:ind w:left="340"/>
              <w:spacing w:after="0"/>
              <w:rPr>
                <w:sz w:val="20"/>
                <w:szCs w:val="20"/>
                <w:color w:val="auto"/>
              </w:rPr>
            </w:pPr>
            <w:r>
              <w:rPr>
                <w:rFonts w:ascii="Arial" w:cs="Arial" w:eastAsia="Arial" w:hAnsi="Arial"/>
                <w:sz w:val="17"/>
                <w:szCs w:val="17"/>
                <w:b w:val="1"/>
                <w:bCs w:val="1"/>
                <w:color w:val="6E6E6E"/>
              </w:rPr>
              <w:t>Item 1.</w:t>
            </w:r>
          </w:p>
        </w:tc>
        <w:tc>
          <w:tcPr>
            <w:tcW w:w="2440" w:type="dxa"/>
            <w:vAlign w:val="bottom"/>
            <w:gridSpan w:val="2"/>
          </w:tcPr>
          <w:p>
            <w:pPr>
              <w:ind w:left="20"/>
              <w:spacing w:after="0"/>
              <w:rPr>
                <w:sz w:val="20"/>
                <w:szCs w:val="20"/>
                <w:color w:val="auto"/>
              </w:rPr>
            </w:pPr>
            <w:r>
              <w:rPr>
                <w:rFonts w:ascii="Arial" w:cs="Arial" w:eastAsia="Arial" w:hAnsi="Arial"/>
                <w:sz w:val="17"/>
                <w:szCs w:val="17"/>
                <w:b w:val="1"/>
                <w:bCs w:val="1"/>
                <w:color w:val="6E6E6E"/>
              </w:rPr>
              <w:t>Business</w:t>
            </w:r>
          </w:p>
        </w:tc>
        <w:tc>
          <w:tcPr>
            <w:tcW w:w="0" w:type="dxa"/>
            <w:vAlign w:val="bottom"/>
          </w:tcPr>
          <w:p>
            <w:pPr>
              <w:spacing w:after="0"/>
              <w:rPr>
                <w:sz w:val="1"/>
                <w:szCs w:val="1"/>
                <w:color w:val="auto"/>
              </w:rPr>
            </w:pPr>
          </w:p>
        </w:tc>
      </w:tr>
      <w:tr>
        <w:trPr>
          <w:trHeight w:val="348"/>
        </w:trPr>
        <w:tc>
          <w:tcPr>
            <w:tcW w:w="1860" w:type="dxa"/>
            <w:vAlign w:val="bottom"/>
            <w:tcBorders>
              <w:right w:val="single" w:sz="8" w:color="4CBFC4"/>
            </w:tcBorders>
            <w:vMerge w:val="continue"/>
          </w:tcPr>
          <w:p>
            <w:pPr>
              <w:spacing w:after="0"/>
              <w:rPr>
                <w:sz w:val="24"/>
                <w:szCs w:val="24"/>
                <w:color w:val="auto"/>
              </w:rPr>
            </w:pPr>
          </w:p>
        </w:tc>
        <w:tc>
          <w:tcPr>
            <w:tcW w:w="1040" w:type="dxa"/>
            <w:vAlign w:val="bottom"/>
            <w:gridSpan w:val="2"/>
          </w:tcPr>
          <w:p>
            <w:pPr>
              <w:ind w:left="340"/>
              <w:spacing w:after="0"/>
              <w:rPr>
                <w:sz w:val="20"/>
                <w:szCs w:val="20"/>
                <w:color w:val="auto"/>
              </w:rPr>
            </w:pPr>
            <w:r>
              <w:rPr>
                <w:rFonts w:ascii="Arial" w:cs="Arial" w:eastAsia="Arial" w:hAnsi="Arial"/>
                <w:sz w:val="17"/>
                <w:szCs w:val="17"/>
                <w:b w:val="1"/>
                <w:bCs w:val="1"/>
                <w:color w:val="6E6E6E"/>
              </w:rPr>
              <w:t>Item 1A.</w:t>
            </w:r>
          </w:p>
        </w:tc>
        <w:tc>
          <w:tcPr>
            <w:tcW w:w="2320" w:type="dxa"/>
            <w:vAlign w:val="bottom"/>
          </w:tcPr>
          <w:p>
            <w:pPr>
              <w:ind w:left="20"/>
              <w:spacing w:after="0"/>
              <w:rPr>
                <w:sz w:val="20"/>
                <w:szCs w:val="20"/>
                <w:color w:val="auto"/>
              </w:rPr>
            </w:pPr>
            <w:r>
              <w:rPr>
                <w:rFonts w:ascii="Arial" w:cs="Arial" w:eastAsia="Arial" w:hAnsi="Arial"/>
                <w:sz w:val="17"/>
                <w:szCs w:val="17"/>
                <w:b w:val="1"/>
                <w:bCs w:val="1"/>
                <w:color w:val="6E6E6E"/>
              </w:rPr>
              <w:t>Risk Factors</w:t>
            </w:r>
          </w:p>
        </w:tc>
        <w:tc>
          <w:tcPr>
            <w:tcW w:w="0" w:type="dxa"/>
            <w:vAlign w:val="bottom"/>
          </w:tcPr>
          <w:p>
            <w:pPr>
              <w:spacing w:after="0"/>
              <w:rPr>
                <w:sz w:val="1"/>
                <w:szCs w:val="1"/>
                <w:color w:val="auto"/>
              </w:rPr>
            </w:pPr>
          </w:p>
        </w:tc>
      </w:tr>
      <w:tr>
        <w:trPr>
          <w:trHeight w:val="459"/>
        </w:trPr>
        <w:tc>
          <w:tcPr>
            <w:tcW w:w="1860" w:type="dxa"/>
            <w:vAlign w:val="bottom"/>
            <w:tcBorders>
              <w:right w:val="single" w:sz="8" w:color="4CBFC4"/>
            </w:tcBorders>
            <w:vMerge w:val="continue"/>
          </w:tcPr>
          <w:p>
            <w:pPr>
              <w:spacing w:after="0"/>
              <w:rPr>
                <w:sz w:val="24"/>
                <w:szCs w:val="24"/>
                <w:color w:val="auto"/>
              </w:rPr>
            </w:pPr>
          </w:p>
        </w:tc>
        <w:tc>
          <w:tcPr>
            <w:tcW w:w="1040" w:type="dxa"/>
            <w:vAlign w:val="bottom"/>
            <w:gridSpan w:val="2"/>
          </w:tcPr>
          <w:p>
            <w:pPr>
              <w:ind w:left="340"/>
              <w:spacing w:after="0"/>
              <w:rPr>
                <w:sz w:val="20"/>
                <w:szCs w:val="20"/>
                <w:color w:val="auto"/>
              </w:rPr>
            </w:pPr>
            <w:r>
              <w:rPr>
                <w:rFonts w:ascii="Arial" w:cs="Arial" w:eastAsia="Arial" w:hAnsi="Arial"/>
                <w:sz w:val="17"/>
                <w:szCs w:val="17"/>
                <w:b w:val="1"/>
                <w:bCs w:val="1"/>
                <w:color w:val="6E6E6E"/>
              </w:rPr>
              <w:t>Item 1B.</w:t>
            </w:r>
          </w:p>
        </w:tc>
        <w:tc>
          <w:tcPr>
            <w:tcW w:w="2320" w:type="dxa"/>
            <w:vAlign w:val="bottom"/>
          </w:tcPr>
          <w:p>
            <w:pPr>
              <w:ind w:left="20"/>
              <w:spacing w:after="0"/>
              <w:rPr>
                <w:sz w:val="20"/>
                <w:szCs w:val="20"/>
                <w:color w:val="auto"/>
              </w:rPr>
            </w:pPr>
            <w:r>
              <w:rPr>
                <w:rFonts w:ascii="Arial" w:cs="Arial" w:eastAsia="Arial" w:hAnsi="Arial"/>
                <w:sz w:val="17"/>
                <w:szCs w:val="17"/>
                <w:b w:val="1"/>
                <w:bCs w:val="1"/>
                <w:color w:val="6E6E6E"/>
              </w:rPr>
              <w:t>Unresolved Staff Comments</w:t>
            </w:r>
          </w:p>
        </w:tc>
        <w:tc>
          <w:tcPr>
            <w:tcW w:w="0" w:type="dxa"/>
            <w:vAlign w:val="bottom"/>
          </w:tcPr>
          <w:p>
            <w:pPr>
              <w:spacing w:after="0"/>
              <w:rPr>
                <w:sz w:val="1"/>
                <w:szCs w:val="1"/>
                <w:color w:val="auto"/>
              </w:rPr>
            </w:pPr>
          </w:p>
        </w:tc>
      </w:tr>
      <w:tr>
        <w:trPr>
          <w:trHeight w:val="238"/>
        </w:trPr>
        <w:tc>
          <w:tcPr>
            <w:tcW w:w="1860" w:type="dxa"/>
            <w:vAlign w:val="bottom"/>
            <w:tcBorders>
              <w:right w:val="single" w:sz="8" w:color="4CBFC4"/>
            </w:tcBorders>
          </w:tcPr>
          <w:p>
            <w:pPr>
              <w:spacing w:after="0"/>
              <w:rPr>
                <w:sz w:val="20"/>
                <w:szCs w:val="20"/>
                <w:color w:val="auto"/>
              </w:rPr>
            </w:pPr>
          </w:p>
        </w:tc>
        <w:tc>
          <w:tcPr>
            <w:tcW w:w="1040" w:type="dxa"/>
            <w:vAlign w:val="bottom"/>
            <w:gridSpan w:val="2"/>
          </w:tcPr>
          <w:p>
            <w:pPr>
              <w:ind w:left="340"/>
              <w:spacing w:after="0"/>
              <w:rPr>
                <w:sz w:val="20"/>
                <w:szCs w:val="20"/>
                <w:color w:val="auto"/>
              </w:rPr>
            </w:pPr>
            <w:r>
              <w:rPr>
                <w:rFonts w:ascii="Arial" w:cs="Arial" w:eastAsia="Arial" w:hAnsi="Arial"/>
                <w:sz w:val="17"/>
                <w:szCs w:val="17"/>
                <w:b w:val="1"/>
                <w:bCs w:val="1"/>
                <w:color w:val="6E6E6E"/>
              </w:rPr>
              <w:t>Item 1C.</w:t>
            </w:r>
          </w:p>
        </w:tc>
        <w:tc>
          <w:tcPr>
            <w:tcW w:w="2320" w:type="dxa"/>
            <w:vAlign w:val="bottom"/>
          </w:tcPr>
          <w:p>
            <w:pPr>
              <w:ind w:left="20"/>
              <w:spacing w:after="0"/>
              <w:rPr>
                <w:sz w:val="20"/>
                <w:szCs w:val="20"/>
                <w:color w:val="auto"/>
              </w:rPr>
            </w:pPr>
            <w:r>
              <w:rPr>
                <w:rFonts w:ascii="Arial" w:cs="Arial" w:eastAsia="Arial" w:hAnsi="Arial"/>
                <w:sz w:val="17"/>
                <w:szCs w:val="17"/>
                <w:b w:val="1"/>
                <w:bCs w:val="1"/>
                <w:color w:val="6E6E6E"/>
              </w:rPr>
              <w:t>Cybersecurity</w:t>
            </w:r>
          </w:p>
        </w:tc>
        <w:tc>
          <w:tcPr>
            <w:tcW w:w="0" w:type="dxa"/>
            <w:vAlign w:val="bottom"/>
          </w:tcPr>
          <w:p>
            <w:pPr>
              <w:spacing w:after="0"/>
              <w:rPr>
                <w:sz w:val="1"/>
                <w:szCs w:val="1"/>
                <w:color w:val="auto"/>
              </w:rPr>
            </w:pPr>
          </w:p>
        </w:tc>
      </w:tr>
      <w:tr>
        <w:trPr>
          <w:trHeight w:val="348"/>
        </w:trPr>
        <w:tc>
          <w:tcPr>
            <w:tcW w:w="1860" w:type="dxa"/>
            <w:vAlign w:val="bottom"/>
            <w:tcBorders>
              <w:right w:val="single" w:sz="8" w:color="4CBFC4"/>
            </w:tcBorders>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17"/>
                <w:szCs w:val="17"/>
                <w:b w:val="1"/>
                <w:bCs w:val="1"/>
                <w:color w:val="6E6E6E"/>
              </w:rPr>
              <w:t>Item 2.</w:t>
            </w:r>
          </w:p>
        </w:tc>
        <w:tc>
          <w:tcPr>
            <w:tcW w:w="2440" w:type="dxa"/>
            <w:vAlign w:val="bottom"/>
            <w:gridSpan w:val="2"/>
          </w:tcPr>
          <w:p>
            <w:pPr>
              <w:ind w:left="20"/>
              <w:spacing w:after="0"/>
              <w:rPr>
                <w:sz w:val="20"/>
                <w:szCs w:val="20"/>
                <w:color w:val="auto"/>
              </w:rPr>
            </w:pPr>
            <w:r>
              <w:rPr>
                <w:rFonts w:ascii="Arial" w:cs="Arial" w:eastAsia="Arial" w:hAnsi="Arial"/>
                <w:sz w:val="17"/>
                <w:szCs w:val="17"/>
                <w:b w:val="1"/>
                <w:bCs w:val="1"/>
                <w:color w:val="6E6E6E"/>
              </w:rPr>
              <w:t>Properties</w:t>
            </w:r>
          </w:p>
        </w:tc>
        <w:tc>
          <w:tcPr>
            <w:tcW w:w="0" w:type="dxa"/>
            <w:vAlign w:val="bottom"/>
          </w:tcPr>
          <w:p>
            <w:pPr>
              <w:spacing w:after="0"/>
              <w:rPr>
                <w:sz w:val="1"/>
                <w:szCs w:val="1"/>
                <w:color w:val="auto"/>
              </w:rPr>
            </w:pPr>
          </w:p>
        </w:tc>
      </w:tr>
      <w:tr>
        <w:trPr>
          <w:trHeight w:val="348"/>
        </w:trPr>
        <w:tc>
          <w:tcPr>
            <w:tcW w:w="1860" w:type="dxa"/>
            <w:vAlign w:val="bottom"/>
            <w:tcBorders>
              <w:right w:val="single" w:sz="8" w:color="4CBFC4"/>
            </w:tcBorders>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17"/>
                <w:szCs w:val="17"/>
                <w:b w:val="1"/>
                <w:bCs w:val="1"/>
                <w:color w:val="6E6E6E"/>
              </w:rPr>
              <w:t>Item 3.</w:t>
            </w:r>
          </w:p>
        </w:tc>
        <w:tc>
          <w:tcPr>
            <w:tcW w:w="2440" w:type="dxa"/>
            <w:vAlign w:val="bottom"/>
            <w:gridSpan w:val="2"/>
          </w:tcPr>
          <w:p>
            <w:pPr>
              <w:ind w:left="20"/>
              <w:spacing w:after="0"/>
              <w:rPr>
                <w:sz w:val="20"/>
                <w:szCs w:val="20"/>
                <w:color w:val="auto"/>
              </w:rPr>
            </w:pPr>
            <w:r>
              <w:rPr>
                <w:rFonts w:ascii="Arial" w:cs="Arial" w:eastAsia="Arial" w:hAnsi="Arial"/>
                <w:sz w:val="17"/>
                <w:szCs w:val="17"/>
                <w:b w:val="1"/>
                <w:bCs w:val="1"/>
                <w:color w:val="6E6E6E"/>
              </w:rPr>
              <w:t>Legal Proceedings</w:t>
            </w:r>
          </w:p>
        </w:tc>
        <w:tc>
          <w:tcPr>
            <w:tcW w:w="0" w:type="dxa"/>
            <w:vAlign w:val="bottom"/>
          </w:tcPr>
          <w:p>
            <w:pPr>
              <w:spacing w:after="0"/>
              <w:rPr>
                <w:sz w:val="1"/>
                <w:szCs w:val="1"/>
                <w:color w:val="auto"/>
              </w:rPr>
            </w:pPr>
          </w:p>
        </w:tc>
      </w:tr>
      <w:tr>
        <w:trPr>
          <w:trHeight w:val="348"/>
        </w:trPr>
        <w:tc>
          <w:tcPr>
            <w:tcW w:w="1860" w:type="dxa"/>
            <w:vAlign w:val="bottom"/>
            <w:tcBorders>
              <w:right w:val="single" w:sz="8" w:color="4CBFC4"/>
            </w:tcBorders>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17"/>
                <w:szCs w:val="17"/>
                <w:b w:val="1"/>
                <w:bCs w:val="1"/>
                <w:color w:val="6E6E6E"/>
              </w:rPr>
              <w:t>Item 4.</w:t>
            </w:r>
          </w:p>
        </w:tc>
        <w:tc>
          <w:tcPr>
            <w:tcW w:w="2440" w:type="dxa"/>
            <w:vAlign w:val="bottom"/>
            <w:gridSpan w:val="2"/>
          </w:tcPr>
          <w:p>
            <w:pPr>
              <w:ind w:left="20"/>
              <w:spacing w:after="0"/>
              <w:rPr>
                <w:sz w:val="20"/>
                <w:szCs w:val="20"/>
                <w:color w:val="auto"/>
              </w:rPr>
            </w:pPr>
            <w:r>
              <w:rPr>
                <w:rFonts w:ascii="Arial" w:cs="Arial" w:eastAsia="Arial" w:hAnsi="Arial"/>
                <w:sz w:val="17"/>
                <w:szCs w:val="17"/>
                <w:b w:val="1"/>
                <w:bCs w:val="1"/>
                <w:color w:val="6E6E6E"/>
              </w:rPr>
              <w:t>Mine Safety Disclosures</w:t>
            </w:r>
          </w:p>
        </w:tc>
        <w:tc>
          <w:tcPr>
            <w:tcW w:w="0" w:type="dxa"/>
            <w:vAlign w:val="bottom"/>
          </w:tcPr>
          <w:p>
            <w:pPr>
              <w:spacing w:after="0"/>
              <w:rPr>
                <w:sz w:val="1"/>
                <w:szCs w:val="1"/>
                <w:color w:val="auto"/>
              </w:rPr>
            </w:pPr>
          </w:p>
        </w:tc>
      </w:tr>
      <w:tr>
        <w:trPr>
          <w:trHeight w:val="65"/>
        </w:trPr>
        <w:tc>
          <w:tcPr>
            <w:tcW w:w="1860" w:type="dxa"/>
            <w:vAlign w:val="bottom"/>
            <w:tcBorders>
              <w:right w:val="single" w:sz="8" w:color="4CBFC4"/>
            </w:tcBorders>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425450</wp:posOffset>
            </wp:positionV>
            <wp:extent cx="8255" cy="2308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2308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0" w:right="2420" w:firstLine="1803"/>
        <w:spacing w:after="0" w:line="183" w:lineRule="auto"/>
        <w:rPr>
          <w:sz w:val="20"/>
          <w:szCs w:val="20"/>
          <w:color w:val="auto"/>
        </w:rPr>
      </w:pPr>
      <w:r>
        <w:rPr>
          <w:rFonts w:ascii="Arial" w:cs="Arial" w:eastAsia="Arial" w:hAnsi="Arial"/>
          <w:sz w:val="14"/>
          <w:szCs w:val="14"/>
          <w:b w:val="1"/>
          <w:bCs w:val="1"/>
          <w:color w:val="6E6E6E"/>
        </w:rPr>
        <w:t xml:space="preserve">Item 5. Market for Registrant's Common Equity, Related Stockholder </w:t>
      </w:r>
      <w:r>
        <w:rPr>
          <w:rFonts w:ascii="Arial" w:cs="Arial" w:eastAsia="Arial" w:hAnsi="Arial"/>
          <w:sz w:val="31"/>
          <w:szCs w:val="31"/>
          <w:color w:val="A2CC3A"/>
        </w:rPr>
        <w:t xml:space="preserve">02 </w:t>
      </w:r>
      <w:r>
        <w:rPr>
          <w:rFonts w:ascii="Arial" w:cs="Arial" w:eastAsia="Arial" w:hAnsi="Arial"/>
          <w:sz w:val="14"/>
          <w:szCs w:val="14"/>
          <w:b w:val="1"/>
          <w:bCs w:val="1"/>
          <w:color w:val="6E6E6E"/>
        </w:rPr>
        <w:t>Matters and Issuer Purchases of Equity Securities</w:t>
      </w:r>
    </w:p>
    <w:p>
      <w:pPr>
        <w:spacing w:after="0" w:line="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6E6E6E"/>
        </w:rPr>
        <w:t>Item 6. [Reserved]</w:t>
      </w:r>
    </w:p>
    <w:p>
      <w:pPr>
        <w:ind w:left="20"/>
        <w:spacing w:after="0" w:line="208" w:lineRule="auto"/>
        <w:rPr>
          <w:sz w:val="20"/>
          <w:szCs w:val="20"/>
          <w:color w:val="auto"/>
        </w:rPr>
      </w:pPr>
      <w:r>
        <w:rPr>
          <w:rFonts w:ascii="Arial" w:cs="Arial" w:eastAsia="Arial" w:hAnsi="Arial"/>
          <w:sz w:val="14"/>
          <w:szCs w:val="14"/>
          <w:b w:val="1"/>
          <w:bCs w:val="1"/>
          <w:color w:val="A2CC3A"/>
        </w:rPr>
        <w:t>PART</w:t>
      </w:r>
    </w:p>
    <w:p>
      <w:pPr>
        <w:ind w:left="2380" w:right="1940" w:hanging="154"/>
        <w:spacing w:after="0" w:line="282" w:lineRule="auto"/>
        <w:rPr>
          <w:sz w:val="20"/>
          <w:szCs w:val="20"/>
          <w:color w:val="auto"/>
        </w:rPr>
      </w:pPr>
      <w:r>
        <w:rPr>
          <w:rFonts w:ascii="Arial" w:cs="Arial" w:eastAsia="Arial" w:hAnsi="Arial"/>
          <w:sz w:val="17"/>
          <w:szCs w:val="17"/>
          <w:b w:val="1"/>
          <w:bCs w:val="1"/>
          <w:color w:val="6E6E6E"/>
        </w:rPr>
        <w:t>Item 7. Management's Discussion and Analysis of Financial Condition and Results of Operations</w:t>
      </w:r>
    </w:p>
    <w:p>
      <w:pPr>
        <w:spacing w:after="0" w:line="51" w:lineRule="exact"/>
        <w:rPr>
          <w:sz w:val="20"/>
          <w:szCs w:val="20"/>
          <w:color w:val="auto"/>
        </w:rPr>
      </w:pPr>
    </w:p>
    <w:p>
      <w:pPr>
        <w:ind w:left="2220" w:right="2420"/>
        <w:spacing w:after="0" w:line="419" w:lineRule="auto"/>
        <w:rPr>
          <w:sz w:val="20"/>
          <w:szCs w:val="20"/>
          <w:color w:val="auto"/>
        </w:rPr>
      </w:pPr>
      <w:r>
        <w:rPr>
          <w:rFonts w:ascii="Arial" w:cs="Arial" w:eastAsia="Arial" w:hAnsi="Arial"/>
          <w:sz w:val="17"/>
          <w:szCs w:val="17"/>
          <w:b w:val="1"/>
          <w:bCs w:val="1"/>
          <w:color w:val="6E6E6E"/>
        </w:rPr>
        <w:t>Item 7A. Quantitative and Qualitative Disclosures About Market Risk Item 8. Financial Statements and Supplementary Data</w:t>
      </w:r>
    </w:p>
    <w:p>
      <w:pPr>
        <w:spacing w:after="0" w:line="1" w:lineRule="exact"/>
        <w:rPr>
          <w:sz w:val="20"/>
          <w:szCs w:val="20"/>
          <w:color w:val="auto"/>
        </w:rPr>
      </w:pPr>
    </w:p>
    <w:p>
      <w:pPr>
        <w:ind w:left="2380" w:right="1760" w:hanging="154"/>
        <w:spacing w:after="0" w:line="304" w:lineRule="auto"/>
        <w:rPr>
          <w:sz w:val="20"/>
          <w:szCs w:val="20"/>
          <w:color w:val="auto"/>
        </w:rPr>
      </w:pPr>
      <w:r>
        <w:rPr>
          <w:rFonts w:ascii="Arial" w:cs="Arial" w:eastAsia="Arial" w:hAnsi="Arial"/>
          <w:sz w:val="17"/>
          <w:szCs w:val="17"/>
          <w:b w:val="1"/>
          <w:bCs w:val="1"/>
          <w:color w:val="6E6E6E"/>
        </w:rPr>
        <w:t>Item 9. Changes in and Disagreements with Accountants on Accounting and Financial Disclosures</w:t>
      </w:r>
    </w:p>
    <w:p>
      <w:pPr>
        <w:spacing w:after="0" w:line="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6E6E6E"/>
        </w:rPr>
        <w:t>Item 9A. Controls and Procedures</w:t>
      </w:r>
    </w:p>
    <w:p>
      <w:pPr>
        <w:spacing w:after="0" w:line="15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6E6E6E"/>
        </w:rPr>
        <w:t>Item 9B. Other Information</w:t>
      </w:r>
    </w:p>
    <w:p>
      <w:pPr>
        <w:spacing w:after="0" w:line="153"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6E6E6E"/>
        </w:rPr>
        <w:t>Item 9C. Disclosure Regarding Foreign Jurisdictions that Prevent Inspections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380" w:type="dxa"/>
            <w:vAlign w:val="bottom"/>
          </w:tcPr>
          <w:p>
            <w:pPr>
              <w:spacing w:after="0"/>
              <w:rPr>
                <w:sz w:val="24"/>
                <w:szCs w:val="24"/>
                <w:color w:val="auto"/>
              </w:rPr>
            </w:pPr>
          </w:p>
        </w:tc>
        <w:tc>
          <w:tcPr>
            <w:tcW w:w="1480" w:type="dxa"/>
            <w:vAlign w:val="bottom"/>
            <w:tcBorders>
              <w:right w:val="single" w:sz="8" w:color="E3188A"/>
            </w:tcBorders>
            <w:vMerge w:val="restart"/>
          </w:tcPr>
          <w:p>
            <w:pPr>
              <w:jc w:val="right"/>
              <w:ind w:right="13"/>
              <w:spacing w:after="0"/>
              <w:rPr>
                <w:sz w:val="20"/>
                <w:szCs w:val="20"/>
                <w:color w:val="auto"/>
              </w:rPr>
            </w:pPr>
            <w:r>
              <w:rPr>
                <w:rFonts w:ascii="Arial" w:cs="Arial" w:eastAsia="Arial" w:hAnsi="Arial"/>
                <w:sz w:val="89"/>
                <w:szCs w:val="89"/>
                <w:color w:val="E3188A"/>
              </w:rPr>
              <w:t>03</w:t>
            </w:r>
          </w:p>
        </w:tc>
        <w:tc>
          <w:tcPr>
            <w:tcW w:w="6740" w:type="dxa"/>
            <w:vAlign w:val="bottom"/>
            <w:gridSpan w:val="2"/>
          </w:tcPr>
          <w:p>
            <w:pPr>
              <w:ind w:left="340"/>
              <w:spacing w:after="0"/>
              <w:rPr>
                <w:sz w:val="20"/>
                <w:szCs w:val="20"/>
                <w:color w:val="auto"/>
              </w:rPr>
            </w:pPr>
            <w:r>
              <w:rPr>
                <w:rFonts w:ascii="Arial" w:cs="Arial" w:eastAsia="Arial" w:hAnsi="Arial"/>
                <w:sz w:val="17"/>
                <w:szCs w:val="17"/>
                <w:b w:val="1"/>
                <w:bCs w:val="1"/>
                <w:color w:val="6E6E6E"/>
              </w:rPr>
              <w:t>Item 10. Directors, Executive Officers and Corporate Governance</w:t>
            </w:r>
          </w:p>
        </w:tc>
        <w:tc>
          <w:tcPr>
            <w:tcW w:w="0" w:type="dxa"/>
            <w:vAlign w:val="bottom"/>
          </w:tcPr>
          <w:p>
            <w:pPr>
              <w:spacing w:after="0"/>
              <w:rPr>
                <w:sz w:val="1"/>
                <w:szCs w:val="1"/>
                <w:color w:val="auto"/>
              </w:rPr>
            </w:pPr>
          </w:p>
        </w:tc>
      </w:tr>
      <w:tr>
        <w:trPr>
          <w:trHeight w:val="348"/>
        </w:trPr>
        <w:tc>
          <w:tcPr>
            <w:tcW w:w="380" w:type="dxa"/>
            <w:vAlign w:val="bottom"/>
          </w:tcPr>
          <w:p>
            <w:pPr>
              <w:spacing w:after="0"/>
              <w:rPr>
                <w:sz w:val="24"/>
                <w:szCs w:val="24"/>
                <w:color w:val="auto"/>
              </w:rPr>
            </w:pPr>
          </w:p>
        </w:tc>
        <w:tc>
          <w:tcPr>
            <w:tcW w:w="1480" w:type="dxa"/>
            <w:vAlign w:val="bottom"/>
            <w:tcBorders>
              <w:right w:val="single" w:sz="8" w:color="E3188A"/>
            </w:tcBorders>
            <w:vMerge w:val="continue"/>
          </w:tcPr>
          <w:p>
            <w:pPr>
              <w:spacing w:after="0"/>
              <w:rPr>
                <w:sz w:val="24"/>
                <w:szCs w:val="24"/>
                <w:color w:val="auto"/>
              </w:rPr>
            </w:pPr>
          </w:p>
        </w:tc>
        <w:tc>
          <w:tcPr>
            <w:tcW w:w="6740" w:type="dxa"/>
            <w:vAlign w:val="bottom"/>
            <w:gridSpan w:val="2"/>
          </w:tcPr>
          <w:p>
            <w:pPr>
              <w:ind w:left="340"/>
              <w:spacing w:after="0"/>
              <w:rPr>
                <w:sz w:val="20"/>
                <w:szCs w:val="20"/>
                <w:color w:val="auto"/>
              </w:rPr>
            </w:pPr>
            <w:r>
              <w:rPr>
                <w:rFonts w:ascii="Arial" w:cs="Arial" w:eastAsia="Arial" w:hAnsi="Arial"/>
                <w:sz w:val="17"/>
                <w:szCs w:val="17"/>
                <w:b w:val="1"/>
                <w:bCs w:val="1"/>
                <w:color w:val="6E6E6E"/>
              </w:rPr>
              <w:t>Item 11. Executive Compensation</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0"/>
                <w:szCs w:val="20"/>
                <w:color w:val="auto"/>
              </w:rPr>
            </w:pPr>
            <w:r>
              <w:rPr>
                <w:rFonts w:ascii="Arial" w:cs="Arial" w:eastAsia="Arial" w:hAnsi="Arial"/>
                <w:sz w:val="14"/>
                <w:szCs w:val="14"/>
                <w:b w:val="1"/>
                <w:bCs w:val="1"/>
                <w:color w:val="E3188A"/>
                <w:w w:val="94"/>
              </w:rPr>
              <w:t>PART</w:t>
            </w:r>
          </w:p>
        </w:tc>
        <w:tc>
          <w:tcPr>
            <w:tcW w:w="1480" w:type="dxa"/>
            <w:vAlign w:val="bottom"/>
            <w:tcBorders>
              <w:right w:val="single" w:sz="8" w:color="E3188A"/>
            </w:tcBorders>
            <w:vMerge w:val="continue"/>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17"/>
                <w:szCs w:val="17"/>
                <w:b w:val="1"/>
                <w:bCs w:val="1"/>
                <w:color w:val="6E6E6E"/>
              </w:rPr>
              <w:t>Item 12.</w:t>
            </w:r>
          </w:p>
        </w:tc>
        <w:tc>
          <w:tcPr>
            <w:tcW w:w="5740" w:type="dxa"/>
            <w:vAlign w:val="bottom"/>
          </w:tcPr>
          <w:p>
            <w:pPr>
              <w:ind w:left="40"/>
              <w:spacing w:after="0"/>
              <w:rPr>
                <w:sz w:val="20"/>
                <w:szCs w:val="20"/>
                <w:color w:val="auto"/>
              </w:rPr>
            </w:pPr>
            <w:r>
              <w:rPr>
                <w:rFonts w:ascii="Arial" w:cs="Arial" w:eastAsia="Arial" w:hAnsi="Arial"/>
                <w:sz w:val="17"/>
                <w:szCs w:val="17"/>
                <w:b w:val="1"/>
                <w:bCs w:val="1"/>
                <w:color w:val="6E6E6E"/>
              </w:rPr>
              <w:t>Security Ownership of Certain Beneficial Owner and Management and</w:t>
            </w:r>
          </w:p>
        </w:tc>
        <w:tc>
          <w:tcPr>
            <w:tcW w:w="0" w:type="dxa"/>
            <w:vAlign w:val="bottom"/>
          </w:tcPr>
          <w:p>
            <w:pPr>
              <w:spacing w:after="0"/>
              <w:rPr>
                <w:sz w:val="1"/>
                <w:szCs w:val="1"/>
                <w:color w:val="auto"/>
              </w:rPr>
            </w:pPr>
          </w:p>
        </w:tc>
      </w:tr>
      <w:tr>
        <w:trPr>
          <w:trHeight w:val="272"/>
        </w:trPr>
        <w:tc>
          <w:tcPr>
            <w:tcW w:w="380" w:type="dxa"/>
            <w:vAlign w:val="bottom"/>
          </w:tcPr>
          <w:p>
            <w:pPr>
              <w:spacing w:after="0"/>
              <w:rPr>
                <w:sz w:val="23"/>
                <w:szCs w:val="23"/>
                <w:color w:val="auto"/>
              </w:rPr>
            </w:pPr>
          </w:p>
        </w:tc>
        <w:tc>
          <w:tcPr>
            <w:tcW w:w="1480" w:type="dxa"/>
            <w:vAlign w:val="bottom"/>
            <w:tcBorders>
              <w:right w:val="single" w:sz="8" w:color="E3188A"/>
            </w:tcBorders>
            <w:vMerge w:val="continue"/>
          </w:tcPr>
          <w:p>
            <w:pPr>
              <w:spacing w:after="0"/>
              <w:rPr>
                <w:sz w:val="23"/>
                <w:szCs w:val="23"/>
                <w:color w:val="auto"/>
              </w:rPr>
            </w:pPr>
          </w:p>
        </w:tc>
        <w:tc>
          <w:tcPr>
            <w:tcW w:w="6740" w:type="dxa"/>
            <w:vAlign w:val="bottom"/>
            <w:gridSpan w:val="2"/>
          </w:tcPr>
          <w:p>
            <w:pPr>
              <w:ind w:left="500"/>
              <w:spacing w:after="0"/>
              <w:rPr>
                <w:sz w:val="20"/>
                <w:szCs w:val="20"/>
                <w:color w:val="auto"/>
              </w:rPr>
            </w:pPr>
            <w:r>
              <w:rPr>
                <w:rFonts w:ascii="Arial" w:cs="Arial" w:eastAsia="Arial" w:hAnsi="Arial"/>
                <w:sz w:val="17"/>
                <w:szCs w:val="17"/>
                <w:b w:val="1"/>
                <w:bCs w:val="1"/>
                <w:color w:val="6E6E6E"/>
              </w:rPr>
              <w:t>Related Stockholder Matters</w:t>
            </w: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480" w:type="dxa"/>
            <w:vAlign w:val="bottom"/>
            <w:tcBorders>
              <w:right w:val="single" w:sz="8" w:color="E3188A"/>
            </w:tcBorders>
          </w:tcPr>
          <w:p>
            <w:pPr>
              <w:spacing w:after="0"/>
              <w:rPr>
                <w:sz w:val="21"/>
                <w:szCs w:val="21"/>
                <w:color w:val="auto"/>
              </w:rPr>
            </w:pPr>
          </w:p>
        </w:tc>
        <w:tc>
          <w:tcPr>
            <w:tcW w:w="1000" w:type="dxa"/>
            <w:vAlign w:val="bottom"/>
          </w:tcPr>
          <w:p>
            <w:pPr>
              <w:ind w:left="340"/>
              <w:spacing w:after="0"/>
              <w:rPr>
                <w:sz w:val="20"/>
                <w:szCs w:val="20"/>
                <w:color w:val="auto"/>
              </w:rPr>
            </w:pPr>
            <w:r>
              <w:rPr>
                <w:rFonts w:ascii="Arial" w:cs="Arial" w:eastAsia="Arial" w:hAnsi="Arial"/>
                <w:sz w:val="17"/>
                <w:szCs w:val="17"/>
                <w:b w:val="1"/>
                <w:bCs w:val="1"/>
                <w:color w:val="6E6E6E"/>
              </w:rPr>
              <w:t>Item 13.</w:t>
            </w:r>
          </w:p>
        </w:tc>
        <w:tc>
          <w:tcPr>
            <w:tcW w:w="5740" w:type="dxa"/>
            <w:vAlign w:val="bottom"/>
          </w:tcPr>
          <w:p>
            <w:pPr>
              <w:ind w:left="40"/>
              <w:spacing w:after="0"/>
              <w:rPr>
                <w:sz w:val="20"/>
                <w:szCs w:val="20"/>
                <w:color w:val="auto"/>
              </w:rPr>
            </w:pPr>
            <w:r>
              <w:rPr>
                <w:rFonts w:ascii="Arial" w:cs="Arial" w:eastAsia="Arial" w:hAnsi="Arial"/>
                <w:sz w:val="17"/>
                <w:szCs w:val="17"/>
                <w:b w:val="1"/>
                <w:bCs w:val="1"/>
                <w:color w:val="6E6E6E"/>
              </w:rPr>
              <w:t>Certain Relationships and Related Transactions and Director</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480" w:type="dxa"/>
            <w:vAlign w:val="bottom"/>
            <w:tcBorders>
              <w:right w:val="single" w:sz="8" w:color="E3188A"/>
            </w:tcBorders>
          </w:tcPr>
          <w:p>
            <w:pPr>
              <w:spacing w:after="0"/>
              <w:rPr>
                <w:sz w:val="20"/>
                <w:szCs w:val="20"/>
                <w:color w:val="auto"/>
              </w:rPr>
            </w:pPr>
          </w:p>
        </w:tc>
        <w:tc>
          <w:tcPr>
            <w:tcW w:w="6740" w:type="dxa"/>
            <w:vAlign w:val="bottom"/>
            <w:gridSpan w:val="2"/>
          </w:tcPr>
          <w:p>
            <w:pPr>
              <w:ind w:left="500"/>
              <w:spacing w:after="0"/>
              <w:rPr>
                <w:sz w:val="20"/>
                <w:szCs w:val="20"/>
                <w:color w:val="auto"/>
              </w:rPr>
            </w:pPr>
            <w:r>
              <w:rPr>
                <w:rFonts w:ascii="Arial" w:cs="Arial" w:eastAsia="Arial" w:hAnsi="Arial"/>
                <w:sz w:val="17"/>
                <w:szCs w:val="17"/>
                <w:b w:val="1"/>
                <w:bCs w:val="1"/>
                <w:color w:val="6E6E6E"/>
              </w:rPr>
              <w:t>Independence</w:t>
            </w:r>
          </w:p>
        </w:tc>
        <w:tc>
          <w:tcPr>
            <w:tcW w:w="0" w:type="dxa"/>
            <w:vAlign w:val="bottom"/>
          </w:tcPr>
          <w:p>
            <w:pPr>
              <w:spacing w:after="0"/>
              <w:rPr>
                <w:sz w:val="1"/>
                <w:szCs w:val="1"/>
                <w:color w:val="auto"/>
              </w:rPr>
            </w:pPr>
          </w:p>
        </w:tc>
      </w:tr>
      <w:tr>
        <w:trPr>
          <w:trHeight w:val="322"/>
        </w:trPr>
        <w:tc>
          <w:tcPr>
            <w:tcW w:w="380" w:type="dxa"/>
            <w:vAlign w:val="bottom"/>
          </w:tcPr>
          <w:p>
            <w:pPr>
              <w:spacing w:after="0"/>
              <w:rPr>
                <w:sz w:val="24"/>
                <w:szCs w:val="24"/>
                <w:color w:val="auto"/>
              </w:rPr>
            </w:pPr>
          </w:p>
        </w:tc>
        <w:tc>
          <w:tcPr>
            <w:tcW w:w="1480" w:type="dxa"/>
            <w:vAlign w:val="bottom"/>
            <w:tcBorders>
              <w:right w:val="single" w:sz="8" w:color="E3188A"/>
            </w:tcBorders>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17"/>
                <w:szCs w:val="17"/>
                <w:b w:val="1"/>
                <w:bCs w:val="1"/>
                <w:color w:val="6E6E6E"/>
              </w:rPr>
              <w:t>Item 14.</w:t>
            </w:r>
          </w:p>
        </w:tc>
        <w:tc>
          <w:tcPr>
            <w:tcW w:w="5740" w:type="dxa"/>
            <w:vAlign w:val="bottom"/>
          </w:tcPr>
          <w:p>
            <w:pPr>
              <w:ind w:left="40"/>
              <w:spacing w:after="0"/>
              <w:rPr>
                <w:sz w:val="20"/>
                <w:szCs w:val="20"/>
                <w:color w:val="auto"/>
              </w:rPr>
            </w:pPr>
            <w:r>
              <w:rPr>
                <w:rFonts w:ascii="Arial" w:cs="Arial" w:eastAsia="Arial" w:hAnsi="Arial"/>
                <w:sz w:val="17"/>
                <w:szCs w:val="17"/>
                <w:b w:val="1"/>
                <w:bCs w:val="1"/>
                <w:color w:val="6E6E6E"/>
              </w:rPr>
              <w:t>Principal Accounting Fees and Services</w:t>
            </w:r>
          </w:p>
        </w:tc>
        <w:tc>
          <w:tcPr>
            <w:tcW w:w="0" w:type="dxa"/>
            <w:vAlign w:val="bottom"/>
          </w:tcPr>
          <w:p>
            <w:pPr>
              <w:spacing w:after="0"/>
              <w:rPr>
                <w:sz w:val="1"/>
                <w:szCs w:val="1"/>
                <w:color w:val="auto"/>
              </w:rPr>
            </w:pPr>
          </w:p>
        </w:tc>
      </w:tr>
      <w:tr>
        <w:trPr>
          <w:trHeight w:val="65"/>
        </w:trPr>
        <w:tc>
          <w:tcPr>
            <w:tcW w:w="380" w:type="dxa"/>
            <w:vAlign w:val="bottom"/>
          </w:tcPr>
          <w:p>
            <w:pPr>
              <w:spacing w:after="0"/>
              <w:rPr>
                <w:sz w:val="5"/>
                <w:szCs w:val="5"/>
                <w:color w:val="auto"/>
              </w:rPr>
            </w:pPr>
          </w:p>
        </w:tc>
        <w:tc>
          <w:tcPr>
            <w:tcW w:w="1480" w:type="dxa"/>
            <w:vAlign w:val="bottom"/>
            <w:tcBorders>
              <w:right w:val="single" w:sz="8" w:color="E3188A"/>
            </w:tcBorders>
          </w:tcPr>
          <w:p>
            <w:pPr>
              <w:spacing w:after="0"/>
              <w:rPr>
                <w:sz w:val="5"/>
                <w:szCs w:val="5"/>
                <w:color w:val="auto"/>
              </w:rPr>
            </w:pPr>
          </w:p>
        </w:tc>
        <w:tc>
          <w:tcPr>
            <w:tcW w:w="100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425450</wp:posOffset>
            </wp:positionV>
            <wp:extent cx="8255" cy="769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76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0" w:right="3700" w:firstLine="1803"/>
        <w:spacing w:after="0" w:line="180" w:lineRule="auto"/>
        <w:rPr>
          <w:sz w:val="20"/>
          <w:szCs w:val="20"/>
          <w:color w:val="auto"/>
        </w:rPr>
      </w:pPr>
      <w:r>
        <w:rPr>
          <w:rFonts w:ascii="Arial" w:cs="Arial" w:eastAsia="Arial" w:hAnsi="Arial"/>
          <w:sz w:val="16"/>
          <w:szCs w:val="16"/>
          <w:b w:val="1"/>
          <w:bCs w:val="1"/>
          <w:color w:val="6E6E6E"/>
        </w:rPr>
        <w:t xml:space="preserve">Item 15. Exhibits and Financial Statement Schedules </w:t>
      </w:r>
      <w:r>
        <w:rPr>
          <w:rFonts w:ascii="Arial" w:cs="Arial" w:eastAsia="Arial" w:hAnsi="Arial"/>
          <w:sz w:val="67"/>
          <w:szCs w:val="67"/>
          <w:color w:val="523591"/>
        </w:rPr>
        <w:t xml:space="preserve">04 </w:t>
      </w:r>
      <w:r>
        <w:rPr>
          <w:rFonts w:ascii="Arial" w:cs="Arial" w:eastAsia="Arial" w:hAnsi="Arial"/>
          <w:sz w:val="16"/>
          <w:szCs w:val="16"/>
          <w:b w:val="1"/>
          <w:bCs w:val="1"/>
          <w:color w:val="6E6E6E"/>
        </w:rPr>
        <w:t>Item 16. Form 10-K Summary</w:t>
      </w:r>
    </w:p>
    <w:p>
      <w:pPr>
        <w:ind w:left="20"/>
        <w:spacing w:after="0" w:line="183" w:lineRule="auto"/>
        <w:rPr>
          <w:sz w:val="20"/>
          <w:szCs w:val="20"/>
          <w:color w:val="auto"/>
        </w:rPr>
      </w:pPr>
      <w:r>
        <w:rPr>
          <w:rFonts w:ascii="Arial" w:cs="Arial" w:eastAsia="Arial" w:hAnsi="Arial"/>
          <w:sz w:val="13"/>
          <w:szCs w:val="13"/>
          <w:b w:val="1"/>
          <w:bCs w:val="1"/>
          <w:color w:val="523591"/>
        </w:rPr>
        <w:t>PART</w:t>
      </w:r>
    </w:p>
    <w:p>
      <w:pPr>
        <w:ind w:left="2220"/>
        <w:spacing w:after="0"/>
        <w:rPr>
          <w:sz w:val="20"/>
          <w:szCs w:val="20"/>
          <w:color w:val="auto"/>
        </w:rPr>
      </w:pPr>
      <w:r>
        <w:rPr>
          <w:rFonts w:ascii="Arial" w:cs="Arial" w:eastAsia="Arial" w:hAnsi="Arial"/>
          <w:sz w:val="17"/>
          <w:szCs w:val="17"/>
          <w:b w:val="1"/>
          <w:bCs w:val="1"/>
          <w:color w:val="6E6E6E"/>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6E6E6E"/>
        </w:rPr>
        <w:t>10</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6E6E6E"/>
        </w:rPr>
        <w:t>99</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E6E6E"/>
        </w:rPr>
        <w:t>161</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E6E6E"/>
        </w:rPr>
        <w:t>161</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E6E6E"/>
        </w:rPr>
        <w:t>162</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E6E6E"/>
        </w:rPr>
        <w:t>163</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E6E6E"/>
        </w:rPr>
        <w:t>163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164</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165</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167</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177</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179</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220</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220</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222</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223</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223</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223</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224</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227</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6E6E6E"/>
        </w:rPr>
        <w:t>228</w:t>
      </w:r>
    </w:p>
    <w:p>
      <w:pPr>
        <w:spacing w:after="0" w:line="229" w:lineRule="exact"/>
        <w:rPr>
          <w:sz w:val="20"/>
          <w:szCs w:val="20"/>
          <w:color w:val="auto"/>
        </w:rPr>
      </w:pPr>
    </w:p>
    <w:p>
      <w:pPr>
        <w:sectPr>
          <w:pgSz w:w="11900" w:h="16838" w:orient="portrait"/>
          <w:cols w:equalWidth="0" w:num="2">
            <w:col w:w="10220" w:space="720"/>
            <w:col w:w="280"/>
          </w:cols>
          <w:pgMar w:left="320" w:top="123" w:right="3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31" w:lineRule="exact"/>
        <w:rPr>
          <w:sz w:val="20"/>
          <w:szCs w:val="20"/>
          <w:color w:val="auto"/>
        </w:rPr>
      </w:pPr>
    </w:p>
    <w:p>
      <w:pPr>
        <w:spacing w:after="0"/>
        <w:rPr>
          <w:sz w:val="20"/>
          <w:szCs w:val="20"/>
          <w:color w:val="auto"/>
        </w:rPr>
      </w:pPr>
      <w:r>
        <w:rPr>
          <w:rFonts w:ascii="Arial" w:cs="Arial" w:eastAsia="Arial" w:hAnsi="Arial"/>
          <w:sz w:val="52"/>
          <w:szCs w:val="52"/>
          <w:b w:val="1"/>
          <w:bCs w:val="1"/>
          <w:color w:val="513491"/>
        </w:rPr>
        <w:t>Risk Factor Summary</w:t>
      </w:r>
    </w:p>
    <w:p>
      <w:pPr>
        <w:spacing w:after="0" w:line="220" w:lineRule="exact"/>
        <w:rPr>
          <w:sz w:val="20"/>
          <w:szCs w:val="20"/>
          <w:color w:val="auto"/>
        </w:rPr>
      </w:pPr>
    </w:p>
    <w:p>
      <w:pPr>
        <w:jc w:val="both"/>
        <w:ind w:right="80"/>
        <w:spacing w:after="0" w:line="282" w:lineRule="auto"/>
        <w:rPr>
          <w:sz w:val="20"/>
          <w:szCs w:val="20"/>
          <w:color w:val="auto"/>
        </w:rPr>
      </w:pPr>
      <w:r>
        <w:rPr>
          <w:rFonts w:ascii="Arial" w:cs="Arial" w:eastAsia="Arial" w:hAnsi="Arial"/>
          <w:sz w:val="15"/>
          <w:szCs w:val="15"/>
          <w:color w:val="auto"/>
        </w:rPr>
        <w:t>Below is a summary of the principal factors that make an investment in the common stock of Recursion Pharmaceuticals, Inc. (Recursion, the Company, we, us, or our) risky or speculative. This summary does not address all of the risks we face. Additional discussion of the risks summarized below, and other risks that we face, can be found in the section titled “Item 1A. Risk Factors” in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E1E1E"/>
        </w:rPr>
        <w:t>Risks Related to Our Limited Operating History, Financial Position, and Need for Additional Capital</w:t>
      </w:r>
    </w:p>
    <w:p>
      <w:pPr>
        <w:spacing w:after="0" w:line="60" w:lineRule="exact"/>
        <w:rPr>
          <w:sz w:val="20"/>
          <w:szCs w:val="20"/>
          <w:color w:val="auto"/>
        </w:rPr>
      </w:pPr>
    </w:p>
    <w:p>
      <w:pPr>
        <w:ind w:left="380" w:right="100" w:hanging="222"/>
        <w:spacing w:after="0" w:line="294" w:lineRule="auto"/>
        <w:tabs>
          <w:tab w:leader="none" w:pos="370" w:val="left"/>
        </w:tabs>
        <w:numPr>
          <w:ilvl w:val="0"/>
          <w:numId w:val="6"/>
        </w:numPr>
        <w:rPr>
          <w:rFonts w:ascii="Arial" w:cs="Arial" w:eastAsia="Arial" w:hAnsi="Arial"/>
          <w:sz w:val="15"/>
          <w:szCs w:val="15"/>
          <w:color w:val="1E1E1E"/>
        </w:rPr>
      </w:pPr>
      <w:r>
        <w:rPr>
          <w:rFonts w:ascii="Arial" w:cs="Arial" w:eastAsia="Arial" w:hAnsi="Arial"/>
          <w:sz w:val="15"/>
          <w:szCs w:val="15"/>
          <w:color w:val="1E1E1E"/>
        </w:rPr>
        <w:t>We are a clinical-stage biotechnology company with a limited operating history and no products approved by regulators for commercial sale, which may make it difficult to evaluate our current and future business prospects</w:t>
      </w:r>
    </w:p>
    <w:p>
      <w:pPr>
        <w:spacing w:after="0" w:line="2" w:lineRule="exact"/>
        <w:rPr>
          <w:rFonts w:ascii="Arial" w:cs="Arial" w:eastAsia="Arial" w:hAnsi="Arial"/>
          <w:sz w:val="15"/>
          <w:szCs w:val="15"/>
          <w:color w:val="1E1E1E"/>
        </w:rPr>
      </w:pPr>
    </w:p>
    <w:p>
      <w:pPr>
        <w:ind w:left="380" w:hanging="222"/>
        <w:spacing w:after="0"/>
        <w:tabs>
          <w:tab w:leader="none" w:pos="380" w:val="left"/>
        </w:tabs>
        <w:numPr>
          <w:ilvl w:val="0"/>
          <w:numId w:val="6"/>
        </w:numPr>
        <w:rPr>
          <w:rFonts w:ascii="Arial" w:cs="Arial" w:eastAsia="Arial" w:hAnsi="Arial"/>
          <w:sz w:val="15"/>
          <w:szCs w:val="15"/>
          <w:color w:val="1E1E1E"/>
        </w:rPr>
      </w:pPr>
      <w:r>
        <w:rPr>
          <w:rFonts w:ascii="Arial" w:cs="Arial" w:eastAsia="Arial" w:hAnsi="Arial"/>
          <w:sz w:val="15"/>
          <w:szCs w:val="15"/>
          <w:color w:val="1E1E1E"/>
        </w:rPr>
        <w:t>We have incurred significant operating losses since our inception and anticipate that we will incur continued losses for the foreseeable future.</w:t>
      </w:r>
    </w:p>
    <w:p>
      <w:pPr>
        <w:spacing w:after="0" w:line="59" w:lineRule="exact"/>
        <w:rPr>
          <w:rFonts w:ascii="Arial" w:cs="Arial" w:eastAsia="Arial" w:hAnsi="Arial"/>
          <w:sz w:val="15"/>
          <w:szCs w:val="15"/>
          <w:color w:val="1E1E1E"/>
        </w:rPr>
      </w:pPr>
    </w:p>
    <w:p>
      <w:pPr>
        <w:ind w:left="380" w:right="220" w:hanging="222"/>
        <w:spacing w:after="0" w:line="281" w:lineRule="auto"/>
        <w:tabs>
          <w:tab w:leader="none" w:pos="370" w:val="left"/>
        </w:tabs>
        <w:numPr>
          <w:ilvl w:val="0"/>
          <w:numId w:val="6"/>
        </w:numPr>
        <w:rPr>
          <w:rFonts w:ascii="Arial" w:cs="Arial" w:eastAsia="Arial" w:hAnsi="Arial"/>
          <w:sz w:val="15"/>
          <w:szCs w:val="15"/>
          <w:color w:val="1E1E1E"/>
        </w:rPr>
      </w:pPr>
      <w:r>
        <w:rPr>
          <w:rFonts w:ascii="Arial" w:cs="Arial" w:eastAsia="Arial" w:hAnsi="Arial"/>
          <w:sz w:val="15"/>
          <w:szCs w:val="15"/>
          <w:color w:val="1E1E1E"/>
        </w:rPr>
        <w:t>We will need to raise substantial additional funding. If we are unable to raise capital when needed, we would be forced to delay, reduce, or eliminate at least some of our product development programs, business development plans, strategic investments, and potential commercialization efforts, and to possibly cease operations.</w:t>
      </w:r>
    </w:p>
    <w:p>
      <w:pPr>
        <w:ind w:left="380" w:right="160" w:hanging="222"/>
        <w:spacing w:after="0" w:line="295" w:lineRule="auto"/>
        <w:tabs>
          <w:tab w:leader="none" w:pos="370" w:val="left"/>
        </w:tabs>
        <w:numPr>
          <w:ilvl w:val="0"/>
          <w:numId w:val="6"/>
        </w:numPr>
        <w:rPr>
          <w:rFonts w:ascii="Arial" w:cs="Arial" w:eastAsia="Arial" w:hAnsi="Arial"/>
          <w:sz w:val="15"/>
          <w:szCs w:val="15"/>
          <w:color w:val="1E1E1E"/>
        </w:rPr>
      </w:pPr>
      <w:r>
        <w:rPr>
          <w:rFonts w:ascii="Arial" w:cs="Arial" w:eastAsia="Arial" w:hAnsi="Arial"/>
          <w:sz w:val="15"/>
          <w:szCs w:val="15"/>
          <w:color w:val="1E1E1E"/>
        </w:rPr>
        <w:t>Raising additional capital and issuing additional securities may cause dilution to our stockholders, restrict our operations, require us to relinquish rights to our technologies or drug candidates, and divert management’s attention from our core business.</w:t>
      </w:r>
    </w:p>
    <w:p>
      <w:pPr>
        <w:spacing w:after="0" w:line="1" w:lineRule="exact"/>
        <w:rPr>
          <w:rFonts w:ascii="Arial" w:cs="Arial" w:eastAsia="Arial" w:hAnsi="Arial"/>
          <w:sz w:val="15"/>
          <w:szCs w:val="15"/>
          <w:color w:val="1E1E1E"/>
        </w:rPr>
      </w:pPr>
    </w:p>
    <w:p>
      <w:pPr>
        <w:ind w:left="380" w:right="100" w:hanging="222"/>
        <w:spacing w:after="0" w:line="271" w:lineRule="auto"/>
        <w:tabs>
          <w:tab w:leader="none" w:pos="370" w:val="left"/>
        </w:tabs>
        <w:numPr>
          <w:ilvl w:val="0"/>
          <w:numId w:val="6"/>
        </w:numPr>
        <w:rPr>
          <w:rFonts w:ascii="Arial" w:cs="Arial" w:eastAsia="Arial" w:hAnsi="Arial"/>
          <w:sz w:val="15"/>
          <w:szCs w:val="15"/>
          <w:color w:val="1E1E1E"/>
        </w:rPr>
      </w:pPr>
      <w:r>
        <w:rPr>
          <w:rFonts w:ascii="Arial" w:cs="Arial" w:eastAsia="Arial" w:hAnsi="Arial"/>
          <w:sz w:val="15"/>
          <w:szCs w:val="15"/>
          <w:color w:val="1E1E1E"/>
        </w:rPr>
        <w:t>We may be required to repurchase for cash all, or to facilitate the purchase by a third party of all, of the shares of Class A common stock that were issued to the Bill &amp; Melinda Gates Foundation, or the Gates Foundation, in exchange for the Exscientia American Depositary Shares (ADSs) that the Gates Foundation purchased from Exscientia in an October 2021 private placement if we default under the global access commitments agreement with Exscientia, which could have an adverse impact on us.</w:t>
      </w:r>
    </w:p>
    <w:p>
      <w:pPr>
        <w:spacing w:after="0" w:line="20" w:lineRule="exact"/>
        <w:rPr>
          <w:rFonts w:ascii="Arial" w:cs="Arial" w:eastAsia="Arial" w:hAnsi="Arial"/>
          <w:sz w:val="15"/>
          <w:szCs w:val="15"/>
          <w:color w:val="1E1E1E"/>
        </w:rPr>
      </w:pPr>
    </w:p>
    <w:p>
      <w:pPr>
        <w:ind w:left="380" w:right="460" w:hanging="222"/>
        <w:spacing w:after="0" w:line="273" w:lineRule="auto"/>
        <w:tabs>
          <w:tab w:leader="none" w:pos="370" w:val="left"/>
        </w:tabs>
        <w:numPr>
          <w:ilvl w:val="0"/>
          <w:numId w:val="6"/>
        </w:numPr>
        <w:rPr>
          <w:rFonts w:ascii="Arial" w:cs="Arial" w:eastAsia="Arial" w:hAnsi="Arial"/>
          <w:sz w:val="15"/>
          <w:szCs w:val="15"/>
          <w:color w:val="1E1E1E"/>
        </w:rPr>
      </w:pPr>
      <w:r>
        <w:rPr>
          <w:rFonts w:ascii="Arial" w:cs="Arial" w:eastAsia="Arial" w:hAnsi="Arial"/>
          <w:sz w:val="15"/>
          <w:szCs w:val="15"/>
          <w:color w:val="1E1E1E"/>
        </w:rPr>
        <w:t>We are engaged in strategic collaborations and we intend to seek to establish additional collaborations, including for the clinical development or commercialization of our drug candidates. If we are unable to establish collaborations on commercially reasonable terms or at all, or if current and future collaborations are not successful, we may have to alter our development and commercialization plans.</w:t>
      </w:r>
    </w:p>
    <w:p>
      <w:pPr>
        <w:spacing w:after="0" w:line="17" w:lineRule="exact"/>
        <w:rPr>
          <w:rFonts w:ascii="Arial" w:cs="Arial" w:eastAsia="Arial" w:hAnsi="Arial"/>
          <w:sz w:val="15"/>
          <w:szCs w:val="15"/>
          <w:color w:val="1E1E1E"/>
        </w:rPr>
      </w:pPr>
    </w:p>
    <w:p>
      <w:pPr>
        <w:ind w:left="380" w:right="160" w:hanging="222"/>
        <w:spacing w:after="0" w:line="281" w:lineRule="auto"/>
        <w:tabs>
          <w:tab w:leader="none" w:pos="370" w:val="left"/>
        </w:tabs>
        <w:numPr>
          <w:ilvl w:val="0"/>
          <w:numId w:val="6"/>
        </w:numPr>
        <w:rPr>
          <w:rFonts w:ascii="Arial" w:cs="Arial" w:eastAsia="Arial" w:hAnsi="Arial"/>
          <w:sz w:val="15"/>
          <w:szCs w:val="15"/>
          <w:color w:val="1E1E1E"/>
        </w:rPr>
      </w:pPr>
      <w:r>
        <w:rPr>
          <w:rFonts w:ascii="Arial" w:cs="Arial" w:eastAsia="Arial" w:hAnsi="Arial"/>
          <w:sz w:val="15"/>
          <w:szCs w:val="15"/>
          <w:color w:val="1E1E1E"/>
        </w:rPr>
        <w:t>We have no products approved for commercial sale and have not generated any revenue from product sales. We or our current and future collaborators may never successfully develop and commercialize our drug candidates, which would negatively affect our results of operation and our ability to continue our business operations.</w:t>
      </w:r>
    </w:p>
    <w:p>
      <w:pPr>
        <w:ind w:left="380" w:right="120" w:hanging="222"/>
        <w:spacing w:after="0" w:line="294" w:lineRule="auto"/>
        <w:tabs>
          <w:tab w:leader="none" w:pos="370" w:val="left"/>
        </w:tabs>
        <w:numPr>
          <w:ilvl w:val="0"/>
          <w:numId w:val="6"/>
        </w:numPr>
        <w:rPr>
          <w:rFonts w:ascii="Arial" w:cs="Arial" w:eastAsia="Arial" w:hAnsi="Arial"/>
          <w:sz w:val="15"/>
          <w:szCs w:val="15"/>
          <w:color w:val="1E1E1E"/>
        </w:rPr>
      </w:pPr>
      <w:r>
        <w:rPr>
          <w:rFonts w:ascii="Arial" w:cs="Arial" w:eastAsia="Arial" w:hAnsi="Arial"/>
          <w:sz w:val="15"/>
          <w:szCs w:val="15"/>
          <w:color w:val="1E1E1E"/>
        </w:rPr>
        <w:t>If we engage in future acquisitions or strategic partnerships, this may increase our capital requirements, dilute our stockholders’ equity, cause us to incur debt or assume contingent liabilities, and subject us to other risks.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E1E1E"/>
        </w:rPr>
        <w:t>Risks Related to the Discovery and Development of Drug Candidates</w:t>
      </w:r>
    </w:p>
    <w:p>
      <w:pPr>
        <w:spacing w:after="0" w:line="60" w:lineRule="exact"/>
        <w:rPr>
          <w:sz w:val="20"/>
          <w:szCs w:val="20"/>
          <w:color w:val="auto"/>
        </w:rPr>
      </w:pPr>
    </w:p>
    <w:p>
      <w:pPr>
        <w:ind w:left="380" w:right="40" w:hanging="222"/>
        <w:spacing w:after="0" w:line="294" w:lineRule="auto"/>
        <w:tabs>
          <w:tab w:leader="none" w:pos="370" w:val="left"/>
        </w:tabs>
        <w:numPr>
          <w:ilvl w:val="0"/>
          <w:numId w:val="7"/>
        </w:numPr>
        <w:rPr>
          <w:rFonts w:ascii="Arial" w:cs="Arial" w:eastAsia="Arial" w:hAnsi="Arial"/>
          <w:sz w:val="15"/>
          <w:szCs w:val="15"/>
          <w:color w:val="1E1E1E"/>
        </w:rPr>
      </w:pPr>
      <w:r>
        <w:rPr>
          <w:rFonts w:ascii="Arial" w:cs="Arial" w:eastAsia="Arial" w:hAnsi="Arial"/>
          <w:sz w:val="15"/>
          <w:szCs w:val="15"/>
          <w:color w:val="1E1E1E"/>
        </w:rPr>
        <w:t>Our approach to drug discovery is unique and may not lead to successful drug products for various reasons, including, but not limited to, challenges identifying mechanisms of action for our candidates.</w:t>
      </w:r>
    </w:p>
    <w:p>
      <w:pPr>
        <w:spacing w:after="0" w:line="2" w:lineRule="exact"/>
        <w:rPr>
          <w:rFonts w:ascii="Arial" w:cs="Arial" w:eastAsia="Arial" w:hAnsi="Arial"/>
          <w:sz w:val="15"/>
          <w:szCs w:val="15"/>
          <w:color w:val="1E1E1E"/>
        </w:rPr>
      </w:pPr>
    </w:p>
    <w:p>
      <w:pPr>
        <w:ind w:left="380" w:right="480" w:hanging="222"/>
        <w:spacing w:after="0" w:line="294" w:lineRule="auto"/>
        <w:tabs>
          <w:tab w:leader="none" w:pos="370" w:val="left"/>
        </w:tabs>
        <w:numPr>
          <w:ilvl w:val="0"/>
          <w:numId w:val="7"/>
        </w:numPr>
        <w:rPr>
          <w:rFonts w:ascii="Arial" w:cs="Arial" w:eastAsia="Arial" w:hAnsi="Arial"/>
          <w:sz w:val="15"/>
          <w:szCs w:val="15"/>
          <w:color w:val="1E1E1E"/>
        </w:rPr>
      </w:pPr>
      <w:r>
        <w:rPr>
          <w:rFonts w:ascii="Arial" w:cs="Arial" w:eastAsia="Arial" w:hAnsi="Arial"/>
          <w:sz w:val="15"/>
          <w:szCs w:val="15"/>
          <w:color w:val="1E1E1E"/>
        </w:rPr>
        <w:t>Our drug candidates are in preclinical or clinical development, which are lengthy and expensive processes with uncertain outcomes and the potential for substantial delays.</w:t>
      </w:r>
    </w:p>
    <w:p>
      <w:pPr>
        <w:spacing w:after="0" w:line="2" w:lineRule="exact"/>
        <w:rPr>
          <w:rFonts w:ascii="Arial" w:cs="Arial" w:eastAsia="Arial" w:hAnsi="Arial"/>
          <w:sz w:val="15"/>
          <w:szCs w:val="15"/>
          <w:color w:val="1E1E1E"/>
        </w:rPr>
      </w:pPr>
    </w:p>
    <w:p>
      <w:pPr>
        <w:ind w:left="380" w:hanging="222"/>
        <w:spacing w:after="0"/>
        <w:tabs>
          <w:tab w:leader="none" w:pos="380" w:val="left"/>
        </w:tabs>
        <w:numPr>
          <w:ilvl w:val="0"/>
          <w:numId w:val="7"/>
        </w:numPr>
        <w:rPr>
          <w:rFonts w:ascii="Arial" w:cs="Arial" w:eastAsia="Arial" w:hAnsi="Arial"/>
          <w:sz w:val="15"/>
          <w:szCs w:val="15"/>
          <w:color w:val="1E1E1E"/>
        </w:rPr>
      </w:pPr>
      <w:r>
        <w:rPr>
          <w:rFonts w:ascii="Arial" w:cs="Arial" w:eastAsia="Arial" w:hAnsi="Arial"/>
          <w:sz w:val="15"/>
          <w:szCs w:val="15"/>
          <w:color w:val="1E1E1E"/>
        </w:rPr>
        <w:t>If we experience delays or difficulties in the enrollment of patients in clinical trials, our receipt of necessary regulatory approvals could be delayed or prevented.</w:t>
      </w:r>
    </w:p>
    <w:p>
      <w:pPr>
        <w:spacing w:after="0" w:line="59" w:lineRule="exact"/>
        <w:rPr>
          <w:rFonts w:ascii="Arial" w:cs="Arial" w:eastAsia="Arial" w:hAnsi="Arial"/>
          <w:sz w:val="15"/>
          <w:szCs w:val="15"/>
          <w:color w:val="1E1E1E"/>
        </w:rPr>
      </w:pPr>
    </w:p>
    <w:p>
      <w:pPr>
        <w:ind w:left="380" w:hanging="222"/>
        <w:spacing w:after="0" w:line="296" w:lineRule="auto"/>
        <w:tabs>
          <w:tab w:leader="none" w:pos="370" w:val="left"/>
        </w:tabs>
        <w:numPr>
          <w:ilvl w:val="0"/>
          <w:numId w:val="7"/>
        </w:numPr>
        <w:rPr>
          <w:rFonts w:ascii="Arial" w:cs="Arial" w:eastAsia="Arial" w:hAnsi="Arial"/>
          <w:sz w:val="15"/>
          <w:szCs w:val="15"/>
          <w:color w:val="1E1E1E"/>
        </w:rPr>
      </w:pPr>
      <w:r>
        <w:rPr>
          <w:rFonts w:ascii="Arial" w:cs="Arial" w:eastAsia="Arial" w:hAnsi="Arial"/>
          <w:sz w:val="15"/>
          <w:szCs w:val="15"/>
          <w:color w:val="1E1E1E"/>
        </w:rPr>
        <w:t>Our planned clinical trials, or those of our current and potential future collaborators, may not be successful or may reveal significant adverse events not seen in our preclinical or nonclinical studies, which may result in a safety profile that could inhibit regulatory approval or market acceptance of any of our drug candidates.</w:t>
      </w:r>
    </w:p>
    <w:p>
      <w:pPr>
        <w:spacing w:after="0" w:line="180" w:lineRule="exact"/>
        <w:rPr>
          <w:rFonts w:ascii="Arial" w:cs="Arial" w:eastAsia="Arial" w:hAnsi="Arial"/>
          <w:sz w:val="15"/>
          <w:szCs w:val="15"/>
          <w:color w:val="1E1E1E"/>
        </w:rPr>
      </w:pPr>
    </w:p>
    <w:p>
      <w:pPr>
        <w:ind w:left="380" w:hanging="222"/>
        <w:spacing w:after="0"/>
        <w:tabs>
          <w:tab w:leader="none" w:pos="380" w:val="left"/>
        </w:tabs>
        <w:numPr>
          <w:ilvl w:val="0"/>
          <w:numId w:val="7"/>
        </w:numPr>
        <w:rPr>
          <w:rFonts w:ascii="Arial" w:cs="Arial" w:eastAsia="Arial" w:hAnsi="Arial"/>
          <w:sz w:val="15"/>
          <w:szCs w:val="15"/>
          <w:color w:val="1E1E1E"/>
        </w:rPr>
      </w:pPr>
      <w:r>
        <w:rPr>
          <w:rFonts w:ascii="Arial" w:cs="Arial" w:eastAsia="Arial" w:hAnsi="Arial"/>
          <w:sz w:val="15"/>
          <w:szCs w:val="15"/>
          <w:color w:val="1E1E1E"/>
        </w:rPr>
        <w:t>We may develop drug candidates for use in combination with other therapies, which exposes us to additional risks.</w:t>
      </w:r>
    </w:p>
    <w:p>
      <w:pPr>
        <w:spacing w:after="0" w:line="72" w:lineRule="exact"/>
        <w:rPr>
          <w:rFonts w:ascii="Arial" w:cs="Arial" w:eastAsia="Arial" w:hAnsi="Arial"/>
          <w:sz w:val="15"/>
          <w:szCs w:val="15"/>
          <w:color w:val="1E1E1E"/>
        </w:rPr>
      </w:pPr>
    </w:p>
    <w:p>
      <w:pPr>
        <w:ind w:left="380" w:right="220" w:hanging="222"/>
        <w:spacing w:after="0" w:line="287" w:lineRule="auto"/>
        <w:tabs>
          <w:tab w:leader="none" w:pos="370" w:val="left"/>
        </w:tabs>
        <w:numPr>
          <w:ilvl w:val="0"/>
          <w:numId w:val="7"/>
        </w:numPr>
        <w:rPr>
          <w:rFonts w:ascii="Arial" w:cs="Arial" w:eastAsia="Arial" w:hAnsi="Arial"/>
          <w:sz w:val="15"/>
          <w:szCs w:val="15"/>
          <w:color w:val="1E1E1E"/>
        </w:rPr>
      </w:pPr>
      <w:r>
        <w:rPr>
          <w:rFonts w:ascii="Arial" w:cs="Arial" w:eastAsia="Arial" w:hAnsi="Arial"/>
          <w:sz w:val="15"/>
          <w:szCs w:val="15"/>
          <w:color w:val="1E1E1E"/>
        </w:rPr>
        <w:t>We conduct clinical trials for our drug candidates outside the United States, and the FDA and similar foreign regulatory authorities may not accept data from such trials.</w:t>
      </w:r>
    </w:p>
    <w:p>
      <w:pPr>
        <w:jc w:val="both"/>
        <w:ind w:left="380" w:right="260" w:hanging="222"/>
        <w:spacing w:after="0" w:line="282" w:lineRule="auto"/>
        <w:tabs>
          <w:tab w:leader="none" w:pos="370" w:val="left"/>
        </w:tabs>
        <w:numPr>
          <w:ilvl w:val="0"/>
          <w:numId w:val="7"/>
        </w:numPr>
        <w:rPr>
          <w:rFonts w:ascii="Arial" w:cs="Arial" w:eastAsia="Arial" w:hAnsi="Arial"/>
          <w:sz w:val="15"/>
          <w:szCs w:val="15"/>
          <w:color w:val="1E1E1E"/>
        </w:rPr>
      </w:pPr>
      <w:r>
        <w:rPr>
          <w:rFonts w:ascii="Arial" w:cs="Arial" w:eastAsia="Arial" w:hAnsi="Arial"/>
          <w:sz w:val="15"/>
          <w:szCs w:val="15"/>
          <w:color w:val="1E1E1E"/>
        </w:rPr>
        <w:t>It is difficult to establish with precision the incidence and prevalence for target patient populations of our drug candidates.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0" w:lineRule="exact"/>
        <w:rPr>
          <w:rFonts w:ascii="Arial" w:cs="Arial" w:eastAsia="Arial" w:hAnsi="Arial"/>
          <w:sz w:val="15"/>
          <w:szCs w:val="15"/>
          <w:color w:val="1E1E1E"/>
        </w:rPr>
      </w:pPr>
    </w:p>
    <w:p>
      <w:pPr>
        <w:ind w:left="380" w:hanging="222"/>
        <w:spacing w:after="0"/>
        <w:tabs>
          <w:tab w:leader="none" w:pos="380" w:val="left"/>
        </w:tabs>
        <w:numPr>
          <w:ilvl w:val="0"/>
          <w:numId w:val="7"/>
        </w:numPr>
        <w:rPr>
          <w:rFonts w:ascii="Arial" w:cs="Arial" w:eastAsia="Arial" w:hAnsi="Arial"/>
          <w:sz w:val="15"/>
          <w:szCs w:val="15"/>
          <w:color w:val="1E1E1E"/>
        </w:rPr>
      </w:pPr>
      <w:r>
        <w:rPr>
          <w:rFonts w:ascii="Arial" w:cs="Arial" w:eastAsia="Arial" w:hAnsi="Arial"/>
          <w:sz w:val="15"/>
          <w:szCs w:val="15"/>
          <w:color w:val="1E1E1E"/>
        </w:rPr>
        <w:t>We may never realize a return on our investment of resources and cash in our drug discovery collaborations.</w:t>
      </w:r>
    </w:p>
    <w:p>
      <w:pPr>
        <w:spacing w:after="0" w:line="59" w:lineRule="exact"/>
        <w:rPr>
          <w:rFonts w:ascii="Arial" w:cs="Arial" w:eastAsia="Arial" w:hAnsi="Arial"/>
          <w:sz w:val="15"/>
          <w:szCs w:val="15"/>
          <w:color w:val="1E1E1E"/>
        </w:rPr>
      </w:pPr>
    </w:p>
    <w:p>
      <w:pPr>
        <w:ind w:left="380" w:hanging="222"/>
        <w:spacing w:after="0"/>
        <w:tabs>
          <w:tab w:leader="none" w:pos="380" w:val="left"/>
        </w:tabs>
        <w:numPr>
          <w:ilvl w:val="0"/>
          <w:numId w:val="7"/>
        </w:numPr>
        <w:rPr>
          <w:rFonts w:ascii="Arial" w:cs="Arial" w:eastAsia="Arial" w:hAnsi="Arial"/>
          <w:sz w:val="15"/>
          <w:szCs w:val="15"/>
          <w:color w:val="1E1E1E"/>
        </w:rPr>
      </w:pPr>
      <w:r>
        <w:rPr>
          <w:rFonts w:ascii="Arial" w:cs="Arial" w:eastAsia="Arial" w:hAnsi="Arial"/>
          <w:sz w:val="15"/>
          <w:szCs w:val="15"/>
          <w:color w:val="1E1E1E"/>
        </w:rPr>
        <w:t>We face substantial competition, which may result in others discovering, developing, or commercializing products before, or more successfully than, we do.</w:t>
      </w:r>
    </w:p>
    <w:p>
      <w:pPr>
        <w:spacing w:after="0" w:line="59" w:lineRule="exact"/>
        <w:rPr>
          <w:rFonts w:ascii="Arial" w:cs="Arial" w:eastAsia="Arial" w:hAnsi="Arial"/>
          <w:sz w:val="15"/>
          <w:szCs w:val="15"/>
          <w:color w:val="1E1E1E"/>
        </w:rPr>
      </w:pPr>
    </w:p>
    <w:p>
      <w:pPr>
        <w:ind w:left="380" w:right="780" w:hanging="222"/>
        <w:spacing w:after="0" w:line="312" w:lineRule="auto"/>
        <w:tabs>
          <w:tab w:leader="none" w:pos="370" w:val="left"/>
        </w:tabs>
        <w:numPr>
          <w:ilvl w:val="0"/>
          <w:numId w:val="7"/>
        </w:numPr>
        <w:rPr>
          <w:rFonts w:ascii="Arial" w:cs="Arial" w:eastAsia="Arial" w:hAnsi="Arial"/>
          <w:sz w:val="15"/>
          <w:szCs w:val="15"/>
          <w:color w:val="1E1E1E"/>
        </w:rPr>
      </w:pPr>
      <w:r>
        <w:rPr>
          <w:rFonts w:ascii="Arial" w:cs="Arial" w:eastAsia="Arial" w:hAnsi="Arial"/>
          <w:sz w:val="15"/>
          <w:szCs w:val="15"/>
          <w:color w:val="1E1E1E"/>
        </w:rPr>
        <w:t>Because we have multiple programs and drug candidates in our development pipeline and are pursuing a variety of target indications and treatment modalities, we may expend our limited resources to pursue a particular drug candidate and fail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380"/>
        <w:spacing w:after="0"/>
        <w:rPr>
          <w:sz w:val="20"/>
          <w:szCs w:val="20"/>
          <w:color w:val="auto"/>
        </w:rPr>
      </w:pPr>
      <w:r>
        <w:rPr>
          <w:rFonts w:ascii="Arial" w:cs="Arial" w:eastAsia="Arial" w:hAnsi="Arial"/>
          <w:sz w:val="15"/>
          <w:szCs w:val="15"/>
          <w:color w:val="1E1E1E"/>
        </w:rPr>
        <w:t>capitalize on development opportunities or drug candidates that may be more profitable or for which there is a greater likelihood of success.</w:t>
      </w:r>
    </w:p>
    <w:p>
      <w:pPr>
        <w:spacing w:after="0" w:line="60" w:lineRule="exact"/>
        <w:rPr>
          <w:sz w:val="20"/>
          <w:szCs w:val="20"/>
          <w:color w:val="auto"/>
        </w:rPr>
      </w:pPr>
    </w:p>
    <w:p>
      <w:pPr>
        <w:ind w:left="380" w:right="20" w:hanging="222"/>
        <w:spacing w:after="0" w:line="282" w:lineRule="auto"/>
        <w:tabs>
          <w:tab w:leader="none" w:pos="370" w:val="left"/>
        </w:tabs>
        <w:numPr>
          <w:ilvl w:val="0"/>
          <w:numId w:val="8"/>
        </w:numPr>
        <w:rPr>
          <w:rFonts w:ascii="Arial" w:cs="Arial" w:eastAsia="Arial" w:hAnsi="Arial"/>
          <w:sz w:val="15"/>
          <w:szCs w:val="15"/>
          <w:color w:val="1E1E1E"/>
        </w:rPr>
      </w:pPr>
      <w:r>
        <w:rPr>
          <w:rFonts w:ascii="Arial" w:cs="Arial" w:eastAsia="Arial" w:hAnsi="Arial"/>
          <w:sz w:val="15"/>
          <w:szCs w:val="15"/>
          <w:color w:val="1E1E1E"/>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E1E1E"/>
        </w:rPr>
        <w:t>Risks Related to Our Platform and Data</w:t>
      </w:r>
    </w:p>
    <w:p>
      <w:pPr>
        <w:spacing w:after="0" w:line="60" w:lineRule="exact"/>
        <w:rPr>
          <w:sz w:val="20"/>
          <w:szCs w:val="20"/>
          <w:color w:val="auto"/>
        </w:rPr>
      </w:pPr>
    </w:p>
    <w:p>
      <w:pPr>
        <w:ind w:left="380" w:hanging="222"/>
        <w:spacing w:after="0" w:line="294" w:lineRule="auto"/>
        <w:tabs>
          <w:tab w:leader="none" w:pos="370" w:val="left"/>
        </w:tabs>
        <w:numPr>
          <w:ilvl w:val="0"/>
          <w:numId w:val="9"/>
        </w:numPr>
        <w:rPr>
          <w:rFonts w:ascii="Arial" w:cs="Arial" w:eastAsia="Arial" w:hAnsi="Arial"/>
          <w:sz w:val="15"/>
          <w:szCs w:val="15"/>
          <w:color w:val="1E1E1E"/>
        </w:rPr>
      </w:pPr>
      <w:r>
        <w:rPr>
          <w:rFonts w:ascii="Arial" w:cs="Arial" w:eastAsia="Arial" w:hAnsi="Arial"/>
          <w:sz w:val="15"/>
          <w:szCs w:val="15"/>
          <w:color w:val="1E1E1E"/>
        </w:rPr>
        <w:t>We have invested, and expect to continue to invest, in research and development efforts to further enhance our drug discovery platform, which is central to our mission. If the return on these investments is lower or develops more slowly than we expect, our business and operating results may suffer.</w:t>
      </w:r>
    </w:p>
    <w:p>
      <w:pPr>
        <w:spacing w:after="0" w:line="2" w:lineRule="exact"/>
        <w:rPr>
          <w:rFonts w:ascii="Arial" w:cs="Arial" w:eastAsia="Arial" w:hAnsi="Arial"/>
          <w:sz w:val="15"/>
          <w:szCs w:val="15"/>
          <w:color w:val="1E1E1E"/>
        </w:rPr>
      </w:pPr>
    </w:p>
    <w:p>
      <w:pPr>
        <w:ind w:left="380" w:right="220" w:hanging="222"/>
        <w:spacing w:after="0" w:line="294" w:lineRule="auto"/>
        <w:tabs>
          <w:tab w:leader="none" w:pos="370" w:val="left"/>
        </w:tabs>
        <w:numPr>
          <w:ilvl w:val="0"/>
          <w:numId w:val="9"/>
        </w:numPr>
        <w:rPr>
          <w:rFonts w:ascii="Arial" w:cs="Arial" w:eastAsia="Arial" w:hAnsi="Arial"/>
          <w:sz w:val="15"/>
          <w:szCs w:val="15"/>
          <w:color w:val="1E1E1E"/>
        </w:rPr>
      </w:pPr>
      <w:r>
        <w:rPr>
          <w:rFonts w:ascii="Arial" w:cs="Arial" w:eastAsia="Arial" w:hAnsi="Arial"/>
          <w:sz w:val="15"/>
          <w:szCs w:val="15"/>
          <w:color w:val="1E1E1E"/>
        </w:rPr>
        <w:t>Our information technology systems and infrastructure may fail or experience security breaches and incidents that could adversely impact our business and operations and subject us to liability.</w:t>
      </w:r>
    </w:p>
    <w:p>
      <w:pPr>
        <w:spacing w:after="0" w:line="2" w:lineRule="exact"/>
        <w:rPr>
          <w:rFonts w:ascii="Arial" w:cs="Arial" w:eastAsia="Arial" w:hAnsi="Arial"/>
          <w:sz w:val="15"/>
          <w:szCs w:val="15"/>
          <w:color w:val="1E1E1E"/>
        </w:rPr>
      </w:pPr>
    </w:p>
    <w:p>
      <w:pPr>
        <w:ind w:left="380" w:right="280" w:hanging="222"/>
        <w:spacing w:after="0" w:line="287" w:lineRule="auto"/>
        <w:tabs>
          <w:tab w:leader="none" w:pos="370" w:val="left"/>
        </w:tabs>
        <w:numPr>
          <w:ilvl w:val="0"/>
          <w:numId w:val="9"/>
        </w:numPr>
        <w:rPr>
          <w:rFonts w:ascii="Arial" w:cs="Arial" w:eastAsia="Arial" w:hAnsi="Arial"/>
          <w:sz w:val="15"/>
          <w:szCs w:val="15"/>
          <w:color w:val="1E1E1E"/>
        </w:rPr>
      </w:pPr>
      <w:r>
        <w:rPr>
          <w:rFonts w:ascii="Arial" w:cs="Arial" w:eastAsia="Arial" w:hAnsi="Arial"/>
          <w:sz w:val="15"/>
          <w:szCs w:val="15"/>
          <w:color w:val="1E1E1E"/>
        </w:rPr>
        <w:t>Interruptions in the availability of server systems or communications with internet or cloud-based services, or failure to maintain the security, confidentiality, accessibility, or integrity of data stored on such systems, could harm our business.</w:t>
      </w:r>
    </w:p>
    <w:p>
      <w:pPr>
        <w:ind w:left="380" w:hanging="222"/>
        <w:spacing w:after="0"/>
        <w:tabs>
          <w:tab w:leader="none" w:pos="380" w:val="left"/>
        </w:tabs>
        <w:numPr>
          <w:ilvl w:val="0"/>
          <w:numId w:val="9"/>
        </w:numPr>
        <w:rPr>
          <w:rFonts w:ascii="Arial" w:cs="Arial" w:eastAsia="Arial" w:hAnsi="Arial"/>
          <w:sz w:val="15"/>
          <w:szCs w:val="15"/>
          <w:color w:val="1E1E1E"/>
        </w:rPr>
      </w:pPr>
      <w:r>
        <w:rPr>
          <w:rFonts w:ascii="Arial" w:cs="Arial" w:eastAsia="Arial" w:hAnsi="Arial"/>
          <w:sz w:val="15"/>
          <w:szCs w:val="15"/>
          <w:color w:val="1E1E1E"/>
        </w:rPr>
        <w:t>Our solutions utilize third-party open source software (OSS), which presents risks that could adversely affect our business and subject us to possible litigation.</w:t>
      </w:r>
    </w:p>
    <w:p>
      <w:pPr>
        <w:spacing w:after="0" w:line="72" w:lineRule="exact"/>
        <w:rPr>
          <w:rFonts w:ascii="Arial" w:cs="Arial" w:eastAsia="Arial" w:hAnsi="Arial"/>
          <w:sz w:val="15"/>
          <w:szCs w:val="15"/>
          <w:color w:val="1E1E1E"/>
        </w:rPr>
      </w:pPr>
    </w:p>
    <w:p>
      <w:pPr>
        <w:ind w:left="380" w:hanging="222"/>
        <w:spacing w:after="0"/>
        <w:tabs>
          <w:tab w:leader="none" w:pos="380" w:val="left"/>
        </w:tabs>
        <w:numPr>
          <w:ilvl w:val="0"/>
          <w:numId w:val="9"/>
        </w:numPr>
        <w:rPr>
          <w:rFonts w:ascii="Arial" w:cs="Arial" w:eastAsia="Arial" w:hAnsi="Arial"/>
          <w:sz w:val="15"/>
          <w:szCs w:val="15"/>
          <w:color w:val="1E1E1E"/>
        </w:rPr>
      </w:pPr>
      <w:r>
        <w:rPr>
          <w:rFonts w:ascii="Arial" w:cs="Arial" w:eastAsia="Arial" w:hAnsi="Arial"/>
          <w:sz w:val="15"/>
          <w:szCs w:val="15"/>
          <w:color w:val="1E1E1E"/>
        </w:rPr>
        <w:t>Issues relating to the use of artificial intelligence and machine learning in our offerings could adversely affect our business and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E1E1E"/>
        </w:rPr>
        <w:t>Risks Related to Our Operations/Commercialization</w:t>
      </w:r>
    </w:p>
    <w:p>
      <w:pPr>
        <w:spacing w:after="0" w:line="60" w:lineRule="exact"/>
        <w:rPr>
          <w:sz w:val="20"/>
          <w:szCs w:val="20"/>
          <w:color w:val="auto"/>
        </w:rPr>
      </w:pPr>
    </w:p>
    <w:p>
      <w:pPr>
        <w:ind w:left="380" w:right="560" w:hanging="222"/>
        <w:spacing w:after="0" w:line="295" w:lineRule="auto"/>
        <w:tabs>
          <w:tab w:leader="none" w:pos="370" w:val="left"/>
        </w:tabs>
        <w:numPr>
          <w:ilvl w:val="0"/>
          <w:numId w:val="10"/>
        </w:numPr>
        <w:rPr>
          <w:rFonts w:ascii="Arial" w:cs="Arial" w:eastAsia="Arial" w:hAnsi="Arial"/>
          <w:sz w:val="15"/>
          <w:szCs w:val="15"/>
          <w:color w:val="1E1E1E"/>
        </w:rPr>
      </w:pPr>
      <w:r>
        <w:rPr>
          <w:rFonts w:ascii="Arial" w:cs="Arial" w:eastAsia="Arial" w:hAnsi="Arial"/>
          <w:sz w:val="15"/>
          <w:szCs w:val="15"/>
          <w:color w:val="1E1E1E"/>
        </w:rPr>
        <w:t>Even if any drug candidates we develop receive marketing approval, they may fail to achieve the degree of market acceptance by physicians, patients, healthcare payors, and others in the medical community necessary for commercial success.</w:t>
      </w:r>
    </w:p>
    <w:p>
      <w:pPr>
        <w:spacing w:after="0" w:line="1" w:lineRule="exact"/>
        <w:rPr>
          <w:rFonts w:ascii="Arial" w:cs="Arial" w:eastAsia="Arial" w:hAnsi="Arial"/>
          <w:sz w:val="15"/>
          <w:szCs w:val="15"/>
          <w:color w:val="1E1E1E"/>
        </w:rPr>
      </w:pPr>
    </w:p>
    <w:p>
      <w:pPr>
        <w:ind w:left="380" w:right="500" w:hanging="222"/>
        <w:spacing w:after="0" w:line="295" w:lineRule="auto"/>
        <w:tabs>
          <w:tab w:leader="none" w:pos="370" w:val="left"/>
        </w:tabs>
        <w:numPr>
          <w:ilvl w:val="0"/>
          <w:numId w:val="10"/>
        </w:numPr>
        <w:rPr>
          <w:rFonts w:ascii="Arial" w:cs="Arial" w:eastAsia="Arial" w:hAnsi="Arial"/>
          <w:sz w:val="15"/>
          <w:szCs w:val="15"/>
          <w:color w:val="1E1E1E"/>
        </w:rPr>
      </w:pPr>
      <w:r>
        <w:rPr>
          <w:rFonts w:ascii="Arial" w:cs="Arial" w:eastAsia="Arial" w:hAnsi="Arial"/>
          <w:sz w:val="15"/>
          <w:szCs w:val="15"/>
          <w:color w:val="1E1E1E"/>
        </w:rPr>
        <w:t>If we are unable to establish sales and marketing capabilities or enter into agreements with third parties to sell and market any drug candidates we may develop, we may not be successful in commercializing those drug candidates, if and when they are approved.</w:t>
      </w:r>
    </w:p>
    <w:p>
      <w:pPr>
        <w:spacing w:after="0" w:line="1" w:lineRule="exact"/>
        <w:rPr>
          <w:rFonts w:ascii="Arial" w:cs="Arial" w:eastAsia="Arial" w:hAnsi="Arial"/>
          <w:sz w:val="15"/>
          <w:szCs w:val="15"/>
          <w:color w:val="1E1E1E"/>
        </w:rPr>
      </w:pPr>
    </w:p>
    <w:p>
      <w:pPr>
        <w:ind w:left="380" w:right="100" w:hanging="222"/>
        <w:spacing w:after="0" w:line="294" w:lineRule="auto"/>
        <w:tabs>
          <w:tab w:leader="none" w:pos="370" w:val="left"/>
        </w:tabs>
        <w:numPr>
          <w:ilvl w:val="0"/>
          <w:numId w:val="10"/>
        </w:numPr>
        <w:rPr>
          <w:rFonts w:ascii="Arial" w:cs="Arial" w:eastAsia="Arial" w:hAnsi="Arial"/>
          <w:sz w:val="15"/>
          <w:szCs w:val="15"/>
          <w:color w:val="1E1E1E"/>
        </w:rPr>
      </w:pPr>
      <w:r>
        <w:rPr>
          <w:rFonts w:ascii="Arial" w:cs="Arial" w:eastAsia="Arial" w:hAnsi="Arial"/>
          <w:sz w:val="15"/>
          <w:szCs w:val="15"/>
          <w:color w:val="1E1E1E"/>
        </w:rPr>
        <w:t>We are subject to regulatory and operational risks associated with the physical and digital infrastructure at both our internal facilities and those of our external service providers.</w:t>
      </w:r>
    </w:p>
    <w:p>
      <w:pPr>
        <w:spacing w:after="0" w:line="2" w:lineRule="exact"/>
        <w:rPr>
          <w:rFonts w:ascii="Arial" w:cs="Arial" w:eastAsia="Arial" w:hAnsi="Arial"/>
          <w:sz w:val="15"/>
          <w:szCs w:val="15"/>
          <w:color w:val="1E1E1E"/>
        </w:rPr>
      </w:pPr>
    </w:p>
    <w:p>
      <w:pPr>
        <w:jc w:val="both"/>
        <w:ind w:left="380" w:right="420" w:hanging="222"/>
        <w:spacing w:after="0" w:line="282" w:lineRule="auto"/>
        <w:tabs>
          <w:tab w:leader="none" w:pos="370" w:val="left"/>
        </w:tabs>
        <w:numPr>
          <w:ilvl w:val="0"/>
          <w:numId w:val="10"/>
        </w:numPr>
        <w:rPr>
          <w:rFonts w:ascii="Arial" w:cs="Arial" w:eastAsia="Arial" w:hAnsi="Arial"/>
          <w:sz w:val="15"/>
          <w:szCs w:val="15"/>
          <w:color w:val="1E1E1E"/>
        </w:rPr>
      </w:pPr>
      <w:r>
        <w:rPr>
          <w:rFonts w:ascii="Arial" w:cs="Arial" w:eastAsia="Arial" w:hAnsi="Arial"/>
          <w:sz w:val="15"/>
          <w:szCs w:val="15"/>
          <w:color w:val="1E1E1E"/>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E1E1E"/>
        </w:rPr>
        <w:t>Risks Related to Our Intellectual Property</w:t>
      </w:r>
    </w:p>
    <w:p>
      <w:pPr>
        <w:spacing w:after="0" w:line="60" w:lineRule="exact"/>
        <w:rPr>
          <w:sz w:val="20"/>
          <w:szCs w:val="20"/>
          <w:color w:val="auto"/>
        </w:rPr>
      </w:pPr>
    </w:p>
    <w:p>
      <w:pPr>
        <w:ind w:left="380" w:right="140" w:hanging="222"/>
        <w:spacing w:after="0" w:line="282" w:lineRule="auto"/>
        <w:tabs>
          <w:tab w:leader="none" w:pos="370" w:val="left"/>
        </w:tabs>
        <w:numPr>
          <w:ilvl w:val="0"/>
          <w:numId w:val="11"/>
        </w:numPr>
        <w:rPr>
          <w:rFonts w:ascii="Arial" w:cs="Arial" w:eastAsia="Arial" w:hAnsi="Arial"/>
          <w:sz w:val="15"/>
          <w:szCs w:val="15"/>
          <w:color w:val="1E1E1E"/>
        </w:rPr>
      </w:pPr>
      <w:r>
        <w:rPr>
          <w:rFonts w:ascii="Arial" w:cs="Arial" w:eastAsia="Arial" w:hAnsi="Arial"/>
          <w:sz w:val="15"/>
          <w:szCs w:val="15"/>
          <w:color w:val="1E1E1E"/>
        </w:rPr>
        <w:t>Our success significantly depends on our ability to obtain and maintain patents of adequate scope covering our proprietary technology and drug candidate products. Obtaining and maintaining patent assets is inherently challenging, and our pending and future patent applications may not issue with the scope we need, if at all.</w:t>
      </w:r>
    </w:p>
    <w:p>
      <w:pPr>
        <w:spacing w:after="0" w:line="10" w:lineRule="exact"/>
        <w:rPr>
          <w:rFonts w:ascii="Arial" w:cs="Arial" w:eastAsia="Arial" w:hAnsi="Arial"/>
          <w:sz w:val="15"/>
          <w:szCs w:val="15"/>
          <w:color w:val="1E1E1E"/>
        </w:rPr>
      </w:pPr>
    </w:p>
    <w:p>
      <w:pPr>
        <w:ind w:left="380" w:right="100" w:hanging="222"/>
        <w:spacing w:after="0" w:line="273" w:lineRule="auto"/>
        <w:tabs>
          <w:tab w:leader="none" w:pos="370" w:val="left"/>
        </w:tabs>
        <w:numPr>
          <w:ilvl w:val="0"/>
          <w:numId w:val="11"/>
        </w:numPr>
        <w:rPr>
          <w:rFonts w:ascii="Arial" w:cs="Arial" w:eastAsia="Arial" w:hAnsi="Arial"/>
          <w:sz w:val="15"/>
          <w:szCs w:val="15"/>
          <w:color w:val="1E1E1E"/>
        </w:rPr>
      </w:pPr>
      <w:r>
        <w:rPr>
          <w:rFonts w:ascii="Arial" w:cs="Arial" w:eastAsia="Arial" w:hAnsi="Arial"/>
          <w:sz w:val="15"/>
          <w:szCs w:val="15"/>
          <w:color w:val="1E1E1E"/>
        </w:rPr>
        <w:t>Our current proprietary position for certain drug product candidates depends upon our owned or in-licensed patent filings covering components of such drug product candidates, manufacturing-related methods, formulations, and/or methods of use, which may not adequately prevent a competitor or other third party from using the same drug candidate for the same or a different use.</w:t>
      </w:r>
    </w:p>
    <w:p>
      <w:pPr>
        <w:spacing w:after="0" w:line="17" w:lineRule="exact"/>
        <w:rPr>
          <w:rFonts w:ascii="Arial" w:cs="Arial" w:eastAsia="Arial" w:hAnsi="Arial"/>
          <w:sz w:val="15"/>
          <w:szCs w:val="15"/>
          <w:color w:val="1E1E1E"/>
        </w:rPr>
      </w:pPr>
    </w:p>
    <w:p>
      <w:pPr>
        <w:ind w:left="380" w:hanging="222"/>
        <w:spacing w:after="0"/>
        <w:tabs>
          <w:tab w:leader="none" w:pos="380" w:val="left"/>
        </w:tabs>
        <w:numPr>
          <w:ilvl w:val="0"/>
          <w:numId w:val="11"/>
        </w:numPr>
        <w:rPr>
          <w:rFonts w:ascii="Arial" w:cs="Arial" w:eastAsia="Arial" w:hAnsi="Arial"/>
          <w:sz w:val="15"/>
          <w:szCs w:val="15"/>
          <w:color w:val="1E1E1E"/>
        </w:rPr>
      </w:pPr>
      <w:r>
        <w:rPr>
          <w:rFonts w:ascii="Arial" w:cs="Arial" w:eastAsia="Arial" w:hAnsi="Arial"/>
          <w:sz w:val="15"/>
          <w:szCs w:val="15"/>
          <w:color w:val="1E1E1E"/>
        </w:rPr>
        <w:t>We may not be able to protect our intellectual property and proprietary rights throughout the world.</w:t>
      </w:r>
    </w:p>
    <w:p>
      <w:pPr>
        <w:spacing w:after="0" w:line="59" w:lineRule="exact"/>
        <w:rPr>
          <w:rFonts w:ascii="Arial" w:cs="Arial" w:eastAsia="Arial" w:hAnsi="Arial"/>
          <w:sz w:val="15"/>
          <w:szCs w:val="15"/>
          <w:color w:val="1E1E1E"/>
        </w:rPr>
      </w:pPr>
    </w:p>
    <w:p>
      <w:pPr>
        <w:ind w:left="380" w:hanging="222"/>
        <w:spacing w:after="0"/>
        <w:tabs>
          <w:tab w:leader="none" w:pos="380" w:val="left"/>
        </w:tabs>
        <w:numPr>
          <w:ilvl w:val="0"/>
          <w:numId w:val="11"/>
        </w:numPr>
        <w:rPr>
          <w:rFonts w:ascii="Arial" w:cs="Arial" w:eastAsia="Arial" w:hAnsi="Arial"/>
          <w:sz w:val="15"/>
          <w:szCs w:val="15"/>
          <w:color w:val="1E1E1E"/>
        </w:rPr>
      </w:pPr>
      <w:r>
        <w:rPr>
          <w:rFonts w:ascii="Arial" w:cs="Arial" w:eastAsia="Arial" w:hAnsi="Arial"/>
          <w:sz w:val="15"/>
          <w:szCs w:val="15"/>
          <w:color w:val="1E1E1E"/>
        </w:rPr>
        <w:t>If we do not obtain patent term extension and data exclusivity for any drug product candidates we may develop, our business may be materially harmed.</w:t>
      </w:r>
    </w:p>
    <w:p>
      <w:pPr>
        <w:spacing w:after="0" w:line="72" w:lineRule="exact"/>
        <w:rPr>
          <w:rFonts w:ascii="Arial" w:cs="Arial" w:eastAsia="Arial" w:hAnsi="Arial"/>
          <w:sz w:val="15"/>
          <w:szCs w:val="15"/>
          <w:color w:val="1E1E1E"/>
        </w:rPr>
      </w:pPr>
    </w:p>
    <w:p>
      <w:pPr>
        <w:ind w:left="380" w:right="520" w:hanging="222"/>
        <w:spacing w:after="0" w:line="287" w:lineRule="auto"/>
        <w:tabs>
          <w:tab w:leader="none" w:pos="370" w:val="left"/>
        </w:tabs>
        <w:numPr>
          <w:ilvl w:val="0"/>
          <w:numId w:val="11"/>
        </w:numPr>
        <w:rPr>
          <w:rFonts w:ascii="Arial" w:cs="Arial" w:eastAsia="Arial" w:hAnsi="Arial"/>
          <w:sz w:val="15"/>
          <w:szCs w:val="15"/>
          <w:color w:val="1E1E1E"/>
        </w:rPr>
      </w:pPr>
      <w:r>
        <w:rPr>
          <w:rFonts w:ascii="Arial" w:cs="Arial" w:eastAsia="Arial" w:hAnsi="Arial"/>
          <w:sz w:val="15"/>
          <w:szCs w:val="15"/>
          <w:color w:val="1E1E1E"/>
        </w:rPr>
        <w:t>We may need to license certain intellectual property from third parties, and such licenses may not be available or may not be available on commercially reasonable terms.</w:t>
      </w:r>
    </w:p>
    <w:p>
      <w:pPr>
        <w:ind w:left="380" w:hanging="222"/>
        <w:spacing w:after="0"/>
        <w:tabs>
          <w:tab w:leader="none" w:pos="380" w:val="left"/>
        </w:tabs>
        <w:numPr>
          <w:ilvl w:val="0"/>
          <w:numId w:val="11"/>
        </w:numPr>
        <w:rPr>
          <w:rFonts w:ascii="Arial" w:cs="Arial" w:eastAsia="Arial" w:hAnsi="Arial"/>
          <w:sz w:val="15"/>
          <w:szCs w:val="15"/>
          <w:color w:val="1E1E1E"/>
        </w:rPr>
      </w:pPr>
      <w:r>
        <w:rPr>
          <w:rFonts w:ascii="Arial" w:cs="Arial" w:eastAsia="Arial" w:hAnsi="Arial"/>
          <w:sz w:val="15"/>
          <w:szCs w:val="15"/>
          <w:color w:val="1E1E1E"/>
        </w:rPr>
        <w:t>Changes in U.S. patent law could diminish the value of patents in general, thereby impairing our ability to protect our products.</w:t>
      </w:r>
    </w:p>
    <w:p>
      <w:pPr>
        <w:spacing w:after="0" w:line="72" w:lineRule="exact"/>
        <w:rPr>
          <w:rFonts w:ascii="Arial" w:cs="Arial" w:eastAsia="Arial" w:hAnsi="Arial"/>
          <w:sz w:val="15"/>
          <w:szCs w:val="15"/>
          <w:color w:val="1E1E1E"/>
        </w:rPr>
      </w:pPr>
    </w:p>
    <w:p>
      <w:pPr>
        <w:ind w:left="380" w:hanging="222"/>
        <w:spacing w:after="0" w:line="294" w:lineRule="auto"/>
        <w:tabs>
          <w:tab w:leader="none" w:pos="370" w:val="left"/>
        </w:tabs>
        <w:numPr>
          <w:ilvl w:val="0"/>
          <w:numId w:val="11"/>
        </w:numPr>
        <w:rPr>
          <w:rFonts w:ascii="Arial" w:cs="Arial" w:eastAsia="Arial" w:hAnsi="Arial"/>
          <w:sz w:val="15"/>
          <w:szCs w:val="15"/>
          <w:color w:val="1E1E1E"/>
        </w:rPr>
      </w:pPr>
      <w:r>
        <w:rPr>
          <w:rFonts w:ascii="Arial" w:cs="Arial" w:eastAsia="Arial" w:hAnsi="Arial"/>
          <w:sz w:val="15"/>
          <w:szCs w:val="15"/>
          <w:color w:val="1E1E1E"/>
        </w:rPr>
        <w:t>Issued patents covering our drug product candidates and proprietary technology that we have developed or may develop in the future could be found invalid or unenforceable if challenged in court or before administrative bodies in the United States or abroad.</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E1E1E"/>
        </w:rPr>
        <w:t>Risks Related to Acquisitions</w:t>
      </w:r>
    </w:p>
    <w:p>
      <w:pPr>
        <w:spacing w:after="0" w:line="72" w:lineRule="exact"/>
        <w:rPr>
          <w:sz w:val="20"/>
          <w:szCs w:val="20"/>
          <w:color w:val="auto"/>
        </w:rPr>
      </w:pPr>
    </w:p>
    <w:p>
      <w:pPr>
        <w:ind w:left="380" w:right="40" w:hanging="222"/>
        <w:spacing w:after="0" w:line="294" w:lineRule="auto"/>
        <w:tabs>
          <w:tab w:leader="none" w:pos="370" w:val="left"/>
        </w:tabs>
        <w:numPr>
          <w:ilvl w:val="0"/>
          <w:numId w:val="12"/>
        </w:numPr>
        <w:rPr>
          <w:rFonts w:ascii="Arial" w:cs="Arial" w:eastAsia="Arial" w:hAnsi="Arial"/>
          <w:sz w:val="15"/>
          <w:szCs w:val="15"/>
          <w:color w:val="1E1E1E"/>
        </w:rPr>
      </w:pPr>
      <w:r>
        <w:rPr>
          <w:rFonts w:ascii="Arial" w:cs="Arial" w:eastAsia="Arial" w:hAnsi="Arial"/>
          <w:sz w:val="15"/>
          <w:szCs w:val="15"/>
          <w:color w:val="1E1E1E"/>
        </w:rPr>
        <w:t>The failure to integrate successfully the businesses of Recursion and Exscientia in the expected timeframe would adversely affect Recursion’s future business and financial performance.</w:t>
      </w:r>
    </w:p>
    <w:p>
      <w:pPr>
        <w:spacing w:after="0" w:line="2" w:lineRule="exact"/>
        <w:rPr>
          <w:rFonts w:ascii="Arial" w:cs="Arial" w:eastAsia="Arial" w:hAnsi="Arial"/>
          <w:sz w:val="15"/>
          <w:szCs w:val="15"/>
          <w:color w:val="1E1E1E"/>
        </w:rPr>
      </w:pPr>
    </w:p>
    <w:p>
      <w:pPr>
        <w:ind w:left="380" w:hanging="222"/>
        <w:spacing w:after="0"/>
        <w:tabs>
          <w:tab w:leader="none" w:pos="380" w:val="left"/>
        </w:tabs>
        <w:numPr>
          <w:ilvl w:val="0"/>
          <w:numId w:val="12"/>
        </w:numPr>
        <w:rPr>
          <w:rFonts w:ascii="Arial" w:cs="Arial" w:eastAsia="Arial" w:hAnsi="Arial"/>
          <w:sz w:val="15"/>
          <w:szCs w:val="15"/>
          <w:color w:val="1E1E1E"/>
        </w:rPr>
      </w:pPr>
      <w:r>
        <w:rPr>
          <w:rFonts w:ascii="Arial" w:cs="Arial" w:eastAsia="Arial" w:hAnsi="Arial"/>
          <w:sz w:val="15"/>
          <w:szCs w:val="15"/>
          <w:color w:val="1E1E1E"/>
        </w:rPr>
        <w:t>The anticipated benefits of the business combination with Exscientia may vary from expectations.</w:t>
      </w:r>
    </w:p>
    <w:p>
      <w:pPr>
        <w:spacing w:after="0" w:line="59" w:lineRule="exact"/>
        <w:rPr>
          <w:rFonts w:ascii="Arial" w:cs="Arial" w:eastAsia="Arial" w:hAnsi="Arial"/>
          <w:sz w:val="15"/>
          <w:szCs w:val="15"/>
          <w:color w:val="1E1E1E"/>
        </w:rPr>
      </w:pPr>
    </w:p>
    <w:p>
      <w:pPr>
        <w:ind w:left="380" w:right="560" w:hanging="222"/>
        <w:spacing w:after="0" w:line="294" w:lineRule="auto"/>
        <w:tabs>
          <w:tab w:leader="none" w:pos="370" w:val="left"/>
        </w:tabs>
        <w:numPr>
          <w:ilvl w:val="0"/>
          <w:numId w:val="12"/>
        </w:numPr>
        <w:rPr>
          <w:rFonts w:ascii="Arial" w:cs="Arial" w:eastAsia="Arial" w:hAnsi="Arial"/>
          <w:sz w:val="15"/>
          <w:szCs w:val="15"/>
          <w:color w:val="1E1E1E"/>
        </w:rPr>
      </w:pPr>
      <w:r>
        <w:rPr>
          <w:rFonts w:ascii="Arial" w:cs="Arial" w:eastAsia="Arial" w:hAnsi="Arial"/>
          <w:sz w:val="15"/>
          <w:szCs w:val="15"/>
          <w:color w:val="1E1E1E"/>
        </w:rPr>
        <w:t>As a company with substantial operations outside of the United States, we are subject to economic, political, regulatory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E1E1E"/>
        </w:rPr>
        <w:t>Risks Related to Government Regulation</w:t>
      </w:r>
    </w:p>
    <w:p>
      <w:pPr>
        <w:spacing w:after="0" w:line="60" w:lineRule="exact"/>
        <w:rPr>
          <w:sz w:val="20"/>
          <w:szCs w:val="20"/>
          <w:color w:val="auto"/>
        </w:rPr>
      </w:pPr>
    </w:p>
    <w:p>
      <w:pPr>
        <w:ind w:left="380" w:hanging="222"/>
        <w:spacing w:after="0"/>
        <w:tabs>
          <w:tab w:leader="none" w:pos="380" w:val="left"/>
        </w:tabs>
        <w:numPr>
          <w:ilvl w:val="0"/>
          <w:numId w:val="13"/>
        </w:numPr>
        <w:rPr>
          <w:rFonts w:ascii="Arial" w:cs="Arial" w:eastAsia="Arial" w:hAnsi="Arial"/>
          <w:sz w:val="15"/>
          <w:szCs w:val="15"/>
          <w:color w:val="1E1E1E"/>
        </w:rPr>
      </w:pPr>
      <w:r>
        <w:rPr>
          <w:rFonts w:ascii="Arial" w:cs="Arial" w:eastAsia="Arial" w:hAnsi="Arial"/>
          <w:sz w:val="15"/>
          <w:szCs w:val="15"/>
          <w:color w:val="1E1E1E"/>
        </w:rPr>
        <w:t>We may be unable to obtain U.S. or foreign regulatory approval and, as a result, may be unable to commercialize our product candidates.</w:t>
      </w:r>
    </w:p>
    <w:p>
      <w:pPr>
        <w:spacing w:after="0" w:line="72" w:lineRule="exact"/>
        <w:rPr>
          <w:rFonts w:ascii="Arial" w:cs="Arial" w:eastAsia="Arial" w:hAnsi="Arial"/>
          <w:sz w:val="15"/>
          <w:szCs w:val="15"/>
          <w:color w:val="1E1E1E"/>
        </w:rPr>
      </w:pPr>
    </w:p>
    <w:p>
      <w:pPr>
        <w:ind w:left="380" w:hanging="222"/>
        <w:spacing w:after="0"/>
        <w:tabs>
          <w:tab w:leader="none" w:pos="380" w:val="left"/>
        </w:tabs>
        <w:numPr>
          <w:ilvl w:val="0"/>
          <w:numId w:val="13"/>
        </w:numPr>
        <w:rPr>
          <w:rFonts w:ascii="Arial" w:cs="Arial" w:eastAsia="Arial" w:hAnsi="Arial"/>
          <w:sz w:val="15"/>
          <w:szCs w:val="15"/>
          <w:color w:val="1E1E1E"/>
        </w:rPr>
      </w:pPr>
      <w:r>
        <w:rPr>
          <w:rFonts w:ascii="Arial" w:cs="Arial" w:eastAsia="Arial" w:hAnsi="Arial"/>
          <w:sz w:val="15"/>
          <w:szCs w:val="15"/>
          <w:color w:val="1E1E1E"/>
        </w:rPr>
        <w:t>The FDA, EMA and other comparable foreign regulatory authorities may not accept data from trials conducted in locations outside of their jurisdiction.</w:t>
      </w:r>
    </w:p>
    <w:p>
      <w:pPr>
        <w:spacing w:after="0" w:line="59" w:lineRule="exact"/>
        <w:rPr>
          <w:rFonts w:ascii="Arial" w:cs="Arial" w:eastAsia="Arial" w:hAnsi="Arial"/>
          <w:sz w:val="15"/>
          <w:szCs w:val="15"/>
          <w:color w:val="1E1E1E"/>
        </w:rPr>
      </w:pPr>
    </w:p>
    <w:p>
      <w:pPr>
        <w:jc w:val="both"/>
        <w:ind w:left="380" w:right="80" w:hanging="222"/>
        <w:spacing w:after="0" w:line="281" w:lineRule="auto"/>
        <w:tabs>
          <w:tab w:leader="none" w:pos="370" w:val="left"/>
        </w:tabs>
        <w:numPr>
          <w:ilvl w:val="0"/>
          <w:numId w:val="13"/>
        </w:numPr>
        <w:rPr>
          <w:rFonts w:ascii="Arial" w:cs="Arial" w:eastAsia="Arial" w:hAnsi="Arial"/>
          <w:sz w:val="15"/>
          <w:szCs w:val="15"/>
          <w:color w:val="1E1E1E"/>
        </w:rPr>
      </w:pPr>
      <w:r>
        <w:rPr>
          <w:rFonts w:ascii="Arial" w:cs="Arial" w:eastAsia="Arial" w:hAnsi="Arial"/>
          <w:sz w:val="15"/>
          <w:szCs w:val="15"/>
          <w:color w:val="1E1E1E"/>
        </w:rPr>
        <w:t>Even if we receive FDA or other regulatory approval for any of our drug candidates, we will be subject to ongoing regulatory obligations and other conditions that may result in significant additional expense, as well as the potential recall or market withdrawal of an approved product if unanticipated safety issues are discovered.</w:t>
      </w:r>
    </w:p>
    <w:p>
      <w:pPr>
        <w:ind w:left="380" w:hanging="222"/>
        <w:spacing w:after="0"/>
        <w:tabs>
          <w:tab w:leader="none" w:pos="380" w:val="left"/>
        </w:tabs>
        <w:numPr>
          <w:ilvl w:val="0"/>
          <w:numId w:val="13"/>
        </w:numPr>
        <w:rPr>
          <w:rFonts w:ascii="Arial" w:cs="Arial" w:eastAsia="Arial" w:hAnsi="Arial"/>
          <w:sz w:val="15"/>
          <w:szCs w:val="15"/>
          <w:color w:val="1E1E1E"/>
        </w:rPr>
      </w:pPr>
      <w:r>
        <w:rPr>
          <w:rFonts w:ascii="Arial" w:cs="Arial" w:eastAsia="Arial" w:hAnsi="Arial"/>
          <w:sz w:val="15"/>
          <w:szCs w:val="15"/>
          <w:color w:val="1E1E1E"/>
        </w:rPr>
        <w:t>The FDA and other regulatory agencies actively enforce the laws and regulations prohibiting the promotion of off-label uses.</w:t>
      </w:r>
    </w:p>
    <w:p>
      <w:pPr>
        <w:spacing w:after="0" w:line="72" w:lineRule="exact"/>
        <w:rPr>
          <w:rFonts w:ascii="Arial" w:cs="Arial" w:eastAsia="Arial" w:hAnsi="Arial"/>
          <w:sz w:val="15"/>
          <w:szCs w:val="15"/>
          <w:color w:val="1E1E1E"/>
        </w:rPr>
      </w:pPr>
    </w:p>
    <w:p>
      <w:pPr>
        <w:ind w:left="380" w:right="560" w:hanging="222"/>
        <w:spacing w:after="0" w:line="294" w:lineRule="auto"/>
        <w:tabs>
          <w:tab w:leader="none" w:pos="370" w:val="left"/>
        </w:tabs>
        <w:numPr>
          <w:ilvl w:val="0"/>
          <w:numId w:val="13"/>
        </w:numPr>
        <w:rPr>
          <w:rFonts w:ascii="Arial" w:cs="Arial" w:eastAsia="Arial" w:hAnsi="Arial"/>
          <w:sz w:val="15"/>
          <w:szCs w:val="15"/>
          <w:color w:val="1E1E1E"/>
        </w:rPr>
      </w:pPr>
      <w:r>
        <w:rPr>
          <w:rFonts w:ascii="Arial" w:cs="Arial" w:eastAsia="Arial" w:hAnsi="Arial"/>
          <w:sz w:val="15"/>
          <w:szCs w:val="15"/>
          <w:color w:val="1E1E1E"/>
        </w:rPr>
        <w:t>Though we have been granted orphan drug designation for certain of our drug candidates, we may be unsuccessful or unable to maintain the benefits associated with such a designation, including the potential for market exclusivity.</w:t>
      </w:r>
    </w:p>
    <w:p>
      <w:pPr>
        <w:spacing w:after="0" w:line="2" w:lineRule="exact"/>
        <w:rPr>
          <w:rFonts w:ascii="Arial" w:cs="Arial" w:eastAsia="Arial" w:hAnsi="Arial"/>
          <w:sz w:val="15"/>
          <w:szCs w:val="15"/>
          <w:color w:val="1E1E1E"/>
        </w:rPr>
      </w:pPr>
    </w:p>
    <w:p>
      <w:pPr>
        <w:ind w:left="380" w:hanging="222"/>
        <w:spacing w:after="0" w:line="287" w:lineRule="auto"/>
        <w:tabs>
          <w:tab w:leader="none" w:pos="370" w:val="left"/>
        </w:tabs>
        <w:numPr>
          <w:ilvl w:val="0"/>
          <w:numId w:val="13"/>
        </w:numPr>
        <w:rPr>
          <w:rFonts w:ascii="Arial" w:cs="Arial" w:eastAsia="Arial" w:hAnsi="Arial"/>
          <w:sz w:val="15"/>
          <w:szCs w:val="15"/>
          <w:color w:val="1E1E1E"/>
        </w:rPr>
      </w:pPr>
      <w:r>
        <w:rPr>
          <w:rFonts w:ascii="Arial" w:cs="Arial" w:eastAsia="Arial" w:hAnsi="Arial"/>
          <w:sz w:val="15"/>
          <w:szCs w:val="15"/>
          <w:color w:val="1E1E1E"/>
        </w:rPr>
        <w:t>We are subject to U.S. and foreign laws regarding privacy, data protection, and data security that could entail substantial compliance costs, while the failure to comply could subject us to significant liability.</w:t>
      </w:r>
    </w:p>
    <w:p>
      <w:pPr>
        <w:ind w:left="380" w:hanging="222"/>
        <w:spacing w:after="0"/>
        <w:tabs>
          <w:tab w:leader="none" w:pos="380" w:val="left"/>
        </w:tabs>
        <w:numPr>
          <w:ilvl w:val="0"/>
          <w:numId w:val="13"/>
        </w:numPr>
        <w:rPr>
          <w:rFonts w:ascii="Arial" w:cs="Arial" w:eastAsia="Arial" w:hAnsi="Arial"/>
          <w:sz w:val="15"/>
          <w:szCs w:val="15"/>
          <w:color w:val="1E1E1E"/>
        </w:rPr>
      </w:pPr>
      <w:r>
        <w:rPr>
          <w:rFonts w:ascii="Arial" w:cs="Arial" w:eastAsia="Arial" w:hAnsi="Arial"/>
          <w:sz w:val="15"/>
          <w:szCs w:val="15"/>
          <w:color w:val="1E1E1E"/>
        </w:rPr>
        <w:t>Regulatory and legislative developments related to the use of AI could adversely affect our use of such technologies in our products, services, and business.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E1E1E"/>
        </w:rPr>
        <w:t>Other Risks</w:t>
      </w:r>
    </w:p>
    <w:p>
      <w:pPr>
        <w:spacing w:after="0" w:line="60" w:lineRule="exact"/>
        <w:rPr>
          <w:sz w:val="20"/>
          <w:szCs w:val="20"/>
          <w:color w:val="auto"/>
        </w:rPr>
      </w:pPr>
    </w:p>
    <w:p>
      <w:pPr>
        <w:ind w:left="380" w:right="100" w:hanging="222"/>
        <w:spacing w:after="0" w:line="294" w:lineRule="auto"/>
        <w:tabs>
          <w:tab w:leader="none" w:pos="370" w:val="left"/>
        </w:tabs>
        <w:numPr>
          <w:ilvl w:val="0"/>
          <w:numId w:val="14"/>
        </w:numPr>
        <w:rPr>
          <w:rFonts w:ascii="Arial" w:cs="Arial" w:eastAsia="Arial" w:hAnsi="Arial"/>
          <w:sz w:val="15"/>
          <w:szCs w:val="15"/>
          <w:color w:val="1E1E1E"/>
        </w:rPr>
      </w:pPr>
      <w:r>
        <w:rPr>
          <w:rFonts w:ascii="Arial" w:cs="Arial" w:eastAsia="Arial" w:hAnsi="Arial"/>
          <w:sz w:val="15"/>
          <w:szCs w:val="15"/>
          <w:color w:val="1E1E1E"/>
        </w:rPr>
        <w:t>Third parties that perform some of our research and preclinical testing or conduct our clinical trials may not perform satisfactorily or their agreements may be terminated.</w:t>
      </w:r>
    </w:p>
    <w:p>
      <w:pPr>
        <w:spacing w:after="0" w:line="2" w:lineRule="exact"/>
        <w:rPr>
          <w:rFonts w:ascii="Arial" w:cs="Arial" w:eastAsia="Arial" w:hAnsi="Arial"/>
          <w:sz w:val="15"/>
          <w:szCs w:val="15"/>
          <w:color w:val="1E1E1E"/>
        </w:rPr>
      </w:pPr>
    </w:p>
    <w:p>
      <w:pPr>
        <w:ind w:left="380" w:right="460" w:hanging="222"/>
        <w:spacing w:after="0" w:line="294" w:lineRule="auto"/>
        <w:tabs>
          <w:tab w:leader="none" w:pos="370" w:val="left"/>
        </w:tabs>
        <w:numPr>
          <w:ilvl w:val="0"/>
          <w:numId w:val="14"/>
        </w:numPr>
        <w:rPr>
          <w:rFonts w:ascii="Arial" w:cs="Arial" w:eastAsia="Arial" w:hAnsi="Arial"/>
          <w:sz w:val="15"/>
          <w:szCs w:val="15"/>
          <w:color w:val="1E1E1E"/>
        </w:rPr>
      </w:pPr>
      <w:r>
        <w:rPr>
          <w:rFonts w:ascii="Arial" w:cs="Arial" w:eastAsia="Arial" w:hAnsi="Arial"/>
          <w:sz w:val="15"/>
          <w:szCs w:val="15"/>
          <w:color w:val="1E1E1E"/>
        </w:rPr>
        <w:t>Third parties that manufacture our drug candidates for preclinical development, clinical testing, and future commercialization may not provide sufficient quantities of our drug candidates or products at an acceptable cost, which could delay, impair, or prevent our development or commercialization efforts.</w:t>
      </w:r>
    </w:p>
    <w:p>
      <w:pPr>
        <w:spacing w:after="0" w:line="2" w:lineRule="exact"/>
        <w:rPr>
          <w:rFonts w:ascii="Arial" w:cs="Arial" w:eastAsia="Arial" w:hAnsi="Arial"/>
          <w:sz w:val="15"/>
          <w:szCs w:val="15"/>
          <w:color w:val="1E1E1E"/>
        </w:rPr>
      </w:pPr>
    </w:p>
    <w:p>
      <w:pPr>
        <w:ind w:left="380" w:hanging="222"/>
        <w:spacing w:after="0"/>
        <w:tabs>
          <w:tab w:leader="none" w:pos="380" w:val="left"/>
        </w:tabs>
        <w:numPr>
          <w:ilvl w:val="0"/>
          <w:numId w:val="14"/>
        </w:numPr>
        <w:rPr>
          <w:rFonts w:ascii="Arial" w:cs="Arial" w:eastAsia="Arial" w:hAnsi="Arial"/>
          <w:sz w:val="15"/>
          <w:szCs w:val="15"/>
          <w:color w:val="1E1E1E"/>
        </w:rPr>
      </w:pPr>
      <w:r>
        <w:rPr>
          <w:rFonts w:ascii="Arial" w:cs="Arial" w:eastAsia="Arial" w:hAnsi="Arial"/>
          <w:sz w:val="15"/>
          <w:szCs w:val="15"/>
          <w:color w:val="1E1E1E"/>
        </w:rPr>
        <w:t>We may not realize all of the anticipated outcomes and benefits of our Acquisitions.</w:t>
      </w:r>
    </w:p>
    <w:p>
      <w:pPr>
        <w:spacing w:after="0" w:line="59" w:lineRule="exact"/>
        <w:rPr>
          <w:rFonts w:ascii="Arial" w:cs="Arial" w:eastAsia="Arial" w:hAnsi="Arial"/>
          <w:sz w:val="15"/>
          <w:szCs w:val="15"/>
          <w:color w:val="1E1E1E"/>
        </w:rPr>
      </w:pPr>
    </w:p>
    <w:p>
      <w:pPr>
        <w:ind w:left="380" w:hanging="222"/>
        <w:spacing w:after="0"/>
        <w:tabs>
          <w:tab w:leader="none" w:pos="380" w:val="left"/>
        </w:tabs>
        <w:numPr>
          <w:ilvl w:val="0"/>
          <w:numId w:val="14"/>
        </w:numPr>
        <w:rPr>
          <w:rFonts w:ascii="Arial" w:cs="Arial" w:eastAsia="Arial" w:hAnsi="Arial"/>
          <w:sz w:val="15"/>
          <w:szCs w:val="15"/>
          <w:color w:val="1E1E1E"/>
        </w:rPr>
      </w:pPr>
      <w:r>
        <w:rPr>
          <w:rFonts w:ascii="Arial" w:cs="Arial" w:eastAsia="Arial" w:hAnsi="Arial"/>
          <w:sz w:val="15"/>
          <w:szCs w:val="15"/>
          <w:color w:val="1E1E1E"/>
        </w:rPr>
        <w:t>Our future success depends on our ability to retain key executives and experienced scientists, and to attract, retain, and motivate qualified personnel.</w:t>
      </w:r>
    </w:p>
    <w:p>
      <w:pPr>
        <w:spacing w:after="0" w:line="59" w:lineRule="exact"/>
        <w:rPr>
          <w:rFonts w:ascii="Arial" w:cs="Arial" w:eastAsia="Arial" w:hAnsi="Arial"/>
          <w:sz w:val="15"/>
          <w:szCs w:val="15"/>
          <w:color w:val="1E1E1E"/>
        </w:rPr>
      </w:pPr>
    </w:p>
    <w:p>
      <w:pPr>
        <w:ind w:left="380" w:hanging="222"/>
        <w:spacing w:after="0"/>
        <w:tabs>
          <w:tab w:leader="none" w:pos="380" w:val="left"/>
        </w:tabs>
        <w:numPr>
          <w:ilvl w:val="0"/>
          <w:numId w:val="14"/>
        </w:numPr>
        <w:rPr>
          <w:rFonts w:ascii="Arial" w:cs="Arial" w:eastAsia="Arial" w:hAnsi="Arial"/>
          <w:sz w:val="15"/>
          <w:szCs w:val="15"/>
          <w:color w:val="1E1E1E"/>
        </w:rPr>
      </w:pPr>
      <w:r>
        <w:rPr>
          <w:rFonts w:ascii="Arial" w:cs="Arial" w:eastAsia="Arial" w:hAnsi="Arial"/>
          <w:sz w:val="15"/>
          <w:szCs w:val="15"/>
          <w:color w:val="1E1E1E"/>
        </w:rPr>
        <w:t>We have identified a material weakness in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36" w:right="419" w:bottom="1440" w:gutter="0" w:footer="0" w:header="0"/>
        </w:sectPr>
      </w:pPr>
    </w:p>
    <w:bookmarkStart w:id="10" w:name="page11"/>
    <w:bookmarkEnd w:id="10"/>
    <w:p>
      <w:pPr>
        <w:ind w:right="180"/>
        <w:spacing w:after="0" w:line="298" w:lineRule="auto"/>
        <w:rPr>
          <w:sz w:val="20"/>
          <w:szCs w:val="20"/>
          <w:color w:val="auto"/>
        </w:rPr>
      </w:pPr>
      <w:r>
        <w:rPr>
          <w:rFonts w:ascii="Arial" w:cs="Arial" w:eastAsia="Arial" w:hAnsi="Arial"/>
          <w:sz w:val="52"/>
          <w:szCs w:val="52"/>
          <w:b w:val="1"/>
          <w:bCs w:val="1"/>
          <w:color w:val="513491"/>
        </w:rPr>
        <w:t>Cautionary Note Regarding Forward-Looking Statements</w:t>
      </w:r>
    </w:p>
    <w:p>
      <w:pPr>
        <w:spacing w:after="0" w:line="3"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1E1E1E"/>
        </w:rPr>
        <w:t>This Annual Report on Form 10-K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161" w:lineRule="exact"/>
        <w:rPr>
          <w:sz w:val="20"/>
          <w:szCs w:val="20"/>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research and development programs;</w:t>
      </w:r>
    </w:p>
    <w:p>
      <w:pPr>
        <w:spacing w:after="0" w:line="22" w:lineRule="exact"/>
        <w:rPr>
          <w:rFonts w:ascii="Arial" w:cs="Arial" w:eastAsia="Arial" w:hAnsi="Arial"/>
          <w:sz w:val="15"/>
          <w:szCs w:val="15"/>
          <w:color w:val="auto"/>
        </w:rPr>
      </w:pPr>
    </w:p>
    <w:p>
      <w:pPr>
        <w:jc w:val="both"/>
        <w:ind w:left="460" w:right="40" w:hanging="225"/>
        <w:spacing w:after="0" w:line="261" w:lineRule="auto"/>
        <w:tabs>
          <w:tab w:leader="none" w:pos="45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 and key milestones will be met;</w:t>
      </w:r>
    </w:p>
    <w:p>
      <w:pPr>
        <w:spacing w:after="0" w:line="1"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use our combined assets from our recent business combination to create a fully integrated, technology-first drug discovery platform;</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timing and likelihood of our ability to shift our wet-lab from a source of data generation to a model for validating data from AI-generated results;</w:t>
      </w:r>
    </w:p>
    <w:p>
      <w:pPr>
        <w:spacing w:after="0" w:line="8" w:lineRule="exact"/>
        <w:rPr>
          <w:rFonts w:ascii="Arial" w:cs="Arial" w:eastAsia="Arial" w:hAnsi="Arial"/>
          <w:sz w:val="15"/>
          <w:szCs w:val="15"/>
          <w:color w:val="auto"/>
        </w:rPr>
      </w:pPr>
    </w:p>
    <w:p>
      <w:pPr>
        <w:ind w:left="460" w:right="300" w:hanging="225"/>
        <w:spacing w:after="0" w:line="260" w:lineRule="auto"/>
        <w:tabs>
          <w:tab w:leader="none" w:pos="45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ability and willingness of our collaborators to continue research and development activities relating to our development candidates and investigational medicines;</w:t>
      </w: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future agreements with third parties in connection with the commercialization of our investigational medicines and any other approved product;</w:t>
      </w:r>
    </w:p>
    <w:p>
      <w:pPr>
        <w:spacing w:after="0" w:line="8" w:lineRule="exact"/>
        <w:rPr>
          <w:rFonts w:ascii="Arial" w:cs="Arial" w:eastAsia="Arial" w:hAnsi="Arial"/>
          <w:sz w:val="15"/>
          <w:szCs w:val="15"/>
          <w:color w:val="auto"/>
        </w:rPr>
      </w:pPr>
    </w:p>
    <w:p>
      <w:pPr>
        <w:ind w:left="460" w:right="120" w:hanging="225"/>
        <w:spacing w:after="0" w:line="261" w:lineRule="auto"/>
        <w:tabs>
          <w:tab w:leader="none" w:pos="45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spacing w:after="0" w:line="1"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timing, scope, or likelihood of foreign regulatory filings and approvals, including our ability to maintain any such approvals;</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size of the potential market opportunity for TechBio companies, including the expected impact of AI-enabled technologies;</w:t>
      </w:r>
    </w:p>
    <w:p>
      <w:pPr>
        <w:spacing w:after="0" w:line="8" w:lineRule="exact"/>
        <w:rPr>
          <w:rFonts w:ascii="Arial" w:cs="Arial" w:eastAsia="Arial" w:hAnsi="Arial"/>
          <w:sz w:val="15"/>
          <w:szCs w:val="15"/>
          <w:color w:val="auto"/>
        </w:rPr>
      </w:pPr>
    </w:p>
    <w:p>
      <w:pPr>
        <w:ind w:left="460" w:right="260" w:hanging="225"/>
        <w:spacing w:after="0" w:line="260" w:lineRule="auto"/>
        <w:tabs>
          <w:tab w:leader="none" w:pos="45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size of the potential market opportunity for our drug candidates, including our estimates of the number of patients who suffer from the diseases we are targeting;</w:t>
      </w:r>
    </w:p>
    <w:p>
      <w:pPr>
        <w:ind w:left="460" w:right="320" w:hanging="225"/>
        <w:spacing w:after="0" w:line="260" w:lineRule="auto"/>
        <w:tabs>
          <w:tab w:leader="none" w:pos="45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identify viable new drug candidates for clinical development and the rate at which we expect to identify such candidates, whether through an inferential approach or otherwise;</w:t>
      </w: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expectation that the assets that will drive the most value for us are those that we will identify in the future using our datasets and tools;</w:t>
      </w:r>
    </w:p>
    <w:p>
      <w:pPr>
        <w:spacing w:after="0" w:line="8"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develop and advance our current drug candidates and programs into, and successfully complete, clinical studies;</w:t>
      </w:r>
    </w:p>
    <w:p>
      <w:pPr>
        <w:spacing w:after="0" w:line="17" w:lineRule="exact"/>
        <w:rPr>
          <w:rFonts w:ascii="Arial" w:cs="Arial" w:eastAsia="Arial" w:hAnsi="Arial"/>
          <w:sz w:val="15"/>
          <w:szCs w:val="15"/>
          <w:color w:val="auto"/>
        </w:rPr>
      </w:pPr>
    </w:p>
    <w:p>
      <w:pPr>
        <w:ind w:left="460" w:hanging="225"/>
        <w:spacing w:after="0" w:line="260" w:lineRule="auto"/>
        <w:tabs>
          <w:tab w:leader="none" w:pos="45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reduce the time or cost or increase the likelihood of success of our research and development relative to the traditional drug discovery paradigm, including the use of data sets from our partners to accelerate the development of our AI-enabled technologies;</w:t>
      </w:r>
    </w:p>
    <w:p>
      <w:pPr>
        <w:ind w:left="460" w:right="240" w:hanging="225"/>
        <w:spacing w:after="0" w:line="253" w:lineRule="auto"/>
        <w:tabs>
          <w:tab w:leader="none" w:pos="45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improve, and the rate of improvement in, our infrastructure, datasets, biology, technology tools, and drug discovery platform, and our ability to realize benefits from such improvements;</w:t>
      </w: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effectively use machine learning and artificial intelligence in our drug development process;</w:t>
      </w:r>
    </w:p>
    <w:p>
      <w:pPr>
        <w:spacing w:after="0" w:line="17"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leverage our collaborations and partnerships to develop our products and grow our business;</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expectations related to the performance and benefits of our BioHive-2 supercomputer, Recursion OS, and our digital chemistry platform;</w:t>
      </w:r>
    </w:p>
    <w:p>
      <w:pPr>
        <w:spacing w:after="0" w:line="17"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realize a return on our investment of resources and cash in our drug discovery collaborations;</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sell or license assets and re-invest proceeds into funding our long-term strategy;</w:t>
      </w:r>
    </w:p>
    <w:p>
      <w:pPr>
        <w:spacing w:after="0" w:line="8"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scale like a technology company and to add more programs to our pipeline each year;</w:t>
      </w:r>
    </w:p>
    <w:p>
      <w:pPr>
        <w:spacing w:after="0" w:line="17"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acquire and generate datasets to train and develop our AI-enabled technologies;</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successfully compete in a highly competitive market;</w:t>
      </w:r>
    </w:p>
    <w:p>
      <w:pPr>
        <w:spacing w:after="0" w:line="8"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manufacturing, commercialization, and marketing capabilities and strategies;</w:t>
      </w:r>
    </w:p>
    <w:p>
      <w:pPr>
        <w:spacing w:after="0" w:line="17"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plans relating to commercializing our drug candidates, if approved, including the geographic areas of focus and sales strategy;</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expectations regarding the approval and use of our drug candidates in combination with other drugs;</w:t>
      </w:r>
    </w:p>
    <w:p>
      <w:pPr>
        <w:spacing w:after="0" w:line="17"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rate and degree of market acceptance and clinical utility of our current drug candidates, if approved, and other drug candidates we may develop;</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competitive position and the success of competing approaches that are or may become available, including with respect to our AI-enabled technologies;</w:t>
      </w:r>
    </w:p>
    <w:p>
      <w:pPr>
        <w:spacing w:after="0" w:line="8" w:lineRule="exact"/>
        <w:rPr>
          <w:rFonts w:ascii="Arial" w:cs="Arial" w:eastAsia="Arial" w:hAnsi="Arial"/>
          <w:sz w:val="15"/>
          <w:szCs w:val="15"/>
          <w:color w:val="auto"/>
        </w:rPr>
      </w:pPr>
    </w:p>
    <w:p>
      <w:pPr>
        <w:ind w:left="460" w:hanging="225"/>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estimates of the number of patients that we will enroll in our clinical trials and the timing of their enrollment;</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 w:name="page12"/>
    <w:bookmarkEnd w:id="11"/>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beneficial characteristics, safety, efficacy, and therapeutic effects of our drug candidates;</w:t>
      </w:r>
    </w:p>
    <w:p>
      <w:pPr>
        <w:spacing w:after="0" w:line="22"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plans for further development of our drug candidates, including additional indications we may pursue;</w:t>
      </w:r>
    </w:p>
    <w:p>
      <w:pPr>
        <w:spacing w:after="0" w:line="17" w:lineRule="exact"/>
        <w:rPr>
          <w:rFonts w:ascii="Arial" w:cs="Arial" w:eastAsia="Arial" w:hAnsi="Arial"/>
          <w:sz w:val="15"/>
          <w:szCs w:val="15"/>
          <w:color w:val="auto"/>
        </w:rPr>
      </w:pPr>
    </w:p>
    <w:p>
      <w:pPr>
        <w:ind w:left="460" w:right="80" w:hanging="225"/>
        <w:spacing w:after="0" w:line="256" w:lineRule="auto"/>
        <w:tabs>
          <w:tab w:leader="none" w:pos="45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2" w:lineRule="exact"/>
        <w:rPr>
          <w:rFonts w:ascii="Arial" w:cs="Arial" w:eastAsia="Arial" w:hAnsi="Arial"/>
          <w:sz w:val="15"/>
          <w:szCs w:val="15"/>
          <w:color w:val="auto"/>
        </w:rPr>
      </w:pPr>
    </w:p>
    <w:p>
      <w:pPr>
        <w:ind w:left="460" w:right="340" w:hanging="225"/>
        <w:spacing w:after="0" w:line="260" w:lineRule="auto"/>
        <w:tabs>
          <w:tab w:leader="none" w:pos="45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impact of any intellectual property disputes and our ability to defend against claims of infringement, misappropriation, or other violations of intellectual property rights;</w:t>
      </w: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keep pace with new technological developments, including with respect to AI;</w:t>
      </w:r>
    </w:p>
    <w:p>
      <w:pPr>
        <w:spacing w:after="0" w:line="17"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utilize third-party open source software and cloud-based infrastructure, on which we are dependent;</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adequacy of our insurance policies and the scope of their coverage;</w:t>
      </w:r>
    </w:p>
    <w:p>
      <w:pPr>
        <w:spacing w:after="0" w:line="8" w:lineRule="exact"/>
        <w:rPr>
          <w:rFonts w:ascii="Arial" w:cs="Arial" w:eastAsia="Arial" w:hAnsi="Arial"/>
          <w:sz w:val="15"/>
          <w:szCs w:val="15"/>
          <w:color w:val="auto"/>
        </w:rPr>
      </w:pPr>
    </w:p>
    <w:p>
      <w:pPr>
        <w:ind w:left="460" w:right="560" w:hanging="225"/>
        <w:spacing w:after="0" w:line="260" w:lineRule="auto"/>
        <w:tabs>
          <w:tab w:leader="none" w:pos="45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achieve net-zero greenhouse gas emissions across our operations;</w:t>
      </w:r>
    </w:p>
    <w:p>
      <w:pPr>
        <w:spacing w:after="0" w:line="8"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maintain our technical operations infrastructure to avoid errors, delays, or cybersecurity breaches;</w:t>
      </w:r>
    </w:p>
    <w:p>
      <w:pPr>
        <w:spacing w:after="0" w:line="17" w:lineRule="exact"/>
        <w:rPr>
          <w:rFonts w:ascii="Arial" w:cs="Arial" w:eastAsia="Arial" w:hAnsi="Arial"/>
          <w:sz w:val="15"/>
          <w:szCs w:val="15"/>
          <w:color w:val="auto"/>
        </w:rPr>
      </w:pPr>
    </w:p>
    <w:p>
      <w:pPr>
        <w:ind w:left="460" w:hanging="225"/>
        <w:spacing w:after="0" w:line="260" w:lineRule="auto"/>
        <w:tabs>
          <w:tab w:leader="none" w:pos="45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continued reliance on third parties to conduct additional clinical trials of our drug candidates, and for the manufacture of our drug candidates for preclinical studies and clinical trials;</w:t>
      </w:r>
    </w:p>
    <w:p>
      <w:pPr>
        <w:ind w:left="460" w:right="360" w:hanging="225"/>
        <w:spacing w:after="0" w:line="253" w:lineRule="auto"/>
        <w:tabs>
          <w:tab w:leader="none" w:pos="45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obtain, and negotiate favorable terms of, any collaboration, licensing or other arrangements that may be necessary or desirable to research, develop, manufacture, or commercialize our platform and drug candidates;</w:t>
      </w: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pricing and reimbursement of our current drug candidates and other drug candidates we may develop, if approved;</w:t>
      </w:r>
    </w:p>
    <w:p>
      <w:pPr>
        <w:spacing w:after="0" w:line="17"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estimates regarding expenses, future revenue, capital requirements, and need for additional financing;</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financial performance;</w:t>
      </w:r>
    </w:p>
    <w:p>
      <w:pPr>
        <w:spacing w:after="0" w:line="17" w:lineRule="exact"/>
        <w:rPr>
          <w:rFonts w:ascii="Arial" w:cs="Arial" w:eastAsia="Arial" w:hAnsi="Arial"/>
          <w:sz w:val="15"/>
          <w:szCs w:val="15"/>
          <w:color w:val="auto"/>
        </w:rPr>
      </w:pPr>
    </w:p>
    <w:p>
      <w:pPr>
        <w:ind w:left="460" w:right="360" w:hanging="225"/>
        <w:spacing w:after="0" w:line="253" w:lineRule="auto"/>
        <w:tabs>
          <w:tab w:leader="none" w:pos="45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period over which we estimate our existing cash and cash equivalents will be sufficient to fund our future operating expenses and capital expenditure requirements;</w:t>
      </w: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raise substantial additional funding;</w:t>
      </w:r>
    </w:p>
    <w:p>
      <w:pPr>
        <w:spacing w:after="0" w:line="17"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impact of current and future laws and regulations, and our ability to comply with all regulations that we are, or may become, subject to;</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need to hire additional personnel and our ability to attract and retain such personnel;</w:t>
      </w:r>
    </w:p>
    <w:p>
      <w:pPr>
        <w:spacing w:after="0" w:line="17"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impact of any current or future litigation, which may arise during the ordinary course of business and be costly to defend;</w:t>
      </w:r>
    </w:p>
    <w:p>
      <w:pPr>
        <w:spacing w:after="0" w:line="11" w:lineRule="exact"/>
        <w:rPr>
          <w:rFonts w:ascii="Arial" w:cs="Arial" w:eastAsia="Arial" w:hAnsi="Arial"/>
          <w:sz w:val="15"/>
          <w:szCs w:val="15"/>
          <w:color w:val="auto"/>
        </w:rPr>
      </w:pPr>
    </w:p>
    <w:p>
      <w:pPr>
        <w:ind w:left="460" w:right="140" w:hanging="225"/>
        <w:spacing w:after="0" w:line="257" w:lineRule="auto"/>
        <w:tabs>
          <w:tab w:leader="none" w:pos="45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maintain effective internal control over financial reporting and disclosure controls and procedures, including our ability to remediate the material weakness in internal control over financial reporting;</w:t>
      </w:r>
    </w:p>
    <w:p>
      <w:pPr>
        <w:spacing w:after="0" w:line="1"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anticipated use of our existing resources and the net proceeds from our public offerings; and</w:t>
      </w:r>
    </w:p>
    <w:p>
      <w:pPr>
        <w:spacing w:after="0" w:line="11" w:lineRule="exact"/>
        <w:rPr>
          <w:rFonts w:ascii="Arial" w:cs="Arial" w:eastAsia="Arial" w:hAnsi="Arial"/>
          <w:sz w:val="15"/>
          <w:szCs w:val="15"/>
          <w:color w:val="auto"/>
        </w:rPr>
      </w:pPr>
    </w:p>
    <w:p>
      <w:pPr>
        <w:ind w:left="460" w:hanging="225"/>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other risks and uncertainties, including those listed in the section titled “Risk Factors.”</w:t>
      </w:r>
    </w:p>
    <w:p>
      <w:pPr>
        <w:spacing w:after="0" w:line="239"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08" w:lineRule="exact"/>
        <w:rPr>
          <w:sz w:val="20"/>
          <w:szCs w:val="20"/>
          <w:color w:val="auto"/>
        </w:rPr>
      </w:pPr>
    </w:p>
    <w:p>
      <w:pPr>
        <w:ind w:right="300"/>
        <w:spacing w:after="0" w:line="271"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236220</wp:posOffset>
            </wp:positionV>
            <wp:extent cx="7164070" cy="8796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879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52"/>
          <w:szCs w:val="52"/>
          <w:b w:val="1"/>
          <w:bCs w:val="1"/>
          <w:color w:val="513491"/>
        </w:rPr>
        <w:t>Item 1. Business.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6"/>
          <w:szCs w:val="26"/>
          <w:b w:val="1"/>
          <w:bCs w:val="1"/>
          <w:color w:val="E2188A"/>
        </w:rPr>
        <w:t>Recursion At-a-Glance</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The Problem</w:t>
      </w:r>
    </w:p>
    <w:p>
      <w:pPr>
        <w:spacing w:after="0" w:line="74" w:lineRule="exact"/>
        <w:rPr>
          <w:sz w:val="20"/>
          <w:szCs w:val="20"/>
          <w:color w:val="auto"/>
        </w:rPr>
      </w:pPr>
    </w:p>
    <w:p>
      <w:pPr>
        <w:ind w:right="320"/>
        <w:spacing w:after="0" w:line="294" w:lineRule="auto"/>
        <w:rPr>
          <w:sz w:val="20"/>
          <w:szCs w:val="20"/>
          <w:color w:val="auto"/>
        </w:rPr>
      </w:pPr>
      <w:r>
        <w:rPr>
          <w:rFonts w:ascii="Arial" w:cs="Arial" w:eastAsia="Arial" w:hAnsi="Arial"/>
          <w:sz w:val="15"/>
          <w:szCs w:val="15"/>
          <w:color w:val="1E1E1E"/>
        </w:rPr>
        <w:t>Discovering and developing effective new medicines is among the most challenging human pursuits due to the incredible complexity of biology, the vastness of chemical space, and both the ineffectiveness and inefficiencies in clinical development. Today more than 90% of clinical trials fail.</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Our Mission and Philosophy</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Recursion was founded in 2013 to decode biology to radically improve lives by building the next generation biopharma company from the ground-up, leveraging the latest technology tools to help map and navigate the incredible complexity of biology, vastness of chemical space, and the broken drug development process. We believe that rapid commoditization of artificial intelligence creates a once-in-a-generation market opportunity for companies with the ability to build the right datasets in biology and chemistry to win.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Our Competitive Advantage</w:t>
      </w:r>
    </w:p>
    <w:p>
      <w:pPr>
        <w:spacing w:after="0" w:line="61"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1E1E1E"/>
        </w:rPr>
        <w:t>That’s why we have invested heavily in creating one of the most sophisticated automated wet-laboratories in the world where robots and sensors help us conduct and digitize millions of real-life experiments each week, spanning cellular systems, chemical systems, tissue systems, and animal models. We also partner with select companies to aggregate and relate data from patients and health systems at scale. In addition, we command industry-leading computational capabilities including BioHive-2 (the fastest supercomputer wholly owned and operated by any biopharma company), and employ hundreds of data scientists, software engineers, and AI researchers who build software to automate our work and foundational AI models that help us see patterns in our data at scale. Together our laboratories, data, software, compute, and team comprise what we believe is one of the most sophisticated operating systems for drug discovery on earth, The Recursion OS.</w:t>
      </w: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How we Create Value</w:t>
      </w:r>
    </w:p>
    <w:p>
      <w:pPr>
        <w:spacing w:after="0" w:line="61"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1E1E1E"/>
        </w:rPr>
        <w:t>We leverage the Recursion OS to deliver value in three ways: 1) our own pipeline of clinical and preclinical potential medicines focused in precision oncology, rare disease, and other niche areas of unmet need; 2) by discovering new medicines with large biopharmaceutical companies in some of the biggest areas of unmet need like neuroscience and inflammation; and 3) by leveraging our tools, technology, and data for the benefit of other partners in targeted and limited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113030</wp:posOffset>
            </wp:positionV>
            <wp:extent cx="5599430" cy="2324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99430" cy="232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color w:val="6E6E6E"/>
        </w:rPr>
        <w:t xml:space="preserve">Figure 1. </w:t>
      </w:r>
      <w:r>
        <w:rPr>
          <w:rFonts w:ascii="Arial" w:cs="Arial" w:eastAsia="Arial" w:hAnsi="Arial"/>
          <w:sz w:val="14"/>
          <w:szCs w:val="14"/>
          <w:color w:val="6E6E6E"/>
        </w:rPr>
        <w:t>Portfolio poised for value creation from a unified operating system.</w:t>
      </w:r>
      <w:r>
        <w:rPr>
          <w:rFonts w:ascii="Arial" w:cs="Arial" w:eastAsia="Arial" w:hAnsi="Arial"/>
          <w:sz w:val="14"/>
          <w:szCs w:val="14"/>
          <w:b w:val="1"/>
          <w:bCs w:val="1"/>
          <w:color w:val="6E6E6E"/>
        </w:rPr>
        <w:t xml:space="preserve"> </w:t>
      </w:r>
      <w:r>
        <w:rPr>
          <w:rFonts w:ascii="Arial" w:cs="Arial" w:eastAsia="Arial" w:hAnsi="Arial"/>
          <w:sz w:val="8"/>
          <w:szCs w:val="8"/>
          <w:color w:val="6E6E6E"/>
        </w:rPr>
        <w:t>1</w:t>
      </w:r>
      <w:r>
        <w:rPr>
          <w:rFonts w:ascii="Arial" w:cs="Arial" w:eastAsia="Arial" w:hAnsi="Arial"/>
          <w:sz w:val="14"/>
          <w:szCs w:val="14"/>
          <w:color w:val="6E6E6E"/>
        </w:rPr>
        <w:t>Includes preclinical programs (programs expected to enter the clinic within the next 18 months).</w:t>
      </w:r>
      <w:r>
        <w:rPr>
          <w:rFonts w:ascii="Arial" w:cs="Arial" w:eastAsia="Arial" w:hAnsi="Arial"/>
          <w:sz w:val="14"/>
          <w:szCs w:val="14"/>
          <w:b w:val="1"/>
          <w:bCs w:val="1"/>
          <w:color w:val="6E6E6E"/>
        </w:rPr>
        <w:t xml:space="preserve"> </w:t>
      </w:r>
      <w:r>
        <w:rPr>
          <w:rFonts w:ascii="Arial" w:cs="Arial" w:eastAsia="Arial" w:hAnsi="Arial"/>
          <w:sz w:val="8"/>
          <w:szCs w:val="8"/>
          <w:color w:val="6E6E6E"/>
        </w:rPr>
        <w:t>2</w:t>
      </w:r>
      <w:r>
        <w:rPr>
          <w:rFonts w:ascii="Arial" w:cs="Arial" w:eastAsia="Arial" w:hAnsi="Arial"/>
          <w:sz w:val="14"/>
          <w:szCs w:val="14"/>
          <w:color w:val="6E6E6E"/>
        </w:rPr>
        <w:t>Program</w:t>
      </w:r>
      <w:r>
        <w:rPr>
          <w:rFonts w:ascii="Arial" w:cs="Arial" w:eastAsia="Arial" w:hAnsi="Arial"/>
          <w:sz w:val="14"/>
          <w:szCs w:val="14"/>
          <w:b w:val="1"/>
          <w:bCs w:val="1"/>
          <w:color w:val="6E6E6E"/>
        </w:rPr>
        <w:t xml:space="preserve"> </w:t>
      </w:r>
      <w:r>
        <w:rPr>
          <w:rFonts w:ascii="Arial" w:cs="Arial" w:eastAsia="Arial" w:hAnsi="Arial"/>
          <w:sz w:val="14"/>
          <w:szCs w:val="14"/>
          <w:color w:val="6E6E6E"/>
        </w:rPr>
        <w:t>milestones include data readouts, preliminary data updates, regulatory submissions, trial initiation, etc.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2024 Highlights &amp; Progress</w:t>
      </w:r>
    </w:p>
    <w:p>
      <w:pPr>
        <w:spacing w:after="0" w:line="74"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1E1E1E"/>
        </w:rPr>
        <w:t>In 2024, we accelerated the next wave of AI-driven drug discovery and development, delivering key milestones across multiple clinical programs, advancing our transformative partnerships, unveiling major breakthroughs in foundation models, and by consolidating some of the best tools, technologies, and talent into what we believe is the leading company in the burgeoning field of TechBio.</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Advancements in the Pipeline:</w:t>
      </w:r>
    </w:p>
    <w:p>
      <w:pPr>
        <w:spacing w:after="0" w:line="59" w:lineRule="exact"/>
        <w:rPr>
          <w:sz w:val="20"/>
          <w:szCs w:val="20"/>
          <w:color w:val="auto"/>
        </w:rPr>
      </w:pPr>
    </w:p>
    <w:p>
      <w:pPr>
        <w:ind w:left="620" w:right="20" w:hanging="307"/>
        <w:spacing w:after="0" w:line="283" w:lineRule="auto"/>
        <w:tabs>
          <w:tab w:leader="none" w:pos="609" w:val="left"/>
        </w:tabs>
        <w:numPr>
          <w:ilvl w:val="0"/>
          <w:numId w:val="17"/>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REC-617: </w:t>
      </w:r>
      <w:r>
        <w:rPr>
          <w:rFonts w:ascii="Arial" w:cs="Arial" w:eastAsia="Arial" w:hAnsi="Arial"/>
          <w:sz w:val="15"/>
          <w:szCs w:val="15"/>
          <w:color w:val="1E1E1E"/>
        </w:rPr>
        <w:t>A potential best-in-class CDK7 inhibitor optimized using our AI platform, delivered early Phase 1/2 results demonstrating promising safety and</w:t>
      </w:r>
      <w:r>
        <w:rPr>
          <w:rFonts w:ascii="Arial" w:cs="Arial" w:eastAsia="Arial" w:hAnsi="Arial"/>
          <w:sz w:val="15"/>
          <w:szCs w:val="15"/>
          <w:b w:val="1"/>
          <w:bCs w:val="1"/>
          <w:color w:val="1E1E1E"/>
        </w:rPr>
        <w:t xml:space="preserve"> </w:t>
      </w:r>
      <w:r>
        <w:rPr>
          <w:rFonts w:ascii="Arial" w:cs="Arial" w:eastAsia="Arial" w:hAnsi="Arial"/>
          <w:sz w:val="15"/>
          <w:szCs w:val="15"/>
          <w:color w:val="1E1E1E"/>
        </w:rPr>
        <w:t>preliminary efficacy, including a durable partial response in a late-stage metastatic ovarian cancer patient and stable disease across four other patients with solid tumors (e.g. CRC, NSCLC)</w:t>
      </w:r>
    </w:p>
    <w:p>
      <w:pPr>
        <w:spacing w:after="0" w:line="8" w:lineRule="exact"/>
        <w:rPr>
          <w:rFonts w:ascii="Arial" w:cs="Arial" w:eastAsia="Arial" w:hAnsi="Arial"/>
          <w:sz w:val="15"/>
          <w:szCs w:val="15"/>
          <w:b w:val="1"/>
          <w:bCs w:val="1"/>
          <w:color w:val="1E1E1E"/>
        </w:rPr>
      </w:pPr>
    </w:p>
    <w:p>
      <w:pPr>
        <w:ind w:left="620" w:right="360" w:hanging="307"/>
        <w:spacing w:after="0" w:line="287" w:lineRule="auto"/>
        <w:tabs>
          <w:tab w:leader="none" w:pos="609" w:val="left"/>
        </w:tabs>
        <w:numPr>
          <w:ilvl w:val="0"/>
          <w:numId w:val="17"/>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REC-994: </w:t>
      </w:r>
      <w:r>
        <w:rPr>
          <w:rFonts w:ascii="Arial" w:cs="Arial" w:eastAsia="Arial" w:hAnsi="Arial"/>
          <w:sz w:val="15"/>
          <w:szCs w:val="15"/>
          <w:color w:val="1E1E1E"/>
        </w:rPr>
        <w:t>A potential first-in-disease oral superoxide scavenger for symptomatic CCM, confirmed safety and tolerability of chronic dosing in a Phase 2</w:t>
      </w:r>
      <w:r>
        <w:rPr>
          <w:rFonts w:ascii="Arial" w:cs="Arial" w:eastAsia="Arial" w:hAnsi="Arial"/>
          <w:sz w:val="15"/>
          <w:szCs w:val="15"/>
          <w:b w:val="1"/>
          <w:bCs w:val="1"/>
          <w:color w:val="1E1E1E"/>
        </w:rPr>
        <w:t xml:space="preserve"> </w:t>
      </w:r>
      <w:r>
        <w:rPr>
          <w:rFonts w:ascii="Arial" w:cs="Arial" w:eastAsia="Arial" w:hAnsi="Arial"/>
          <w:sz w:val="15"/>
          <w:szCs w:val="15"/>
          <w:color w:val="1E1E1E"/>
        </w:rPr>
        <w:t>study, with exploratory analyses suggesting lesion volume reduction on MRI and symptom stabilization as evaluated by change in mRS scores</w:t>
      </w:r>
    </w:p>
    <w:p>
      <w:pPr>
        <w:jc w:val="both"/>
        <w:ind w:left="620" w:right="360" w:hanging="307"/>
        <w:spacing w:after="0" w:line="272" w:lineRule="auto"/>
        <w:tabs>
          <w:tab w:leader="none" w:pos="609" w:val="left"/>
        </w:tabs>
        <w:numPr>
          <w:ilvl w:val="0"/>
          <w:numId w:val="17"/>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Clinical Advancements and Regulatory Milestones: </w:t>
      </w:r>
      <w:r>
        <w:rPr>
          <w:rFonts w:ascii="Arial" w:cs="Arial" w:eastAsia="Arial" w:hAnsi="Arial"/>
          <w:sz w:val="15"/>
          <w:szCs w:val="15"/>
          <w:color w:val="1E1E1E"/>
        </w:rPr>
        <w:t>Initiated three clinical studies: DAHLIA (Phase 1/2, REC-1245 for solid tumors and lymphoma),</w:t>
      </w:r>
      <w:r>
        <w:rPr>
          <w:rFonts w:ascii="Arial" w:cs="Arial" w:eastAsia="Arial" w:hAnsi="Arial"/>
          <w:sz w:val="15"/>
          <w:szCs w:val="15"/>
          <w:b w:val="1"/>
          <w:bCs w:val="1"/>
          <w:color w:val="1E1E1E"/>
        </w:rPr>
        <w:t xml:space="preserve"> </w:t>
      </w:r>
      <w:r>
        <w:rPr>
          <w:rFonts w:ascii="Arial" w:cs="Arial" w:eastAsia="Arial" w:hAnsi="Arial"/>
          <w:sz w:val="15"/>
          <w:szCs w:val="15"/>
          <w:color w:val="1E1E1E"/>
        </w:rPr>
        <w:t xml:space="preserve">TUPELO (Phase 1b/2, REC-4881 for FAP), and ALDER (Phase 2, REC-3964 for recurrent </w:t>
      </w:r>
      <w:r>
        <w:rPr>
          <w:rFonts w:ascii="Arial" w:cs="Arial" w:eastAsia="Arial" w:hAnsi="Arial"/>
          <w:sz w:val="15"/>
          <w:szCs w:val="15"/>
          <w:i w:val="1"/>
          <w:iCs w:val="1"/>
          <w:color w:val="1E1E1E"/>
        </w:rPr>
        <w:t>C. difficile</w:t>
      </w:r>
      <w:r>
        <w:rPr>
          <w:rFonts w:ascii="Arial" w:cs="Arial" w:eastAsia="Arial" w:hAnsi="Arial"/>
          <w:sz w:val="15"/>
          <w:szCs w:val="15"/>
          <w:color w:val="1E1E1E"/>
        </w:rPr>
        <w:t xml:space="preserve"> infection), received IND clearance for REC-4539 (small cell lung cancer), CTA approval for REC-3565 (b-cell malignancies), and progressed REC-4209 (idiopathic pulmonary fibrosis) to IND-enabling studies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Advancements in Partnerships:</w:t>
      </w:r>
    </w:p>
    <w:p>
      <w:pPr>
        <w:spacing w:after="0" w:line="59" w:lineRule="exact"/>
        <w:rPr>
          <w:sz w:val="20"/>
          <w:szCs w:val="20"/>
          <w:color w:val="auto"/>
        </w:rPr>
      </w:pPr>
    </w:p>
    <w:p>
      <w:pPr>
        <w:ind w:left="620" w:right="660" w:hanging="307"/>
        <w:spacing w:after="0" w:line="295" w:lineRule="auto"/>
        <w:tabs>
          <w:tab w:leader="none" w:pos="609" w:val="left"/>
        </w:tabs>
        <w:numPr>
          <w:ilvl w:val="0"/>
          <w:numId w:val="18"/>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Roche and Genentech: </w:t>
      </w:r>
      <w:r>
        <w:rPr>
          <w:rFonts w:ascii="Arial" w:cs="Arial" w:eastAsia="Arial" w:hAnsi="Arial"/>
          <w:sz w:val="15"/>
          <w:szCs w:val="15"/>
          <w:color w:val="1E1E1E"/>
        </w:rPr>
        <w:t>Generated whole-genome and chemical perturbation maps in a gastrointestinal oncology indication and a whole genome</w:t>
      </w:r>
      <w:r>
        <w:rPr>
          <w:rFonts w:ascii="Arial" w:cs="Arial" w:eastAsia="Arial" w:hAnsi="Arial"/>
          <w:sz w:val="15"/>
          <w:szCs w:val="15"/>
          <w:b w:val="1"/>
          <w:bCs w:val="1"/>
          <w:color w:val="1E1E1E"/>
        </w:rPr>
        <w:t xml:space="preserve"> </w:t>
      </w:r>
      <w:r>
        <w:rPr>
          <w:rFonts w:ascii="Arial" w:cs="Arial" w:eastAsia="Arial" w:hAnsi="Arial"/>
          <w:sz w:val="15"/>
          <w:szCs w:val="15"/>
          <w:color w:val="1E1E1E"/>
        </w:rPr>
        <w:t>neuroscience phenomap. The neuro phenomap resulted in the exercise of a $30M milestone</w:t>
      </w:r>
    </w:p>
    <w:p>
      <w:pPr>
        <w:spacing w:after="0" w:line="1" w:lineRule="exact"/>
        <w:rPr>
          <w:rFonts w:ascii="Arial" w:cs="Arial" w:eastAsia="Arial" w:hAnsi="Arial"/>
          <w:sz w:val="15"/>
          <w:szCs w:val="15"/>
          <w:b w:val="1"/>
          <w:bCs w:val="1"/>
          <w:color w:val="1E1E1E"/>
        </w:rPr>
      </w:pPr>
    </w:p>
    <w:p>
      <w:pPr>
        <w:ind w:left="620" w:hanging="307"/>
        <w:spacing w:after="0"/>
        <w:tabs>
          <w:tab w:leader="none" w:pos="620" w:val="left"/>
        </w:tabs>
        <w:numPr>
          <w:ilvl w:val="0"/>
          <w:numId w:val="18"/>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Sanofi: </w:t>
      </w:r>
      <w:r>
        <w:rPr>
          <w:rFonts w:ascii="Arial" w:cs="Arial" w:eastAsia="Arial" w:hAnsi="Arial"/>
          <w:sz w:val="15"/>
          <w:szCs w:val="15"/>
          <w:color w:val="1E1E1E"/>
        </w:rPr>
        <w:t>Achieved $15M in milestones, advancing multiple targets in immunology and oncology into lead optimization</w:t>
      </w:r>
    </w:p>
    <w:p>
      <w:pPr>
        <w:spacing w:after="0" w:line="72" w:lineRule="exact"/>
        <w:rPr>
          <w:rFonts w:ascii="Arial" w:cs="Arial" w:eastAsia="Arial" w:hAnsi="Arial"/>
          <w:sz w:val="15"/>
          <w:szCs w:val="15"/>
          <w:b w:val="1"/>
          <w:bCs w:val="1"/>
          <w:color w:val="1E1E1E"/>
        </w:rPr>
      </w:pPr>
    </w:p>
    <w:p>
      <w:pPr>
        <w:ind w:left="620" w:right="760" w:hanging="307"/>
        <w:spacing w:after="0" w:line="287" w:lineRule="auto"/>
        <w:tabs>
          <w:tab w:leader="none" w:pos="609" w:val="left"/>
        </w:tabs>
        <w:numPr>
          <w:ilvl w:val="0"/>
          <w:numId w:val="18"/>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Bayer: </w:t>
      </w:r>
      <w:r>
        <w:rPr>
          <w:rFonts w:ascii="Arial" w:cs="Arial" w:eastAsia="Arial" w:hAnsi="Arial"/>
          <w:sz w:val="15"/>
          <w:szCs w:val="15"/>
          <w:color w:val="1E1E1E"/>
        </w:rPr>
        <w:t>Completed 25 multimodal oncology data packages and delivery of LOWE, our LLM-orchestrated workflow software, to enhance research</w:t>
      </w:r>
      <w:r>
        <w:rPr>
          <w:rFonts w:ascii="Arial" w:cs="Arial" w:eastAsia="Arial" w:hAnsi="Arial"/>
          <w:sz w:val="15"/>
          <w:szCs w:val="15"/>
          <w:b w:val="1"/>
          <w:bCs w:val="1"/>
          <w:color w:val="1E1E1E"/>
        </w:rPr>
        <w:t xml:space="preserve"> </w:t>
      </w:r>
      <w:r>
        <w:rPr>
          <w:rFonts w:ascii="Arial" w:cs="Arial" w:eastAsia="Arial" w:hAnsi="Arial"/>
          <w:sz w:val="15"/>
          <w:szCs w:val="15"/>
          <w:color w:val="1E1E1E"/>
        </w:rPr>
        <w:t>capabilities</w:t>
      </w:r>
    </w:p>
    <w:p>
      <w:pPr>
        <w:ind w:left="620" w:hanging="307"/>
        <w:spacing w:after="0"/>
        <w:tabs>
          <w:tab w:leader="none" w:pos="620" w:val="left"/>
        </w:tabs>
        <w:numPr>
          <w:ilvl w:val="0"/>
          <w:numId w:val="18"/>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Merck KGaA (Darmstadt, Germany): </w:t>
      </w:r>
      <w:r>
        <w:rPr>
          <w:rFonts w:ascii="Arial" w:cs="Arial" w:eastAsia="Arial" w:hAnsi="Arial"/>
          <w:sz w:val="15"/>
          <w:szCs w:val="15"/>
          <w:color w:val="1E1E1E"/>
        </w:rPr>
        <w:t>Advanced alliance to identify first-in-class or best-in-class targets across oncology and immunology</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Advancements in Platform:</w:t>
      </w:r>
    </w:p>
    <w:p>
      <w:pPr>
        <w:spacing w:after="0" w:line="59" w:lineRule="exact"/>
        <w:rPr>
          <w:sz w:val="20"/>
          <w:szCs w:val="20"/>
          <w:color w:val="auto"/>
        </w:rPr>
      </w:pPr>
    </w:p>
    <w:p>
      <w:pPr>
        <w:ind w:left="620" w:right="140" w:hanging="307"/>
        <w:spacing w:after="0" w:line="295" w:lineRule="auto"/>
        <w:tabs>
          <w:tab w:leader="none" w:pos="609" w:val="left"/>
        </w:tabs>
        <w:numPr>
          <w:ilvl w:val="0"/>
          <w:numId w:val="19"/>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Full Stack AI Powered Platform: </w:t>
      </w:r>
      <w:r>
        <w:rPr>
          <w:rFonts w:ascii="Arial" w:cs="Arial" w:eastAsia="Arial" w:hAnsi="Arial"/>
          <w:sz w:val="15"/>
          <w:szCs w:val="15"/>
          <w:color w:val="1E1E1E"/>
        </w:rPr>
        <w:t>Our constantly evolving Recursion OS spans target discovery through clinical development, enabling efficient molecule</w:t>
      </w:r>
      <w:r>
        <w:rPr>
          <w:rFonts w:ascii="Arial" w:cs="Arial" w:eastAsia="Arial" w:hAnsi="Arial"/>
          <w:sz w:val="15"/>
          <w:szCs w:val="15"/>
          <w:b w:val="1"/>
          <w:bCs w:val="1"/>
          <w:color w:val="1E1E1E"/>
        </w:rPr>
        <w:t xml:space="preserve"> </w:t>
      </w:r>
      <w:r>
        <w:rPr>
          <w:rFonts w:ascii="Arial" w:cs="Arial" w:eastAsia="Arial" w:hAnsi="Arial"/>
          <w:sz w:val="15"/>
          <w:szCs w:val="15"/>
          <w:color w:val="1E1E1E"/>
        </w:rPr>
        <w:t>design and testing for both first-in-class and best-in-class opportunities</w:t>
      </w:r>
    </w:p>
    <w:p>
      <w:pPr>
        <w:spacing w:after="0" w:line="1" w:lineRule="exact"/>
        <w:rPr>
          <w:rFonts w:ascii="Arial" w:cs="Arial" w:eastAsia="Arial" w:hAnsi="Arial"/>
          <w:sz w:val="15"/>
          <w:szCs w:val="15"/>
          <w:b w:val="1"/>
          <w:bCs w:val="1"/>
          <w:color w:val="1E1E1E"/>
        </w:rPr>
      </w:pPr>
    </w:p>
    <w:p>
      <w:pPr>
        <w:ind w:left="620" w:right="40" w:hanging="307"/>
        <w:spacing w:after="0" w:line="295" w:lineRule="auto"/>
        <w:tabs>
          <w:tab w:leader="none" w:pos="609" w:val="left"/>
        </w:tabs>
        <w:numPr>
          <w:ilvl w:val="0"/>
          <w:numId w:val="19"/>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Breakthroughs in Foundation Models: </w:t>
      </w:r>
      <w:r>
        <w:rPr>
          <w:rFonts w:ascii="Arial" w:cs="Arial" w:eastAsia="Arial" w:hAnsi="Arial"/>
          <w:sz w:val="15"/>
          <w:szCs w:val="15"/>
          <w:color w:val="1E1E1E"/>
        </w:rPr>
        <w:t>We’ve developed both unimodal and multimodal AI models like Phenom, MolPhenix, and MolGPS that accelerate</w:t>
      </w:r>
      <w:r>
        <w:rPr>
          <w:rFonts w:ascii="Arial" w:cs="Arial" w:eastAsia="Arial" w:hAnsi="Arial"/>
          <w:sz w:val="15"/>
          <w:szCs w:val="15"/>
          <w:b w:val="1"/>
          <w:bCs w:val="1"/>
          <w:color w:val="1E1E1E"/>
        </w:rPr>
        <w:t xml:space="preserve"> </w:t>
      </w:r>
      <w:r>
        <w:rPr>
          <w:rFonts w:ascii="Arial" w:cs="Arial" w:eastAsia="Arial" w:hAnsi="Arial"/>
          <w:sz w:val="15"/>
          <w:szCs w:val="15"/>
          <w:color w:val="1E1E1E"/>
        </w:rPr>
        <w:t>our ability to make high-confidence predictions in our therapeutics programs</w:t>
      </w:r>
    </w:p>
    <w:p>
      <w:pPr>
        <w:spacing w:after="0" w:line="1" w:lineRule="exact"/>
        <w:rPr>
          <w:rFonts w:ascii="Arial" w:cs="Arial" w:eastAsia="Arial" w:hAnsi="Arial"/>
          <w:sz w:val="15"/>
          <w:szCs w:val="15"/>
          <w:b w:val="1"/>
          <w:bCs w:val="1"/>
          <w:color w:val="1E1E1E"/>
        </w:rPr>
      </w:pPr>
    </w:p>
    <w:p>
      <w:pPr>
        <w:ind w:left="620" w:right="160" w:hanging="307"/>
        <w:spacing w:after="0" w:line="295" w:lineRule="auto"/>
        <w:tabs>
          <w:tab w:leader="none" w:pos="609" w:val="left"/>
        </w:tabs>
        <w:numPr>
          <w:ilvl w:val="0"/>
          <w:numId w:val="19"/>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Advancement in Causal AI Models: </w:t>
      </w:r>
      <w:r>
        <w:rPr>
          <w:rFonts w:ascii="Arial" w:cs="Arial" w:eastAsia="Arial" w:hAnsi="Arial"/>
          <w:sz w:val="15"/>
          <w:szCs w:val="15"/>
          <w:color w:val="1E1E1E"/>
        </w:rPr>
        <w:t>Through collaborations with Tempus and Helix, we integrate real-world, scaled patient datasets with our proprietary</w:t>
      </w:r>
      <w:r>
        <w:rPr>
          <w:rFonts w:ascii="Arial" w:cs="Arial" w:eastAsia="Arial" w:hAnsi="Arial"/>
          <w:sz w:val="15"/>
          <w:szCs w:val="15"/>
          <w:b w:val="1"/>
          <w:bCs w:val="1"/>
          <w:color w:val="1E1E1E"/>
        </w:rPr>
        <w:t xml:space="preserve"> </w:t>
      </w:r>
      <w:r>
        <w:rPr>
          <w:rFonts w:ascii="Arial" w:cs="Arial" w:eastAsia="Arial" w:hAnsi="Arial"/>
          <w:sz w:val="15"/>
          <w:szCs w:val="15"/>
          <w:color w:val="1E1E1E"/>
        </w:rPr>
        <w:t>internal data to deepen biological insights and better match our therapeutic candidates with target populations</w:t>
      </w:r>
    </w:p>
    <w:p>
      <w:pPr>
        <w:spacing w:after="0" w:line="1" w:lineRule="exact"/>
        <w:rPr>
          <w:rFonts w:ascii="Arial" w:cs="Arial" w:eastAsia="Arial" w:hAnsi="Arial"/>
          <w:sz w:val="15"/>
          <w:szCs w:val="15"/>
          <w:b w:val="1"/>
          <w:bCs w:val="1"/>
          <w:color w:val="1E1E1E"/>
        </w:rPr>
      </w:pPr>
    </w:p>
    <w:p>
      <w:pPr>
        <w:ind w:left="620" w:right="640" w:hanging="307"/>
        <w:spacing w:after="0" w:line="297" w:lineRule="auto"/>
        <w:tabs>
          <w:tab w:leader="none" w:pos="609" w:val="left"/>
        </w:tabs>
        <w:numPr>
          <w:ilvl w:val="0"/>
          <w:numId w:val="19"/>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Emerging Focus on ClinTech: </w:t>
      </w:r>
      <w:r>
        <w:rPr>
          <w:rFonts w:ascii="Arial" w:cs="Arial" w:eastAsia="Arial" w:hAnsi="Arial"/>
          <w:sz w:val="15"/>
          <w:szCs w:val="15"/>
          <w:color w:val="1E1E1E"/>
        </w:rPr>
        <w:t>We are using AI and machine learning to optimize clinical trial design, accelerate patient enrollment, and enhance</w:t>
      </w:r>
      <w:r>
        <w:rPr>
          <w:rFonts w:ascii="Arial" w:cs="Arial" w:eastAsia="Arial" w:hAnsi="Arial"/>
          <w:sz w:val="15"/>
          <w:szCs w:val="15"/>
          <w:b w:val="1"/>
          <w:bCs w:val="1"/>
          <w:color w:val="1E1E1E"/>
        </w:rPr>
        <w:t xml:space="preserve"> </w:t>
      </w:r>
      <w:r>
        <w:rPr>
          <w:rFonts w:ascii="Arial" w:cs="Arial" w:eastAsia="Arial" w:hAnsi="Arial"/>
          <w:sz w:val="15"/>
          <w:szCs w:val="15"/>
          <w:color w:val="1E1E1E"/>
        </w:rPr>
        <w:t>evidence generation through data-driven methodologies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What’s Next</w:t>
      </w:r>
    </w:p>
    <w:p>
      <w:pPr>
        <w:spacing w:after="0" w:line="61"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1E1E1E"/>
        </w:rPr>
        <w:t>In 2025, we plan to accelerate our pipeline with additional clinical readouts, deepen existing partnerships, and further expand our proprietary data suite. We anticipate up to 10 additional clinical program milestones over the next 18 months, exciting milestone achievements in our R&amp;D collaborations, and continued breakthroughs in AI-driven discovery, advancing our mission to decode biology to radically improve lives. Significant milestones from our portfolio of pharma R&amp;D partnerships and a focus on monetizing select assets in our pipeline will help to subsidize continued investment to expand our leading position in the TechBio space, which we view as a generational opportunity for value creation.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6"/>
          <w:szCs w:val="26"/>
          <w:b w:val="1"/>
          <w:bCs w:val="1"/>
          <w:color w:val="E2188A"/>
        </w:rPr>
        <w:t>Business Overview</w:t>
      </w:r>
    </w:p>
    <w:p>
      <w:pPr>
        <w:spacing w:after="0" w:line="116"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1E1E1E"/>
        </w:rPr>
        <w:t>Recursion is a leading clinical stage TechBio company with a mission to decode biology to radically improve lives. We aim to achieve our mission by industrializing drug discovery using the Recursion Operating System (OS), a vertical platform of diverse technologies that enables us to map and navigate trillions of biological, chemical, and patient-centric relationships utilizing approximately 65 petabytes of proprietary data.</w:t>
      </w:r>
    </w:p>
    <w:p>
      <w:pPr>
        <w:spacing w:after="0" w:line="153"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1E1E1E"/>
        </w:rPr>
        <w:t>The Recursion OS integrates ‘Real World’ data generated in our own wet-laboratories or by select partners and a ‘World Model’ which is a collection of AI computational models we also build in-house. Today, our scaled ‘wet-lab’ biology, chemistry, and patient-centric experimental data feed our ‘dry-lab’ computational tools to identify, validate, and translate therapeutic insights, which we can then validate in our wet-lab to both advance drug discovery programs and to generate data to further refine our world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20320</wp:posOffset>
            </wp:positionV>
            <wp:extent cx="4322445" cy="1776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22445" cy="177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86" w:lineRule="auto"/>
        <w:rPr>
          <w:sz w:val="20"/>
          <w:szCs w:val="20"/>
          <w:color w:val="auto"/>
        </w:rPr>
      </w:pPr>
      <w:r>
        <w:rPr>
          <w:rFonts w:ascii="Arial" w:cs="Arial" w:eastAsia="Arial" w:hAnsi="Arial"/>
          <w:sz w:val="13"/>
          <w:szCs w:val="13"/>
          <w:b w:val="1"/>
          <w:bCs w:val="1"/>
          <w:color w:val="6E6E6E"/>
        </w:rPr>
        <w:t xml:space="preserve">Figure 2. </w:t>
      </w:r>
      <w:r>
        <w:rPr>
          <w:rFonts w:ascii="Arial" w:cs="Arial" w:eastAsia="Arial" w:hAnsi="Arial"/>
          <w:sz w:val="13"/>
          <w:szCs w:val="13"/>
          <w:color w:val="6E6E6E"/>
        </w:rPr>
        <w:t>The Recursion OS. Recursion generates massive quantities of rich, high-dimensional real world –omics data (e.g., phenomics, transcriptomics and proteomics) and chemical</w:t>
      </w:r>
      <w:r>
        <w:rPr>
          <w:rFonts w:ascii="Arial" w:cs="Arial" w:eastAsia="Arial" w:hAnsi="Arial"/>
          <w:sz w:val="13"/>
          <w:szCs w:val="13"/>
          <w:b w:val="1"/>
          <w:bCs w:val="1"/>
          <w:color w:val="6E6E6E"/>
        </w:rPr>
        <w:t xml:space="preserve"> </w:t>
      </w:r>
      <w:r>
        <w:rPr>
          <w:rFonts w:ascii="Arial" w:cs="Arial" w:eastAsia="Arial" w:hAnsi="Arial"/>
          <w:sz w:val="13"/>
          <w:szCs w:val="13"/>
          <w:color w:val="6E6E6E"/>
        </w:rPr>
        <w:t>data. We build and train ML and AI models that take the data and learning from the real world to understand and identify patterns and insights, using the fastest supercomputer wholly owned and operated by any pharmaceutical company globally (based on available data). This creates a virtuous cycle of learning and iteration based on real-world data and models that learn to simulate that real world. This virtuous cycle, i.e., the Recursion OS, generates value through our pipeline, in addition to building pipelines for our partners.</w:t>
      </w:r>
    </w:p>
    <w:p>
      <w:pPr>
        <w:spacing w:after="0" w:line="110" w:lineRule="exact"/>
        <w:rPr>
          <w:sz w:val="20"/>
          <w:szCs w:val="20"/>
          <w:color w:val="auto"/>
        </w:rPr>
      </w:pPr>
    </w:p>
    <w:p>
      <w:pPr>
        <w:spacing w:after="0" w:line="273" w:lineRule="auto"/>
        <w:rPr>
          <w:sz w:val="20"/>
          <w:szCs w:val="20"/>
          <w:color w:val="auto"/>
        </w:rPr>
      </w:pPr>
      <w:r>
        <w:rPr>
          <w:rFonts w:ascii="Arial" w:cs="Arial" w:eastAsia="Arial" w:hAnsi="Arial"/>
          <w:sz w:val="15"/>
          <w:szCs w:val="15"/>
          <w:color w:val="1E1E1E"/>
        </w:rPr>
        <w:t>We have demonstrated that the Recursion OS already accelerates the timelines and scale of drug discovery, and we hope to prove in the coming years that we not only meet the industry average probability of success in clinical development but exceed it. If successful in achieving our mission, we may be able to build one of the most valuable businesses in our industry while also improving the lives of patients and pushing down the cost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116840</wp:posOffset>
            </wp:positionV>
            <wp:extent cx="4715510" cy="2300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15510" cy="230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b w:val="1"/>
          <w:bCs w:val="1"/>
          <w:color w:val="6E6E6E"/>
        </w:rPr>
        <w:t xml:space="preserve">Figure 3. </w:t>
      </w:r>
      <w:r>
        <w:rPr>
          <w:rFonts w:ascii="Arial" w:cs="Arial" w:eastAsia="Arial" w:hAnsi="Arial"/>
          <w:sz w:val="14"/>
          <w:szCs w:val="14"/>
          <w:color w:val="6E6E6E"/>
        </w:rPr>
        <w:t>Over time, we believe our transformational way of designing and developing drugs can change the industry's underlying pharmacoeconomic model, what we call 'shifting the</w:t>
      </w:r>
      <w:r>
        <w:rPr>
          <w:rFonts w:ascii="Arial" w:cs="Arial" w:eastAsia="Arial" w:hAnsi="Arial"/>
          <w:sz w:val="14"/>
          <w:szCs w:val="14"/>
          <w:b w:val="1"/>
          <w:bCs w:val="1"/>
          <w:color w:val="6E6E6E"/>
        </w:rPr>
        <w:t xml:space="preserve"> </w:t>
      </w:r>
      <w:r>
        <w:rPr>
          <w:rFonts w:ascii="Arial" w:cs="Arial" w:eastAsia="Arial" w:hAnsi="Arial"/>
          <w:sz w:val="14"/>
          <w:szCs w:val="14"/>
          <w:color w:val="6E6E6E"/>
        </w:rPr>
        <w:t>curve'. We aim to demonstrate that it is simultaneously possible to improve probability of success through designing better quality drugs while also reducing investment requirements through improved technologies and process. Recursion was created to take advantage of the discontinuity between these fields and harness the power of accelerating technological innovations to improve the efficiency of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The Recursion OS – A Platform that Powers a Portfolio</w:t>
      </w:r>
    </w:p>
    <w:p>
      <w:pPr>
        <w:spacing w:after="0" w:line="74"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1E1E1E"/>
        </w:rPr>
        <w:t>The Recursion OS is a full-stack solution delivering technology-enabled first-in-class and best-in-class molecules with speed, efficiency, and scale from target discovery through early clinical development. We generate and aggregate enormous quantities of high-quality, high-dimensional data spanning hundreds of millions of cellular perturbations across biology and chemistry, translational experiments, ADMET experiments, in vivo experiments, patient data, and from scaled automated chemical synthesis. In parallel, we have built foundation models that leverage those data to learn and understand the underlying biological and chemical interactions with broad predictive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121285</wp:posOffset>
            </wp:positionV>
            <wp:extent cx="5501005" cy="2292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01005" cy="229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b w:val="1"/>
          <w:bCs w:val="1"/>
          <w:color w:val="6E6E6E"/>
        </w:rPr>
        <w:t xml:space="preserve">Figure 4. </w:t>
      </w:r>
      <w:r>
        <w:rPr>
          <w:rFonts w:ascii="Arial" w:cs="Arial" w:eastAsia="Arial" w:hAnsi="Arial"/>
          <w:sz w:val="14"/>
          <w:szCs w:val="14"/>
          <w:color w:val="6E6E6E"/>
        </w:rPr>
        <w:t>Recursion’s World Model approach (1) Profile biological and chemical systems using automation to scale a small number of data-rich assays, including phenomics,</w:t>
      </w:r>
      <w:r>
        <w:rPr>
          <w:rFonts w:ascii="Arial" w:cs="Arial" w:eastAsia="Arial" w:hAnsi="Arial"/>
          <w:sz w:val="14"/>
          <w:szCs w:val="14"/>
          <w:b w:val="1"/>
          <w:bCs w:val="1"/>
          <w:color w:val="6E6E6E"/>
        </w:rPr>
        <w:t xml:space="preserve"> </w:t>
      </w:r>
      <w:r>
        <w:rPr>
          <w:rFonts w:ascii="Arial" w:cs="Arial" w:eastAsia="Arial" w:hAnsi="Arial"/>
          <w:sz w:val="14"/>
          <w:szCs w:val="14"/>
          <w:color w:val="6E6E6E"/>
        </w:rPr>
        <w:t>transcriptomics, InVivomics, and ADME to generate massive, high quality empirical data; (2) aggregate and analyze the resultant data using a variety of machine learning models, in a process coordinated with in-house software systems and tools; and (3) map and navigate leveraging proprietary software tools to infer properties and relationships in biology and chemistry. These inferred properties and relationships serve as the basis of our ability to predict how to navigate between biological states using chemical or biological perturbations, which we can then validate in our automated laboratories, completing a virtuous cycle of learning and iteration.</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1E1E1E"/>
        </w:rPr>
        <w:t>Our competitive advantage compared to the hundreds of companies both large and small that seek to follow our path is the intense focus and early success in verticalizing this approach. The company began by pioneering a point solution to scaled target discovery and hit ID based on phenomics, the use of cell morphology and computer vision. Today, we are generating, aggregating, or simulating data from patients to cells, cells to pathways, pathways to proteins, proteins to atomistic interactions, cells to organoids, organoids to animals, and animals to people in the clinic. We're systematically capturing complex, high-dimensional datasets, training specialized machine learning and AI models, and building foundation models that synthesize insights across diverse data layers. As we combine and coalesce these foundation models, spanning target discovery through clinical development, we are increasingly building a ‘world model’ that contains within it a virtual representation of how biology and chemistry are working. Today, our world model is enabling us to make many high-confidence predictions about the result of previously untried or untested questions.</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1E1E1E"/>
        </w:rPr>
        <w:t>In the coming years we believe that our world model will attain a level of understanding of biology and chemistry of sufficient quality that our wet lab will move from data generation for model improvement as its primary use to ‘scaled validation of simulated solutions.’ In essence, our world model will become a ‘virtual cell’ where we can simulate an inexhaustible quantity of ‘experiments,’ identify those targets and chemistries that have the highest probability of success in modulating disease and achieving a desired (and automatically generated) Target Product Profile, and then our wet lab can validate those predictions at scale.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377190</wp:posOffset>
            </wp:positionV>
            <wp:extent cx="4747895" cy="2357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4789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color w:val="6E6E6E"/>
        </w:rPr>
        <w:t xml:space="preserve">Figure 5. </w:t>
      </w:r>
      <w:r>
        <w:rPr>
          <w:rFonts w:ascii="Arial" w:cs="Arial" w:eastAsia="Arial" w:hAnsi="Arial"/>
          <w:sz w:val="14"/>
          <w:szCs w:val="14"/>
          <w:color w:val="6E6E6E"/>
        </w:rPr>
        <w:t>Over time, models can become broadly applicable and performant enough to be the first rather than last step in the process, that is “move to the left” in the diagram, with Real</w:t>
      </w:r>
      <w:r>
        <w:rPr>
          <w:rFonts w:ascii="Arial" w:cs="Arial" w:eastAsia="Arial" w:hAnsi="Arial"/>
          <w:sz w:val="14"/>
          <w:szCs w:val="14"/>
          <w:b w:val="1"/>
          <w:bCs w:val="1"/>
          <w:color w:val="6E6E6E"/>
        </w:rPr>
        <w:t xml:space="preserve"> </w:t>
      </w:r>
      <w:r>
        <w:rPr>
          <w:rFonts w:ascii="Arial" w:cs="Arial" w:eastAsia="Arial" w:hAnsi="Arial"/>
          <w:sz w:val="14"/>
          <w:szCs w:val="14"/>
          <w:color w:val="6E6E6E"/>
        </w:rPr>
        <w:t>World Models serving to validate individual insights “on the right.”</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Building a Pipeline</w:t>
      </w:r>
    </w:p>
    <w:p>
      <w:pPr>
        <w:spacing w:after="0" w:line="74"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color w:val="1E1E1E"/>
        </w:rPr>
        <w:t>Building on a first-in-class and best-in-class OS platform after the business combination with Exscientia, Recursion’s pipeline now encompasses 10 clinical and preclinical programs and over 10 advanced discovery programs across oncology, rare diseases, and other areas of high unmet need. This broad and rapidly evolving portfolio reflects our commitment to advancing discovery and clinical development through unbiased, scaled scientific insights and AI-driven discovery. Programs in our internal pipeline are built on unique biological and chemical insights surfaced through the Recursion OS where:</w:t>
      </w:r>
    </w:p>
    <w:p>
      <w:pPr>
        <w:spacing w:after="0" w:line="162" w:lineRule="exact"/>
        <w:rPr>
          <w:sz w:val="20"/>
          <w:szCs w:val="20"/>
          <w:color w:val="auto"/>
        </w:rPr>
      </w:pPr>
    </w:p>
    <w:p>
      <w:pPr>
        <w:ind w:left="620" w:right="500" w:hanging="307"/>
        <w:spacing w:after="0" w:line="295" w:lineRule="auto"/>
        <w:tabs>
          <w:tab w:leader="none" w:pos="609" w:val="left"/>
        </w:tabs>
        <w:numPr>
          <w:ilvl w:val="0"/>
          <w:numId w:val="20"/>
        </w:numPr>
        <w:rPr>
          <w:rFonts w:ascii="Arial" w:cs="Arial" w:eastAsia="Arial" w:hAnsi="Arial"/>
          <w:sz w:val="15"/>
          <w:szCs w:val="15"/>
          <w:color w:val="1E1E1E"/>
        </w:rPr>
      </w:pPr>
      <w:r>
        <w:rPr>
          <w:rFonts w:ascii="Arial" w:cs="Arial" w:eastAsia="Arial" w:hAnsi="Arial"/>
          <w:sz w:val="15"/>
          <w:szCs w:val="15"/>
          <w:color w:val="1E1E1E"/>
        </w:rPr>
        <w:t>The etiology of the disease is well defined, but the subsequent impacts of the disease are generally obscure and/or the primary targets are typically considered undruggable,</w:t>
      </w:r>
    </w:p>
    <w:p>
      <w:pPr>
        <w:spacing w:after="0" w:line="1" w:lineRule="exact"/>
        <w:rPr>
          <w:rFonts w:ascii="Arial" w:cs="Arial" w:eastAsia="Arial" w:hAnsi="Arial"/>
          <w:sz w:val="15"/>
          <w:szCs w:val="15"/>
          <w:color w:val="1E1E1E"/>
        </w:rPr>
      </w:pPr>
    </w:p>
    <w:p>
      <w:pPr>
        <w:ind w:left="620" w:hanging="307"/>
        <w:spacing w:after="0"/>
        <w:tabs>
          <w:tab w:leader="none" w:pos="620" w:val="left"/>
        </w:tabs>
        <w:numPr>
          <w:ilvl w:val="0"/>
          <w:numId w:val="20"/>
        </w:numPr>
        <w:rPr>
          <w:rFonts w:ascii="Arial" w:cs="Arial" w:eastAsia="Arial" w:hAnsi="Arial"/>
          <w:sz w:val="15"/>
          <w:szCs w:val="15"/>
          <w:color w:val="1E1E1E"/>
        </w:rPr>
      </w:pPr>
      <w:r>
        <w:rPr>
          <w:rFonts w:ascii="Arial" w:cs="Arial" w:eastAsia="Arial" w:hAnsi="Arial"/>
          <w:sz w:val="15"/>
          <w:szCs w:val="15"/>
          <w:color w:val="1E1E1E"/>
        </w:rPr>
        <w:t>There is a high unmet medical need, no approved therapies, or significant limitations to existing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151765</wp:posOffset>
            </wp:positionV>
            <wp:extent cx="5615940" cy="2750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15940" cy="275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97" w:lineRule="auto"/>
        <w:rPr>
          <w:sz w:val="20"/>
          <w:szCs w:val="20"/>
          <w:color w:val="auto"/>
        </w:rPr>
      </w:pPr>
      <w:r>
        <w:rPr>
          <w:rFonts w:ascii="Arial" w:cs="Arial" w:eastAsia="Arial" w:hAnsi="Arial"/>
          <w:sz w:val="14"/>
          <w:szCs w:val="14"/>
          <w:b w:val="1"/>
          <w:bCs w:val="1"/>
          <w:color w:val="6E6E6E"/>
        </w:rPr>
        <w:t xml:space="preserve">Figure 6. </w:t>
      </w:r>
      <w:r>
        <w:rPr>
          <w:rFonts w:ascii="Arial" w:cs="Arial" w:eastAsia="Arial" w:hAnsi="Arial"/>
          <w:sz w:val="14"/>
          <w:szCs w:val="14"/>
          <w:color w:val="6E6E6E"/>
        </w:rPr>
        <w:t>The power of our Recursion OS exemplified by our expansive therapeutic pipeline.</w:t>
      </w:r>
      <w:r>
        <w:rPr>
          <w:rFonts w:ascii="Arial" w:cs="Arial" w:eastAsia="Arial" w:hAnsi="Arial"/>
          <w:sz w:val="14"/>
          <w:szCs w:val="14"/>
          <w:b w:val="1"/>
          <w:bCs w:val="1"/>
          <w:color w:val="6E6E6E"/>
        </w:rPr>
        <w:t xml:space="preserve"> </w:t>
      </w:r>
      <w:r>
        <w:rPr>
          <w:rFonts w:ascii="Arial" w:cs="Arial" w:eastAsia="Arial" w:hAnsi="Arial"/>
          <w:sz w:val="8"/>
          <w:szCs w:val="8"/>
          <w:color w:val="6E6E6E"/>
        </w:rPr>
        <w:t>1</w:t>
      </w:r>
      <w:r>
        <w:rPr>
          <w:rFonts w:ascii="Arial" w:cs="Arial" w:eastAsia="Arial" w:hAnsi="Arial"/>
          <w:sz w:val="14"/>
          <w:szCs w:val="14"/>
          <w:color w:val="6E6E6E"/>
        </w:rPr>
        <w:t>Includes non-small cell lung cancer (NSCLC), colorectal cancer, breast cancer, pancreatic</w:t>
      </w:r>
      <w:r>
        <w:rPr>
          <w:rFonts w:ascii="Arial" w:cs="Arial" w:eastAsia="Arial" w:hAnsi="Arial"/>
          <w:sz w:val="14"/>
          <w:szCs w:val="14"/>
          <w:b w:val="1"/>
          <w:bCs w:val="1"/>
          <w:color w:val="6E6E6E"/>
        </w:rPr>
        <w:t xml:space="preserve"> </w:t>
      </w:r>
      <w:r>
        <w:rPr>
          <w:rFonts w:ascii="Arial" w:cs="Arial" w:eastAsia="Arial" w:hAnsi="Arial"/>
          <w:sz w:val="14"/>
          <w:szCs w:val="14"/>
          <w:color w:val="6E6E6E"/>
        </w:rPr>
        <w:t xml:space="preserve">cancer, ovarian cancer, head and neck cancer. </w:t>
      </w:r>
      <w:r>
        <w:rPr>
          <w:rFonts w:ascii="Arial" w:cs="Arial" w:eastAsia="Arial" w:hAnsi="Arial"/>
          <w:sz w:val="17"/>
          <w:szCs w:val="17"/>
          <w:color w:val="6E6E6E"/>
          <w:vertAlign w:val="superscript"/>
        </w:rPr>
        <w:t>2</w:t>
      </w:r>
      <w:r>
        <w:rPr>
          <w:rFonts w:ascii="Arial" w:cs="Arial" w:eastAsia="Arial" w:hAnsi="Arial"/>
          <w:sz w:val="14"/>
          <w:szCs w:val="14"/>
          <w:color w:val="6E6E6E"/>
        </w:rPr>
        <w:t>Joint venture with Rallybio.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Advancing our Pipeline</w:t>
      </w:r>
    </w:p>
    <w:p>
      <w:pPr>
        <w:spacing w:after="0" w:line="74" w:lineRule="exact"/>
        <w:rPr>
          <w:sz w:val="20"/>
          <w:szCs w:val="20"/>
          <w:color w:val="auto"/>
        </w:rPr>
      </w:pPr>
    </w:p>
    <w:p>
      <w:pPr>
        <w:jc w:val="both"/>
        <w:ind w:right="560"/>
        <w:spacing w:after="0" w:line="273" w:lineRule="auto"/>
        <w:rPr>
          <w:sz w:val="20"/>
          <w:szCs w:val="20"/>
          <w:color w:val="auto"/>
        </w:rPr>
      </w:pPr>
      <w:r>
        <w:rPr>
          <w:rFonts w:ascii="Arial" w:cs="Arial" w:eastAsia="Arial" w:hAnsi="Arial"/>
          <w:sz w:val="15"/>
          <w:szCs w:val="15"/>
          <w:color w:val="1E1E1E"/>
        </w:rPr>
        <w:t>We are accelerating critical clinical milestones while delivering measurable progress against diseases with high unmet medical needs. At the same time, we continue to validate various components of the Recursion OS, which has played a role in advancing every program in our portfolio, reinforcing its potential to accelerate drug discovery and development.</w:t>
      </w:r>
    </w:p>
    <w:p>
      <w:pPr>
        <w:spacing w:after="0" w:line="172"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1E1E1E"/>
        </w:rPr>
        <w:t>We have already demonstrated promising safety and preliminary efficacy data for two of our programs. REC-994, a superoxide scavenger in development as a potential first-in-disease therapy for symptomatic CCM, was featured in a late-breaking oral presentation at the 2025 International Stroke Conference. Phase 2 data highlighted MRI-based lesion volume reduction and symptom stabilization trends. Next steps in this program will be informed by regulatory discussions and long-term extension data expected in 2025. REC-617, a potential best-in-class CDK7 inhibitor has demonstrated early clinical activity in advanced solid tumors, including a durable partial response in metastatic ovarian cancer and stable disease across patients with multiple tumor types. These findings support further clinical development as we continue to explore its potential in combination regimens.</w:t>
      </w:r>
    </w:p>
    <w:p>
      <w:pPr>
        <w:spacing w:after="0" w:line="164"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 xml:space="preserve">In parallel, Recursion has recently initiated three other clinical studies: DAHLIA (Phase 1/2, REC-1245 for solid tumors and lymphoma), TUPELO (Phase 1b/2, REC-4881 for FAP), and ALDER (Phase 2, REC-3964 for prevention of recurrent </w:t>
      </w:r>
      <w:r>
        <w:rPr>
          <w:rFonts w:ascii="Arial" w:cs="Arial" w:eastAsia="Arial" w:hAnsi="Arial"/>
          <w:sz w:val="15"/>
          <w:szCs w:val="15"/>
          <w:i w:val="1"/>
          <w:iCs w:val="1"/>
          <w:color w:val="1E1E1E"/>
        </w:rPr>
        <w:t>C. difficile</w:t>
      </w:r>
      <w:r>
        <w:rPr>
          <w:rFonts w:ascii="Arial" w:cs="Arial" w:eastAsia="Arial" w:hAnsi="Arial"/>
          <w:sz w:val="15"/>
          <w:szCs w:val="15"/>
          <w:color w:val="1E1E1E"/>
        </w:rPr>
        <w:t xml:space="preserve"> infection). Additionally, REC-3565 (B-cell malignancies) and REC-4539 (SCLC) are expected to enter dose escalation studies. REC-4209 (idiopathic pulmonary fibrosis) has progressed to IND-enabling studies and REV102 (HPP) IND-enabling studies have been initiated, further expanding our pipeline across oncology, rare diseases, and other areas of high unmet need.</w:t>
      </w:r>
    </w:p>
    <w:p>
      <w:pPr>
        <w:spacing w:after="0" w:line="173"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b w:val="1"/>
          <w:bCs w:val="1"/>
          <w:color w:val="1E1E1E"/>
        </w:rPr>
        <w:t xml:space="preserve">Anticipated Near-term Catalysts. </w:t>
      </w:r>
      <w:r>
        <w:rPr>
          <w:rFonts w:ascii="Arial" w:cs="Arial" w:eastAsia="Arial" w:hAnsi="Arial"/>
          <w:sz w:val="15"/>
          <w:szCs w:val="15"/>
          <w:color w:val="1E1E1E"/>
        </w:rPr>
        <w:t>Recursion is poised for a catalyst-rich period, with multiple programs reaching critical milestones over the next 18 months. REC-3565 (MALT-1i) will enter Phase 1 for B-cell malignancies, with the first patient expected to be dosed in the first half of 2025. REC-617 (CDK7i) will initiate combination studies in advanced solid tumors in the first half of 2025. REC-4881 (MEK1/2i) will report Phase 1b/2 safety and early efficacy data for FAP during the same period. REC-2282 (HDACi) for NF2-related meningioma will undergo PFS6 futility analysis and REC-4539 (LSD-1i) will begin Phase 1 dose escalation in SCLC during the same period. Additional Phase 1 data from the ELUCIDATE trial for REC-617 (CDK7i) in advanced solid tumors is expected in the second half of 2025. Furthermore, we continue to rapidly advance development programs such as a PI3Kα H1047Ri and an ENPP1i towards the clinic.</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Impact Through Partnerships</w:t>
      </w:r>
    </w:p>
    <w:p>
      <w:pPr>
        <w:spacing w:after="0" w:line="74"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E1E1E"/>
        </w:rPr>
        <w:t>Through our business combination with Exscientia, we have doubled our partnership footprint with leading pharmaceutical companies including Roche and Genentech, Sanofi, Bayer and Merck KGaA (Darmstadt, Germany), securing $450M million in upfront milestone payments to date with the potential for over $20 billion in additional milestones before royalties. These global collaborations not only provide near-term cash flows but also combine our scaled biology, precision chemistry, and automated synthesis capabilities to pave the way for transformative therapies in oncology, neuroscience, immunology, and other therapeutic areas with high unmet need. By partnering with some of the best biopharmaceutical companies on earth in their respective areas, our platform and team have an opportunity to learn from some of the most experienced teams in the industry. By uniting our AI-driven platforms, vast proprietary data, and deep scientific expertise, we continue to unlock powerful innovations and expand patient impact. Below are some of the latest developments illustrating this momentum:</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Roche and Genentech</w:t>
      </w:r>
    </w:p>
    <w:p>
      <w:pPr>
        <w:spacing w:after="0" w:line="72" w:lineRule="exact"/>
        <w:rPr>
          <w:sz w:val="20"/>
          <w:szCs w:val="20"/>
          <w:color w:val="auto"/>
        </w:rPr>
      </w:pPr>
    </w:p>
    <w:p>
      <w:pPr>
        <w:ind w:left="620" w:right="120" w:hanging="307"/>
        <w:spacing w:after="0" w:line="281" w:lineRule="auto"/>
        <w:tabs>
          <w:tab w:leader="none" w:pos="609" w:val="left"/>
        </w:tabs>
        <w:numPr>
          <w:ilvl w:val="0"/>
          <w:numId w:val="21"/>
        </w:numPr>
        <w:rPr>
          <w:rFonts w:ascii="Arial" w:cs="Arial" w:eastAsia="Arial" w:hAnsi="Arial"/>
          <w:sz w:val="15"/>
          <w:szCs w:val="15"/>
          <w:b w:val="1"/>
          <w:bCs w:val="1"/>
          <w:i w:val="1"/>
          <w:iCs w:val="1"/>
          <w:color w:val="1E1E1E"/>
        </w:rPr>
      </w:pPr>
      <w:r>
        <w:rPr>
          <w:rFonts w:ascii="Arial" w:cs="Arial" w:eastAsia="Arial" w:hAnsi="Arial"/>
          <w:sz w:val="15"/>
          <w:szCs w:val="15"/>
          <w:b w:val="1"/>
          <w:bCs w:val="1"/>
          <w:color w:val="1E1E1E"/>
        </w:rPr>
        <w:t xml:space="preserve">Gastrointestinal-Oncology Advancements: </w:t>
      </w:r>
      <w:r>
        <w:rPr>
          <w:rFonts w:ascii="Arial" w:cs="Arial" w:eastAsia="Arial" w:hAnsi="Arial"/>
          <w:sz w:val="15"/>
          <w:szCs w:val="15"/>
          <w:color w:val="1E1E1E"/>
        </w:rPr>
        <w:t>In partnership with Roche and Genentech, we generated multiple whole-genome phenomaps with chemical</w:t>
      </w:r>
      <w:r>
        <w:rPr>
          <w:rFonts w:ascii="Arial" w:cs="Arial" w:eastAsia="Arial" w:hAnsi="Arial"/>
          <w:sz w:val="15"/>
          <w:szCs w:val="15"/>
          <w:b w:val="1"/>
          <w:bCs w:val="1"/>
          <w:color w:val="1E1E1E"/>
        </w:rPr>
        <w:t xml:space="preserve"> </w:t>
      </w:r>
      <w:r>
        <w:rPr>
          <w:rFonts w:ascii="Arial" w:cs="Arial" w:eastAsia="Arial" w:hAnsi="Arial"/>
          <w:sz w:val="15"/>
          <w:szCs w:val="15"/>
          <w:color w:val="1E1E1E"/>
        </w:rPr>
        <w:t>perturbations across various disease-relevant cell types, enabling deeper insights into how different cellular contexts respond to gene knockouts and chemicals.</w:t>
      </w:r>
    </w:p>
    <w:p>
      <w:pPr>
        <w:ind w:left="620" w:right="40" w:hanging="307"/>
        <w:spacing w:after="0" w:line="295" w:lineRule="auto"/>
        <w:tabs>
          <w:tab w:leader="none" w:pos="609" w:val="left"/>
        </w:tabs>
        <w:numPr>
          <w:ilvl w:val="0"/>
          <w:numId w:val="21"/>
        </w:numPr>
        <w:rPr>
          <w:rFonts w:ascii="Arial" w:cs="Arial" w:eastAsia="Arial" w:hAnsi="Arial"/>
          <w:sz w:val="15"/>
          <w:szCs w:val="15"/>
          <w:b w:val="1"/>
          <w:bCs w:val="1"/>
          <w:i w:val="1"/>
          <w:iCs w:val="1"/>
          <w:color w:val="1E1E1E"/>
        </w:rPr>
      </w:pPr>
      <w:r>
        <w:rPr>
          <w:rFonts w:ascii="Arial" w:cs="Arial" w:eastAsia="Arial" w:hAnsi="Arial"/>
          <w:sz w:val="15"/>
          <w:szCs w:val="15"/>
          <w:b w:val="1"/>
          <w:bCs w:val="1"/>
          <w:color w:val="1E1E1E"/>
        </w:rPr>
        <w:t xml:space="preserve">Neuro-specific CRISPR KO Phenomap: </w:t>
      </w:r>
      <w:r>
        <w:rPr>
          <w:rFonts w:ascii="Arial" w:cs="Arial" w:eastAsia="Arial" w:hAnsi="Arial"/>
          <w:sz w:val="15"/>
          <w:szCs w:val="15"/>
          <w:color w:val="1E1E1E"/>
        </w:rPr>
        <w:t>In partnership with Roche and Genentech, we have developed the first whole-genome CRISPR knockout map in</w:t>
      </w:r>
      <w:r>
        <w:rPr>
          <w:rFonts w:ascii="Arial" w:cs="Arial" w:eastAsia="Arial" w:hAnsi="Arial"/>
          <w:sz w:val="15"/>
          <w:szCs w:val="15"/>
          <w:b w:val="1"/>
          <w:bCs w:val="1"/>
          <w:color w:val="1E1E1E"/>
        </w:rPr>
        <w:t xml:space="preserve"> </w:t>
      </w:r>
      <w:r>
        <w:rPr>
          <w:rFonts w:ascii="Arial" w:cs="Arial" w:eastAsia="Arial" w:hAnsi="Arial"/>
          <w:sz w:val="15"/>
          <w:szCs w:val="15"/>
          <w:color w:val="1E1E1E"/>
        </w:rPr>
        <w:t>neural iPSC cells, providing valuable data to identify potential new targets in neuroscience, an area with limited new discoveries.</w:t>
      </w:r>
    </w:p>
    <w:p>
      <w:pPr>
        <w:spacing w:after="0" w:line="1" w:lineRule="exact"/>
        <w:rPr>
          <w:rFonts w:ascii="Arial" w:cs="Arial" w:eastAsia="Arial" w:hAnsi="Arial"/>
          <w:sz w:val="15"/>
          <w:szCs w:val="15"/>
          <w:b w:val="1"/>
          <w:bCs w:val="1"/>
          <w:i w:val="1"/>
          <w:iCs w:val="1"/>
          <w:color w:val="1E1E1E"/>
        </w:rPr>
      </w:pPr>
    </w:p>
    <w:p>
      <w:pPr>
        <w:ind w:left="620" w:right="240" w:hanging="307"/>
        <w:spacing w:after="0" w:line="297" w:lineRule="auto"/>
        <w:tabs>
          <w:tab w:leader="none" w:pos="609" w:val="left"/>
        </w:tabs>
        <w:numPr>
          <w:ilvl w:val="0"/>
          <w:numId w:val="21"/>
        </w:numPr>
        <w:rPr>
          <w:rFonts w:ascii="Arial" w:cs="Arial" w:eastAsia="Arial" w:hAnsi="Arial"/>
          <w:sz w:val="15"/>
          <w:szCs w:val="15"/>
          <w:i w:val="1"/>
          <w:iCs w:val="1"/>
          <w:color w:val="1E1E1E"/>
        </w:rPr>
      </w:pPr>
      <w:r>
        <w:rPr>
          <w:rFonts w:ascii="Arial" w:cs="Arial" w:eastAsia="Arial" w:hAnsi="Arial"/>
          <w:sz w:val="15"/>
          <w:szCs w:val="15"/>
          <w:b w:val="1"/>
          <w:bCs w:val="1"/>
          <w:color w:val="1E1E1E"/>
        </w:rPr>
        <w:t xml:space="preserve">Milestones and Collaboration: </w:t>
      </w:r>
      <w:r>
        <w:rPr>
          <w:rFonts w:ascii="Arial" w:cs="Arial" w:eastAsia="Arial" w:hAnsi="Arial"/>
          <w:sz w:val="15"/>
          <w:szCs w:val="15"/>
          <w:color w:val="1E1E1E"/>
        </w:rPr>
        <w:t>The neuroscience phenomap work led to a $30M option from Roche and Genentech in August 2024, and we’re moving</w:t>
      </w:r>
      <w:r>
        <w:rPr>
          <w:rFonts w:ascii="Arial" w:cs="Arial" w:eastAsia="Arial" w:hAnsi="Arial"/>
          <w:sz w:val="15"/>
          <w:szCs w:val="15"/>
          <w:b w:val="1"/>
          <w:bCs w:val="1"/>
          <w:color w:val="1E1E1E"/>
        </w:rPr>
        <w:t xml:space="preserve"> </w:t>
      </w:r>
      <w:r>
        <w:rPr>
          <w:rFonts w:ascii="Arial" w:cs="Arial" w:eastAsia="Arial" w:hAnsi="Arial"/>
          <w:sz w:val="15"/>
          <w:szCs w:val="15"/>
          <w:color w:val="1E1E1E"/>
        </w:rPr>
        <w:t>forward with target validation projects.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Sanofi</w:t>
      </w:r>
    </w:p>
    <w:p>
      <w:pPr>
        <w:spacing w:after="0" w:line="59" w:lineRule="exact"/>
        <w:rPr>
          <w:sz w:val="20"/>
          <w:szCs w:val="20"/>
          <w:color w:val="auto"/>
        </w:rPr>
      </w:pPr>
    </w:p>
    <w:p>
      <w:pPr>
        <w:ind w:left="620" w:right="360" w:hanging="307"/>
        <w:spacing w:after="0" w:line="315" w:lineRule="auto"/>
        <w:tabs>
          <w:tab w:leader="none" w:pos="609" w:val="left"/>
        </w:tabs>
        <w:numPr>
          <w:ilvl w:val="0"/>
          <w:numId w:val="22"/>
        </w:numPr>
        <w:rPr>
          <w:rFonts w:ascii="Arial" w:cs="Arial" w:eastAsia="Arial" w:hAnsi="Arial"/>
          <w:sz w:val="15"/>
          <w:szCs w:val="15"/>
          <w:i w:val="1"/>
          <w:iCs w:val="1"/>
          <w:color w:val="1E1E1E"/>
        </w:rPr>
      </w:pPr>
      <w:r>
        <w:rPr>
          <w:rFonts w:ascii="Arial" w:cs="Arial" w:eastAsia="Arial" w:hAnsi="Arial"/>
          <w:sz w:val="15"/>
          <w:szCs w:val="15"/>
          <w:b w:val="1"/>
          <w:bCs w:val="1"/>
          <w:color w:val="1E1E1E"/>
        </w:rPr>
        <w:t xml:space="preserve">Immunology &amp; Oncology Achievements: </w:t>
      </w:r>
      <w:r>
        <w:rPr>
          <w:rFonts w:ascii="Arial" w:cs="Arial" w:eastAsia="Arial" w:hAnsi="Arial"/>
          <w:sz w:val="15"/>
          <w:szCs w:val="15"/>
          <w:color w:val="1E1E1E"/>
        </w:rPr>
        <w:t>We reached milestones in three programs, generating $15M in aggregate payments from Sanofi for two of</w:t>
      </w:r>
      <w:r>
        <w:rPr>
          <w:rFonts w:ascii="Arial" w:cs="Arial" w:eastAsia="Arial" w:hAnsi="Arial"/>
          <w:sz w:val="15"/>
          <w:szCs w:val="15"/>
          <w:b w:val="1"/>
          <w:bCs w:val="1"/>
          <w:color w:val="1E1E1E"/>
        </w:rPr>
        <w:t xml:space="preserve"> </w:t>
      </w:r>
      <w:r>
        <w:rPr>
          <w:rFonts w:ascii="Arial" w:cs="Arial" w:eastAsia="Arial" w:hAnsi="Arial"/>
          <w:sz w:val="15"/>
          <w:szCs w:val="15"/>
          <w:color w:val="1E1E1E"/>
        </w:rPr>
        <w:t>these programs in 2024.</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Bayer</w:t>
      </w:r>
    </w:p>
    <w:p>
      <w:pPr>
        <w:spacing w:after="0" w:line="72" w:lineRule="exact"/>
        <w:rPr>
          <w:sz w:val="20"/>
          <w:szCs w:val="20"/>
          <w:color w:val="auto"/>
        </w:rPr>
      </w:pPr>
    </w:p>
    <w:p>
      <w:pPr>
        <w:ind w:left="620" w:right="180" w:hanging="307"/>
        <w:spacing w:after="0" w:line="287" w:lineRule="auto"/>
        <w:tabs>
          <w:tab w:leader="none" w:pos="609" w:val="left"/>
        </w:tabs>
        <w:numPr>
          <w:ilvl w:val="0"/>
          <w:numId w:val="23"/>
        </w:numPr>
        <w:rPr>
          <w:rFonts w:ascii="Arial" w:cs="Arial" w:eastAsia="Arial" w:hAnsi="Arial"/>
          <w:sz w:val="15"/>
          <w:szCs w:val="15"/>
          <w:b w:val="1"/>
          <w:bCs w:val="1"/>
          <w:i w:val="1"/>
          <w:iCs w:val="1"/>
          <w:color w:val="1E1E1E"/>
        </w:rPr>
      </w:pPr>
      <w:r>
        <w:rPr>
          <w:rFonts w:ascii="Arial" w:cs="Arial" w:eastAsia="Arial" w:hAnsi="Arial"/>
          <w:sz w:val="15"/>
          <w:szCs w:val="15"/>
          <w:b w:val="1"/>
          <w:bCs w:val="1"/>
          <w:color w:val="1E1E1E"/>
        </w:rPr>
        <w:t xml:space="preserve">Oncology Achievements: </w:t>
      </w:r>
      <w:r>
        <w:rPr>
          <w:rFonts w:ascii="Arial" w:cs="Arial" w:eastAsia="Arial" w:hAnsi="Arial"/>
          <w:sz w:val="15"/>
          <w:szCs w:val="15"/>
          <w:color w:val="1E1E1E"/>
        </w:rPr>
        <w:t>Completed 25 multimodal oncology data packages utilizing the Recursion OS platform. Multiple programs rapidly progressing</w:t>
      </w:r>
      <w:r>
        <w:rPr>
          <w:rFonts w:ascii="Arial" w:cs="Arial" w:eastAsia="Arial" w:hAnsi="Arial"/>
          <w:sz w:val="15"/>
          <w:szCs w:val="15"/>
          <w:b w:val="1"/>
          <w:bCs w:val="1"/>
          <w:color w:val="1E1E1E"/>
        </w:rPr>
        <w:t xml:space="preserve"> </w:t>
      </w:r>
      <w:r>
        <w:rPr>
          <w:rFonts w:ascii="Arial" w:cs="Arial" w:eastAsia="Arial" w:hAnsi="Arial"/>
          <w:sz w:val="15"/>
          <w:szCs w:val="15"/>
          <w:color w:val="1E1E1E"/>
        </w:rPr>
        <w:t>to Lead Series nomination.</w:t>
      </w:r>
    </w:p>
    <w:p>
      <w:pPr>
        <w:ind w:left="620" w:hanging="307"/>
        <w:spacing w:after="0"/>
        <w:tabs>
          <w:tab w:leader="none" w:pos="620" w:val="left"/>
        </w:tabs>
        <w:numPr>
          <w:ilvl w:val="0"/>
          <w:numId w:val="23"/>
        </w:numPr>
        <w:rPr>
          <w:rFonts w:ascii="Arial" w:cs="Arial" w:eastAsia="Arial" w:hAnsi="Arial"/>
          <w:sz w:val="15"/>
          <w:szCs w:val="15"/>
          <w:i w:val="1"/>
          <w:iCs w:val="1"/>
          <w:color w:val="1E1E1E"/>
        </w:rPr>
      </w:pPr>
      <w:r>
        <w:rPr>
          <w:rFonts w:ascii="Arial" w:cs="Arial" w:eastAsia="Arial" w:hAnsi="Arial"/>
          <w:sz w:val="15"/>
          <w:szCs w:val="15"/>
          <w:b w:val="1"/>
          <w:bCs w:val="1"/>
          <w:color w:val="1E1E1E"/>
        </w:rPr>
        <w:t xml:space="preserve">LOWE: </w:t>
      </w:r>
      <w:r>
        <w:rPr>
          <w:rFonts w:ascii="Arial" w:cs="Arial" w:eastAsia="Arial" w:hAnsi="Arial"/>
          <w:sz w:val="15"/>
          <w:szCs w:val="15"/>
          <w:color w:val="1E1E1E"/>
        </w:rPr>
        <w:t>Additionally, Bayer was the first beta-user of our LOWE LLM-orchestrated workflow software to enhance their research capabilities.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Merck KGaA (Darmstadt, Germany)</w:t>
      </w:r>
    </w:p>
    <w:p>
      <w:pPr>
        <w:spacing w:after="0" w:line="74" w:lineRule="exact"/>
        <w:rPr>
          <w:sz w:val="20"/>
          <w:szCs w:val="20"/>
          <w:color w:val="auto"/>
        </w:rPr>
      </w:pPr>
    </w:p>
    <w:p>
      <w:pPr>
        <w:ind w:left="620" w:right="240" w:hanging="307"/>
        <w:spacing w:after="0" w:line="294" w:lineRule="auto"/>
        <w:tabs>
          <w:tab w:leader="none" w:pos="609" w:val="left"/>
        </w:tabs>
        <w:numPr>
          <w:ilvl w:val="0"/>
          <w:numId w:val="24"/>
        </w:numPr>
        <w:rPr>
          <w:rFonts w:ascii="Arial" w:cs="Arial" w:eastAsia="Arial" w:hAnsi="Arial"/>
          <w:sz w:val="15"/>
          <w:szCs w:val="15"/>
          <w:color w:val="1E1E1E"/>
        </w:rPr>
      </w:pPr>
      <w:r>
        <w:rPr>
          <w:rFonts w:ascii="Arial" w:cs="Arial" w:eastAsia="Arial" w:hAnsi="Arial"/>
          <w:sz w:val="15"/>
          <w:szCs w:val="15"/>
          <w:color w:val="1E1E1E"/>
        </w:rPr>
        <w:t>Our ongoing alliance with Merck KGaA, Darmstadt, Germany is focused on leveraging Recursion’s discovery engine to identify first-in-class and best-in-class targets across oncology and immunology, driving innovation in these key therapeutic areas.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Leading indications of success in our business combination with Exscientia</w:t>
      </w:r>
    </w:p>
    <w:p>
      <w:pPr>
        <w:spacing w:after="0" w:line="74"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1E1E1E"/>
        </w:rPr>
        <w:t>We believe that to truly redefine the way drugs are discovered and developed, we need to build technology tools and data across the full-stack of drug discovery and development. Doing this well also requires the best talent from across many different fields. While Recursion has, in our view, achieved more than any other TechBio company, we constantly survey the market to find potential opportunities to augment and accelerate our business. The business combination with Exscientia was one such opportunity, bringing together the best biology-first TechBio platform in Recursion and one of the most comprehensive chemistry-first TechBio platforms in Exscientia, a compelling set of both first and best-in-class clinical programs, sector-leading partnerships and some of the best talent in the industry.</w:t>
      </w:r>
    </w:p>
    <w:p>
      <w:pPr>
        <w:spacing w:after="0" w:line="352"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1E1E1E"/>
        </w:rPr>
        <w:t>Given the compressed timeline between signing and close of the transaction (just over 3 months), prior to the close we prioritized in-depth assessments of each company's programs, partnerships, technology, capabilities, and ways of working. With this information in hand, we then conducted an organizational design process that allowed us to provide go-forward status and role clarity for each employee within 48 hours of close. We also outlined a set of goals to be accomplished in the first 90 days post close that will help us rapidly demonstrate the exponential value of the business combination and help employees to rapidly integrate across teams, portfolio, partnerships, and technologies. We are already seeing the benefits of this approach in terms of amplifying delivery, though much more work remains to be completed through 2025.</w:t>
      </w:r>
    </w:p>
    <w:p>
      <w:pPr>
        <w:spacing w:after="0" w:line="177" w:lineRule="exact"/>
        <w:rPr>
          <w:sz w:val="20"/>
          <w:szCs w:val="20"/>
          <w:color w:val="auto"/>
        </w:rPr>
      </w:pPr>
    </w:p>
    <w:p>
      <w:pPr>
        <w:jc w:val="both"/>
        <w:ind w:right="140"/>
        <w:spacing w:after="0" w:line="271" w:lineRule="auto"/>
        <w:rPr>
          <w:sz w:val="20"/>
          <w:szCs w:val="20"/>
          <w:color w:val="auto"/>
        </w:rPr>
      </w:pPr>
      <w:r>
        <w:rPr>
          <w:rFonts w:ascii="Arial" w:cs="Arial" w:eastAsia="Arial" w:hAnsi="Arial"/>
          <w:sz w:val="15"/>
          <w:szCs w:val="15"/>
          <w:color w:val="1E1E1E"/>
        </w:rPr>
        <w:t>In the weeks post-close we focused on ensuring all employees understood where they were situated within the go-forward organization (role, manager, etc.) and connected them with new members of their teams. We wrapped 2024 with a 2-day Welcome Event in London, giving former Exscientians the opportunity to learn about Recursion, meet new colleagues across a variety of teams, celebrate their contributions to the deal close, and begin to shift their professional identity to that of a Recursionaut.</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90 Day Goals</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Before the transaction closed, we established a set of key goals to be achieved within approximately 90 days. These goals were designed to quickly demonstrate early indicators of the value of combining the companies. The goals largely focus on deploying relatively mature and unique elements of each company's technology to accelerate the other party's programs and processes. These goals also require key members of each legacy team to sprint together, accelerating the team forming and norming process. Key updates are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1AA7DF"/>
        </w:rPr>
        <w:t>Pipeline</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i w:val="1"/>
          <w:iCs w:val="1"/>
          <w:color w:val="1E1E1E"/>
        </w:rPr>
        <w:t>Using Recursion’s causal AI to optimize Exscientia clinical programs - LSD1 Patient Stratification:</w:t>
      </w:r>
    </w:p>
    <w:p>
      <w:pPr>
        <w:spacing w:after="0" w:line="124" w:lineRule="exact"/>
        <w:rPr>
          <w:sz w:val="20"/>
          <w:szCs w:val="20"/>
          <w:color w:val="auto"/>
        </w:rPr>
      </w:pPr>
    </w:p>
    <w:p>
      <w:pPr>
        <w:ind w:left="620" w:right="100" w:hanging="307"/>
        <w:spacing w:after="0" w:line="294" w:lineRule="auto"/>
        <w:tabs>
          <w:tab w:leader="none" w:pos="609" w:val="left"/>
        </w:tabs>
        <w:numPr>
          <w:ilvl w:val="0"/>
          <w:numId w:val="25"/>
        </w:numPr>
        <w:rPr>
          <w:rFonts w:ascii="Arial" w:cs="Arial" w:eastAsia="Arial" w:hAnsi="Arial"/>
          <w:sz w:val="15"/>
          <w:szCs w:val="15"/>
          <w:color w:val="1E1E1E"/>
        </w:rPr>
      </w:pPr>
      <w:r>
        <w:rPr>
          <w:rFonts w:ascii="Arial" w:cs="Arial" w:eastAsia="Arial" w:hAnsi="Arial"/>
          <w:sz w:val="15"/>
          <w:szCs w:val="15"/>
          <w:color w:val="1E1E1E"/>
        </w:rPr>
        <w:t>Recursion is utilizing AI models and Tempus data to build a patient stratification framework in small cell lung cancer (SCLC). This work is informing clinical strategies for the planned REC-4539 Phase 1 study that originated at Exscientia and is commencing in the first half of 2025.</w:t>
      </w:r>
    </w:p>
    <w:p>
      <w:pPr>
        <w:spacing w:after="0" w:line="2" w:lineRule="exact"/>
        <w:rPr>
          <w:rFonts w:ascii="Arial" w:cs="Arial" w:eastAsia="Arial" w:hAnsi="Arial"/>
          <w:sz w:val="15"/>
          <w:szCs w:val="15"/>
          <w:color w:val="1E1E1E"/>
        </w:rPr>
      </w:pPr>
    </w:p>
    <w:p>
      <w:pPr>
        <w:ind w:left="620" w:hanging="307"/>
        <w:spacing w:after="0"/>
        <w:tabs>
          <w:tab w:leader="none" w:pos="620" w:val="left"/>
        </w:tabs>
        <w:numPr>
          <w:ilvl w:val="0"/>
          <w:numId w:val="25"/>
        </w:numPr>
        <w:rPr>
          <w:rFonts w:ascii="Arial" w:cs="Arial" w:eastAsia="Arial" w:hAnsi="Arial"/>
          <w:sz w:val="15"/>
          <w:szCs w:val="15"/>
          <w:color w:val="1E1E1E"/>
        </w:rPr>
      </w:pPr>
      <w:r>
        <w:rPr>
          <w:rFonts w:ascii="Arial" w:cs="Arial" w:eastAsia="Arial" w:hAnsi="Arial"/>
          <w:sz w:val="15"/>
          <w:szCs w:val="15"/>
          <w:color w:val="1E1E1E"/>
        </w:rPr>
        <w:t>We have expanded this work to explore indications for REC-4539 beyond SCLC and laboratory validation work is beginning imminently.</w:t>
      </w:r>
    </w:p>
    <w:p>
      <w:pPr>
        <w:spacing w:after="0" w:line="59" w:lineRule="exact"/>
        <w:rPr>
          <w:rFonts w:ascii="Arial" w:cs="Arial" w:eastAsia="Arial" w:hAnsi="Arial"/>
          <w:sz w:val="15"/>
          <w:szCs w:val="15"/>
          <w:color w:val="1E1E1E"/>
        </w:rPr>
      </w:pPr>
    </w:p>
    <w:p>
      <w:pPr>
        <w:ind w:left="620" w:hanging="307"/>
        <w:spacing w:after="0"/>
        <w:tabs>
          <w:tab w:leader="none" w:pos="620" w:val="left"/>
        </w:tabs>
        <w:numPr>
          <w:ilvl w:val="0"/>
          <w:numId w:val="25"/>
        </w:numPr>
        <w:rPr>
          <w:rFonts w:ascii="Arial" w:cs="Arial" w:eastAsia="Arial" w:hAnsi="Arial"/>
          <w:sz w:val="15"/>
          <w:szCs w:val="15"/>
          <w:color w:val="1E1E1E"/>
        </w:rPr>
      </w:pPr>
      <w:r>
        <w:rPr>
          <w:rFonts w:ascii="Arial" w:cs="Arial" w:eastAsia="Arial" w:hAnsi="Arial"/>
          <w:sz w:val="15"/>
          <w:szCs w:val="15"/>
          <w:color w:val="1E1E1E"/>
        </w:rPr>
        <w:t>This work will be used as a template to expand causal modeling for many programs beyond LSD1.</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1E1E1E"/>
        </w:rPr>
        <w:t>Use Exscientia’s Centaur Platform to Accelerate Recursion’s Internal Programs:</w:t>
      </w:r>
    </w:p>
    <w:p>
      <w:pPr>
        <w:spacing w:after="0" w:line="124" w:lineRule="exact"/>
        <w:rPr>
          <w:sz w:val="20"/>
          <w:szCs w:val="20"/>
          <w:color w:val="auto"/>
        </w:rPr>
      </w:pPr>
    </w:p>
    <w:p>
      <w:pPr>
        <w:ind w:left="620" w:right="720" w:hanging="307"/>
        <w:spacing w:after="0" w:line="294" w:lineRule="auto"/>
        <w:tabs>
          <w:tab w:leader="none" w:pos="609" w:val="left"/>
        </w:tabs>
        <w:numPr>
          <w:ilvl w:val="0"/>
          <w:numId w:val="26"/>
        </w:numPr>
        <w:rPr>
          <w:rFonts w:ascii="Arial" w:cs="Arial" w:eastAsia="Arial" w:hAnsi="Arial"/>
          <w:sz w:val="15"/>
          <w:szCs w:val="15"/>
          <w:color w:val="1E1E1E"/>
        </w:rPr>
      </w:pPr>
      <w:r>
        <w:rPr>
          <w:rFonts w:ascii="Arial" w:cs="Arial" w:eastAsia="Arial" w:hAnsi="Arial"/>
          <w:sz w:val="15"/>
          <w:szCs w:val="15"/>
          <w:color w:val="1E1E1E"/>
        </w:rPr>
        <w:t>Programs from legacy Recursion in early chemistry design cycles have already entered Exscientia’s Centaur precision chemistry platform, where significant improvements in potency have been demonstrated.</w:t>
      </w:r>
    </w:p>
    <w:p>
      <w:pPr>
        <w:spacing w:after="0" w:line="2" w:lineRule="exact"/>
        <w:rPr>
          <w:rFonts w:ascii="Arial" w:cs="Arial" w:eastAsia="Arial" w:hAnsi="Arial"/>
          <w:sz w:val="15"/>
          <w:szCs w:val="15"/>
          <w:color w:val="1E1E1E"/>
        </w:rPr>
      </w:pPr>
    </w:p>
    <w:p>
      <w:pPr>
        <w:ind w:left="620" w:hanging="307"/>
        <w:spacing w:after="0"/>
        <w:tabs>
          <w:tab w:leader="none" w:pos="620" w:val="left"/>
        </w:tabs>
        <w:numPr>
          <w:ilvl w:val="0"/>
          <w:numId w:val="26"/>
        </w:numPr>
        <w:rPr>
          <w:rFonts w:ascii="Arial" w:cs="Arial" w:eastAsia="Arial" w:hAnsi="Arial"/>
          <w:sz w:val="15"/>
          <w:szCs w:val="15"/>
          <w:color w:val="1E1E1E"/>
        </w:rPr>
      </w:pPr>
      <w:r>
        <w:rPr>
          <w:rFonts w:ascii="Arial" w:cs="Arial" w:eastAsia="Arial" w:hAnsi="Arial"/>
          <w:sz w:val="15"/>
          <w:szCs w:val="15"/>
          <w:color w:val="1E1E1E"/>
        </w:rPr>
        <w:t>Advanced protein structure predictions are guiding compound optimization, aiming to enhance binding conformation and optimize key properties.</w:t>
      </w:r>
    </w:p>
    <w:p>
      <w:pPr>
        <w:spacing w:after="0" w:line="59" w:lineRule="exact"/>
        <w:rPr>
          <w:rFonts w:ascii="Arial" w:cs="Arial" w:eastAsia="Arial" w:hAnsi="Arial"/>
          <w:sz w:val="15"/>
          <w:szCs w:val="15"/>
          <w:color w:val="1E1E1E"/>
        </w:rPr>
      </w:pPr>
    </w:p>
    <w:p>
      <w:pPr>
        <w:ind w:left="620" w:right="660" w:hanging="307"/>
        <w:spacing w:after="0" w:line="294" w:lineRule="auto"/>
        <w:tabs>
          <w:tab w:leader="none" w:pos="609" w:val="left"/>
        </w:tabs>
        <w:numPr>
          <w:ilvl w:val="0"/>
          <w:numId w:val="26"/>
        </w:numPr>
        <w:rPr>
          <w:rFonts w:ascii="Arial" w:cs="Arial" w:eastAsia="Arial" w:hAnsi="Arial"/>
          <w:sz w:val="15"/>
          <w:szCs w:val="15"/>
          <w:color w:val="1E1E1E"/>
        </w:rPr>
      </w:pPr>
      <w:r>
        <w:rPr>
          <w:rFonts w:ascii="Arial" w:cs="Arial" w:eastAsia="Arial" w:hAnsi="Arial"/>
          <w:sz w:val="15"/>
          <w:szCs w:val="15"/>
          <w:color w:val="1E1E1E"/>
        </w:rPr>
        <w:t>In-progress synthesis and cryo-EM work are enhancing our understanding of binding interactions, informing the next design cycles and optimizing compound characteristics.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1AA7DF"/>
        </w:rPr>
        <w:t>Partnerships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i w:val="1"/>
          <w:iCs w:val="1"/>
          <w:color w:val="1E1E1E"/>
        </w:rPr>
        <w:t>Use Recursion’s Maps of Biology to Identify New Targets for Legacy Exscientia Partners:</w:t>
      </w:r>
    </w:p>
    <w:p>
      <w:pPr>
        <w:spacing w:after="0" w:line="111" w:lineRule="exact"/>
        <w:rPr>
          <w:sz w:val="20"/>
          <w:szCs w:val="20"/>
          <w:color w:val="auto"/>
        </w:rPr>
      </w:pPr>
    </w:p>
    <w:p>
      <w:pPr>
        <w:ind w:left="620" w:right="100" w:hanging="307"/>
        <w:spacing w:after="0" w:line="294" w:lineRule="auto"/>
        <w:tabs>
          <w:tab w:leader="none" w:pos="609" w:val="left"/>
        </w:tabs>
        <w:numPr>
          <w:ilvl w:val="0"/>
          <w:numId w:val="27"/>
        </w:numPr>
        <w:rPr>
          <w:rFonts w:ascii="Arial" w:cs="Arial" w:eastAsia="Arial" w:hAnsi="Arial"/>
          <w:sz w:val="15"/>
          <w:szCs w:val="15"/>
          <w:color w:val="1E1E1E"/>
        </w:rPr>
      </w:pPr>
      <w:r>
        <w:rPr>
          <w:rFonts w:ascii="Arial" w:cs="Arial" w:eastAsia="Arial" w:hAnsi="Arial"/>
          <w:sz w:val="15"/>
          <w:szCs w:val="15"/>
          <w:color w:val="1E1E1E"/>
        </w:rPr>
        <w:t>The Recursion OS has been used to identify hit compounds in 7 immune-relevant targets or dual target pairs and early validation work has commenced to prepare reports for our partners.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i w:val="1"/>
          <w:iCs w:val="1"/>
          <w:color w:val="1E1E1E"/>
        </w:rPr>
        <w:t>Accelerate Recursion’s Partnered Programs Leveraging Exscientia’s Centaur Chemistry Platform:</w:t>
      </w:r>
    </w:p>
    <w:p>
      <w:pPr>
        <w:spacing w:after="0" w:line="111" w:lineRule="exact"/>
        <w:rPr>
          <w:sz w:val="20"/>
          <w:szCs w:val="20"/>
          <w:color w:val="auto"/>
        </w:rPr>
      </w:pPr>
    </w:p>
    <w:p>
      <w:pPr>
        <w:ind w:left="620" w:right="40" w:hanging="307"/>
        <w:spacing w:after="0" w:line="295" w:lineRule="auto"/>
        <w:tabs>
          <w:tab w:leader="none" w:pos="609" w:val="left"/>
        </w:tabs>
        <w:numPr>
          <w:ilvl w:val="0"/>
          <w:numId w:val="28"/>
        </w:numPr>
        <w:rPr>
          <w:rFonts w:ascii="Arial" w:cs="Arial" w:eastAsia="Arial" w:hAnsi="Arial"/>
          <w:sz w:val="15"/>
          <w:szCs w:val="15"/>
          <w:color w:val="1E1E1E"/>
        </w:rPr>
      </w:pPr>
      <w:r>
        <w:rPr>
          <w:rFonts w:ascii="Arial" w:cs="Arial" w:eastAsia="Arial" w:hAnsi="Arial"/>
          <w:sz w:val="15"/>
          <w:szCs w:val="15"/>
          <w:color w:val="1E1E1E"/>
        </w:rPr>
        <w:t>We integrated Centaur into more than 10 design cycles for programs Recursion has previously partnered, with early validation work achieved and progress accelerating across multiple additional partnered programs.</w:t>
      </w:r>
    </w:p>
    <w:p>
      <w:pPr>
        <w:spacing w:after="0" w:line="1" w:lineRule="exact"/>
        <w:rPr>
          <w:rFonts w:ascii="Arial" w:cs="Arial" w:eastAsia="Arial" w:hAnsi="Arial"/>
          <w:sz w:val="15"/>
          <w:szCs w:val="15"/>
          <w:color w:val="1E1E1E"/>
        </w:rPr>
      </w:pPr>
    </w:p>
    <w:p>
      <w:pPr>
        <w:ind w:left="620" w:right="500" w:hanging="307"/>
        <w:spacing w:after="0" w:line="295" w:lineRule="auto"/>
        <w:tabs>
          <w:tab w:leader="none" w:pos="609" w:val="left"/>
        </w:tabs>
        <w:numPr>
          <w:ilvl w:val="0"/>
          <w:numId w:val="28"/>
        </w:numPr>
        <w:rPr>
          <w:rFonts w:ascii="Arial" w:cs="Arial" w:eastAsia="Arial" w:hAnsi="Arial"/>
          <w:sz w:val="15"/>
          <w:szCs w:val="15"/>
          <w:color w:val="1E1E1E"/>
        </w:rPr>
      </w:pPr>
      <w:r>
        <w:rPr>
          <w:rFonts w:ascii="Arial" w:cs="Arial" w:eastAsia="Arial" w:hAnsi="Arial"/>
          <w:sz w:val="15"/>
          <w:szCs w:val="15"/>
          <w:color w:val="1E1E1E"/>
        </w:rPr>
        <w:t>We have successfully delivered compounds for wet-lab testing on Recursion’s platform using the legacy Exscientia automated synthesis platform for partnered programs.</w:t>
      </w:r>
    </w:p>
    <w:p>
      <w:pPr>
        <w:spacing w:after="0" w:line="1" w:lineRule="exact"/>
        <w:rPr>
          <w:rFonts w:ascii="Arial" w:cs="Arial" w:eastAsia="Arial" w:hAnsi="Arial"/>
          <w:sz w:val="15"/>
          <w:szCs w:val="15"/>
          <w:color w:val="1E1E1E"/>
        </w:rPr>
      </w:pPr>
    </w:p>
    <w:p>
      <w:pPr>
        <w:ind w:left="620" w:right="220" w:hanging="307"/>
        <w:spacing w:after="0" w:line="294" w:lineRule="auto"/>
        <w:tabs>
          <w:tab w:leader="none" w:pos="609" w:val="left"/>
        </w:tabs>
        <w:numPr>
          <w:ilvl w:val="0"/>
          <w:numId w:val="28"/>
        </w:numPr>
        <w:rPr>
          <w:rFonts w:ascii="Arial" w:cs="Arial" w:eastAsia="Arial" w:hAnsi="Arial"/>
          <w:sz w:val="15"/>
          <w:szCs w:val="15"/>
          <w:color w:val="1E1E1E"/>
        </w:rPr>
      </w:pPr>
      <w:r>
        <w:rPr>
          <w:rFonts w:ascii="Arial" w:cs="Arial" w:eastAsia="Arial" w:hAnsi="Arial"/>
          <w:sz w:val="15"/>
          <w:szCs w:val="15"/>
          <w:color w:val="1E1E1E"/>
        </w:rPr>
        <w:t>Applied a newly built pipeline using structural bioinformatics and molecular dynamics for more precise compound design, focused on addressing specific design challenges on partnered programs.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1AA7DF"/>
        </w:rPr>
        <w:t>Platform</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i w:val="1"/>
          <w:iCs w:val="1"/>
          <w:color w:val="1E1E1E"/>
        </w:rPr>
        <w:t>Incorporate Exscientia Tech into Recursion’s Workflows:</w:t>
      </w:r>
    </w:p>
    <w:p>
      <w:pPr>
        <w:spacing w:after="0" w:line="111" w:lineRule="exact"/>
        <w:rPr>
          <w:sz w:val="20"/>
          <w:szCs w:val="20"/>
          <w:color w:val="auto"/>
        </w:rPr>
      </w:pPr>
    </w:p>
    <w:p>
      <w:pPr>
        <w:ind w:left="620" w:right="220" w:hanging="307"/>
        <w:spacing w:after="0" w:line="295" w:lineRule="auto"/>
        <w:tabs>
          <w:tab w:leader="none" w:pos="609" w:val="left"/>
        </w:tabs>
        <w:numPr>
          <w:ilvl w:val="0"/>
          <w:numId w:val="29"/>
        </w:numPr>
        <w:rPr>
          <w:rFonts w:ascii="Arial" w:cs="Arial" w:eastAsia="Arial" w:hAnsi="Arial"/>
          <w:sz w:val="15"/>
          <w:szCs w:val="15"/>
          <w:color w:val="1E1E1E"/>
        </w:rPr>
      </w:pPr>
      <w:r>
        <w:rPr>
          <w:rFonts w:ascii="Arial" w:cs="Arial" w:eastAsia="Arial" w:hAnsi="Arial"/>
          <w:sz w:val="15"/>
          <w:szCs w:val="15"/>
          <w:color w:val="1E1E1E"/>
        </w:rPr>
        <w:t>Reduced manual effort by 60% for evidence collection for hit nomination packages supporting entry into hit-to-lead, through knowledge graphs and LLM-based data aggregation with further reduction expected with additional data layers.</w:t>
      </w:r>
    </w:p>
    <w:p>
      <w:pPr>
        <w:spacing w:after="0" w:line="1" w:lineRule="exact"/>
        <w:rPr>
          <w:rFonts w:ascii="Arial" w:cs="Arial" w:eastAsia="Arial" w:hAnsi="Arial"/>
          <w:sz w:val="15"/>
          <w:szCs w:val="15"/>
          <w:color w:val="1E1E1E"/>
        </w:rPr>
      </w:pPr>
    </w:p>
    <w:p>
      <w:pPr>
        <w:ind w:left="620" w:hanging="307"/>
        <w:spacing w:after="0"/>
        <w:tabs>
          <w:tab w:leader="none" w:pos="620" w:val="left"/>
        </w:tabs>
        <w:numPr>
          <w:ilvl w:val="0"/>
          <w:numId w:val="29"/>
        </w:numPr>
        <w:rPr>
          <w:rFonts w:ascii="Arial" w:cs="Arial" w:eastAsia="Arial" w:hAnsi="Arial"/>
          <w:sz w:val="15"/>
          <w:szCs w:val="15"/>
          <w:color w:val="1E1E1E"/>
        </w:rPr>
      </w:pPr>
      <w:r>
        <w:rPr>
          <w:rFonts w:ascii="Arial" w:cs="Arial" w:eastAsia="Arial" w:hAnsi="Arial"/>
          <w:sz w:val="15"/>
          <w:szCs w:val="15"/>
          <w:color w:val="1E1E1E"/>
        </w:rPr>
        <w:t>Mapped 1.4 million active ligands to binding pockets for structure-based drug discovery and target deconvolution.</w:t>
      </w:r>
    </w:p>
    <w:p>
      <w:pPr>
        <w:spacing w:after="0" w:line="59" w:lineRule="exact"/>
        <w:rPr>
          <w:rFonts w:ascii="Arial" w:cs="Arial" w:eastAsia="Arial" w:hAnsi="Arial"/>
          <w:sz w:val="15"/>
          <w:szCs w:val="15"/>
          <w:color w:val="1E1E1E"/>
        </w:rPr>
      </w:pPr>
    </w:p>
    <w:p>
      <w:pPr>
        <w:ind w:left="620" w:right="60" w:hanging="307"/>
        <w:spacing w:after="0" w:line="312" w:lineRule="auto"/>
        <w:tabs>
          <w:tab w:leader="none" w:pos="609" w:val="left"/>
        </w:tabs>
        <w:numPr>
          <w:ilvl w:val="0"/>
          <w:numId w:val="29"/>
        </w:numPr>
        <w:rPr>
          <w:rFonts w:ascii="Arial" w:cs="Arial" w:eastAsia="Arial" w:hAnsi="Arial"/>
          <w:sz w:val="15"/>
          <w:szCs w:val="15"/>
          <w:color w:val="1E1E1E"/>
        </w:rPr>
      </w:pPr>
      <w:r>
        <w:rPr>
          <w:rFonts w:ascii="Arial" w:cs="Arial" w:eastAsia="Arial" w:hAnsi="Arial"/>
          <w:sz w:val="15"/>
          <w:szCs w:val="15"/>
          <w:color w:val="1E1E1E"/>
        </w:rPr>
        <w:t>Working to leverage Exscientia’s tools to achieve a 75% reduction in time-to-program nomination by increasing alignment with portfolio strategy and bridge phenotypic- to target-based drug discovery and facilitating target-centric and structure-based drug discovery within Centaur Chemist.</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i w:val="1"/>
          <w:iCs w:val="1"/>
          <w:color w:val="1E1E1E"/>
        </w:rPr>
        <w:t>Integrate Recursion models into Centaur:</w:t>
      </w:r>
    </w:p>
    <w:p>
      <w:pPr>
        <w:spacing w:after="0" w:line="111" w:lineRule="exact"/>
        <w:rPr>
          <w:sz w:val="20"/>
          <w:szCs w:val="20"/>
          <w:color w:val="auto"/>
        </w:rPr>
      </w:pPr>
    </w:p>
    <w:p>
      <w:pPr>
        <w:jc w:val="both"/>
        <w:ind w:left="620" w:right="280" w:hanging="307"/>
        <w:spacing w:after="0" w:line="282" w:lineRule="auto"/>
        <w:tabs>
          <w:tab w:leader="none" w:pos="609" w:val="left"/>
        </w:tabs>
        <w:numPr>
          <w:ilvl w:val="0"/>
          <w:numId w:val="30"/>
        </w:numPr>
        <w:rPr>
          <w:rFonts w:ascii="Arial" w:cs="Arial" w:eastAsia="Arial" w:hAnsi="Arial"/>
          <w:sz w:val="15"/>
          <w:szCs w:val="15"/>
          <w:color w:val="1E1E1E"/>
        </w:rPr>
      </w:pPr>
      <w:r>
        <w:rPr>
          <w:rFonts w:ascii="Arial" w:cs="Arial" w:eastAsia="Arial" w:hAnsi="Arial"/>
          <w:sz w:val="15"/>
          <w:szCs w:val="15"/>
          <w:color w:val="1E1E1E"/>
        </w:rPr>
        <w:t>To augment Exscientia’s chemical design platform with additional filters, experimental data for &gt;950,000 compounds profiled in living cells were used to build two new models for (1) measurable cellular activity and (2) cytotoxicity. These large datasets provide highly generalizable models demonstrating a &gt;2.5x increased efficiency in detecting new bioactive scaffolds with a &gt;40% reduction in the flagging of likely cytotoxic compounds.</w:t>
      </w:r>
    </w:p>
    <w:p>
      <w:pPr>
        <w:spacing w:after="0" w:line="10" w:lineRule="exact"/>
        <w:rPr>
          <w:rFonts w:ascii="Arial" w:cs="Arial" w:eastAsia="Arial" w:hAnsi="Arial"/>
          <w:sz w:val="15"/>
          <w:szCs w:val="15"/>
          <w:color w:val="1E1E1E"/>
        </w:rPr>
      </w:pPr>
    </w:p>
    <w:p>
      <w:pPr>
        <w:ind w:left="620" w:right="160" w:hanging="307"/>
        <w:spacing w:after="0" w:line="273" w:lineRule="auto"/>
        <w:tabs>
          <w:tab w:leader="none" w:pos="609" w:val="left"/>
        </w:tabs>
        <w:numPr>
          <w:ilvl w:val="0"/>
          <w:numId w:val="30"/>
        </w:numPr>
        <w:rPr>
          <w:rFonts w:ascii="Arial" w:cs="Arial" w:eastAsia="Arial" w:hAnsi="Arial"/>
          <w:sz w:val="15"/>
          <w:szCs w:val="15"/>
          <w:color w:val="1E1E1E"/>
        </w:rPr>
      </w:pPr>
      <w:r>
        <w:rPr>
          <w:rFonts w:ascii="Arial" w:cs="Arial" w:eastAsia="Arial" w:hAnsi="Arial"/>
          <w:sz w:val="15"/>
          <w:szCs w:val="15"/>
          <w:color w:val="1E1E1E"/>
        </w:rPr>
        <w:t>18 new combined ADMET data products and respective models representing the combined organization’s datasets, and five program-specific phenomics response models have been added to Centaur, enabling use of legacy Exscientia’s active learning based precision design technology with Recursion internal programs.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1AA7DF"/>
        </w:rPr>
        <w:t>Corporate Updates</w:t>
      </w:r>
    </w:p>
    <w:p>
      <w:pPr>
        <w:spacing w:after="0" w:line="67" w:lineRule="exact"/>
        <w:rPr>
          <w:sz w:val="20"/>
          <w:szCs w:val="20"/>
          <w:color w:val="auto"/>
        </w:rPr>
      </w:pPr>
    </w:p>
    <w:p>
      <w:pPr>
        <w:ind w:left="620" w:hanging="307"/>
        <w:spacing w:after="0" w:line="267" w:lineRule="auto"/>
        <w:tabs>
          <w:tab w:leader="none" w:pos="609" w:val="left"/>
        </w:tabs>
        <w:numPr>
          <w:ilvl w:val="0"/>
          <w:numId w:val="31"/>
        </w:numPr>
        <w:rPr>
          <w:rFonts w:ascii="Arial" w:cs="Arial" w:eastAsia="Arial" w:hAnsi="Arial"/>
          <w:sz w:val="15"/>
          <w:szCs w:val="15"/>
          <w:color w:val="1E1E1E"/>
        </w:rPr>
      </w:pPr>
      <w:r>
        <w:rPr>
          <w:rFonts w:ascii="Arial" w:cs="Arial" w:eastAsia="Arial" w:hAnsi="Arial"/>
          <w:sz w:val="15"/>
          <w:szCs w:val="15"/>
          <w:color w:val="1E1E1E"/>
        </w:rPr>
        <w:t>In order to continue to streamline its operations and focus on its core geographic footprint, the Company's fully owned subsidiary, Exscientia AI Limited ("EXAI"), will carve out its Austrian operations. On February 27, 2025, the Company entered into an agreement to invest in and acquire 49% of the share capital of Alpha Biotechnology GmbH (“Alpha”), an Austrian startup that will leverage a patient-tissue platform for the development of precision therapeutics for the treatment of hematological and solid cancers, while focusing its efforts and moderating spend. Alpha will in turn acquire 100% of the share capital of Exscientia GmbH, a wholly-owned Austrian subsidiary of EXAI which holds certain intellectual property assets crucial to Alpha’s operations and business activities. The closing of the transaction is expected in the first half of 2025, subject to customary closing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 clear vision, durable mission and a focus on people and culture drive success</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color w:val="1E1E1E"/>
        </w:rPr>
        <w:t>Recursion was founded in 2013 with a vision to capitalize on the convergence of advancements in computation and machine learning to address the decreasing efficiency of drug discovery and development. We believe that this opportunity represents one of the most positively impactful applications of ML and AI. Our vision is to leverage technology to map and navigate biology, chemistry, and patient-centric outcomes to increasingly transition the process of developing medicines from discovery to design. We believe that advanced computational approaches, massive datasets or human intelligence alone cannot fundamentally shift the efficiency curve of drug discovery and development; instead, we believe that those companies that augment their teams with sophisticated computational tools and focus deeply on generating and aggregating the right datasets will have a significant advantage. Our success and the success of the burgeoning TechBio sector has the promise to drive more, new, and better medicines to patients at higher scale and lower prices in the coming decades. We are working to not only lead this space – but define it.</w:t>
      </w:r>
    </w:p>
    <w:p>
      <w:pPr>
        <w:spacing w:after="0" w:line="371" w:lineRule="exact"/>
        <w:rPr>
          <w:sz w:val="20"/>
          <w:szCs w:val="20"/>
          <w:color w:val="auto"/>
        </w:rPr>
      </w:pPr>
    </w:p>
    <w:p>
      <w:pPr>
        <w:spacing w:after="0" w:line="275" w:lineRule="auto"/>
        <w:rPr>
          <w:sz w:val="20"/>
          <w:szCs w:val="20"/>
          <w:color w:val="auto"/>
        </w:rPr>
      </w:pPr>
      <w:r>
        <w:rPr>
          <w:rFonts w:ascii="Arial" w:cs="Arial" w:eastAsia="Arial" w:hAnsi="Arial"/>
          <w:sz w:val="15"/>
          <w:szCs w:val="15"/>
          <w:color w:val="1E1E1E"/>
        </w:rPr>
        <w:t xml:space="preserve">Our mission at Recursion, </w:t>
      </w:r>
      <w:r>
        <w:rPr>
          <w:rFonts w:ascii="Arial" w:cs="Arial" w:eastAsia="Arial" w:hAnsi="Arial"/>
          <w:sz w:val="15"/>
          <w:szCs w:val="15"/>
          <w:b w:val="1"/>
          <w:bCs w:val="1"/>
          <w:i w:val="1"/>
          <w:iCs w:val="1"/>
          <w:color w:val="1E1E1E"/>
        </w:rPr>
        <w:t>Decoding Biology to Radically Improve Lives,</w:t>
      </w:r>
      <w:r>
        <w:rPr>
          <w:rFonts w:ascii="Arial" w:cs="Arial" w:eastAsia="Arial" w:hAnsi="Arial"/>
          <w:sz w:val="15"/>
          <w:szCs w:val="15"/>
          <w:color w:val="1E1E1E"/>
        </w:rPr>
        <w:t xml:space="preserve"> flows naturally from our vision. We interpret our mission expansively and believe it to be a durable direction and source of inspiration for our team. We seek not only to radically improve the lives of patients who could benefit from the medicines we help to deliver, but the lives of those who care for those patients, the lives of our employees and their families, as well as the communities in which we operate our company.</w:t>
      </w:r>
    </w:p>
    <w:p>
      <w:pPr>
        <w:spacing w:after="0" w:line="348"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We’ve intentionally designed our culture to fuel the pursuit of our mission. Our Founding Principles are guideposts for scientific and technical decisions and our Values underpin how our employees engage day-to-day with colleagues inside and outside the company. The Recursion Mindset, a deep commitment to achieving impact at unprecedented scale through new industrialized approaches, is an essential component of building our TechBio ecosystem. Our employees bring all these to life, contributing their unique expertise and experiences from their incredible breadth of fields and industries. For all of our employees, Recursion is a unique company with a different way of working.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377190</wp:posOffset>
            </wp:positionV>
            <wp:extent cx="5313045" cy="2275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3045" cy="227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color w:val="6E6E6E"/>
        </w:rPr>
        <w:t xml:space="preserve">Figure 7. </w:t>
      </w:r>
      <w:r>
        <w:rPr>
          <w:rFonts w:ascii="Arial" w:cs="Arial" w:eastAsia="Arial" w:hAnsi="Arial"/>
          <w:sz w:val="14"/>
          <w:szCs w:val="14"/>
          <w:color w:val="6E6E6E"/>
        </w:rPr>
        <w:t>Recursion’s team requires operating at the interface of many diverse fields. Building a TechBio company requires fluency in operating at the interface of many disciplines and</w:t>
      </w:r>
      <w:r>
        <w:rPr>
          <w:rFonts w:ascii="Arial" w:cs="Arial" w:eastAsia="Arial" w:hAnsi="Arial"/>
          <w:sz w:val="14"/>
          <w:szCs w:val="14"/>
          <w:b w:val="1"/>
          <w:bCs w:val="1"/>
          <w:color w:val="6E6E6E"/>
        </w:rPr>
        <w:t xml:space="preserve"> </w:t>
      </w:r>
      <w:r>
        <w:rPr>
          <w:rFonts w:ascii="Arial" w:cs="Arial" w:eastAsia="Arial" w:hAnsi="Arial"/>
          <w:sz w:val="14"/>
          <w:szCs w:val="14"/>
          <w:color w:val="6E6E6E"/>
        </w:rPr>
        <w:t>fields not previously attuned to working as closely in traditional biopharma.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369570</wp:posOffset>
            </wp:positionV>
            <wp:extent cx="5599430" cy="7244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99430" cy="724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b w:val="1"/>
          <w:bCs w:val="1"/>
          <w:color w:val="6E6E6E"/>
        </w:rPr>
        <w:t xml:space="preserve">Figure 8. </w:t>
      </w:r>
      <w:r>
        <w:rPr>
          <w:rFonts w:ascii="Arial" w:cs="Arial" w:eastAsia="Arial" w:hAnsi="Arial"/>
          <w:sz w:val="14"/>
          <w:szCs w:val="14"/>
          <w:color w:val="6E6E6E"/>
        </w:rPr>
        <w:t>Recursion’s Founding Principles and Values support our ambitious mission. Together, these elements shape Recursion’s culture by guiding our people to high-impact decision-making and behaviors.</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6"/>
          <w:szCs w:val="26"/>
          <w:b w:val="1"/>
          <w:bCs w:val="1"/>
          <w:color w:val="E2188A"/>
        </w:rPr>
        <w:t>Recursion In-Depth</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TechBio: The Industrialization of Drug Discovery and Development Problem</w:t>
      </w:r>
    </w:p>
    <w:p>
      <w:pPr>
        <w:spacing w:after="0" w:line="74"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1E1E1E"/>
        </w:rPr>
        <w:t>The traditional drug discovery and development process is characterized by substantial financial risks, with increasing and long-term capital outlays for development programs that often fail to reach patients as marketed products. Historically, it has taken over ten years and an average capitalized R&amp;D cost of approximately $2 billion per approved medicine to move a drug discovery project from early discovery to an approved therapeutic. Such productivity outcomes have culminated in a rapidly declining internal rate of return for the biopharma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110490</wp:posOffset>
            </wp:positionV>
            <wp:extent cx="5599430" cy="2627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99430" cy="262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b w:val="1"/>
          <w:bCs w:val="1"/>
          <w:color w:val="6E6E6E"/>
        </w:rPr>
        <w:t xml:space="preserve">Figure 9. </w:t>
      </w:r>
      <w:r>
        <w:rPr>
          <w:rFonts w:ascii="Arial" w:cs="Arial" w:eastAsia="Arial" w:hAnsi="Arial"/>
          <w:sz w:val="14"/>
          <w:szCs w:val="14"/>
          <w:color w:val="6E6E6E"/>
        </w:rPr>
        <w:t>Historical biopharma industry R&amp;D metrics. The primary driver of the cost to discover and develop a new medicine is clinical failure. Less than 4% of drug discovery programs</w:t>
      </w:r>
      <w:r>
        <w:rPr>
          <w:rFonts w:ascii="Arial" w:cs="Arial" w:eastAsia="Arial" w:hAnsi="Arial"/>
          <w:sz w:val="14"/>
          <w:szCs w:val="14"/>
          <w:b w:val="1"/>
          <w:bCs w:val="1"/>
          <w:color w:val="6E6E6E"/>
        </w:rPr>
        <w:t xml:space="preserve"> </w:t>
      </w:r>
      <w:r>
        <w:rPr>
          <w:rFonts w:ascii="Arial" w:cs="Arial" w:eastAsia="Arial" w:hAnsi="Arial"/>
          <w:sz w:val="14"/>
          <w:szCs w:val="14"/>
          <w:color w:val="6E6E6E"/>
        </w:rPr>
        <w:t>that are initiated result in an approved therapeutic, resulting in a risk-adjusted cost of approximately $2.3 billion per new drug launched.</w:t>
      </w:r>
      <w:r>
        <w:rPr>
          <w:rFonts w:ascii="Arial" w:cs="Arial" w:eastAsia="Arial" w:hAnsi="Arial"/>
          <w:sz w:val="17"/>
          <w:szCs w:val="17"/>
          <w:color w:val="6E6E6E"/>
          <w:vertAlign w:val="superscript"/>
        </w:rPr>
        <w:t>1,2,3,4,5</w:t>
      </w:r>
    </w:p>
    <w:p>
      <w:pPr>
        <w:spacing w:after="0" w:line="33" w:lineRule="exact"/>
        <w:rPr>
          <w:sz w:val="20"/>
          <w:szCs w:val="20"/>
          <w:color w:val="auto"/>
        </w:rPr>
      </w:pPr>
    </w:p>
    <w:p>
      <w:pPr>
        <w:ind w:right="240"/>
        <w:spacing w:after="0" w:line="267" w:lineRule="auto"/>
        <w:rPr>
          <w:sz w:val="20"/>
          <w:szCs w:val="20"/>
          <w:color w:val="auto"/>
        </w:rPr>
      </w:pPr>
      <w:r>
        <w:rPr>
          <w:rFonts w:ascii="Arial" w:cs="Arial" w:eastAsia="Arial" w:hAnsi="Arial"/>
          <w:sz w:val="15"/>
          <w:szCs w:val="15"/>
          <w:color w:val="1E1E1E"/>
        </w:rPr>
        <w:t>Despite significant investment and brilliant scientists, these metrics point to the need to evolve a more efficient drug discovery process and explore new tools. Traditional drug discovery relies on basic research discoveries from the scientific community to elucidate disease-relevant pathways and targets to interrogate. Coupled with biology’s incredible complexity, this approach has forced the industry to rely on reductionist hypotheses of the critical drivers of complex diseases, which can create a ‘herd mentality’ as multiple parties chase a limited number of therapeutic targets. The situation has been exacerbated by human bias (e.g., confirmation bias and sunk-cost fallacy). Accentuating this problem, the sequential nature of current drug discovery activities and the challenges with aggregation and interoperability of data across projects, teams and departments lead to frequent replication of work and long timelines to discharge the scientific risk of such hypotheses. Despite decades of accumulated knowledge, the result is that drug discovery has unintentionally created hurdles for innovation.</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5"/>
          <w:szCs w:val="15"/>
          <w:color w:val="1E1E1E"/>
        </w:rPr>
        <w:t>Simultaneously, exponential improvements in computational speed and reductions in data storage costs driven by the technology industry, coupled with the rapid rise of LLMs, generative AI and other ML tools, have transformed complex industries from media to transportation to e-commerce. Historically, the biopharma sector has been slow to embrace such innovations. Over the past 2-3 years, there have been remarkable shifts in perception among technology and biopharma companies as well as among regulators and policymakers, who highlight the utility of AI/ML for broad drug discovery and development from novel target discovery to automated chemistry synthesis and next-generation manufacturing. We believe this rapid acceleration and adoption of these technologies demonstrates the growing consensus that AI/ML is a catalyst for substantial leaps in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16370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52" w:lineRule="exact"/>
        <w:rPr>
          <w:sz w:val="20"/>
          <w:szCs w:val="20"/>
          <w:color w:val="auto"/>
        </w:rPr>
      </w:pPr>
    </w:p>
    <w:p>
      <w:pPr>
        <w:ind w:left="200" w:hanging="197"/>
        <w:spacing w:after="0"/>
        <w:tabs>
          <w:tab w:leader="none" w:pos="200" w:val="left"/>
        </w:tabs>
        <w:numPr>
          <w:ilvl w:val="0"/>
          <w:numId w:val="32"/>
        </w:numPr>
        <w:rPr>
          <w:rFonts w:ascii="Arial" w:cs="Arial" w:eastAsia="Arial" w:hAnsi="Arial"/>
          <w:sz w:val="9"/>
          <w:szCs w:val="9"/>
          <w:i w:val="1"/>
          <w:iCs w:val="1"/>
          <w:color w:val="6E6E6E"/>
        </w:rPr>
      </w:pPr>
      <w:r>
        <w:rPr>
          <w:rFonts w:ascii="Arial" w:cs="Arial" w:eastAsia="Arial" w:hAnsi="Arial"/>
          <w:sz w:val="14"/>
          <w:szCs w:val="14"/>
          <w:i w:val="1"/>
          <w:iCs w:val="1"/>
          <w:color w:val="6E6E6E"/>
        </w:rPr>
        <w:t>Zhou, S. and Johnson, R. (2018). Pharmaceutical Probability of Success. Alacrita Consulting, 1-42</w:t>
      </w:r>
    </w:p>
    <w:p>
      <w:pPr>
        <w:spacing w:after="0" w:line="58" w:lineRule="exact"/>
        <w:rPr>
          <w:sz w:val="20"/>
          <w:szCs w:val="20"/>
          <w:color w:val="auto"/>
        </w:rPr>
      </w:pPr>
    </w:p>
    <w:p>
      <w:pPr>
        <w:ind w:left="200" w:hanging="197"/>
        <w:spacing w:after="0"/>
        <w:tabs>
          <w:tab w:leader="none" w:pos="200" w:val="left"/>
        </w:tabs>
        <w:numPr>
          <w:ilvl w:val="0"/>
          <w:numId w:val="33"/>
        </w:numPr>
        <w:rPr>
          <w:rFonts w:ascii="Arial" w:cs="Arial" w:eastAsia="Arial" w:hAnsi="Arial"/>
          <w:sz w:val="9"/>
          <w:szCs w:val="9"/>
          <w:i w:val="1"/>
          <w:iCs w:val="1"/>
          <w:color w:val="6E6E6E"/>
        </w:rPr>
      </w:pPr>
      <w:r>
        <w:rPr>
          <w:rFonts w:ascii="Arial" w:cs="Arial" w:eastAsia="Arial" w:hAnsi="Arial"/>
          <w:sz w:val="14"/>
          <w:szCs w:val="14"/>
          <w:i w:val="1"/>
          <w:iCs w:val="1"/>
          <w:color w:val="6E6E6E"/>
        </w:rPr>
        <w:t>Steedman M, and Taylor K. (2024). Measuring the return from pharmaceutical innovation. Deloitte. 1-28.</w:t>
      </w:r>
    </w:p>
    <w:p>
      <w:pPr>
        <w:spacing w:after="0" w:line="32" w:lineRule="exact"/>
        <w:rPr>
          <w:sz w:val="20"/>
          <w:szCs w:val="20"/>
          <w:color w:val="auto"/>
        </w:rPr>
      </w:pPr>
    </w:p>
    <w:p>
      <w:pPr>
        <w:ind w:left="200" w:hanging="197"/>
        <w:spacing w:after="0"/>
        <w:tabs>
          <w:tab w:leader="none" w:pos="200" w:val="left"/>
        </w:tabs>
        <w:numPr>
          <w:ilvl w:val="0"/>
          <w:numId w:val="34"/>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DiMasi et al. (2016). Innovation in the pharmaceutical industry: New estimates of R&amp;D costs. Journal of Health Economics. 47, 20-33.</w:t>
      </w:r>
    </w:p>
    <w:p>
      <w:pPr>
        <w:spacing w:after="0" w:line="12" w:lineRule="exact"/>
        <w:rPr>
          <w:sz w:val="20"/>
          <w:szCs w:val="20"/>
          <w:color w:val="auto"/>
        </w:rPr>
      </w:pPr>
    </w:p>
    <w:p>
      <w:pPr>
        <w:ind w:left="200" w:hanging="197"/>
        <w:spacing w:after="0"/>
        <w:tabs>
          <w:tab w:leader="none" w:pos="200" w:val="left"/>
        </w:tabs>
        <w:numPr>
          <w:ilvl w:val="0"/>
          <w:numId w:val="35"/>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Paul, et al. (2010). How to improve R&amp;D productivity: the pharmaceutical industry’s grand challenge. Nature Reviews Drug Discovery. 9,203-214</w:t>
      </w:r>
    </w:p>
    <w:p>
      <w:pPr>
        <w:spacing w:after="0" w:line="12" w:lineRule="exact"/>
        <w:rPr>
          <w:sz w:val="20"/>
          <w:szCs w:val="20"/>
          <w:color w:val="auto"/>
        </w:rPr>
      </w:pPr>
    </w:p>
    <w:p>
      <w:pPr>
        <w:ind w:left="200" w:hanging="197"/>
        <w:spacing w:after="0"/>
        <w:tabs>
          <w:tab w:leader="none" w:pos="200" w:val="left"/>
        </w:tabs>
        <w:numPr>
          <w:ilvl w:val="0"/>
          <w:numId w:val="36"/>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Martin et al. (2017). Clinical trial cycle times continue to increase despite industry efforts. Nature Reviews Drug Discovery. 16, 157</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Opportunity</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1E1E1E"/>
        </w:rPr>
        <w:t>Late-stage clinical failures are the primary driver of reduced impact and IRR in today’s pharmaceutical R&amp;D model. Reducing the rate of costly, late-stage failures would be the most compelling way to achieve a more productive drug discovery and development process, though expanding the areas of biology that can be explored, accelerating the timeline from hit to a clinical candidate, decreasing the costs of discovery and creating more scalable systems would also create a more sustainable R&amp;D model, all else held equal. To achieve this more sustainable model, we believe that in its ideal state, a drug discovery funnel would morph from the being shaped like the letter ‘V’ to being shaped like the letter ‘T,’ where a broad set of possible therapeutics could be narrowed rapidly to the best candidate in a scaled and efficient way. Subsequently, programs that advance through the remaining steps of the discovery and development process would proceed quickly and with no attrition. While such a path is impossible to fully achieve, rapidly improving technology tools across biology, chemistry and computation are creating the conditions where, in the right hands, progress towards this ‘T’-shaped funnel is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123825</wp:posOffset>
            </wp:positionV>
            <wp:extent cx="5337810" cy="3037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37810" cy="303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b w:val="1"/>
          <w:bCs w:val="1"/>
          <w:color w:val="6E6E6E"/>
        </w:rPr>
        <w:t xml:space="preserve">Figure 10. </w:t>
      </w:r>
      <w:r>
        <w:rPr>
          <w:rFonts w:ascii="Arial" w:cs="Arial" w:eastAsia="Arial" w:hAnsi="Arial"/>
          <w:sz w:val="14"/>
          <w:szCs w:val="14"/>
          <w:color w:val="6E6E6E"/>
        </w:rPr>
        <w:t>Reshaping the drug discovery funnel. Recursion’s goal is to leverage technology to reshape the typical drug discovery funnel towards its ideal state by moving failure as early</w:t>
      </w:r>
      <w:r>
        <w:rPr>
          <w:rFonts w:ascii="Arial" w:cs="Arial" w:eastAsia="Arial" w:hAnsi="Arial"/>
          <w:sz w:val="14"/>
          <w:szCs w:val="14"/>
          <w:b w:val="1"/>
          <w:bCs w:val="1"/>
          <w:color w:val="6E6E6E"/>
        </w:rPr>
        <w:t xml:space="preserve"> </w:t>
      </w:r>
      <w:r>
        <w:rPr>
          <w:rFonts w:ascii="Arial" w:cs="Arial" w:eastAsia="Arial" w:hAnsi="Arial"/>
          <w:sz w:val="14"/>
          <w:szCs w:val="14"/>
          <w:color w:val="6E6E6E"/>
        </w:rPr>
        <w:t>as possible to rapidly narrowing the funnel into programs with the highest probability of success.</w:t>
      </w:r>
      <w:r>
        <w:rPr>
          <w:rFonts w:ascii="Arial" w:cs="Arial" w:eastAsia="Arial" w:hAnsi="Arial"/>
          <w:sz w:val="17"/>
          <w:szCs w:val="17"/>
          <w:color w:val="6E6E6E"/>
          <w:vertAlign w:val="superscript"/>
        </w:rPr>
        <w:t>6,7,8,9</w:t>
      </w:r>
    </w:p>
    <w:p>
      <w:pPr>
        <w:spacing w:after="0" w:line="46"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1E1E1E"/>
        </w:rPr>
        <w:t>The Recursion OS provides an opportunity for mapping and navigating massive biological and chemical datasets that contain trillions of inferred relationships between disease-causative perturbations and potentially therapeutic compounds. Collectively, the components of the Recursion OS can be joined together in a modular way to identify, validate and advance a broad portfolio of novel therapeutic programs quickly, cost-effectively and with minimal human intervention and bias</w:t>
      </w:r>
    </w:p>
    <w:p>
      <w:pPr>
        <w:spacing w:after="0" w:line="1" w:lineRule="exact"/>
        <w:rPr>
          <w:sz w:val="20"/>
          <w:szCs w:val="20"/>
          <w:color w:val="auto"/>
        </w:rPr>
      </w:pPr>
    </w:p>
    <w:p>
      <w:pPr>
        <w:ind w:firstLine="3"/>
        <w:spacing w:after="0" w:line="293" w:lineRule="auto"/>
        <w:tabs>
          <w:tab w:leader="none" w:pos="94" w:val="left"/>
        </w:tabs>
        <w:numPr>
          <w:ilvl w:val="0"/>
          <w:numId w:val="37"/>
        </w:numPr>
        <w:rPr>
          <w:rFonts w:ascii="Arial" w:cs="Arial" w:eastAsia="Arial" w:hAnsi="Arial"/>
          <w:sz w:val="15"/>
          <w:szCs w:val="15"/>
          <w:color w:val="1E1E1E"/>
        </w:rPr>
      </w:pPr>
      <w:r>
        <w:rPr>
          <w:rFonts w:ascii="Arial" w:cs="Arial" w:eastAsia="Arial" w:hAnsi="Arial"/>
          <w:sz w:val="15"/>
          <w:szCs w:val="15"/>
          <w:color w:val="1E1E1E"/>
        </w:rPr>
        <w:t>industrializing drug discovery and development. We use standardized, automated workflows to identify programs and advance them through key stages of the drug discovery and development process which includes:</w:t>
      </w:r>
    </w:p>
    <w:p>
      <w:pPr>
        <w:spacing w:after="0" w:line="144" w:lineRule="exact"/>
        <w:rPr>
          <w:rFonts w:ascii="Arial" w:cs="Arial" w:eastAsia="Arial" w:hAnsi="Arial"/>
          <w:sz w:val="15"/>
          <w:szCs w:val="15"/>
          <w:color w:val="1E1E1E"/>
        </w:rPr>
      </w:pPr>
    </w:p>
    <w:p>
      <w:pPr>
        <w:ind w:left="620" w:hanging="307"/>
        <w:spacing w:after="0"/>
        <w:tabs>
          <w:tab w:leader="none" w:pos="620" w:val="left"/>
        </w:tabs>
        <w:numPr>
          <w:ilvl w:val="1"/>
          <w:numId w:val="37"/>
        </w:numPr>
        <w:rPr>
          <w:rFonts w:ascii="Arial" w:cs="Arial" w:eastAsia="Arial" w:hAnsi="Arial"/>
          <w:sz w:val="15"/>
          <w:szCs w:val="15"/>
          <w:color w:val="1E1E1E"/>
        </w:rPr>
      </w:pPr>
      <w:r>
        <w:rPr>
          <w:rFonts w:ascii="Arial" w:cs="Arial" w:eastAsia="Arial" w:hAnsi="Arial"/>
          <w:sz w:val="15"/>
          <w:szCs w:val="15"/>
          <w:color w:val="1E1E1E"/>
        </w:rPr>
        <w:t>Patient Connectivity and Novelty (i.e., program initiation)</w:t>
      </w:r>
    </w:p>
    <w:p>
      <w:pPr>
        <w:spacing w:after="0" w:line="59" w:lineRule="exact"/>
        <w:rPr>
          <w:rFonts w:ascii="Arial" w:cs="Arial" w:eastAsia="Arial" w:hAnsi="Arial"/>
          <w:sz w:val="15"/>
          <w:szCs w:val="15"/>
          <w:color w:val="1E1E1E"/>
        </w:rPr>
      </w:pPr>
    </w:p>
    <w:p>
      <w:pPr>
        <w:ind w:left="620" w:hanging="307"/>
        <w:spacing w:after="0"/>
        <w:tabs>
          <w:tab w:leader="none" w:pos="620" w:val="left"/>
        </w:tabs>
        <w:numPr>
          <w:ilvl w:val="1"/>
          <w:numId w:val="37"/>
        </w:numPr>
        <w:rPr>
          <w:rFonts w:ascii="Arial" w:cs="Arial" w:eastAsia="Arial" w:hAnsi="Arial"/>
          <w:sz w:val="15"/>
          <w:szCs w:val="15"/>
          <w:color w:val="1E1E1E"/>
        </w:rPr>
      </w:pPr>
      <w:r>
        <w:rPr>
          <w:rFonts w:ascii="Arial" w:cs="Arial" w:eastAsia="Arial" w:hAnsi="Arial"/>
          <w:sz w:val="15"/>
          <w:szCs w:val="15"/>
          <w:color w:val="1E1E1E"/>
        </w:rPr>
        <w:t>Hit and Target Validation</w:t>
      </w:r>
    </w:p>
    <w:p>
      <w:pPr>
        <w:spacing w:after="0" w:line="72" w:lineRule="exact"/>
        <w:rPr>
          <w:rFonts w:ascii="Arial" w:cs="Arial" w:eastAsia="Arial" w:hAnsi="Arial"/>
          <w:sz w:val="15"/>
          <w:szCs w:val="15"/>
          <w:color w:val="1E1E1E"/>
        </w:rPr>
      </w:pPr>
    </w:p>
    <w:p>
      <w:pPr>
        <w:ind w:left="620" w:hanging="307"/>
        <w:spacing w:after="0"/>
        <w:tabs>
          <w:tab w:leader="none" w:pos="620" w:val="left"/>
        </w:tabs>
        <w:numPr>
          <w:ilvl w:val="1"/>
          <w:numId w:val="37"/>
        </w:numPr>
        <w:rPr>
          <w:rFonts w:ascii="Arial" w:cs="Arial" w:eastAsia="Arial" w:hAnsi="Arial"/>
          <w:sz w:val="15"/>
          <w:szCs w:val="15"/>
          <w:color w:val="1E1E1E"/>
        </w:rPr>
      </w:pPr>
      <w:r>
        <w:rPr>
          <w:rFonts w:ascii="Arial" w:cs="Arial" w:eastAsia="Arial" w:hAnsi="Arial"/>
          <w:sz w:val="15"/>
          <w:szCs w:val="15"/>
          <w:color w:val="1E1E1E"/>
        </w:rPr>
        <w:t>Compound Optimization</w:t>
      </w:r>
    </w:p>
    <w:p>
      <w:pPr>
        <w:spacing w:after="0" w:line="59" w:lineRule="exact"/>
        <w:rPr>
          <w:rFonts w:ascii="Arial" w:cs="Arial" w:eastAsia="Arial" w:hAnsi="Arial"/>
          <w:sz w:val="15"/>
          <w:szCs w:val="15"/>
          <w:color w:val="1E1E1E"/>
        </w:rPr>
      </w:pPr>
    </w:p>
    <w:p>
      <w:pPr>
        <w:ind w:left="620" w:hanging="307"/>
        <w:spacing w:after="0"/>
        <w:tabs>
          <w:tab w:leader="none" w:pos="620" w:val="left"/>
        </w:tabs>
        <w:numPr>
          <w:ilvl w:val="1"/>
          <w:numId w:val="37"/>
        </w:numPr>
        <w:rPr>
          <w:rFonts w:ascii="Arial" w:cs="Arial" w:eastAsia="Arial" w:hAnsi="Arial"/>
          <w:sz w:val="15"/>
          <w:szCs w:val="15"/>
          <w:color w:val="1E1E1E"/>
        </w:rPr>
      </w:pPr>
      <w:r>
        <w:rPr>
          <w:rFonts w:ascii="Arial" w:cs="Arial" w:eastAsia="Arial" w:hAnsi="Arial"/>
          <w:sz w:val="15"/>
          <w:szCs w:val="15"/>
          <w:color w:val="1E1E1E"/>
        </w:rPr>
        <w:t>Translation</w:t>
      </w:r>
    </w:p>
    <w:p>
      <w:pPr>
        <w:spacing w:after="0" w:line="59" w:lineRule="exact"/>
        <w:rPr>
          <w:rFonts w:ascii="Arial" w:cs="Arial" w:eastAsia="Arial" w:hAnsi="Arial"/>
          <w:sz w:val="15"/>
          <w:szCs w:val="15"/>
          <w:color w:val="1E1E1E"/>
        </w:rPr>
      </w:pPr>
    </w:p>
    <w:p>
      <w:pPr>
        <w:ind w:left="620" w:hanging="307"/>
        <w:spacing w:after="0"/>
        <w:tabs>
          <w:tab w:leader="none" w:pos="620" w:val="left"/>
        </w:tabs>
        <w:numPr>
          <w:ilvl w:val="1"/>
          <w:numId w:val="37"/>
        </w:numPr>
        <w:rPr>
          <w:rFonts w:ascii="Arial" w:cs="Arial" w:eastAsia="Arial" w:hAnsi="Arial"/>
          <w:sz w:val="15"/>
          <w:szCs w:val="15"/>
          <w:color w:val="1E1E1E"/>
        </w:rPr>
      </w:pPr>
      <w:r>
        <w:rPr>
          <w:rFonts w:ascii="Arial" w:cs="Arial" w:eastAsia="Arial" w:hAnsi="Arial"/>
          <w:sz w:val="15"/>
          <w:szCs w:val="15"/>
          <w:color w:val="1E1E1E"/>
        </w:rPr>
        <w:t>IND-Enabling Studies</w:t>
      </w:r>
    </w:p>
    <w:p>
      <w:pPr>
        <w:spacing w:after="0" w:line="72" w:lineRule="exact"/>
        <w:rPr>
          <w:rFonts w:ascii="Arial" w:cs="Arial" w:eastAsia="Arial" w:hAnsi="Arial"/>
          <w:sz w:val="15"/>
          <w:szCs w:val="15"/>
          <w:color w:val="1E1E1E"/>
        </w:rPr>
      </w:pPr>
    </w:p>
    <w:p>
      <w:pPr>
        <w:ind w:left="620" w:hanging="307"/>
        <w:spacing w:after="0"/>
        <w:tabs>
          <w:tab w:leader="none" w:pos="620" w:val="left"/>
        </w:tabs>
        <w:numPr>
          <w:ilvl w:val="1"/>
          <w:numId w:val="37"/>
        </w:numPr>
        <w:rPr>
          <w:rFonts w:ascii="Arial" w:cs="Arial" w:eastAsia="Arial" w:hAnsi="Arial"/>
          <w:sz w:val="15"/>
          <w:szCs w:val="15"/>
          <w:color w:val="1E1E1E"/>
        </w:rPr>
      </w:pPr>
      <w:r>
        <w:rPr>
          <w:rFonts w:ascii="Arial" w:cs="Arial" w:eastAsia="Arial" w:hAnsi="Arial"/>
          <w:sz w:val="15"/>
          <w:szCs w:val="15"/>
          <w:color w:val="1E1E1E"/>
        </w:rPr>
        <w:t>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16370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02" w:lineRule="exact"/>
        <w:rPr>
          <w:sz w:val="20"/>
          <w:szCs w:val="20"/>
          <w:color w:val="auto"/>
        </w:rPr>
      </w:pPr>
    </w:p>
    <w:p>
      <w:pPr>
        <w:ind w:left="200" w:hanging="197"/>
        <w:spacing w:after="0"/>
        <w:tabs>
          <w:tab w:leader="none" w:pos="200" w:val="left"/>
        </w:tabs>
        <w:numPr>
          <w:ilvl w:val="0"/>
          <w:numId w:val="38"/>
        </w:numPr>
        <w:rPr>
          <w:rFonts w:ascii="Arial" w:cs="Arial" w:eastAsia="Arial" w:hAnsi="Arial"/>
          <w:sz w:val="9"/>
          <w:szCs w:val="9"/>
          <w:i w:val="1"/>
          <w:iCs w:val="1"/>
          <w:color w:val="6E6E6E"/>
        </w:rPr>
      </w:pPr>
      <w:r>
        <w:rPr>
          <w:rFonts w:ascii="Arial" w:cs="Arial" w:eastAsia="Arial" w:hAnsi="Arial"/>
          <w:sz w:val="14"/>
          <w:szCs w:val="14"/>
          <w:i w:val="1"/>
          <w:iCs w:val="1"/>
          <w:color w:val="6E6E6E"/>
        </w:rPr>
        <w:t>Steedman M, and Taylor K. (2020). Ten years on: Measuring the return from pharmaceutical innovation. Deloitte. 1-44.</w:t>
      </w:r>
    </w:p>
    <w:p>
      <w:pPr>
        <w:spacing w:after="0" w:line="32" w:lineRule="exact"/>
        <w:rPr>
          <w:sz w:val="20"/>
          <w:szCs w:val="20"/>
          <w:color w:val="auto"/>
        </w:rPr>
      </w:pPr>
    </w:p>
    <w:p>
      <w:pPr>
        <w:ind w:left="200" w:hanging="197"/>
        <w:spacing w:after="0"/>
        <w:tabs>
          <w:tab w:leader="none" w:pos="200" w:val="left"/>
        </w:tabs>
        <w:numPr>
          <w:ilvl w:val="0"/>
          <w:numId w:val="39"/>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DiMasi et al. (2016). Innovation in the pharmaceutical industry: New estimates of R&amp;D costs. Journal of Health Economics. 47, 20-33.</w:t>
      </w:r>
    </w:p>
    <w:p>
      <w:pPr>
        <w:spacing w:after="0" w:line="12" w:lineRule="exact"/>
        <w:rPr>
          <w:sz w:val="20"/>
          <w:szCs w:val="20"/>
          <w:color w:val="auto"/>
        </w:rPr>
      </w:pPr>
    </w:p>
    <w:p>
      <w:pPr>
        <w:ind w:left="200" w:hanging="197"/>
        <w:spacing w:after="0"/>
        <w:tabs>
          <w:tab w:leader="none" w:pos="200" w:val="left"/>
        </w:tabs>
        <w:numPr>
          <w:ilvl w:val="0"/>
          <w:numId w:val="40"/>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Paul, et al. (2010). How to improve R&amp;D productivity: the pharmaceutical industry’s grand challenge. Nature Reviews Drug Discovery. 9,203-214</w:t>
      </w:r>
    </w:p>
    <w:p>
      <w:pPr>
        <w:spacing w:after="0" w:line="12" w:lineRule="exact"/>
        <w:rPr>
          <w:sz w:val="20"/>
          <w:szCs w:val="20"/>
          <w:color w:val="auto"/>
        </w:rPr>
      </w:pPr>
    </w:p>
    <w:p>
      <w:pPr>
        <w:ind w:left="200" w:hanging="197"/>
        <w:spacing w:after="0"/>
        <w:tabs>
          <w:tab w:leader="none" w:pos="200" w:val="left"/>
        </w:tabs>
        <w:numPr>
          <w:ilvl w:val="0"/>
          <w:numId w:val="41"/>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Martin et al. (2017). Clinical trial cycle times continue to increase despite industry efforts. Nature Reviews Drug Discovery. 16, 157</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377190</wp:posOffset>
            </wp:positionV>
            <wp:extent cx="5599430" cy="22758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99430" cy="227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b w:val="1"/>
          <w:bCs w:val="1"/>
          <w:color w:val="6E6E6E"/>
        </w:rPr>
        <w:t xml:space="preserve">Figure 11. </w:t>
      </w:r>
      <w:r>
        <w:rPr>
          <w:rFonts w:ascii="Arial" w:cs="Arial" w:eastAsia="Arial" w:hAnsi="Arial"/>
          <w:sz w:val="14"/>
          <w:szCs w:val="14"/>
          <w:color w:val="6E6E6E"/>
        </w:rPr>
        <w:t>Multiple -omics modalities within Recursion OS form a full-stack platform that spans the drug development pathway, incorporating patient-centric scaled biology, target</w:t>
      </w:r>
      <w:r>
        <w:rPr>
          <w:rFonts w:ascii="Arial" w:cs="Arial" w:eastAsia="Arial" w:hAnsi="Arial"/>
          <w:sz w:val="14"/>
          <w:szCs w:val="14"/>
          <w:b w:val="1"/>
          <w:bCs w:val="1"/>
          <w:color w:val="6E6E6E"/>
        </w:rPr>
        <w:t xml:space="preserve"> </w:t>
      </w:r>
      <w:r>
        <w:rPr>
          <w:rFonts w:ascii="Arial" w:cs="Arial" w:eastAsia="Arial" w:hAnsi="Arial"/>
          <w:sz w:val="14"/>
          <w:szCs w:val="14"/>
          <w:color w:val="6E6E6E"/>
        </w:rPr>
        <w:t>exploration, hit discovery, lead optimization, precision chemistry design, automated chemical synthesis, predictive ADMET (absorption, distribution, metabolism, excretion, and toxicity), biomarker selection, translational capabilities, and clinical development. Areas from legacy Exscientia platform indicated in orange.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1E1E1E"/>
        </w:rPr>
        <w:t>We believe we have made progress in reshaping the traditional drug discovery funnel in the following ways:</w:t>
      </w:r>
    </w:p>
    <w:p>
      <w:pPr>
        <w:spacing w:after="0" w:line="111" w:lineRule="exact"/>
        <w:rPr>
          <w:sz w:val="20"/>
          <w:szCs w:val="20"/>
          <w:color w:val="auto"/>
        </w:rPr>
      </w:pPr>
    </w:p>
    <w:p>
      <w:pPr>
        <w:ind w:left="620" w:right="140" w:hanging="307"/>
        <w:spacing w:after="0" w:line="295" w:lineRule="auto"/>
        <w:tabs>
          <w:tab w:leader="none" w:pos="609" w:val="left"/>
        </w:tabs>
        <w:numPr>
          <w:ilvl w:val="0"/>
          <w:numId w:val="42"/>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Broaden the funnel of therapeutic starting points. </w:t>
      </w:r>
      <w:r>
        <w:rPr>
          <w:rFonts w:ascii="Arial" w:cs="Arial" w:eastAsia="Arial" w:hAnsi="Arial"/>
          <w:sz w:val="15"/>
          <w:szCs w:val="15"/>
          <w:color w:val="1E1E1E"/>
        </w:rPr>
        <w:t>Our flexible and scalable mapping tools and infrastructure enable us to infer trillions of relationships</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between human cellular disease models and therapeutic candidates based on real empirical data from our own wet labs.</w:t>
      </w:r>
    </w:p>
    <w:p>
      <w:pPr>
        <w:spacing w:after="0" w:line="1" w:lineRule="exact"/>
        <w:rPr>
          <w:rFonts w:ascii="Arial" w:cs="Arial" w:eastAsia="Arial" w:hAnsi="Arial"/>
          <w:sz w:val="15"/>
          <w:szCs w:val="15"/>
          <w:b w:val="1"/>
          <w:bCs w:val="1"/>
          <w:i w:val="1"/>
          <w:iCs w:val="1"/>
          <w:color w:val="1E1E1E"/>
        </w:rPr>
      </w:pPr>
    </w:p>
    <w:p>
      <w:pPr>
        <w:ind w:left="620" w:right="100" w:hanging="307"/>
        <w:spacing w:after="0" w:line="271" w:lineRule="auto"/>
        <w:tabs>
          <w:tab w:leader="none" w:pos="609" w:val="left"/>
        </w:tabs>
        <w:numPr>
          <w:ilvl w:val="0"/>
          <w:numId w:val="42"/>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Identify failures earlier when they are relatively inexpensive. </w:t>
      </w:r>
      <w:r>
        <w:rPr>
          <w:rFonts w:ascii="Arial" w:cs="Arial" w:eastAsia="Arial" w:hAnsi="Arial"/>
          <w:sz w:val="15"/>
          <w:szCs w:val="15"/>
          <w:color w:val="1E1E1E"/>
        </w:rPr>
        <w:t>Our proprietary navigation tools enable us to explore our massive biological, chemical,</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and patient-centric datasets to validate more and varied hypotheses rapidly. While this strategy results in an increase in early-stage attrition, the system is designed to rapidly prioritize programs with a higher likelihood of downstream success because they have been explored in the context of high-dimensional, systems-biology data. Over time, and as our OS improves, we expect that moving failure earlier in the pipeline will result in an overall lower cost of drug development.</w:t>
      </w:r>
    </w:p>
    <w:p>
      <w:pPr>
        <w:spacing w:after="0" w:line="5" w:lineRule="exact"/>
        <w:rPr>
          <w:rFonts w:ascii="Arial" w:cs="Arial" w:eastAsia="Arial" w:hAnsi="Arial"/>
          <w:sz w:val="15"/>
          <w:szCs w:val="15"/>
          <w:b w:val="1"/>
          <w:bCs w:val="1"/>
          <w:i w:val="1"/>
          <w:iCs w:val="1"/>
          <w:color w:val="1E1E1E"/>
        </w:rPr>
      </w:pPr>
    </w:p>
    <w:p>
      <w:pPr>
        <w:ind w:left="620" w:hanging="307"/>
        <w:spacing w:after="0" w:line="281" w:lineRule="auto"/>
        <w:tabs>
          <w:tab w:leader="none" w:pos="609" w:val="left"/>
        </w:tabs>
        <w:numPr>
          <w:ilvl w:val="0"/>
          <w:numId w:val="42"/>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Optimize molecular design and synthesis through Centaur Chemist. </w:t>
      </w:r>
      <w:r>
        <w:rPr>
          <w:rFonts w:ascii="Arial" w:cs="Arial" w:eastAsia="Arial" w:hAnsi="Arial"/>
          <w:sz w:val="15"/>
          <w:szCs w:val="15"/>
          <w:color w:val="1E1E1E"/>
        </w:rPr>
        <w:t>Our Centaur Chemist platform integrates AI-driven generative design with</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automated synthesis, enabling rapid iteration and optimization of new chemical entities. By leveraging predictive modeling for potency, selectivity, and ADMET properties, we can efficiently generate high-quality, differentiated drug candidates while reducing synthesis timelines and experimental bottlenecks.</w:t>
      </w:r>
    </w:p>
    <w:p>
      <w:pPr>
        <w:ind w:left="620" w:right="120" w:hanging="307"/>
        <w:spacing w:after="0" w:line="295" w:lineRule="auto"/>
        <w:tabs>
          <w:tab w:leader="none" w:pos="609" w:val="left"/>
        </w:tabs>
        <w:numPr>
          <w:ilvl w:val="0"/>
          <w:numId w:val="42"/>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Accelerate delivery of high-potential drug candidates to the clinic. </w:t>
      </w:r>
      <w:r>
        <w:rPr>
          <w:rFonts w:ascii="Arial" w:cs="Arial" w:eastAsia="Arial" w:hAnsi="Arial"/>
          <w:sz w:val="15"/>
          <w:szCs w:val="15"/>
          <w:color w:val="1E1E1E"/>
        </w:rPr>
        <w:t>The Recursion OS contains chemistry tools that enable highly efficient exploration</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of chemical space as well as translational tools that improve the robustness and utility of in vivo studies.</w:t>
      </w:r>
    </w:p>
    <w:p>
      <w:pPr>
        <w:spacing w:after="0" w:line="1" w:lineRule="exact"/>
        <w:rPr>
          <w:rFonts w:ascii="Arial" w:cs="Arial" w:eastAsia="Arial" w:hAnsi="Arial"/>
          <w:sz w:val="15"/>
          <w:szCs w:val="15"/>
          <w:b w:val="1"/>
          <w:bCs w:val="1"/>
          <w:i w:val="1"/>
          <w:iCs w:val="1"/>
          <w:color w:val="1E1E1E"/>
        </w:rPr>
      </w:pPr>
    </w:p>
    <w:p>
      <w:pPr>
        <w:ind w:left="620" w:right="20" w:hanging="307"/>
        <w:spacing w:after="0" w:line="282" w:lineRule="auto"/>
        <w:tabs>
          <w:tab w:leader="none" w:pos="609" w:val="left"/>
        </w:tabs>
        <w:numPr>
          <w:ilvl w:val="0"/>
          <w:numId w:val="42"/>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Enhance clinical development efficiency through ClinTech. </w:t>
      </w:r>
      <w:r>
        <w:rPr>
          <w:rFonts w:ascii="Arial" w:cs="Arial" w:eastAsia="Arial" w:hAnsi="Arial"/>
          <w:sz w:val="15"/>
          <w:szCs w:val="15"/>
          <w:color w:val="1E1E1E"/>
        </w:rPr>
        <w:t>We are applying machine learning and AI to optimize clinical trial design, accelerate patient</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enrollment, and enhance evidence generation. By integrating scaled patient data with predictive analytics, we aim to improve patient stratification, match therapies with the right populations, and reduce trial failure rates—advancing high-potential medicines to patients faster and more efficiently.</w:t>
      </w:r>
    </w:p>
    <w:p>
      <w:pPr>
        <w:spacing w:after="0" w:line="153"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1E1E1E"/>
        </w:rPr>
        <w:t>By leveraging our Recursion OS to explore and advance our programs, we have shown leading indicators of improvement when compared to the traditional drug discovery process, particularly with respect to cost and time. We believe that combining Exscientia’s state of the art chemical platform with Recursion’s cutting edge OS will further enable us to (i) identify candidate compounds earlier in the research cycle, (ii) spend less per program, and (iii) expedite our drug discovery progress compared to industry. Across &gt;280 Recursion programs from late 2017 through 2024 the average amount of time to reach the validated lead stage is less than 13 months. We also use AI/ML tools to better understand which molecules to make and test and ultimately design better quality molecules that can solve complex problems – on average, the industry synthesizes about 2,500 molecules to candidate, both legacy Recursion and legacy Exscientia synthesized 250, respectively.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180"/>
        <w:spacing w:after="0" w:line="294" w:lineRule="auto"/>
        <w:rPr>
          <w:sz w:val="20"/>
          <w:szCs w:val="20"/>
          <w:color w:val="auto"/>
        </w:rPr>
      </w:pPr>
      <w:r>
        <w:rPr>
          <w:rFonts w:ascii="Arial" w:cs="Arial" w:eastAsia="Arial" w:hAnsi="Arial"/>
          <w:sz w:val="15"/>
          <w:szCs w:val="15"/>
          <w:color w:val="1E1E1E"/>
        </w:rPr>
        <w:t>Ultimately, we believe that future iterations of the Recursion OS will enable even greater improvements minimizing the total dollar-weighted failure and maximizing the likelihood of success allowing us to deliver better quality medicines to more patients in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107950</wp:posOffset>
            </wp:positionV>
            <wp:extent cx="5599430" cy="2439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99430" cy="2439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color w:val="6E6E6E"/>
        </w:rPr>
        <w:t xml:space="preserve">Figure 12. </w:t>
      </w:r>
      <w:r>
        <w:rPr>
          <w:rFonts w:ascii="Arial" w:cs="Arial" w:eastAsia="Arial" w:hAnsi="Arial"/>
          <w:sz w:val="14"/>
          <w:szCs w:val="14"/>
          <w:color w:val="6E6E6E"/>
        </w:rPr>
        <w:t>(Far Left): Time from hypothesis screening to validated hit package for legacy Recursion programs. (Center Left): Legacy Exscientia compounds synthesized from hit to</w:t>
      </w:r>
      <w:r>
        <w:rPr>
          <w:rFonts w:ascii="Arial" w:cs="Arial" w:eastAsia="Arial" w:hAnsi="Arial"/>
          <w:sz w:val="14"/>
          <w:szCs w:val="14"/>
          <w:b w:val="1"/>
          <w:bCs w:val="1"/>
          <w:color w:val="6E6E6E"/>
        </w:rPr>
        <w:t xml:space="preserve"> </w:t>
      </w:r>
      <w:r>
        <w:rPr>
          <w:rFonts w:ascii="Arial" w:cs="Arial" w:eastAsia="Arial" w:hAnsi="Arial"/>
          <w:sz w:val="14"/>
          <w:szCs w:val="14"/>
          <w:color w:val="6E6E6E"/>
        </w:rPr>
        <w:t>candidate ID. (Center Right): Total spend from hypothesis screening to the completion of IND-enabling studies for legacy Recursion novel chemical entity (NCE) programs that advanced to clinical trials. The cost to IND has been inflation-adjusted using the US Consumer Price Index (CPI) (Far Right). Time to validated lead is the average of &gt;280 legacy Recursion programs since late 2017 through 2024.</w:t>
      </w:r>
      <w:r>
        <w:rPr>
          <w:rFonts w:ascii="Arial" w:cs="Arial" w:eastAsia="Arial" w:hAnsi="Arial"/>
          <w:sz w:val="17"/>
          <w:szCs w:val="17"/>
          <w:color w:val="6E6E6E"/>
          <w:vertAlign w:val="superscript"/>
        </w:rPr>
        <w:t>10</w:t>
      </w:r>
    </w:p>
    <w:p>
      <w:pPr>
        <w:spacing w:after="0" w:line="116" w:lineRule="exact"/>
        <w:rPr>
          <w:sz w:val="20"/>
          <w:szCs w:val="20"/>
          <w:color w:val="auto"/>
        </w:rPr>
      </w:pPr>
    </w:p>
    <w:p>
      <w:pPr>
        <w:ind w:right="480"/>
        <w:spacing w:after="0" w:line="273" w:lineRule="auto"/>
        <w:rPr>
          <w:sz w:val="20"/>
          <w:szCs w:val="20"/>
          <w:color w:val="auto"/>
        </w:rPr>
      </w:pPr>
      <w:r>
        <w:rPr>
          <w:rFonts w:ascii="Arial" w:cs="Arial" w:eastAsia="Arial" w:hAnsi="Arial"/>
          <w:sz w:val="15"/>
          <w:szCs w:val="15"/>
          <w:color w:val="1E1E1E"/>
        </w:rPr>
        <w:t>The Recursion OS has not only improved speed and cost but also led us to explore novel targets which could give us a competitive advantage where multiple parties often simultaneously pursue a limited number of similar target hypotheses. Below one can see quantitative measures for how we prioritize programs characterized by (i) strong genetically driven biological evidence and (ii) differentiated novel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6370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33" w:lineRule="exact"/>
        <w:rPr>
          <w:sz w:val="20"/>
          <w:szCs w:val="20"/>
          <w:color w:val="auto"/>
        </w:rPr>
      </w:pPr>
    </w:p>
    <w:p>
      <w:pPr>
        <w:ind w:left="260" w:hanging="257"/>
        <w:spacing w:after="0"/>
        <w:tabs>
          <w:tab w:leader="none" w:pos="260" w:val="left"/>
        </w:tabs>
        <w:numPr>
          <w:ilvl w:val="0"/>
          <w:numId w:val="43"/>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Paul, et al. (2010). How to improve R&amp;D productivity: the pharmaceutical industry’s grand challenge. Nature Reviews Drug Discovery. 9,203-214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377190</wp:posOffset>
            </wp:positionV>
            <wp:extent cx="4715510" cy="3626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15510" cy="362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color w:val="6E6E6E"/>
        </w:rPr>
        <w:t xml:space="preserve">Figure 13. </w:t>
      </w:r>
      <w:r>
        <w:rPr>
          <w:rFonts w:ascii="Arial" w:cs="Arial" w:eastAsia="Arial" w:hAnsi="Arial"/>
          <w:sz w:val="14"/>
          <w:szCs w:val="14"/>
          <w:color w:val="6E6E6E"/>
        </w:rPr>
        <w:t>We use LLMs and software tools to organize and initiate internal programs using both proprietary and public data. We prioritize programs at scale by focusing on targets</w:t>
      </w:r>
      <w:r>
        <w:rPr>
          <w:rFonts w:ascii="Arial" w:cs="Arial" w:eastAsia="Arial" w:hAnsi="Arial"/>
          <w:sz w:val="14"/>
          <w:szCs w:val="14"/>
          <w:b w:val="1"/>
          <w:bCs w:val="1"/>
          <w:color w:val="6E6E6E"/>
        </w:rPr>
        <w:t xml:space="preserve"> </w:t>
      </w:r>
      <w:r>
        <w:rPr>
          <w:rFonts w:ascii="Arial" w:cs="Arial" w:eastAsia="Arial" w:hAnsi="Arial"/>
          <w:sz w:val="14"/>
          <w:szCs w:val="14"/>
          <w:color w:val="6E6E6E"/>
        </w:rPr>
        <w:t>where our proprietary data provides a distinct arbitrage that suggests we can drive towards novel target identification and selection in oncology. Each circle represents a gene that can be searched by the Recursion OS across several biological and pharmacological factors. LLMs harness public datasets such as Cancer Dependency Map, Open Targets, TCGA, CCLE, and COSMIC and Recursion proprietary datasets such as phenomap inferences, Matchmaker assessments, InVivomics experiments, and ADME predictions.</w:t>
      </w:r>
      <w:r>
        <w:rPr>
          <w:rFonts w:ascii="Arial" w:cs="Arial" w:eastAsia="Arial" w:hAnsi="Arial"/>
          <w:sz w:val="17"/>
          <w:szCs w:val="17"/>
          <w:color w:val="6E6E6E"/>
          <w:vertAlign w:val="superscript"/>
        </w:rPr>
        <w:t>11</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Approach</w:t>
      </w:r>
    </w:p>
    <w:p>
      <w:pPr>
        <w:spacing w:after="0" w:line="61"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1E1E1E"/>
        </w:rPr>
        <w:t>At Recursion, we are pioneering the integration of innovations across biology, chemistry, automation, data science and engineering to industrialize drug discovery in a full-stack solution across dozens of key workflows and processes critical in discovering and developing a drug. For example, by combining advances in high content microscopy with arrayed CRISPR genome editing techniques, we can rigorously profile massive, high-dimensional biological and chemical perturbation libraries in multiple human cellular contexts to create digital ‘maps’ of human biology. Leveraging advances in scaled computation, we can conduct massive virtual screens to predict the protein targets for billions of chemical compounds. Similarly, data generated from our automated DMPK module and InVivomics platform enables us to predict ADMET properties and identify toxicity signals, respectively, significantly faster than traditional methods. And now, with the business combination with Exscientia complete, we can drive many of our programs from hit to development candidate using an automated internal chemical synthesis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241935</wp:posOffset>
            </wp:positionV>
            <wp:extent cx="16370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40" w:hanging="237"/>
        <w:spacing w:after="0"/>
        <w:tabs>
          <w:tab w:leader="none" w:pos="240" w:val="left"/>
        </w:tabs>
        <w:numPr>
          <w:ilvl w:val="0"/>
          <w:numId w:val="44"/>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Ochoa, et al. (2023). The next-generation Open Targets Platform: reimagined, redesigned, rebuilt. Nucleic acids research. 51(D1): D1353-D1359</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369570</wp:posOffset>
            </wp:positionV>
            <wp:extent cx="5599430" cy="2693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9943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b w:val="1"/>
          <w:bCs w:val="1"/>
          <w:color w:val="6E6E6E"/>
        </w:rPr>
        <w:t xml:space="preserve">Figure 14. </w:t>
      </w:r>
      <w:r>
        <w:rPr>
          <w:rFonts w:ascii="Arial" w:cs="Arial" w:eastAsia="Arial" w:hAnsi="Arial"/>
          <w:sz w:val="14"/>
          <w:szCs w:val="14"/>
          <w:color w:val="6E6E6E"/>
        </w:rPr>
        <w:t>Recursion’s approach to drug discovery. We utilize our Founding Principles on the right to build datasets which are scalable, reliable and relatable in order to elucidate novel</w:t>
      </w:r>
      <w:r>
        <w:rPr>
          <w:rFonts w:ascii="Arial" w:cs="Arial" w:eastAsia="Arial" w:hAnsi="Arial"/>
          <w:sz w:val="14"/>
          <w:szCs w:val="14"/>
          <w:b w:val="1"/>
          <w:bCs w:val="1"/>
          <w:color w:val="6E6E6E"/>
        </w:rPr>
        <w:t xml:space="preserve"> </w:t>
      </w:r>
      <w:r>
        <w:rPr>
          <w:rFonts w:ascii="Arial" w:cs="Arial" w:eastAsia="Arial" w:hAnsi="Arial"/>
          <w:sz w:val="14"/>
          <w:szCs w:val="14"/>
          <w:color w:val="6E6E6E"/>
        </w:rPr>
        <w:t>biological and chemical insights and industrialize the drug discovery process.</w:t>
      </w:r>
    </w:p>
    <w:p>
      <w:pPr>
        <w:spacing w:after="0" w:line="123"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1E1E1E"/>
        </w:rPr>
        <w:t>We have used our approach to generate, aggregate, and integrate one of the largest proprietary biological, chemical, and patient-centric datasets in the world at approximately 65 petabytes at the end of 2024. This dataset includes proprietary phenomics, transcriptomics, predicted protein-ligand binding interactions, InVivomics, ADMET data, and more across many biological and chemical contexts as well as preferred access to over 20 petabytes of multimodal oncology patient data from Tempus. Additionally, we have built a proprietary suite of software applications within the Recursion OS which has identified over 7 trillion predicted biological and chemical relationships. With our approach, we endeavor to turn drug discovery into a search problem where we map and navigate biology in an unbiased manner to discover new insights and translate them into potential new medicines at scale.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1AA7DF"/>
        </w:rPr>
        <w:t>Competitive Landscape and Differentiation</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E1E1E"/>
        </w:rPr>
        <w:t>There are a few key factors that differentiate Recursion from other technology-enabled drug discovery companies.</w:t>
      </w:r>
    </w:p>
    <w:p>
      <w:pPr>
        <w:spacing w:after="0" w:line="111" w:lineRule="exact"/>
        <w:rPr>
          <w:sz w:val="20"/>
          <w:szCs w:val="20"/>
          <w:color w:val="auto"/>
        </w:rPr>
      </w:pPr>
    </w:p>
    <w:p>
      <w:pPr>
        <w:ind w:left="620" w:right="20" w:hanging="307"/>
        <w:spacing w:after="0" w:line="271" w:lineRule="auto"/>
        <w:tabs>
          <w:tab w:leader="none" w:pos="620" w:val="left"/>
        </w:tabs>
        <w:numPr>
          <w:ilvl w:val="0"/>
          <w:numId w:val="45"/>
        </w:numPr>
        <w:rPr>
          <w:rFonts w:ascii="Arial" w:cs="Arial" w:eastAsia="Arial" w:hAnsi="Arial"/>
          <w:sz w:val="15"/>
          <w:szCs w:val="15"/>
          <w:color w:val="1E1E1E"/>
        </w:rPr>
      </w:pPr>
      <w:r>
        <w:rPr>
          <w:rFonts w:ascii="Arial" w:cs="Arial" w:eastAsia="Arial" w:hAnsi="Arial"/>
          <w:sz w:val="15"/>
          <w:szCs w:val="15"/>
          <w:color w:val="1E1E1E"/>
        </w:rPr>
        <w:t>Recursion has built a full-stack platform utilizing many biology, chemistry, and patient-centric proprietary datasets and modular tools to industrialize drug discovery, while most other competitor companies rely on a point solution to solve one important step in drug discovery. We recognize that drug discovery is made up of many steps, and a point solution is insufficient to generate efficiencies across the entire process. To decode biology, we must construct a full-stack technology platform capable of integrating and industrializing many complex workflows.</w:t>
      </w:r>
    </w:p>
    <w:p>
      <w:pPr>
        <w:spacing w:after="0" w:line="20" w:lineRule="exact"/>
        <w:rPr>
          <w:rFonts w:ascii="Arial" w:cs="Arial" w:eastAsia="Arial" w:hAnsi="Arial"/>
          <w:sz w:val="15"/>
          <w:szCs w:val="15"/>
          <w:color w:val="1E1E1E"/>
        </w:rPr>
      </w:pPr>
    </w:p>
    <w:p>
      <w:pPr>
        <w:ind w:left="620" w:right="480" w:hanging="307"/>
        <w:spacing w:after="0" w:line="266" w:lineRule="auto"/>
        <w:tabs>
          <w:tab w:leader="none" w:pos="620" w:val="left"/>
        </w:tabs>
        <w:numPr>
          <w:ilvl w:val="0"/>
          <w:numId w:val="45"/>
        </w:numPr>
        <w:rPr>
          <w:rFonts w:ascii="Arial" w:cs="Arial" w:eastAsia="Arial" w:hAnsi="Arial"/>
          <w:sz w:val="15"/>
          <w:szCs w:val="15"/>
          <w:color w:val="1E1E1E"/>
        </w:rPr>
      </w:pPr>
      <w:r>
        <w:rPr>
          <w:rFonts w:ascii="Arial" w:cs="Arial" w:eastAsia="Arial" w:hAnsi="Arial"/>
          <w:sz w:val="15"/>
          <w:szCs w:val="15"/>
          <w:color w:val="1E1E1E"/>
        </w:rPr>
        <w:t>Recursion integrates wet-lab and dry-lab capabilities in-house to create a virtuous cycle of iteration. Fit-for-purpose wet-lab experimental data are translated by dry-lab digital tools into in silico hypotheses and testable predictions, which in turn generates more wet-lab data from which improved predictions can be made. Recursion is well positioned compared to companies of a similar stage either focused more specifically on the wet-lab only (traditional biotech or pharma companies) or dry-lab only (companies facing rapidly commoditized algorithms and a challenge differentiating on non-proprietary data).</w:t>
      </w:r>
    </w:p>
    <w:p>
      <w:pPr>
        <w:spacing w:after="0" w:line="23" w:lineRule="exact"/>
        <w:rPr>
          <w:rFonts w:ascii="Arial" w:cs="Arial" w:eastAsia="Arial" w:hAnsi="Arial"/>
          <w:sz w:val="15"/>
          <w:szCs w:val="15"/>
          <w:color w:val="1E1E1E"/>
        </w:rPr>
      </w:pPr>
    </w:p>
    <w:p>
      <w:pPr>
        <w:ind w:left="620" w:right="200" w:hanging="307"/>
        <w:spacing w:after="0" w:line="271" w:lineRule="auto"/>
        <w:tabs>
          <w:tab w:leader="none" w:pos="620" w:val="left"/>
        </w:tabs>
        <w:numPr>
          <w:ilvl w:val="0"/>
          <w:numId w:val="45"/>
        </w:numPr>
        <w:rPr>
          <w:rFonts w:ascii="Arial" w:cs="Arial" w:eastAsia="Arial" w:hAnsi="Arial"/>
          <w:sz w:val="15"/>
          <w:szCs w:val="15"/>
          <w:color w:val="1E1E1E"/>
        </w:rPr>
      </w:pPr>
      <w:r>
        <w:rPr>
          <w:rFonts w:ascii="Arial" w:cs="Arial" w:eastAsia="Arial" w:hAnsi="Arial"/>
          <w:sz w:val="15"/>
          <w:szCs w:val="15"/>
          <w:color w:val="1E1E1E"/>
        </w:rPr>
        <w:t>Recursion has achieved a significant scale with respect to its scientific, technological, and business endeavors. With eight clinical-stage programs, an exciting preclinical pipeline, four of the largest discovery partnerships in the biopharma industry with Roche/Genentech, Sanofi, Bayer and Merck KGaA (Darmstadt, Germany), and four technology-focused partnerships, Recursion has achieved a scale, level of integration, and stage that few other TechBio companies have.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1AA7DF"/>
        </w:rPr>
        <w:t>Value Drivers</w:t>
      </w:r>
    </w:p>
    <w:p>
      <w:pPr>
        <w:spacing w:after="0" w:line="67"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1E1E1E"/>
        </w:rPr>
        <w:t>While most small to medium-sized biopharma companies are focused on a narrow slice of biology or a single therapeutic area, the Recursion OS allows us to discover and translate at scale across biology. However, we are cognizant that building disease-area expertise, especially in clinical development, is essential. We have developed a multi-pronged, capital-efficient business model focused on key value-drivers that enable us to demonstrate our progress over time while continuing to invest in the development of the Recursion OS, which we believe is the engine of value creation in the long-term. While our mapping, navigating and designing tools have the plasticity to be applied across therapeutic areas and modalities, our business model is tailored to maximize value and advance programs cost-effectively based on the nature of market and regulatory dynamics associated with our three value drivers (internal pipeline, transformational partnerships, and fit-for-purpose proprietary biological, chemical, and patient-centric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5492750" cy="258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92750"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b w:val="1"/>
          <w:bCs w:val="1"/>
          <w:color w:val="6E6E6E"/>
        </w:rPr>
        <w:t xml:space="preserve">Figure 15. </w:t>
      </w:r>
      <w:r>
        <w:rPr>
          <w:rFonts w:ascii="Arial" w:cs="Arial" w:eastAsia="Arial" w:hAnsi="Arial"/>
          <w:sz w:val="13"/>
          <w:szCs w:val="13"/>
          <w:color w:val="6E6E6E"/>
        </w:rPr>
        <w:t>We harness the value and scale of our Recursion OS using a capital efficient business strategy. Our business strategy is segmented into our following value-drivers: (1)</w:t>
      </w:r>
      <w:r>
        <w:rPr>
          <w:rFonts w:ascii="Arial" w:cs="Arial" w:eastAsia="Arial" w:hAnsi="Arial"/>
          <w:sz w:val="13"/>
          <w:szCs w:val="13"/>
          <w:b w:val="1"/>
          <w:bCs w:val="1"/>
          <w:color w:val="6E6E6E"/>
        </w:rPr>
        <w:t xml:space="preserve"> </w:t>
      </w:r>
      <w:r>
        <w:rPr>
          <w:rFonts w:ascii="Arial" w:cs="Arial" w:eastAsia="Arial" w:hAnsi="Arial"/>
          <w:sz w:val="13"/>
          <w:szCs w:val="13"/>
          <w:color w:val="6E6E6E"/>
        </w:rPr>
        <w:t>internally developed programs in capital-efficient therapeutic areas; (2) partnered programs in resource-intensive therapeutic areas; and (3) proprietary, fit-for-purpose data and models.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6E6E6E"/>
        </w:rPr>
        <w:t>Value Driver 1 - Internally Developed Programs in Capital Efficient Therapeutic Areas</w:t>
      </w:r>
    </w:p>
    <w:p>
      <w:pPr>
        <w:spacing w:after="0" w:line="27"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1E1E1E"/>
        </w:rPr>
        <w:t>We believe that the primary currency of any biotechnology company today is clinical-stage assets. These programs can be valued using a variety of models by stakeholders in the biopharma ecosystem and most importantly, present the potential to meet critical patient needs. For Recursion, these assets have a variety of additional benefits, including: (i) validation of key elements of the Recursion OS, (ii) growing our expertise in clinical development and (iii) building in-house processes to facilitate smooth interaction with regulatory agencies and advance medicines towards the market. If the Recursion OS evolves as designed, then it will continuously improve with more iterations such that future programs could be more novel and potentially more valuable than today’s programs. Operating as a vertically integrated TechBio company that leverages technology at every step from target discovery through clinical development (and even marketing and distribution) may be the long-term business model with the most upside for our stakeholders, including both investors and patients. We may be opportunistic about selling or licensing assets after they achieve key value-inflection milestones so that we can re-invest in our long-term strategy.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6E6E6E"/>
        </w:rPr>
        <w:t>Value Driver 2 - Partnered Programs in Resource Intensive Therapeutic Areas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5"/>
          <w:szCs w:val="15"/>
          <w:color w:val="1E1E1E"/>
        </w:rPr>
        <w:t>We believe that in its current form, our Recursion OS is already capable of delivering many more therapeutic insights than we would be able to shepherd alone today. As such, we have chosen to partner with experienced, top-tier biopharma companies like Roche and Genentech, Sanofi, Bayer, and Merck KGaA (Darmstadt, Germany) to explore intractable and resource-intensive areas of biology. The key advantages of these partnerships are that: (i) we are able to deploy the Recursion OS to turn latent value into tangible value in areas of biology where it would be challenging for us to do so alone; (ii) the clinical development paths for these large therapeutic areas are often resource-intensive and highly complex; and (iii) we are able to learn from our colleagues at these top-tier companies such that it could give us a competitive advantage in the industry over the longer term. This strategy also embeds us in the discovery process of large pharmaceutical companies and gives rise to an alternative long-term business model whereby we become a valued partner of many such companies. Based on how value is ascribed across our industry today, this model alone is not yet feasible to maximize our business impact. However, we feel that due to shifts within the biopharmaceutical industry there is some potential for this portion of our business model to accrete notable value over the long-term.</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6E6E6E"/>
        </w:rPr>
        <w:t>Value Driver 3 - Proprietary, Fit-for-Purpose Training Data and Models</w:t>
      </w:r>
    </w:p>
    <w:p>
      <w:pPr>
        <w:spacing w:after="0" w:line="27" w:lineRule="exact"/>
        <w:rPr>
          <w:sz w:val="20"/>
          <w:szCs w:val="20"/>
          <w:color w:val="auto"/>
        </w:rPr>
      </w:pPr>
    </w:p>
    <w:p>
      <w:pPr>
        <w:spacing w:after="0" w:line="262" w:lineRule="auto"/>
        <w:rPr>
          <w:sz w:val="20"/>
          <w:szCs w:val="20"/>
          <w:color w:val="auto"/>
        </w:rPr>
      </w:pPr>
      <w:r>
        <w:rPr>
          <w:rFonts w:ascii="Arial" w:cs="Arial" w:eastAsia="Arial" w:hAnsi="Arial"/>
          <w:sz w:val="15"/>
          <w:szCs w:val="15"/>
          <w:color w:val="1E1E1E"/>
        </w:rPr>
        <w:t>As has been demonstrated in many other industries, a value driver and competitive advantage can be generated from the creation of a proprietary dataset. At Recursion, we have generated what we believe to be one of the largest fit-for-purpose, relatable biological, chemical, and patient-centric datasets on Earth. Spanning multiple omics technologies and more than 300 million unique experiments, the approximately 65 petabytes of data that Recursion generates, aggregates, and integrates has the fundamental purpose of being used to train machine learning models. Through intensive internal work, Recursion uses this data and our own models, algorithms, and software to advance our own internal pipeline of medicines (Value Driver 1) as well as in partnership with our collaborators to advance additional discovery programs (Value Driver 2). As our field increasingly recognizes the potential for a technology-driven revolution in drug discovery, our data has increasing potential to drive value directly. We increasingly see the potential to license select models and subsets of our data to a growing universe of collaborators for which internal efforts would be minimal, but value could be significant.</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 Platform to Industrialize Drug Discovery</w:t>
      </w:r>
    </w:p>
    <w:p>
      <w:pPr>
        <w:spacing w:after="0" w:line="74"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1E1E1E"/>
        </w:rPr>
        <w:t>We have generated one of the largest relatable data sets in biopharma using our automated high throughput labs, which run over 2 million experiments per week. Our data includes cellular phenomics, captured using Brightfield microscopy, as well as chemical synthesis, transcriptomics, proteomics, ADMET, InVivomics, genomics and patient data. In total, we have approximately 65 petabytes of proprietary data which we use to train our algorithms and build our Maps of Biology.</w:t>
      </w:r>
    </w:p>
    <w:p>
      <w:pPr>
        <w:spacing w:after="0" w:line="153"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1E1E1E"/>
        </w:rPr>
        <w:t>In our relentless drive to continue building the most advanced full-stack AI-enabled discovery and development platform, we have now integrated Exscientia's Centaur Chemist platform for molecule design and automated synthesis capabilities with the Recursion OS, allowing us to rapidly move from target discovery to in silico design to physical compound testing.</w:t>
      </w:r>
    </w:p>
    <w:p>
      <w:pPr>
        <w:spacing w:after="0" w:line="153"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1E1E1E"/>
        </w:rPr>
        <w:t>And while we work daily to continue solidifying our data moat through wet-lab experimentation and simulation, our partnerships with Helix and Tempus give us access to hundreds of thousands of patient insights – including whole exome and whole genome sequencing – across a wide range of chronic diseases and in oncology. By integrating even limited patient data into the Recursion OS, we can derive powerful new insights that directly fuel our pipeline. We’re also using patient data to match our drugs to the specific patient population most likely to benefit, to improve the probability of success of clinical trials – where 90% of drugs in development fail.</w:t>
      </w:r>
    </w:p>
    <w:p>
      <w:pPr>
        <w:spacing w:after="0" w:line="35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E1E1E"/>
        </w:rPr>
        <w:t>Our unique platform approach has continued to evolve over time and we continue to lead the industry in innovation and delivery of potential treatments through our pipeline and partnerships. When we first developed our phenomics-based biological map-making methods using HUVEC cells – creating over 100 billion cells per year for high throughput experiments, our work was dismissed by many. Now, the early success of our pipeline and partnerships, and the broad adoption of our phenomics approaches across nearly every large pharma company in the industry, suggests a much deeper impact. While others onboard technology we pioneered over a decade ago, we have moved to live-cell brightfield imaging and in partnership with Roche and Genentech, we built specific cell manufacturing technologies that derive neurons from hiPSCs at scale – ultimately producing over 1 trillion hiPSC-derived neuronal cells to build the world’s first whole-genome neuronal phenotype or “Neuromap,” triggering a $30 million payment.</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1E1E1E"/>
        </w:rPr>
        <w:t>Through our unique dataset and compute power, in the past year, we’ve launched a number of breakthroughs in foundation models – including powerful multimodal models like Phenom, MolPhenix and MolGPS. These models give Recursion deeper insights into underlying disease biology and how cells might respond to treatment with new drug candidates, and provide the company with a distinct advantage when driving decisions about which therapeutic programs to pursue.</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The Recursion OS</w:t>
      </w:r>
    </w:p>
    <w:p>
      <w:pPr>
        <w:spacing w:after="0" w:line="74"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1E1E1E"/>
        </w:rPr>
        <w:t>The Recursion OS is the integrated technical and scientific vertical platform that underpins drug discovery and development at Recursion, from program initiation through our clinical trials. Collectively, the components of the Recursion OS can be joined together in a modular way to identify, validate, and advance a broad portfolio of novel therapeutic programs quickly, cost-effectively, and with minimal human intervention and bias. Connecting modules into a system allows us to quantitatively measure impact and make transformative improvements not just within local point solutions, but across the end-to-end drug pipeline, today and into the future.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1E1E1E"/>
        </w:rPr>
        <w:t>To achieve this pipeline impact, the modules of the Recursion OS are connected by industrialized workflows that have been standardized, scaled, and automated. To drive greater efficiency, we approach the building of modules and workflows similar to modular programming, but for biology and chemistry, so that the same fundamental capabilities are transferable across drug discovery and development activities and reflected in a diverse portfolio for both our internal pipeline and large pharma partnerships.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1E1E1E"/>
        </w:rPr>
        <w:t>In 2024, we:</w:t>
      </w:r>
    </w:p>
    <w:p>
      <w:pPr>
        <w:spacing w:after="0" w:line="111" w:lineRule="exact"/>
        <w:rPr>
          <w:sz w:val="20"/>
          <w:szCs w:val="20"/>
          <w:color w:val="auto"/>
        </w:rPr>
      </w:pPr>
    </w:p>
    <w:p>
      <w:pPr>
        <w:ind w:left="620" w:right="280" w:hanging="307"/>
        <w:spacing w:after="0" w:line="282" w:lineRule="auto"/>
        <w:tabs>
          <w:tab w:leader="none" w:pos="609" w:val="left"/>
        </w:tabs>
        <w:numPr>
          <w:ilvl w:val="0"/>
          <w:numId w:val="46"/>
        </w:numPr>
        <w:rPr>
          <w:rFonts w:ascii="Arial" w:cs="Arial" w:eastAsia="Arial" w:hAnsi="Arial"/>
          <w:sz w:val="15"/>
          <w:szCs w:val="15"/>
          <w:color w:val="1E1E1E"/>
        </w:rPr>
      </w:pPr>
      <w:r>
        <w:rPr>
          <w:rFonts w:ascii="Arial" w:cs="Arial" w:eastAsia="Arial" w:hAnsi="Arial"/>
          <w:sz w:val="15"/>
          <w:szCs w:val="15"/>
          <w:color w:val="1E1E1E"/>
        </w:rPr>
        <w:t>Increased the sophistication of modules that improve earlier parts of the pipeline by integrating chemistry-centric models from Exscientia, including our industrialized workflows for chemical optimization enabling both functional- and target-based discovery, biology- and chemistry-centric approaches, and first-in-class and best-in-class compound opportunities.</w:t>
      </w:r>
    </w:p>
    <w:p>
      <w:pPr>
        <w:spacing w:after="0" w:line="10" w:lineRule="exact"/>
        <w:rPr>
          <w:rFonts w:ascii="Arial" w:cs="Arial" w:eastAsia="Arial" w:hAnsi="Arial"/>
          <w:sz w:val="15"/>
          <w:szCs w:val="15"/>
          <w:color w:val="1E1E1E"/>
        </w:rPr>
      </w:pPr>
    </w:p>
    <w:p>
      <w:pPr>
        <w:ind w:left="620" w:right="200" w:hanging="307"/>
        <w:spacing w:after="0" w:line="294" w:lineRule="auto"/>
        <w:tabs>
          <w:tab w:leader="none" w:pos="609" w:val="left"/>
        </w:tabs>
        <w:numPr>
          <w:ilvl w:val="0"/>
          <w:numId w:val="46"/>
        </w:numPr>
        <w:rPr>
          <w:rFonts w:ascii="Arial" w:cs="Arial" w:eastAsia="Arial" w:hAnsi="Arial"/>
          <w:sz w:val="15"/>
          <w:szCs w:val="15"/>
          <w:color w:val="1E1E1E"/>
        </w:rPr>
      </w:pPr>
      <w:r>
        <w:rPr>
          <w:rFonts w:ascii="Arial" w:cs="Arial" w:eastAsia="Arial" w:hAnsi="Arial"/>
          <w:sz w:val="15"/>
          <w:szCs w:val="15"/>
          <w:color w:val="1E1E1E"/>
        </w:rPr>
        <w:t>Integrated causal models and other analytics based on real patient data into both program initiation phases, ensuring patient connectivity and novelty, as well as clinical development activities, including patient stratification.</w:t>
      </w:r>
    </w:p>
    <w:p>
      <w:pPr>
        <w:spacing w:after="0" w:line="145"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1E1E1E"/>
        </w:rPr>
        <w:t>A unique advantage of this modular approach is that assay and model outputs become a long-lasting data asset. This consistency, reliability and standardization allows us to build petabytes of data that can be connected across biological, chemical, and patient-centric sources, and across years of experiment execution, model insights, and data types.</w:t>
      </w:r>
    </w:p>
    <w:p>
      <w:pPr>
        <w:spacing w:after="0" w:line="166" w:lineRule="exact"/>
        <w:rPr>
          <w:sz w:val="20"/>
          <w:szCs w:val="20"/>
          <w:color w:val="auto"/>
        </w:rPr>
      </w:pPr>
    </w:p>
    <w:p>
      <w:pPr>
        <w:ind w:right="500"/>
        <w:spacing w:after="0" w:line="273" w:lineRule="auto"/>
        <w:rPr>
          <w:sz w:val="20"/>
          <w:szCs w:val="20"/>
          <w:color w:val="auto"/>
        </w:rPr>
      </w:pPr>
      <w:r>
        <w:rPr>
          <w:rFonts w:ascii="Arial" w:cs="Arial" w:eastAsia="Arial" w:hAnsi="Arial"/>
          <w:sz w:val="15"/>
          <w:szCs w:val="15"/>
          <w:color w:val="1E1E1E"/>
        </w:rPr>
        <w:t>Each type of data that Recursion generates in this manner becomes a vertical layer: a computable dataset that can be used to build increasingly ever more complete and generalizable machine learning models to infer biological and chemical states (properties) and relationships, iteratively mapping and navigating trillions of inferred relationships between disease-causative perturbations and potentially therapeutic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116840</wp:posOffset>
            </wp:positionV>
            <wp:extent cx="5599430" cy="2332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99430" cy="233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b w:val="1"/>
          <w:bCs w:val="1"/>
          <w:color w:val="6E6E6E"/>
        </w:rPr>
        <w:t xml:space="preserve">Figure 16. </w:t>
      </w:r>
      <w:r>
        <w:rPr>
          <w:rFonts w:ascii="Arial" w:cs="Arial" w:eastAsia="Arial" w:hAnsi="Arial"/>
          <w:sz w:val="14"/>
          <w:szCs w:val="14"/>
          <w:color w:val="6E6E6E"/>
        </w:rPr>
        <w:t>Recursion’s World Model approach (1) Profile biological and chemical systems using automation to scale a small number of data-rich assays, including phenomics,</w:t>
      </w:r>
      <w:r>
        <w:rPr>
          <w:rFonts w:ascii="Arial" w:cs="Arial" w:eastAsia="Arial" w:hAnsi="Arial"/>
          <w:sz w:val="14"/>
          <w:szCs w:val="14"/>
          <w:b w:val="1"/>
          <w:bCs w:val="1"/>
          <w:color w:val="6E6E6E"/>
        </w:rPr>
        <w:t xml:space="preserve"> </w:t>
      </w:r>
      <w:r>
        <w:rPr>
          <w:rFonts w:ascii="Arial" w:cs="Arial" w:eastAsia="Arial" w:hAnsi="Arial"/>
          <w:sz w:val="14"/>
          <w:szCs w:val="14"/>
          <w:color w:val="6E6E6E"/>
        </w:rPr>
        <w:t>transcriptomics, InVivomics, and ADMET to generate massive, high quality empirical data; (2) aggregate and analyze the resultant data using a variety of machine learning models, in a process coordinated with in-house software systems and tools; and (3) map and navigate leveraging proprietary software tools to infer properties and relationships in biology and chemistry. These inferred properties and relationships serve as the basis of our ability to predict how to navigate between biological states using chemical or biological perturbations, which we can then validate in our automated laboratories, completing a virtuous cycle of learning and iteration.</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5"/>
          <w:szCs w:val="15"/>
          <w:color w:val="1E1E1E"/>
        </w:rPr>
        <w:t>The creation of virtuous cycles of physical experiments and in silico models has been a competitive advantage for leaders in many industries outside of biopharma. In drug discovery, virtuous cycles of experimentation and machine learning predictions is an approach to efficiently map and navigate biology and chemistry at unparalleled scale and efficiency. Critically, at the scale Recursion operates, whole systems can be systematically and experimentally evaluated, such as the cellular level effect of individual gene knockouts not just for individual genes of interest, but across the whole genome. Such comprehensive Real World data sets can underpin new generation AI-enabled Model World predicted states, where rather than individual model predictions, we create model representations to reason about and prioritize opportunities across large swaths of biology or chemistry, such as the hundreds of thousands of protein-protein interactions across the human interactome.</w:t>
      </w:r>
    </w:p>
    <w:p>
      <w:pPr>
        <w:spacing w:after="0" w:line="353" w:lineRule="exact"/>
        <w:rPr>
          <w:sz w:val="20"/>
          <w:szCs w:val="20"/>
          <w:color w:val="auto"/>
        </w:rPr>
      </w:pPr>
    </w:p>
    <w:p>
      <w:pPr>
        <w:jc w:val="both"/>
        <w:ind w:right="300"/>
        <w:spacing w:after="0" w:line="282" w:lineRule="auto"/>
        <w:rPr>
          <w:sz w:val="20"/>
          <w:szCs w:val="20"/>
          <w:color w:val="auto"/>
        </w:rPr>
      </w:pPr>
      <w:r>
        <w:rPr>
          <w:rFonts w:ascii="Arial" w:cs="Arial" w:eastAsia="Arial" w:hAnsi="Arial"/>
          <w:sz w:val="15"/>
          <w:szCs w:val="15"/>
          <w:color w:val="1E1E1E"/>
        </w:rPr>
        <w:t>Traversing across layers can allow us to extract more insights and higher confidence than any layer on its own. For example, patient data is the most relevant to human health and disease of all data modalities, but it suffers deeply from being intrinsically noisy, incomplete, expensive and difficult to collect. In comparison, cellular phenomics data can be collected cheaply, at scale, with extreme data reliability and completeness.</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In 2024, we have demonstrated that by combining patient level data with cellular level data, we can extract genetic causal targets from small (24,000) patient data sets that had previously required patient data sets of over one million in some cases to overcome challenges with patient data quality. Similarly, we are exploring how protein-level data can add pathway interpretability and completeness to our cellular level data. We believe that by computationally combining data layers across the micro-meso-macro, we can unlock many new, powerful efficiencies and insights along the drug discovery pipeline.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369570</wp:posOffset>
            </wp:positionV>
            <wp:extent cx="5337810" cy="25133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37810" cy="251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60"/>
        <w:spacing w:after="0" w:line="262" w:lineRule="auto"/>
        <w:rPr>
          <w:sz w:val="20"/>
          <w:szCs w:val="20"/>
          <w:color w:val="auto"/>
        </w:rPr>
      </w:pPr>
      <w:r>
        <w:rPr>
          <w:rFonts w:ascii="Arial" w:cs="Arial" w:eastAsia="Arial" w:hAnsi="Arial"/>
          <w:sz w:val="14"/>
          <w:szCs w:val="14"/>
          <w:b w:val="1"/>
          <w:bCs w:val="1"/>
          <w:color w:val="6E6E6E"/>
        </w:rPr>
        <w:t xml:space="preserve">Figure 17. </w:t>
      </w:r>
      <w:r>
        <w:rPr>
          <w:rFonts w:ascii="Arial" w:cs="Arial" w:eastAsia="Arial" w:hAnsi="Arial"/>
          <w:sz w:val="14"/>
          <w:szCs w:val="14"/>
          <w:color w:val="6E6E6E"/>
        </w:rPr>
        <w:t>Highlights of Recursion’s achievements to-date in generating real world data and building a world model demonstrate progress on our delivery of Recursion’s mission to</w:t>
      </w:r>
      <w:r>
        <w:rPr>
          <w:rFonts w:ascii="Arial" w:cs="Arial" w:eastAsia="Arial" w:hAnsi="Arial"/>
          <w:sz w:val="14"/>
          <w:szCs w:val="14"/>
          <w:b w:val="1"/>
          <w:bCs w:val="1"/>
          <w:color w:val="6E6E6E"/>
        </w:rPr>
        <w:t xml:space="preserve"> </w:t>
      </w:r>
      <w:r>
        <w:rPr>
          <w:rFonts w:ascii="Arial" w:cs="Arial" w:eastAsia="Arial" w:hAnsi="Arial"/>
          <w:sz w:val="14"/>
          <w:szCs w:val="14"/>
          <w:color w:val="6E6E6E"/>
        </w:rPr>
        <w:t>decode biology.</w:t>
      </w:r>
      <w:r>
        <w:rPr>
          <w:rFonts w:ascii="Arial" w:cs="Arial" w:eastAsia="Arial" w:hAnsi="Arial"/>
          <w:sz w:val="8"/>
          <w:szCs w:val="8"/>
          <w:color w:val="6E6E6E"/>
        </w:rPr>
        <w:t>12,13</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1AA7DF"/>
        </w:rPr>
        <w:t>Towards a Virtual Cell – How Recursion is combining data and compute across different scales</w:t>
      </w:r>
    </w:p>
    <w:p>
      <w:pPr>
        <w:spacing w:after="0" w:line="67" w:lineRule="exact"/>
        <w:rPr>
          <w:sz w:val="20"/>
          <w:szCs w:val="20"/>
          <w:color w:val="auto"/>
        </w:rPr>
      </w:pPr>
    </w:p>
    <w:p>
      <w:pPr>
        <w:spacing w:after="0" w:line="268" w:lineRule="auto"/>
        <w:rPr>
          <w:sz w:val="20"/>
          <w:szCs w:val="20"/>
          <w:color w:val="auto"/>
        </w:rPr>
      </w:pPr>
      <w:r>
        <w:rPr>
          <w:rFonts w:ascii="Arial" w:cs="Arial" w:eastAsia="Arial" w:hAnsi="Arial"/>
          <w:sz w:val="15"/>
          <w:szCs w:val="15"/>
          <w:color w:val="1E1E1E"/>
        </w:rPr>
        <w:t>By closely integrating real world experimentation and AI in an iterative manner, and across multiple ‘levels’ of biology, one can create cycles of virtuous learning, where large fit-for-purpose wet-lab datasets support better in silico model generation and enable more focused future wet-lab experiments. Over time, this allows something powerful to emerge: rather than a data-first approach underpinning World Model creation, our drug discovery opportunities emerge from the World Model, and Real World physical experimentation serves to validate the most promising insights. The order of operations has swapped from experiments underpinning the creation of models, to a more scientifically comprehensive yet still more efficient approach: World Model predictions being selectively confirmed by Real World experiments. In essence, we will have created a Virtual Cell which we can test in nearly unlimited ways, selecting the most promising outcomes for validation in a Real World cellular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231775</wp:posOffset>
            </wp:positionV>
            <wp:extent cx="5222875" cy="258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2287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b w:val="1"/>
          <w:bCs w:val="1"/>
          <w:color w:val="6E6E6E"/>
        </w:rPr>
        <w:t xml:space="preserve">Figure 18. </w:t>
      </w:r>
      <w:r>
        <w:rPr>
          <w:rFonts w:ascii="Arial" w:cs="Arial" w:eastAsia="Arial" w:hAnsi="Arial"/>
          <w:sz w:val="14"/>
          <w:szCs w:val="14"/>
          <w:color w:val="6E6E6E"/>
        </w:rPr>
        <w:t>Over time, models can become broadly applicable and performant enough to be the first rather than a step in the process, that is “move to the left” in the diagram, with Real</w:t>
      </w:r>
      <w:r>
        <w:rPr>
          <w:rFonts w:ascii="Arial" w:cs="Arial" w:eastAsia="Arial" w:hAnsi="Arial"/>
          <w:sz w:val="14"/>
          <w:szCs w:val="14"/>
          <w:b w:val="1"/>
          <w:bCs w:val="1"/>
          <w:color w:val="6E6E6E"/>
        </w:rPr>
        <w:t xml:space="preserve"> </w:t>
      </w:r>
      <w:r>
        <w:rPr>
          <w:rFonts w:ascii="Arial" w:cs="Arial" w:eastAsia="Arial" w:hAnsi="Arial"/>
          <w:sz w:val="14"/>
          <w:szCs w:val="14"/>
          <w:color w:val="6E6E6E"/>
        </w:rPr>
        <w:t>World Models serving to validate individual insights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1637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10" w:lineRule="exact"/>
        <w:rPr>
          <w:sz w:val="20"/>
          <w:szCs w:val="20"/>
          <w:color w:val="auto"/>
        </w:rPr>
      </w:pPr>
    </w:p>
    <w:p>
      <w:pPr>
        <w:ind w:left="260" w:hanging="257"/>
        <w:spacing w:after="0"/>
        <w:tabs>
          <w:tab w:leader="none" w:pos="260" w:val="left"/>
        </w:tabs>
        <w:numPr>
          <w:ilvl w:val="0"/>
          <w:numId w:val="47"/>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Internal data and analysis (2025).</w:t>
      </w:r>
    </w:p>
    <w:p>
      <w:pPr>
        <w:spacing w:after="0" w:line="37" w:lineRule="exact"/>
        <w:rPr>
          <w:rFonts w:ascii="Arial" w:cs="Arial" w:eastAsia="Arial" w:hAnsi="Arial"/>
          <w:sz w:val="18"/>
          <w:szCs w:val="18"/>
          <w:i w:val="1"/>
          <w:iCs w:val="1"/>
          <w:color w:val="6E6E6E"/>
          <w:vertAlign w:val="superscript"/>
        </w:rPr>
      </w:pPr>
    </w:p>
    <w:p>
      <w:pPr>
        <w:ind w:left="260" w:hanging="257"/>
        <w:spacing w:after="0"/>
        <w:tabs>
          <w:tab w:leader="none" w:pos="260" w:val="left"/>
        </w:tabs>
        <w:numPr>
          <w:ilvl w:val="0"/>
          <w:numId w:val="47"/>
        </w:numPr>
        <w:rPr>
          <w:rFonts w:ascii="Arial" w:cs="Arial" w:eastAsia="Arial" w:hAnsi="Arial"/>
          <w:sz w:val="9"/>
          <w:szCs w:val="9"/>
          <w:i w:val="1"/>
          <w:iCs w:val="1"/>
          <w:color w:val="6E6E6E"/>
        </w:rPr>
      </w:pPr>
      <w:r>
        <w:rPr>
          <w:rFonts w:ascii="Arial" w:cs="Arial" w:eastAsia="Arial" w:hAnsi="Arial"/>
          <w:sz w:val="14"/>
          <w:szCs w:val="14"/>
          <w:i w:val="1"/>
          <w:iCs w:val="1"/>
          <w:color w:val="6E6E6E"/>
        </w:rPr>
        <w:t>TOP500 List (2024). https://top500.org/lists/top500/list/2024/06/</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1E1E1E"/>
        </w:rPr>
        <w:t>Because the utility and impact on drug discovery would be so profound if achieved, a handful of compelling organizations, spanning academics to institutions to companies, are competing to build a Virtual Cell. Success in this endeavor requires scaled hiqh-quality data, spanning multiple levels of biology alongside cutting-edge compute approaches. We believe Recursion is uniquely positioned to lead at the intersection of these needs.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1E1E1E"/>
        </w:rPr>
        <w:t xml:space="preserve">Scale and Quality. </w:t>
      </w:r>
      <w:r>
        <w:rPr>
          <w:rFonts w:ascii="Arial" w:cs="Arial" w:eastAsia="Arial" w:hAnsi="Arial"/>
          <w:sz w:val="15"/>
          <w:szCs w:val="15"/>
          <w:color w:val="1E1E1E"/>
        </w:rPr>
        <w:t>Scale is achieved through three pillars:</w:t>
      </w:r>
    </w:p>
    <w:p>
      <w:pPr>
        <w:spacing w:after="0" w:line="124" w:lineRule="exact"/>
        <w:rPr>
          <w:sz w:val="20"/>
          <w:szCs w:val="20"/>
          <w:color w:val="auto"/>
        </w:rPr>
      </w:pPr>
    </w:p>
    <w:p>
      <w:pPr>
        <w:ind w:left="620" w:hanging="307"/>
        <w:spacing w:after="0"/>
        <w:tabs>
          <w:tab w:leader="none" w:pos="620" w:val="left"/>
        </w:tabs>
        <w:numPr>
          <w:ilvl w:val="0"/>
          <w:numId w:val="48"/>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Automation: </w:t>
      </w:r>
      <w:r>
        <w:rPr>
          <w:rFonts w:ascii="Arial" w:cs="Arial" w:eastAsia="Arial" w:hAnsi="Arial"/>
          <w:sz w:val="15"/>
          <w:szCs w:val="15"/>
          <w:color w:val="1E1E1E"/>
        </w:rPr>
        <w:t>Automation powers our labs, ensuring we create high-quality data outputs at industry leading scale.</w:t>
      </w:r>
    </w:p>
    <w:p>
      <w:pPr>
        <w:spacing w:after="0" w:line="59" w:lineRule="exact"/>
        <w:rPr>
          <w:rFonts w:ascii="Arial" w:cs="Arial" w:eastAsia="Arial" w:hAnsi="Arial"/>
          <w:sz w:val="15"/>
          <w:szCs w:val="15"/>
          <w:b w:val="1"/>
          <w:bCs w:val="1"/>
          <w:color w:val="1E1E1E"/>
        </w:rPr>
      </w:pPr>
    </w:p>
    <w:p>
      <w:pPr>
        <w:ind w:left="620" w:hanging="307"/>
        <w:spacing w:after="0"/>
        <w:tabs>
          <w:tab w:leader="none" w:pos="620" w:val="left"/>
        </w:tabs>
        <w:numPr>
          <w:ilvl w:val="0"/>
          <w:numId w:val="48"/>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Relatability: </w:t>
      </w:r>
      <w:r>
        <w:rPr>
          <w:rFonts w:ascii="Arial" w:cs="Arial" w:eastAsia="Arial" w:hAnsi="Arial"/>
          <w:sz w:val="15"/>
          <w:szCs w:val="15"/>
          <w:color w:val="1E1E1E"/>
        </w:rPr>
        <w:t>Output data is highly relatable allowing us to infer relationships and identify connections across many experiments.</w:t>
      </w:r>
    </w:p>
    <w:p>
      <w:pPr>
        <w:spacing w:after="0" w:line="59" w:lineRule="exact"/>
        <w:rPr>
          <w:rFonts w:ascii="Arial" w:cs="Arial" w:eastAsia="Arial" w:hAnsi="Arial"/>
          <w:sz w:val="15"/>
          <w:szCs w:val="15"/>
          <w:b w:val="1"/>
          <w:bCs w:val="1"/>
          <w:color w:val="1E1E1E"/>
        </w:rPr>
      </w:pPr>
    </w:p>
    <w:p>
      <w:pPr>
        <w:ind w:left="620" w:right="80" w:hanging="307"/>
        <w:spacing w:after="0" w:line="315" w:lineRule="auto"/>
        <w:tabs>
          <w:tab w:leader="none" w:pos="609" w:val="left"/>
        </w:tabs>
        <w:numPr>
          <w:ilvl w:val="0"/>
          <w:numId w:val="48"/>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In silico models: </w:t>
      </w:r>
      <w:r>
        <w:rPr>
          <w:rFonts w:ascii="Arial" w:cs="Arial" w:eastAsia="Arial" w:hAnsi="Arial"/>
          <w:sz w:val="15"/>
          <w:szCs w:val="15"/>
          <w:color w:val="1E1E1E"/>
        </w:rPr>
        <w:t>Scaled relatable data is used to train in-silico models to infer and predict experimental outcomes at scale far exceeding what is possible</w:t>
      </w:r>
      <w:r>
        <w:rPr>
          <w:rFonts w:ascii="Arial" w:cs="Arial" w:eastAsia="Arial" w:hAnsi="Arial"/>
          <w:sz w:val="15"/>
          <w:szCs w:val="15"/>
          <w:b w:val="1"/>
          <w:bCs w:val="1"/>
          <w:color w:val="1E1E1E"/>
        </w:rPr>
        <w:t xml:space="preserve"> </w:t>
      </w:r>
      <w:r>
        <w:rPr>
          <w:rFonts w:ascii="Arial" w:cs="Arial" w:eastAsia="Arial" w:hAnsi="Arial"/>
          <w:sz w:val="15"/>
          <w:szCs w:val="15"/>
          <w:color w:val="1E1E1E"/>
        </w:rPr>
        <w:t>in the real world, which can then be validated at scale in our automated labs.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Spanning multiple layers of biology</w:t>
      </w:r>
    </w:p>
    <w:p>
      <w:pPr>
        <w:spacing w:after="0" w:line="74" w:lineRule="exact"/>
        <w:rPr>
          <w:sz w:val="20"/>
          <w:szCs w:val="20"/>
          <w:color w:val="auto"/>
        </w:rPr>
      </w:pPr>
    </w:p>
    <w:p>
      <w:pPr>
        <w:ind w:right="260"/>
        <w:spacing w:after="0" w:line="294" w:lineRule="auto"/>
        <w:rPr>
          <w:sz w:val="20"/>
          <w:szCs w:val="20"/>
          <w:color w:val="auto"/>
        </w:rPr>
      </w:pPr>
      <w:r>
        <w:rPr>
          <w:rFonts w:ascii="Arial" w:cs="Arial" w:eastAsia="Arial" w:hAnsi="Arial"/>
          <w:sz w:val="15"/>
          <w:szCs w:val="15"/>
          <w:color w:val="1E1E1E"/>
        </w:rPr>
        <w:t>Our Real World data layer and World model are built to use data across three scales: macro, meso and micro. The following section provides examples of these models based on each scale.</w:t>
      </w:r>
    </w:p>
    <w:p>
      <w:pPr>
        <w:spacing w:after="0" w:line="52" w:lineRule="exact"/>
        <w:rPr>
          <w:sz w:val="20"/>
          <w:szCs w:val="20"/>
          <w:color w:val="auto"/>
        </w:rPr>
      </w:pPr>
    </w:p>
    <w:p>
      <w:pPr>
        <w:ind w:left="620" w:right="200" w:hanging="307"/>
        <w:spacing w:after="0" w:line="276" w:lineRule="auto"/>
        <w:tabs>
          <w:tab w:leader="none" w:pos="609" w:val="left"/>
        </w:tabs>
        <w:numPr>
          <w:ilvl w:val="0"/>
          <w:numId w:val="49"/>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Macro: </w:t>
      </w:r>
      <w:r>
        <w:rPr>
          <w:rFonts w:ascii="Arial" w:cs="Arial" w:eastAsia="Arial" w:hAnsi="Arial"/>
          <w:sz w:val="15"/>
          <w:szCs w:val="15"/>
          <w:color w:val="1E1E1E"/>
        </w:rPr>
        <w:t>At the highest level, macroscale data informs on organism-level phenotypes and is typically deeply associative rather than causal – one can find</w:t>
      </w:r>
      <w:r>
        <w:rPr>
          <w:rFonts w:ascii="Arial" w:cs="Arial" w:eastAsia="Arial" w:hAnsi="Arial"/>
          <w:sz w:val="15"/>
          <w:szCs w:val="15"/>
          <w:b w:val="1"/>
          <w:bCs w:val="1"/>
          <w:color w:val="1E1E1E"/>
        </w:rPr>
        <w:t xml:space="preserve"> </w:t>
      </w:r>
      <w:r>
        <w:rPr>
          <w:rFonts w:ascii="Arial" w:cs="Arial" w:eastAsia="Arial" w:hAnsi="Arial"/>
          <w:sz w:val="15"/>
          <w:szCs w:val="15"/>
          <w:color w:val="1E1E1E"/>
        </w:rPr>
        <w:t>associations between clinical outcomes and human observables, but the causal chain of how to go from variant to macro-scale phenotype is usually hidden. Different size scales and data generation formats tend to have differing levels of interpretability, data quality and noise, costs, and data completeness.</w:t>
      </w:r>
    </w:p>
    <w:p>
      <w:pPr>
        <w:spacing w:after="0" w:line="191" w:lineRule="exact"/>
        <w:rPr>
          <w:rFonts w:ascii="Arial" w:cs="Arial" w:eastAsia="Arial" w:hAnsi="Arial"/>
          <w:sz w:val="15"/>
          <w:szCs w:val="15"/>
          <w:b w:val="1"/>
          <w:bCs w:val="1"/>
          <w:color w:val="1E1E1E"/>
        </w:rPr>
      </w:pPr>
    </w:p>
    <w:p>
      <w:pPr>
        <w:ind w:left="620" w:right="220" w:hanging="307"/>
        <w:spacing w:after="0" w:line="295" w:lineRule="auto"/>
        <w:tabs>
          <w:tab w:leader="none" w:pos="609" w:val="left"/>
        </w:tabs>
        <w:numPr>
          <w:ilvl w:val="0"/>
          <w:numId w:val="49"/>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Meso: </w:t>
      </w:r>
      <w:r>
        <w:rPr>
          <w:rFonts w:ascii="Arial" w:cs="Arial" w:eastAsia="Arial" w:hAnsi="Arial"/>
          <w:sz w:val="15"/>
          <w:szCs w:val="15"/>
          <w:color w:val="1E1E1E"/>
        </w:rPr>
        <w:t>In the middle, mesoscale data is measurements on cellular biological systems, such as phenomics and transcriptomics. Here, we built our first in</w:t>
      </w:r>
      <w:r>
        <w:rPr>
          <w:rFonts w:ascii="Arial" w:cs="Arial" w:eastAsia="Arial" w:hAnsi="Arial"/>
          <w:sz w:val="15"/>
          <w:szCs w:val="15"/>
          <w:b w:val="1"/>
          <w:bCs w:val="1"/>
          <w:color w:val="1E1E1E"/>
        </w:rPr>
        <w:t xml:space="preserve"> </w:t>
      </w:r>
      <w:r>
        <w:rPr>
          <w:rFonts w:ascii="Arial" w:cs="Arial" w:eastAsia="Arial" w:hAnsi="Arial"/>
          <w:sz w:val="15"/>
          <w:szCs w:val="15"/>
          <w:color w:val="1E1E1E"/>
        </w:rPr>
        <w:t>silico maps of biology and have historically executed our largest laboratory experiments.</w:t>
      </w:r>
    </w:p>
    <w:p>
      <w:pPr>
        <w:spacing w:after="0" w:line="1" w:lineRule="exact"/>
        <w:rPr>
          <w:rFonts w:ascii="Arial" w:cs="Arial" w:eastAsia="Arial" w:hAnsi="Arial"/>
          <w:sz w:val="15"/>
          <w:szCs w:val="15"/>
          <w:b w:val="1"/>
          <w:bCs w:val="1"/>
          <w:color w:val="1E1E1E"/>
        </w:rPr>
      </w:pPr>
    </w:p>
    <w:p>
      <w:pPr>
        <w:jc w:val="both"/>
        <w:ind w:left="620" w:hanging="307"/>
        <w:spacing w:after="0" w:line="283" w:lineRule="auto"/>
        <w:tabs>
          <w:tab w:leader="none" w:pos="609" w:val="left"/>
        </w:tabs>
        <w:numPr>
          <w:ilvl w:val="0"/>
          <w:numId w:val="49"/>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Micro: </w:t>
      </w:r>
      <w:r>
        <w:rPr>
          <w:rFonts w:ascii="Arial" w:cs="Arial" w:eastAsia="Arial" w:hAnsi="Arial"/>
          <w:sz w:val="15"/>
          <w:szCs w:val="15"/>
          <w:color w:val="1E1E1E"/>
        </w:rPr>
        <w:t>At the smallest end, microscale data informs on molecular-level events like protein-small molecule binding and interactions and can enable insights</w:t>
      </w:r>
      <w:r>
        <w:rPr>
          <w:rFonts w:ascii="Arial" w:cs="Arial" w:eastAsia="Arial" w:hAnsi="Arial"/>
          <w:sz w:val="15"/>
          <w:szCs w:val="15"/>
          <w:b w:val="1"/>
          <w:bCs w:val="1"/>
          <w:color w:val="1E1E1E"/>
        </w:rPr>
        <w:t xml:space="preserve"> </w:t>
      </w:r>
      <w:r>
        <w:rPr>
          <w:rFonts w:ascii="Arial" w:cs="Arial" w:eastAsia="Arial" w:hAnsi="Arial"/>
          <w:sz w:val="15"/>
          <w:szCs w:val="15"/>
          <w:color w:val="1E1E1E"/>
        </w:rPr>
        <w:t>at the level of target- and protein-interactions and properties. It is the realm of many of our physics- and chemistry-centric models, and our protein sciences and biochemical laboratory assays.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104775</wp:posOffset>
            </wp:positionV>
            <wp:extent cx="5599430" cy="2635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99430" cy="263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60"/>
        <w:spacing w:after="0" w:line="254" w:lineRule="auto"/>
        <w:rPr>
          <w:sz w:val="20"/>
          <w:szCs w:val="20"/>
          <w:color w:val="auto"/>
        </w:rPr>
      </w:pPr>
      <w:r>
        <w:rPr>
          <w:rFonts w:ascii="Arial" w:cs="Arial" w:eastAsia="Arial" w:hAnsi="Arial"/>
          <w:sz w:val="14"/>
          <w:szCs w:val="14"/>
          <w:b w:val="1"/>
          <w:bCs w:val="1"/>
          <w:color w:val="6E6E6E"/>
        </w:rPr>
        <w:t xml:space="preserve">Figure 19. </w:t>
      </w:r>
      <w:r>
        <w:rPr>
          <w:rFonts w:ascii="Arial" w:cs="Arial" w:eastAsia="Arial" w:hAnsi="Arial"/>
          <w:sz w:val="14"/>
          <w:szCs w:val="14"/>
          <w:color w:val="6E6E6E"/>
        </w:rPr>
        <w:t>Formation of a highly predictive Virtual Cell from scales of data layers that form Real World data and World model. The macro data layer aims to find associations between</w:t>
      </w:r>
      <w:r>
        <w:rPr>
          <w:rFonts w:ascii="Arial" w:cs="Arial" w:eastAsia="Arial" w:hAnsi="Arial"/>
          <w:sz w:val="14"/>
          <w:szCs w:val="14"/>
          <w:b w:val="1"/>
          <w:bCs w:val="1"/>
          <w:color w:val="6E6E6E"/>
        </w:rPr>
        <w:t xml:space="preserve"> </w:t>
      </w:r>
      <w:r>
        <w:rPr>
          <w:rFonts w:ascii="Arial" w:cs="Arial" w:eastAsia="Arial" w:hAnsi="Arial"/>
          <w:sz w:val="14"/>
          <w:szCs w:val="14"/>
          <w:color w:val="6E6E6E"/>
        </w:rPr>
        <w:t>clinical outcomes and human observables and determine causal chains of biology. The mesocale data uses measurements on cellular biological systems, such as phenomics and transcriptomics, to build in silico maps of biology. Microscale data uses molecular-level events, such as protein-small molecule binding and interactions using our protein sciences, biochemical assays, and physics- and chemistry-centric models, to enable insights at the level of target- and protein-interactions and properties.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Macro Scale Data Layers</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1E1E1E"/>
        </w:rPr>
        <w:t>Macroscale data informs on tissue-, organism-, and population-scale biology, enabling us to connect insights at the molecular (micro) and cellular (meso) levels to the behavior of drug candidates in patients, and to perform “reverse translation” of insights from patient populations to direct the initiation of programs at the beginning of discovery. In 2024, Recursion built investments in macroscale biology in both model organisms for in vivo testing (InVivomics) and human populations, spanning cancer –omic data, population genetics data for non-oncology indications, and real-world clinical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InVivomics Data Layer</w:t>
      </w:r>
    </w:p>
    <w:p>
      <w:pPr>
        <w:spacing w:after="0" w:line="74" w:lineRule="exact"/>
        <w:rPr>
          <w:sz w:val="20"/>
          <w:szCs w:val="20"/>
          <w:color w:val="auto"/>
        </w:rPr>
      </w:pPr>
    </w:p>
    <w:p>
      <w:pPr>
        <w:ind w:right="420"/>
        <w:spacing w:after="0" w:line="271" w:lineRule="auto"/>
        <w:rPr>
          <w:sz w:val="20"/>
          <w:szCs w:val="20"/>
          <w:color w:val="auto"/>
        </w:rPr>
      </w:pPr>
      <w:r>
        <w:rPr>
          <w:rFonts w:ascii="Arial" w:cs="Arial" w:eastAsia="Arial" w:hAnsi="Arial"/>
          <w:sz w:val="15"/>
          <w:szCs w:val="15"/>
          <w:color w:val="1E1E1E"/>
        </w:rPr>
        <w:t>Recursion’s data layers combine to tell the story that our therapeutics will safely provide benefit to a patient. Currently, in vivo experimentation is necessary to confidently translate the initial insights from high throughput experimentation in biology and chemistry to applications in the real world. Our InVivomics platform removes human toil and bias from animal data collection. Leveraging this platform maximizes data collection while minimizing human effort in key in vivo experimentation areas, in vivo pharmacology and toxicology.</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b w:val="1"/>
                <w:bCs w:val="1"/>
                <w:color w:val="1E1E1E"/>
              </w:rPr>
              <w:t>REAL WORLD</w:t>
            </w:r>
          </w:p>
        </w:tc>
        <w:tc>
          <w:tcPr>
            <w:tcW w:w="5300" w:type="dxa"/>
            <w:vAlign w:val="bottom"/>
          </w:tcPr>
          <w:p>
            <w:pPr>
              <w:ind w:left="220"/>
              <w:spacing w:after="0"/>
              <w:rPr>
                <w:sz w:val="20"/>
                <w:szCs w:val="20"/>
                <w:color w:val="auto"/>
              </w:rPr>
            </w:pPr>
            <w:r>
              <w:rPr>
                <w:rFonts w:ascii="Arial" w:cs="Arial" w:eastAsia="Arial" w:hAnsi="Arial"/>
                <w:sz w:val="15"/>
                <w:szCs w:val="15"/>
                <w:b w:val="1"/>
                <w:bCs w:val="1"/>
                <w:color w:val="1E1E1E"/>
              </w:rPr>
              <w:t>WORLD MODEL</w:t>
            </w:r>
          </w:p>
        </w:tc>
      </w:tr>
      <w:tr>
        <w:trPr>
          <w:trHeight w:val="332"/>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Vivarium: Physical observations of animals including one million hours of</w:t>
            </w:r>
          </w:p>
        </w:tc>
        <w:tc>
          <w:tcPr>
            <w:tcW w:w="5300" w:type="dxa"/>
            <w:vAlign w:val="bottom"/>
          </w:tcPr>
          <w:p>
            <w:pPr>
              <w:ind w:left="220"/>
              <w:spacing w:after="0"/>
              <w:rPr>
                <w:sz w:val="20"/>
                <w:szCs w:val="20"/>
                <w:color w:val="auto"/>
              </w:rPr>
            </w:pPr>
            <w:r>
              <w:rPr>
                <w:rFonts w:ascii="Arial" w:cs="Arial" w:eastAsia="Arial" w:hAnsi="Arial"/>
                <w:sz w:val="15"/>
                <w:szCs w:val="15"/>
                <w:color w:val="1E1E1E"/>
              </w:rPr>
              <w:t>IVP-1: InVivoPrints Foundation Model to detect organ toxicities as early as</w:t>
            </w:r>
          </w:p>
        </w:tc>
      </w:tr>
      <w:tr>
        <w:trPr>
          <w:trHeight w:val="206"/>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video</w:t>
            </w:r>
          </w:p>
        </w:tc>
        <w:tc>
          <w:tcPr>
            <w:tcW w:w="5300" w:type="dxa"/>
            <w:vAlign w:val="bottom"/>
          </w:tcPr>
          <w:p>
            <w:pPr>
              <w:ind w:left="220"/>
              <w:spacing w:after="0"/>
              <w:rPr>
                <w:sz w:val="20"/>
                <w:szCs w:val="20"/>
                <w:color w:val="auto"/>
              </w:rPr>
            </w:pPr>
            <w:r>
              <w:rPr>
                <w:rFonts w:ascii="Arial" w:cs="Arial" w:eastAsia="Arial" w:hAnsi="Arial"/>
                <w:sz w:val="15"/>
                <w:szCs w:val="15"/>
                <w:color w:val="1E1E1E"/>
              </w:rPr>
              <w:t>possible and prioritize new drug candidates</w:t>
            </w:r>
          </w:p>
        </w:tc>
      </w:tr>
      <w:tr>
        <w:trPr>
          <w:trHeight w:val="297"/>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Physical measurements (body weight, blood work, etc.)</w:t>
            </w:r>
          </w:p>
        </w:tc>
        <w:tc>
          <w:tcPr>
            <w:tcW w:w="5300" w:type="dxa"/>
            <w:vAlign w:val="bottom"/>
          </w:tcPr>
          <w:p>
            <w:pPr>
              <w:spacing w:after="0"/>
              <w:rPr>
                <w:sz w:val="24"/>
                <w:szCs w:val="24"/>
                <w:color w:val="auto"/>
              </w:rPr>
            </w:pPr>
          </w:p>
        </w:tc>
      </w:tr>
      <w:tr>
        <w:trPr>
          <w:trHeight w:val="309"/>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Microchipping / collecting digital biomarkers for all animals</w:t>
            </w:r>
          </w:p>
        </w:tc>
        <w:tc>
          <w:tcPr>
            <w:tcW w:w="5300" w:type="dxa"/>
            <w:vAlign w:val="bottom"/>
          </w:tcPr>
          <w:p>
            <w:pPr>
              <w:spacing w:after="0"/>
              <w:rPr>
                <w:sz w:val="24"/>
                <w:szCs w:val="24"/>
                <w:color w:val="auto"/>
              </w:rPr>
            </w:pPr>
          </w:p>
        </w:tc>
      </w:tr>
      <w:tr>
        <w:trPr>
          <w:trHeight w:val="309"/>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149,000 environmental datapoints</w:t>
            </w:r>
          </w:p>
        </w:tc>
        <w:tc>
          <w:tcPr>
            <w:tcW w:w="5300" w:type="dxa"/>
            <w:vAlign w:val="bottom"/>
          </w:tcPr>
          <w:p>
            <w:pPr>
              <w:spacing w:after="0"/>
              <w:rPr>
                <w:sz w:val="24"/>
                <w:szCs w:val="24"/>
                <w:color w:val="auto"/>
              </w:rPr>
            </w:pPr>
          </w:p>
        </w:tc>
      </w:tr>
      <w:tr>
        <w:trPr>
          <w:trHeight w:val="234"/>
        </w:trPr>
        <w:tc>
          <w:tcPr>
            <w:tcW w:w="5620" w:type="dxa"/>
            <w:vAlign w:val="bottom"/>
            <w:tcBorders>
              <w:right w:val="single" w:sz="8" w:color="8D8D8D"/>
            </w:tcBorders>
          </w:tcPr>
          <w:p>
            <w:pPr>
              <w:spacing w:after="0"/>
              <w:rPr>
                <w:sz w:val="20"/>
                <w:szCs w:val="20"/>
                <w:color w:val="auto"/>
              </w:rPr>
            </w:pPr>
          </w:p>
        </w:tc>
        <w:tc>
          <w:tcPr>
            <w:tcW w:w="5300" w:type="dxa"/>
            <w:vAlign w:val="bottom"/>
          </w:tcPr>
          <w:p>
            <w:pPr>
              <w:spacing w:after="0"/>
              <w:rPr>
                <w:sz w:val="20"/>
                <w:szCs w:val="20"/>
                <w:color w:val="auto"/>
              </w:rPr>
            </w:pPr>
          </w:p>
        </w:tc>
      </w:tr>
    </w:tbl>
    <w:p>
      <w:pPr>
        <w:spacing w:after="0" w:line="233" w:lineRule="exact"/>
        <w:rPr>
          <w:sz w:val="20"/>
          <w:szCs w:val="20"/>
          <w:color w:val="auto"/>
        </w:rPr>
      </w:pPr>
    </w:p>
    <w:p>
      <w:pPr>
        <w:spacing w:after="0" w:line="268" w:lineRule="auto"/>
        <w:rPr>
          <w:sz w:val="20"/>
          <w:szCs w:val="20"/>
          <w:color w:val="auto"/>
        </w:rPr>
      </w:pPr>
      <w:r>
        <w:rPr>
          <w:rFonts w:ascii="Arial" w:cs="Arial" w:eastAsia="Arial" w:hAnsi="Arial"/>
          <w:sz w:val="15"/>
          <w:szCs w:val="15"/>
          <w:color w:val="1E1E1E"/>
        </w:rPr>
        <w:t>In 2024, InVivomics produced important data that drove decisions across disease models in fibrosis, neuroscience, and oncology. We integrated tolerability studies into our automated industrial workflows, streamlining the process from hit compound identification to animal model testing through a standardized set of experiments and decision criteria. Our in-house execution of a lung fibrosis model helped accelerate the delivery of a molecule now progressing to clinical trials. We also piloted studies in oncology and neuroscience. In neuroscience, we introduced new endpoint measurements like rotarod and CMAP. Developing this skill set and assessing how digital biomarkers can enhance and accelerate data not only supported an internal project decision but will also play a key role in advancing our partnership projects.</w:t>
      </w:r>
    </w:p>
    <w:p>
      <w:pPr>
        <w:spacing w:after="0" w:line="352"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In total in 2024, we ran 62 InVivomic-informed studies at our Milpitas, CA facility. Of those, 27 were mouse tolerability studies, delivering richer data to project teams as they design downstream in vivo pharmacology studies. Across our internal portfolio, 7 projects leveraged this technology to inform dose selection as well as to evaluate impacts on specific tissues of interest. We are also exploring the use of our digital system in rat toxicology studies, evaluating the advantage gained both with the richer constant-monitoring data as well as better connection to our other data layers. We expect a data-driven evaluation in early 2025.</w:t>
      </w:r>
    </w:p>
    <w:p>
      <w:pPr>
        <w:spacing w:after="0" w:line="175" w:lineRule="exact"/>
        <w:rPr>
          <w:sz w:val="20"/>
          <w:szCs w:val="20"/>
          <w:color w:val="auto"/>
        </w:rPr>
      </w:pPr>
    </w:p>
    <w:p>
      <w:pPr>
        <w:ind w:right="200"/>
        <w:spacing w:after="0" w:line="268" w:lineRule="auto"/>
        <w:rPr>
          <w:sz w:val="20"/>
          <w:szCs w:val="20"/>
          <w:color w:val="auto"/>
        </w:rPr>
      </w:pPr>
      <w:r>
        <w:rPr>
          <w:rFonts w:ascii="Arial" w:cs="Arial" w:eastAsia="Arial" w:hAnsi="Arial"/>
          <w:sz w:val="15"/>
          <w:szCs w:val="15"/>
          <w:color w:val="1E1E1E"/>
        </w:rPr>
        <w:t>To extract maximum insights from this data, we also built a deep learning model called InVivoPrint V1 (IVP-1) that increases our ability to decode signals coming from these smart cages – detecting liabilities such as inflammation or toxicity earlier than our previous digital biomarker approach. IVP-1 allows us to detect organ toxicities linked to a compound or dose candidate as early as possible during in vivo tolerability studies – and to prioritize new drug candidates for the efficacy phase. Our current InVivomics dataset includes 1 million hours of video; 1 million hours of digital biomarkers such as locomotion, body temperature, wheel speed, and cage humidity levels; 149,000 environment data points, including cage slottings, rack used, rack room, sex, and birth time, as well as a number of other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377190</wp:posOffset>
            </wp:positionV>
            <wp:extent cx="5599430" cy="3143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99430" cy="314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20. </w:t>
      </w:r>
      <w:r>
        <w:rPr>
          <w:rFonts w:ascii="Arial" w:cs="Arial" w:eastAsia="Arial" w:hAnsi="Arial"/>
          <w:sz w:val="14"/>
          <w:szCs w:val="14"/>
          <w:color w:val="6E6E6E"/>
        </w:rPr>
        <w:t>A Recursion scientist uses our in house dashboard to monitor digital readouts and live video of an ongoing animal experiment.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1AA7DF"/>
        </w:rPr>
        <w:t>Human genetics data layer.</w:t>
      </w:r>
    </w:p>
    <w:p>
      <w:pPr>
        <w:spacing w:after="0" w:line="67"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1E1E1E"/>
        </w:rPr>
        <w:t>At the macroscale, patient omics and observational Real World Evidence (RWE) informs organism-level phenotypes, which is critical for discovering the underlying genetic associations of a particular disease. As an independent data layer, human genetics has proven to be undeniably important for increasing the probability of clinical success. Yet the full value of these patient datasets is limited by the fact that these data are inherently noisy, incomplete, and difficult to collect at a scale that allows for recall of sufficiently rare variants and disease phenotypes. At Recursion, we have the capability to bridge our highly controllable, densely sampled perturbative map data (meso) together with observational patient data (macro) in a joint forward-reverse genetics approach. Using human genetics, we can connect the macroscale down to the mesoscale to inform phenotypic discovery and deliver stronger, more disease-relevant and patient-connected insights. While conversely, by integrating scaled meso data, we in turn increase the power and derive further value out of macro data above standard approaches.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b w:val="1"/>
                <w:bCs w:val="1"/>
                <w:color w:val="1E1E1E"/>
              </w:rPr>
              <w:t>REAL WORLD</w:t>
            </w:r>
          </w:p>
        </w:tc>
        <w:tc>
          <w:tcPr>
            <w:tcW w:w="5540" w:type="dxa"/>
            <w:vAlign w:val="bottom"/>
          </w:tcPr>
          <w:p>
            <w:pPr>
              <w:ind w:left="220"/>
              <w:spacing w:after="0"/>
              <w:rPr>
                <w:sz w:val="20"/>
                <w:szCs w:val="20"/>
                <w:color w:val="auto"/>
              </w:rPr>
            </w:pPr>
            <w:r>
              <w:rPr>
                <w:rFonts w:ascii="Arial" w:cs="Arial" w:eastAsia="Arial" w:hAnsi="Arial"/>
                <w:sz w:val="15"/>
                <w:szCs w:val="15"/>
                <w:b w:val="1"/>
                <w:bCs w:val="1"/>
                <w:color w:val="1E1E1E"/>
              </w:rPr>
              <w:t>WORLD MODEL</w:t>
            </w:r>
          </w:p>
        </w:tc>
        <w:tc>
          <w:tcPr>
            <w:tcW w:w="0" w:type="dxa"/>
            <w:vAlign w:val="bottom"/>
          </w:tcPr>
          <w:p>
            <w:pPr>
              <w:spacing w:after="0"/>
              <w:rPr>
                <w:sz w:val="1"/>
                <w:szCs w:val="1"/>
                <w:color w:val="auto"/>
              </w:rPr>
            </w:pPr>
          </w:p>
        </w:tc>
      </w:tr>
      <w:tr>
        <w:trPr>
          <w:trHeight w:val="332"/>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Publicly available datasets including TCGA</w:t>
            </w:r>
          </w:p>
        </w:tc>
        <w:tc>
          <w:tcPr>
            <w:tcW w:w="5540" w:type="dxa"/>
            <w:vAlign w:val="bottom"/>
          </w:tcPr>
          <w:p>
            <w:pPr>
              <w:ind w:left="220"/>
              <w:spacing w:after="0"/>
              <w:rPr>
                <w:sz w:val="20"/>
                <w:szCs w:val="20"/>
                <w:color w:val="auto"/>
              </w:rPr>
            </w:pPr>
            <w:r>
              <w:rPr>
                <w:rFonts w:ascii="Arial" w:cs="Arial" w:eastAsia="Arial" w:hAnsi="Arial"/>
                <w:sz w:val="15"/>
                <w:szCs w:val="15"/>
                <w:color w:val="1E1E1E"/>
              </w:rPr>
              <w:t>Bootstrapping clinical genomics with phenomics to increase effective power of</w:t>
            </w:r>
          </w:p>
        </w:tc>
        <w:tc>
          <w:tcPr>
            <w:tcW w:w="0" w:type="dxa"/>
            <w:vAlign w:val="bottom"/>
          </w:tcPr>
          <w:p>
            <w:pPr>
              <w:spacing w:after="0"/>
              <w:rPr>
                <w:sz w:val="1"/>
                <w:szCs w:val="1"/>
                <w:color w:val="auto"/>
              </w:rPr>
            </w:pPr>
          </w:p>
        </w:tc>
      </w:tr>
      <w:tr>
        <w:trPr>
          <w:trHeight w:val="206"/>
        </w:trPr>
        <w:tc>
          <w:tcPr>
            <w:tcW w:w="5620" w:type="dxa"/>
            <w:vAlign w:val="bottom"/>
            <w:tcBorders>
              <w:right w:val="single" w:sz="8" w:color="8D8D8D"/>
            </w:tcBorders>
            <w:vMerge w:val="restart"/>
          </w:tcPr>
          <w:p>
            <w:pPr>
              <w:spacing w:after="0"/>
              <w:rPr>
                <w:sz w:val="20"/>
                <w:szCs w:val="20"/>
                <w:color w:val="auto"/>
              </w:rPr>
            </w:pPr>
            <w:r>
              <w:rPr>
                <w:rFonts w:ascii="Arial" w:cs="Arial" w:eastAsia="Arial" w:hAnsi="Arial"/>
                <w:sz w:val="15"/>
                <w:szCs w:val="15"/>
                <w:color w:val="1E1E1E"/>
              </w:rPr>
              <w:t>Helix – non-oncology</w:t>
            </w:r>
          </w:p>
        </w:tc>
        <w:tc>
          <w:tcPr>
            <w:tcW w:w="5540" w:type="dxa"/>
            <w:vAlign w:val="bottom"/>
          </w:tcPr>
          <w:p>
            <w:pPr>
              <w:ind w:left="220"/>
              <w:spacing w:after="0"/>
              <w:rPr>
                <w:sz w:val="20"/>
                <w:szCs w:val="20"/>
                <w:color w:val="auto"/>
              </w:rPr>
            </w:pPr>
            <w:r>
              <w:rPr>
                <w:rFonts w:ascii="Arial" w:cs="Arial" w:eastAsia="Arial" w:hAnsi="Arial"/>
                <w:sz w:val="15"/>
                <w:szCs w:val="15"/>
                <w:color w:val="1E1E1E"/>
              </w:rPr>
              <w:t>genetic association tests</w:t>
            </w:r>
          </w:p>
        </w:tc>
        <w:tc>
          <w:tcPr>
            <w:tcW w:w="0" w:type="dxa"/>
            <w:vAlign w:val="bottom"/>
          </w:tcPr>
          <w:p>
            <w:pPr>
              <w:spacing w:after="0"/>
              <w:rPr>
                <w:sz w:val="1"/>
                <w:szCs w:val="1"/>
                <w:color w:val="auto"/>
              </w:rPr>
            </w:pPr>
          </w:p>
        </w:tc>
      </w:tr>
      <w:tr>
        <w:trPr>
          <w:trHeight w:val="103"/>
        </w:trPr>
        <w:tc>
          <w:tcPr>
            <w:tcW w:w="5620" w:type="dxa"/>
            <w:vAlign w:val="bottom"/>
            <w:tcBorders>
              <w:right w:val="single" w:sz="8" w:color="8D8D8D"/>
            </w:tcBorders>
            <w:vMerge w:val="continue"/>
          </w:tcPr>
          <w:p>
            <w:pPr>
              <w:spacing w:after="0"/>
              <w:rPr>
                <w:sz w:val="8"/>
                <w:szCs w:val="8"/>
                <w:color w:val="auto"/>
              </w:rPr>
            </w:pPr>
          </w:p>
        </w:tc>
        <w:tc>
          <w:tcPr>
            <w:tcW w:w="5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Tempus - oncology</w:t>
            </w:r>
          </w:p>
        </w:tc>
        <w:tc>
          <w:tcPr>
            <w:tcW w:w="5540" w:type="dxa"/>
            <w:vAlign w:val="bottom"/>
          </w:tcPr>
          <w:p>
            <w:pPr>
              <w:ind w:left="220"/>
              <w:spacing w:after="0"/>
              <w:rPr>
                <w:sz w:val="20"/>
                <w:szCs w:val="20"/>
                <w:color w:val="auto"/>
              </w:rPr>
            </w:pPr>
            <w:r>
              <w:rPr>
                <w:rFonts w:ascii="Arial" w:cs="Arial" w:eastAsia="Arial" w:hAnsi="Arial"/>
                <w:sz w:val="15"/>
                <w:szCs w:val="15"/>
                <w:color w:val="1E1E1E"/>
              </w:rPr>
              <w:t>Causal discovery models integrating reverse and forward genetics for target</w:t>
            </w:r>
          </w:p>
        </w:tc>
        <w:tc>
          <w:tcPr>
            <w:tcW w:w="0" w:type="dxa"/>
            <w:vAlign w:val="bottom"/>
          </w:tcPr>
          <w:p>
            <w:pPr>
              <w:spacing w:after="0"/>
              <w:rPr>
                <w:sz w:val="1"/>
                <w:szCs w:val="1"/>
                <w:color w:val="auto"/>
              </w:rPr>
            </w:pPr>
          </w:p>
        </w:tc>
      </w:tr>
      <w:tr>
        <w:trPr>
          <w:trHeight w:val="204"/>
        </w:trPr>
        <w:tc>
          <w:tcPr>
            <w:tcW w:w="5620" w:type="dxa"/>
            <w:vAlign w:val="bottom"/>
            <w:tcBorders>
              <w:right w:val="single" w:sz="8" w:color="8D8D8D"/>
            </w:tcBorders>
            <w:vMerge w:val="restart"/>
          </w:tcPr>
          <w:p>
            <w:pPr>
              <w:spacing w:after="0"/>
              <w:rPr>
                <w:sz w:val="20"/>
                <w:szCs w:val="20"/>
                <w:color w:val="auto"/>
              </w:rPr>
            </w:pPr>
            <w:r>
              <w:rPr>
                <w:rFonts w:ascii="Arial" w:cs="Arial" w:eastAsia="Arial" w:hAnsi="Arial"/>
                <w:sz w:val="15"/>
                <w:szCs w:val="15"/>
                <w:color w:val="1E1E1E"/>
              </w:rPr>
              <w:t>EHRs</w:t>
            </w:r>
          </w:p>
        </w:tc>
        <w:tc>
          <w:tcPr>
            <w:tcW w:w="5540" w:type="dxa"/>
            <w:vAlign w:val="bottom"/>
          </w:tcPr>
          <w:p>
            <w:pPr>
              <w:ind w:left="220"/>
              <w:spacing w:after="0"/>
              <w:rPr>
                <w:sz w:val="20"/>
                <w:szCs w:val="20"/>
                <w:color w:val="auto"/>
              </w:rPr>
            </w:pPr>
            <w:r>
              <w:rPr>
                <w:rFonts w:ascii="Arial" w:cs="Arial" w:eastAsia="Arial" w:hAnsi="Arial"/>
                <w:sz w:val="15"/>
                <w:szCs w:val="15"/>
                <w:color w:val="1E1E1E"/>
              </w:rPr>
              <w:t>identification and program initiation</w:t>
            </w:r>
          </w:p>
        </w:tc>
        <w:tc>
          <w:tcPr>
            <w:tcW w:w="0" w:type="dxa"/>
            <w:vAlign w:val="bottom"/>
          </w:tcPr>
          <w:p>
            <w:pPr>
              <w:spacing w:after="0"/>
              <w:rPr>
                <w:sz w:val="1"/>
                <w:szCs w:val="1"/>
                <w:color w:val="auto"/>
              </w:rPr>
            </w:pPr>
          </w:p>
        </w:tc>
      </w:tr>
      <w:tr>
        <w:trPr>
          <w:trHeight w:val="116"/>
        </w:trPr>
        <w:tc>
          <w:tcPr>
            <w:tcW w:w="5620" w:type="dxa"/>
            <w:vAlign w:val="bottom"/>
            <w:tcBorders>
              <w:right w:val="single" w:sz="8" w:color="8D8D8D"/>
            </w:tcBorders>
            <w:vMerge w:val="continue"/>
          </w:tcPr>
          <w:p>
            <w:pPr>
              <w:spacing w:after="0"/>
              <w:rPr>
                <w:sz w:val="10"/>
                <w:szCs w:val="10"/>
                <w:color w:val="auto"/>
              </w:rPr>
            </w:pPr>
          </w:p>
        </w:tc>
        <w:tc>
          <w:tcPr>
            <w:tcW w:w="5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Historical and Recursion trial data</w:t>
            </w:r>
          </w:p>
        </w:tc>
        <w:tc>
          <w:tcPr>
            <w:tcW w:w="5540" w:type="dxa"/>
            <w:vAlign w:val="bottom"/>
          </w:tcPr>
          <w:p>
            <w:pPr>
              <w:ind w:left="220"/>
              <w:spacing w:after="0"/>
              <w:rPr>
                <w:sz w:val="20"/>
                <w:szCs w:val="20"/>
                <w:color w:val="auto"/>
              </w:rPr>
            </w:pPr>
            <w:r>
              <w:rPr>
                <w:rFonts w:ascii="Arial" w:cs="Arial" w:eastAsia="Arial" w:hAnsi="Arial"/>
                <w:sz w:val="15"/>
                <w:szCs w:val="15"/>
                <w:color w:val="1E1E1E"/>
              </w:rPr>
              <w:t>Causal inference models for patient biomarker identification and optimized</w:t>
            </w:r>
          </w:p>
        </w:tc>
        <w:tc>
          <w:tcPr>
            <w:tcW w:w="0" w:type="dxa"/>
            <w:vAlign w:val="bottom"/>
          </w:tcPr>
          <w:p>
            <w:pPr>
              <w:spacing w:after="0"/>
              <w:rPr>
                <w:sz w:val="1"/>
                <w:szCs w:val="1"/>
                <w:color w:val="auto"/>
              </w:rPr>
            </w:pPr>
          </w:p>
        </w:tc>
      </w:tr>
      <w:tr>
        <w:trPr>
          <w:trHeight w:val="204"/>
        </w:trPr>
        <w:tc>
          <w:tcPr>
            <w:tcW w:w="5620" w:type="dxa"/>
            <w:vAlign w:val="bottom"/>
            <w:tcBorders>
              <w:right w:val="single" w:sz="8" w:color="8D8D8D"/>
            </w:tcBorders>
            <w:vMerge w:val="restart"/>
          </w:tcPr>
          <w:p>
            <w:pPr>
              <w:spacing w:after="0"/>
              <w:rPr>
                <w:sz w:val="20"/>
                <w:szCs w:val="20"/>
                <w:color w:val="auto"/>
              </w:rPr>
            </w:pPr>
            <w:r>
              <w:rPr>
                <w:rFonts w:ascii="Arial" w:cs="Arial" w:eastAsia="Arial" w:hAnsi="Arial"/>
                <w:sz w:val="15"/>
                <w:szCs w:val="15"/>
                <w:color w:val="1E1E1E"/>
              </w:rPr>
              <w:t>Non-patient trial data</w:t>
            </w:r>
          </w:p>
        </w:tc>
        <w:tc>
          <w:tcPr>
            <w:tcW w:w="5540" w:type="dxa"/>
            <w:vAlign w:val="bottom"/>
          </w:tcPr>
          <w:p>
            <w:pPr>
              <w:ind w:left="220"/>
              <w:spacing w:after="0"/>
              <w:rPr>
                <w:sz w:val="20"/>
                <w:szCs w:val="20"/>
                <w:color w:val="auto"/>
              </w:rPr>
            </w:pPr>
            <w:r>
              <w:rPr>
                <w:rFonts w:ascii="Arial" w:cs="Arial" w:eastAsia="Arial" w:hAnsi="Arial"/>
                <w:sz w:val="15"/>
                <w:szCs w:val="15"/>
                <w:color w:val="1E1E1E"/>
              </w:rPr>
              <w:t>selection strategies</w:t>
            </w:r>
          </w:p>
        </w:tc>
        <w:tc>
          <w:tcPr>
            <w:tcW w:w="0" w:type="dxa"/>
            <w:vAlign w:val="bottom"/>
          </w:tcPr>
          <w:p>
            <w:pPr>
              <w:spacing w:after="0"/>
              <w:rPr>
                <w:sz w:val="1"/>
                <w:szCs w:val="1"/>
                <w:color w:val="auto"/>
              </w:rPr>
            </w:pPr>
          </w:p>
        </w:tc>
      </w:tr>
      <w:tr>
        <w:trPr>
          <w:trHeight w:val="129"/>
        </w:trPr>
        <w:tc>
          <w:tcPr>
            <w:tcW w:w="5620" w:type="dxa"/>
            <w:vAlign w:val="bottom"/>
            <w:tcBorders>
              <w:right w:val="single" w:sz="8" w:color="8D8D8D"/>
            </w:tcBorders>
            <w:vMerge w:val="continue"/>
          </w:tcPr>
          <w:p>
            <w:pPr>
              <w:spacing w:after="0"/>
              <w:rPr>
                <w:sz w:val="11"/>
                <w:szCs w:val="11"/>
                <w:color w:val="auto"/>
              </w:rPr>
            </w:pPr>
          </w:p>
        </w:tc>
        <w:tc>
          <w:tcPr>
            <w:tcW w:w="5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5620" w:type="dxa"/>
            <w:vAlign w:val="bottom"/>
            <w:tcBorders>
              <w:right w:val="single" w:sz="8" w:color="8D8D8D"/>
            </w:tcBorders>
          </w:tcPr>
          <w:p>
            <w:pPr>
              <w:spacing w:after="0"/>
              <w:rPr>
                <w:sz w:val="21"/>
                <w:szCs w:val="21"/>
                <w:color w:val="auto"/>
              </w:rPr>
            </w:pP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15"/>
          <w:szCs w:val="15"/>
          <w:color w:val="1E1E1E"/>
        </w:rPr>
        <w:t>In 2024, we expanded our real-world macro data layer by partnering with various clinico-genomics companies and acquiring other sources of RWE. In addition to retaining access to over 20PB of de-identified oncology patient data through our partnership with Tempus, we are now partnering with Helix and have scaled access to hundreds of thousands of de-identified non-oncology patient records consisting of longitudinal clinical records paired with Helix’s Exome+® genomic data. We are working with real world data (RWD) providers and continue to augment the foundational macro layer with non-patient trial data such as fit-for-purpose natural history, and both historical and Recursion trial data.</w:t>
      </w:r>
    </w:p>
    <w:p>
      <w:pPr>
        <w:spacing w:after="0" w:line="179"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1E1E1E"/>
        </w:rPr>
        <w:t>With the integration of these real-world macro and meso data, we built critical components of the Recursion world model to increase the effective power of genetic association tests, inform on patient causality, and enable the precise selection of patient populations based on causal insights. In 2024, we demonstrated that we could extract genetic causal targets from small (24,000) patient data sets that had previously, depending on the target, required patient data sets of hundreds of thousands up to over</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1E1E1E"/>
        </w:rPr>
        <w:t>one million (3-67x increase in effective power). Recursion believes this to be a new and plausible capital-efficient approach to rare variant discovery.</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color w:val="1E1E1E"/>
        </w:rPr>
        <w:t>We also developed a generalizable causal discovery workflow combining macro-meso data features and applied these models for target identification and program initiation purposes. This has led to over 60 genes identified through these causal models that are currently in testing on our validation platform. Beyond discovery, these causal AI models are deployed to identify potential population expansions on current development programs. We have also started testing causal inference models for predicting responsive patient populations to aid in biomarker identification and design optimized patient selection strategies.</w:t>
      </w:r>
    </w:p>
    <w:p>
      <w:pPr>
        <w:spacing w:after="0" w:line="158" w:lineRule="exact"/>
        <w:rPr>
          <w:sz w:val="20"/>
          <w:szCs w:val="20"/>
          <w:color w:val="auto"/>
        </w:rPr>
      </w:pPr>
    </w:p>
    <w:p>
      <w:pPr>
        <w:ind w:right="440"/>
        <w:spacing w:after="0" w:line="273" w:lineRule="auto"/>
        <w:rPr>
          <w:sz w:val="20"/>
          <w:szCs w:val="20"/>
          <w:color w:val="auto"/>
        </w:rPr>
      </w:pPr>
      <w:r>
        <w:rPr>
          <w:rFonts w:ascii="Arial" w:cs="Arial" w:eastAsia="Arial" w:hAnsi="Arial"/>
          <w:sz w:val="15"/>
          <w:szCs w:val="15"/>
          <w:color w:val="1E1E1E"/>
        </w:rPr>
        <w:t xml:space="preserve">Our diversification and expansion of our access to large-scale real-world data, has strengthened our foundation for building world models. This included the integration of electronic health records, claims data, non-patient clinical trial data, and historical trial data. These data sources are being leveraged to advance development through </w:t>
      </w:r>
      <w:r>
        <w:rPr>
          <w:rFonts w:ascii="Arial" w:cs="Arial" w:eastAsia="Arial" w:hAnsi="Arial"/>
          <w:sz w:val="15"/>
          <w:szCs w:val="15"/>
          <w:b w:val="1"/>
          <w:bCs w:val="1"/>
          <w:color w:val="1E1E1E"/>
        </w:rPr>
        <w:t>intelligent trial design</w:t>
      </w:r>
      <w:r>
        <w:rPr>
          <w:rFonts w:ascii="Arial" w:cs="Arial" w:eastAsia="Arial" w:hAnsi="Arial"/>
          <w:sz w:val="15"/>
          <w:szCs w:val="15"/>
          <w:color w:val="1E1E1E"/>
        </w:rPr>
        <w:t xml:space="preserve">—optimizing patient selection, trial protocols, and biomarker strategies based on predictive insights; </w:t>
      </w:r>
      <w:r>
        <w:rPr>
          <w:rFonts w:ascii="Arial" w:cs="Arial" w:eastAsia="Arial" w:hAnsi="Arial"/>
          <w:sz w:val="15"/>
          <w:szCs w:val="15"/>
          <w:b w:val="1"/>
          <w:bCs w:val="1"/>
          <w:color w:val="1E1E1E"/>
        </w:rPr>
        <w:t>AI-powered</w:t>
      </w:r>
      <w:r>
        <w:rPr>
          <w:rFonts w:ascii="Arial" w:cs="Arial" w:eastAsia="Arial" w:hAnsi="Arial"/>
          <w:sz w:val="15"/>
          <w:szCs w:val="15"/>
          <w:color w:val="1E1E1E"/>
        </w:rPr>
        <w:t xml:space="preserve"> </w:t>
      </w:r>
      <w:r>
        <w:rPr>
          <w:rFonts w:ascii="Arial" w:cs="Arial" w:eastAsia="Arial" w:hAnsi="Arial"/>
          <w:sz w:val="15"/>
          <w:szCs w:val="15"/>
          <w:b w:val="1"/>
          <w:bCs w:val="1"/>
          <w:color w:val="1E1E1E"/>
        </w:rPr>
        <w:t>clinical trial execution</w:t>
      </w:r>
      <w:r>
        <w:rPr>
          <w:rFonts w:ascii="Arial" w:cs="Arial" w:eastAsia="Arial" w:hAnsi="Arial"/>
          <w:sz w:val="15"/>
          <w:szCs w:val="15"/>
          <w:color w:val="1E1E1E"/>
        </w:rPr>
        <w:t>—accelerating patient enrollment via data-driven site selection, automated outreach, and dynamic recruitment optimization; and</w:t>
      </w:r>
      <w:r>
        <w:rPr>
          <w:rFonts w:ascii="Arial" w:cs="Arial" w:eastAsia="Arial" w:hAnsi="Arial"/>
          <w:sz w:val="15"/>
          <w:szCs w:val="15"/>
          <w:b w:val="1"/>
          <w:bCs w:val="1"/>
          <w:color w:val="1E1E1E"/>
        </w:rPr>
        <w:t xml:space="preserve"> multi-modal RWE application at scale</w:t>
      </w:r>
      <w:r>
        <w:rPr>
          <w:rFonts w:ascii="Arial" w:cs="Arial" w:eastAsia="Arial" w:hAnsi="Arial"/>
          <w:sz w:val="15"/>
          <w:szCs w:val="15"/>
          <w:color w:val="1E1E1E"/>
        </w:rPr>
        <w:t>—combining genomic, clinical, and claims data to inform decision-making across discovery, development, and validation.</w:t>
      </w:r>
    </w:p>
    <w:p>
      <w:pPr>
        <w:spacing w:after="0" w:line="153" w:lineRule="exact"/>
        <w:rPr>
          <w:sz w:val="20"/>
          <w:szCs w:val="20"/>
          <w:color w:val="auto"/>
        </w:rPr>
      </w:pPr>
    </w:p>
    <w:p>
      <w:pPr>
        <w:jc w:val="both"/>
        <w:ind w:right="420"/>
        <w:spacing w:after="0" w:line="282" w:lineRule="auto"/>
        <w:rPr>
          <w:sz w:val="20"/>
          <w:szCs w:val="20"/>
          <w:color w:val="auto"/>
        </w:rPr>
      </w:pPr>
      <w:r>
        <w:rPr>
          <w:rFonts w:ascii="Arial" w:cs="Arial" w:eastAsia="Arial" w:hAnsi="Arial"/>
          <w:sz w:val="15"/>
          <w:szCs w:val="15"/>
          <w:color w:val="1E1E1E"/>
        </w:rPr>
        <w:t>Finally, we also accelerated patient enrollment with data-driven site selection and automated site outreach. Looking ahead, we will expand and develop these components, and the industrialized workflows that integrate these into the Recursion OS to drive industrialized clinical development and increase probability of success for our clinical programs.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Meso Scale Data Layers</w:t>
      </w:r>
    </w:p>
    <w:p>
      <w:pPr>
        <w:spacing w:after="0" w:line="74"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1E1E1E"/>
        </w:rPr>
        <w:t>Mesoscale data at Recursion informs us about cellular biology and serves a unique role: data on cellular systems integrates over biological pathways, revealing information about the multiple effects that individual molecules and targets may mediate to enhance translatability (polypharmacology), while simultaneously offering orders of magnitudes greater sample scale and interventional capability than macro-scale systems. Recursion has built and applied two high-throughput mesoscale assays and data layers, phenomics and transcriptomics.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1AA7DF"/>
        </w:rPr>
        <w:t>Phenomics Data Layer</w:t>
      </w:r>
    </w:p>
    <w:p>
      <w:pPr>
        <w:spacing w:after="0" w:line="67" w:lineRule="exact"/>
        <w:rPr>
          <w:sz w:val="20"/>
          <w:szCs w:val="20"/>
          <w:color w:val="auto"/>
        </w:rPr>
      </w:pPr>
    </w:p>
    <w:p>
      <w:pPr>
        <w:jc w:val="both"/>
        <w:ind w:right="220"/>
        <w:spacing w:after="0" w:line="271" w:lineRule="auto"/>
        <w:rPr>
          <w:sz w:val="20"/>
          <w:szCs w:val="20"/>
          <w:color w:val="auto"/>
        </w:rPr>
      </w:pPr>
      <w:r>
        <w:rPr>
          <w:rFonts w:ascii="Arial" w:cs="Arial" w:eastAsia="Arial" w:hAnsi="Arial"/>
          <w:sz w:val="15"/>
          <w:szCs w:val="15"/>
          <w:color w:val="1E1E1E"/>
        </w:rPr>
        <w:t>Phenomics measures the morphology of cultured cells grown in laboratory plates. Morphology is a holistic measure of cellular state that integrates changes from underlying layers of cell biology, including gene expression, protein production and modification, and cell signaling, into a single, powerful readout. Image-based - omics can be two to four orders of magnitude more data-dense per dollar than other -omics datasets that focus on these more proximal readouts, enabling us to generate far more data per dollar spent to inform our drug discovery efforts. Phenomics data on genetic and small molecule perturbations forms the backbone of Recursion’s Maps of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126365</wp:posOffset>
            </wp:positionV>
            <wp:extent cx="8255" cy="1154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115443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1E1E1E"/>
        </w:rPr>
        <w:t>REAL WORLD</w:t>
      </w:r>
    </w:p>
    <w:p>
      <w:pPr>
        <w:spacing w:after="0" w:line="178" w:lineRule="exact"/>
        <w:rPr>
          <w:sz w:val="20"/>
          <w:szCs w:val="20"/>
          <w:color w:val="auto"/>
        </w:rPr>
      </w:pPr>
    </w:p>
    <w:p>
      <w:pPr>
        <w:ind w:left="20" w:right="460"/>
        <w:spacing w:after="0" w:line="330" w:lineRule="auto"/>
        <w:rPr>
          <w:sz w:val="20"/>
          <w:szCs w:val="20"/>
          <w:color w:val="auto"/>
        </w:rPr>
      </w:pPr>
      <w:r>
        <w:rPr>
          <w:rFonts w:ascii="Arial" w:cs="Arial" w:eastAsia="Arial" w:hAnsi="Arial"/>
          <w:sz w:val="15"/>
          <w:szCs w:val="15"/>
          <w:color w:val="1E1E1E"/>
        </w:rPr>
        <w:t>Phenomics: morphology provides a holistic measure of cellular biology integrating changes in gene expression and protein function.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color w:val="1E1E1E"/>
        </w:rPr>
        <w:t>Recursion can run up to 2.2M phenomics experiments per week.</w:t>
      </w:r>
    </w:p>
    <w:p>
      <w:pPr>
        <w:spacing w:after="0" w:line="137" w:lineRule="exact"/>
        <w:rPr>
          <w:sz w:val="20"/>
          <w:szCs w:val="20"/>
          <w:color w:val="auto"/>
        </w:rPr>
      </w:pPr>
    </w:p>
    <w:p>
      <w:pPr>
        <w:ind w:left="20"/>
        <w:spacing w:after="0" w:line="299" w:lineRule="auto"/>
        <w:rPr>
          <w:sz w:val="20"/>
          <w:szCs w:val="20"/>
          <w:color w:val="auto"/>
        </w:rPr>
      </w:pPr>
      <w:r>
        <w:rPr>
          <w:rFonts w:ascii="Arial" w:cs="Arial" w:eastAsia="Arial" w:hAnsi="Arial"/>
          <w:sz w:val="15"/>
          <w:szCs w:val="15"/>
          <w:color w:val="1E1E1E"/>
        </w:rPr>
        <w:t>Majority of Recursion phenomics capacity is now dedicated to multi-timepoint brightfield imaging, enabling measurement of cellular dynamics, beyond single endpoints.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1E1E1E"/>
        </w:rPr>
        <w:t>WORLD MODEL</w:t>
      </w:r>
    </w:p>
    <w:p>
      <w:pPr>
        <w:spacing w:after="0" w:line="178" w:lineRule="exact"/>
        <w:rPr>
          <w:sz w:val="20"/>
          <w:szCs w:val="20"/>
          <w:color w:val="auto"/>
        </w:rPr>
      </w:pPr>
    </w:p>
    <w:p>
      <w:pPr>
        <w:jc w:val="both"/>
        <w:ind w:right="420"/>
        <w:spacing w:after="0" w:line="330" w:lineRule="auto"/>
        <w:rPr>
          <w:sz w:val="20"/>
          <w:szCs w:val="20"/>
          <w:color w:val="auto"/>
        </w:rPr>
      </w:pPr>
      <w:r>
        <w:rPr>
          <w:rFonts w:ascii="Arial" w:cs="Arial" w:eastAsia="Arial" w:hAnsi="Arial"/>
          <w:sz w:val="15"/>
          <w:szCs w:val="15"/>
          <w:color w:val="1E1E1E"/>
        </w:rPr>
        <w:t>BioHive-2 enabled continued scaling of Phenom models, with Phenom-2 demonstrating a 25.7% increase in expressed gene knockouts detected.</w:t>
      </w:r>
    </w:p>
    <w:p>
      <w:pPr>
        <w:spacing w:after="0" w:line="28" w:lineRule="exact"/>
        <w:rPr>
          <w:sz w:val="20"/>
          <w:szCs w:val="20"/>
          <w:color w:val="auto"/>
        </w:rPr>
      </w:pPr>
    </w:p>
    <w:p>
      <w:pPr>
        <w:ind w:right="420"/>
        <w:spacing w:after="0" w:line="330" w:lineRule="auto"/>
        <w:rPr>
          <w:sz w:val="20"/>
          <w:szCs w:val="20"/>
          <w:color w:val="auto"/>
        </w:rPr>
      </w:pPr>
      <w:r>
        <w:rPr>
          <w:rFonts w:ascii="Arial" w:cs="Arial" w:eastAsia="Arial" w:hAnsi="Arial"/>
          <w:sz w:val="15"/>
          <w:szCs w:val="15"/>
          <w:color w:val="1E1E1E"/>
        </w:rPr>
        <w:t>Phenom models demonstrate potential path to direct relatability between historical fluorescent phenomics data and new brightfield data.</w:t>
      </w:r>
    </w:p>
    <w:p>
      <w:pPr>
        <w:spacing w:after="0" w:line="679" w:lineRule="exact"/>
        <w:rPr>
          <w:sz w:val="20"/>
          <w:szCs w:val="20"/>
          <w:color w:val="auto"/>
        </w:rPr>
      </w:pPr>
    </w:p>
    <w:p>
      <w:pPr>
        <w:sectPr>
          <w:pgSz w:w="11900" w:h="16838" w:orient="portrait"/>
          <w:cols w:equalWidth="0" w:num="2">
            <w:col w:w="5300" w:space="560"/>
            <w:col w:w="5380"/>
          </w:cols>
          <w:pgMar w:left="320" w:top="136" w:right="339" w:bottom="1440" w:gutter="0" w:footer="0" w:header="0"/>
          <w:type w:val="continuous"/>
        </w:sectPr>
      </w:pPr>
    </w:p>
    <w:p>
      <w:pPr>
        <w:spacing w:after="0" w:line="32"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Our real-world experimental phenomics data has historically been captured using multi-channel fluorescence microscopy; through 2024, we transitioned the platform to acquire live-cell brightfield images, an imaging modality bringing the capability to measure dynamic cellular state across time, rather than at a single timepoint as is typical for fluorescence-based phenomics or sequencing. In 2024, Recursion’s real-world phenomics experimental capabilities scaled to be able to generate up to 13.2 million cell paint images (110 terabytes) or up to 16.2 (135 terabytes) million multi-timepoint brightfield images across up to 2.2 million experiments per week.</w:t>
      </w:r>
    </w:p>
    <w:p>
      <w:pPr>
        <w:spacing w:after="0" w:line="162"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color w:val="1E1E1E"/>
        </w:rPr>
        <w:t>Our state-of-the-art machine learning work in phenomics contributes deeply to the Recursion world model. In 2024, Recursion demonstrated the power of scaling laws in machine learning with the training and deployment of Phenom-2, a larger version of the Phenom-1 phenomics model from 2023, making use of the increased computational power of BioHive-2 to improve the detection rate of expressed gene knockouts by 25.7%. We further demonstrated the power of Phenom models on our data by training a Phenom-2-derived model to reconstruct fluorescent Cell Painting images from brightfield data alone, potentially enabling us to directly relate historical Cell Painting data to the brightfield data being collected today and in the future.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377190</wp:posOffset>
            </wp:positionV>
            <wp:extent cx="5599430" cy="2095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99430" cy="209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0"/>
        <w:spacing w:after="0" w:line="262" w:lineRule="auto"/>
        <w:rPr>
          <w:sz w:val="20"/>
          <w:szCs w:val="20"/>
          <w:color w:val="auto"/>
        </w:rPr>
      </w:pPr>
      <w:r>
        <w:rPr>
          <w:rFonts w:ascii="Arial" w:cs="Arial" w:eastAsia="Arial" w:hAnsi="Arial"/>
          <w:sz w:val="14"/>
          <w:szCs w:val="14"/>
          <w:b w:val="1"/>
          <w:bCs w:val="1"/>
          <w:color w:val="6E6E6E"/>
        </w:rPr>
        <w:t xml:space="preserve">Figure 21. </w:t>
      </w:r>
      <w:r>
        <w:rPr>
          <w:rFonts w:ascii="Arial" w:cs="Arial" w:eastAsia="Arial" w:hAnsi="Arial"/>
          <w:sz w:val="14"/>
          <w:szCs w:val="14"/>
          <w:color w:val="6E6E6E"/>
        </w:rPr>
        <w:t>Predicting Cell Paint from Brightfield. Phenom-derived models are able to accurately impute fluorescent stains from brightfield-only images. Using paired brightfield and</w:t>
      </w:r>
      <w:r>
        <w:rPr>
          <w:rFonts w:ascii="Arial" w:cs="Arial" w:eastAsia="Arial" w:hAnsi="Arial"/>
          <w:sz w:val="14"/>
          <w:szCs w:val="14"/>
          <w:b w:val="1"/>
          <w:bCs w:val="1"/>
          <w:color w:val="6E6E6E"/>
        </w:rPr>
        <w:t xml:space="preserve"> </w:t>
      </w:r>
      <w:r>
        <w:rPr>
          <w:rFonts w:ascii="Arial" w:cs="Arial" w:eastAsia="Arial" w:hAnsi="Arial"/>
          <w:sz w:val="14"/>
          <w:szCs w:val="14"/>
          <w:color w:val="6E6E6E"/>
        </w:rPr>
        <w:t>fluorescent phenomics (“Cell Paint”) data, Recursion scientists trained a Phenom-derived model to reconstruct fluorescent images from brightfield data.</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1AA7DF"/>
        </w:rPr>
        <w:t>Transcriptomics and new –omics data layers</w:t>
      </w:r>
    </w:p>
    <w:p>
      <w:pPr>
        <w:spacing w:after="0" w:line="67"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1E1E1E"/>
        </w:rPr>
        <w:t>Transcriptomics is a high-dimensional measure of cellular biology distinct from phenomics that assesses gene expression by measuring RNA levels in the cell. Transcriptomics augments our mesoscale data acquisition in three key ways. First, it enables independent replication, at scale, of effects detected in phenomics to verify that they are not morphology-specific artifacts. Second, it offers a route to greater potential interpretability of high-dimensional biological effects by mapping perturbations onto identifiable genetic pathways. Finally, it potentially enables the acquisition of new kinds of biological information, including both effects specific to the transcriptome and new perturbations inaccessible on our phenomics platform.</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b w:val="1"/>
                <w:bCs w:val="1"/>
                <w:color w:val="1E1E1E"/>
              </w:rPr>
              <w:t>REAL WORLD</w:t>
            </w:r>
          </w:p>
        </w:tc>
        <w:tc>
          <w:tcPr>
            <w:tcW w:w="5420" w:type="dxa"/>
            <w:vAlign w:val="bottom"/>
          </w:tcPr>
          <w:p>
            <w:pPr>
              <w:ind w:left="220"/>
              <w:spacing w:after="0"/>
              <w:rPr>
                <w:sz w:val="20"/>
                <w:szCs w:val="20"/>
                <w:color w:val="auto"/>
              </w:rPr>
            </w:pPr>
            <w:r>
              <w:rPr>
                <w:rFonts w:ascii="Arial" w:cs="Arial" w:eastAsia="Arial" w:hAnsi="Arial"/>
                <w:sz w:val="15"/>
                <w:szCs w:val="15"/>
                <w:b w:val="1"/>
                <w:bCs w:val="1"/>
                <w:color w:val="1E1E1E"/>
              </w:rPr>
              <w:t>WORLD MODEL</w:t>
            </w:r>
          </w:p>
        </w:tc>
        <w:tc>
          <w:tcPr>
            <w:tcW w:w="0" w:type="dxa"/>
            <w:vAlign w:val="bottom"/>
          </w:tcPr>
          <w:p>
            <w:pPr>
              <w:spacing w:after="0"/>
              <w:rPr>
                <w:sz w:val="1"/>
                <w:szCs w:val="1"/>
                <w:color w:val="auto"/>
              </w:rPr>
            </w:pPr>
          </w:p>
        </w:tc>
      </w:tr>
      <w:tr>
        <w:trPr>
          <w:trHeight w:val="332"/>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Generated &gt;1.6M individual transcriptomes since its launch in 2023, with just</w:t>
            </w:r>
          </w:p>
        </w:tc>
        <w:tc>
          <w:tcPr>
            <w:tcW w:w="5420" w:type="dxa"/>
            <w:vAlign w:val="bottom"/>
          </w:tcPr>
          <w:p>
            <w:pPr>
              <w:ind w:left="220"/>
              <w:spacing w:after="0"/>
              <w:rPr>
                <w:sz w:val="20"/>
                <w:szCs w:val="20"/>
                <w:color w:val="auto"/>
              </w:rPr>
            </w:pPr>
            <w:r>
              <w:rPr>
                <w:rFonts w:ascii="Arial" w:cs="Arial" w:eastAsia="Arial" w:hAnsi="Arial"/>
                <w:sz w:val="15"/>
                <w:szCs w:val="15"/>
                <w:color w:val="1E1E1E"/>
              </w:rPr>
              <w:t>Developed algorithms to orthogonally confirm phenomics results using</w:t>
            </w:r>
          </w:p>
        </w:tc>
        <w:tc>
          <w:tcPr>
            <w:tcW w:w="0" w:type="dxa"/>
            <w:vAlign w:val="bottom"/>
          </w:tcPr>
          <w:p>
            <w:pPr>
              <w:spacing w:after="0"/>
              <w:rPr>
                <w:sz w:val="1"/>
                <w:szCs w:val="1"/>
                <w:color w:val="auto"/>
              </w:rPr>
            </w:pPr>
          </w:p>
        </w:tc>
      </w:tr>
      <w:tr>
        <w:trPr>
          <w:trHeight w:val="196"/>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under 1M generated in 2024</w:t>
            </w:r>
          </w:p>
        </w:tc>
        <w:tc>
          <w:tcPr>
            <w:tcW w:w="5420" w:type="dxa"/>
            <w:vAlign w:val="bottom"/>
          </w:tcPr>
          <w:p>
            <w:pPr>
              <w:ind w:left="220"/>
              <w:spacing w:after="0"/>
              <w:rPr>
                <w:sz w:val="20"/>
                <w:szCs w:val="20"/>
                <w:color w:val="auto"/>
              </w:rPr>
            </w:pPr>
            <w:r>
              <w:rPr>
                <w:rFonts w:ascii="Arial" w:cs="Arial" w:eastAsia="Arial" w:hAnsi="Arial"/>
                <w:sz w:val="15"/>
                <w:szCs w:val="15"/>
                <w:color w:val="1E1E1E"/>
              </w:rPr>
              <w:t>arrayed transcriptomics replacing disease-specific confirmatory assays, with</w:t>
            </w:r>
          </w:p>
        </w:tc>
        <w:tc>
          <w:tcPr>
            <w:tcW w:w="0" w:type="dxa"/>
            <w:vAlign w:val="bottom"/>
          </w:tcPr>
          <w:p>
            <w:pPr>
              <w:spacing w:after="0"/>
              <w:rPr>
                <w:sz w:val="1"/>
                <w:szCs w:val="1"/>
                <w:color w:val="auto"/>
              </w:rPr>
            </w:pPr>
          </w:p>
        </w:tc>
      </w:tr>
      <w:tr>
        <w:trPr>
          <w:trHeight w:val="204"/>
        </w:trPr>
        <w:tc>
          <w:tcPr>
            <w:tcW w:w="5620" w:type="dxa"/>
            <w:vAlign w:val="bottom"/>
            <w:tcBorders>
              <w:right w:val="single" w:sz="8" w:color="8D8D8D"/>
            </w:tcBorders>
            <w:vMerge w:val="restart"/>
          </w:tcPr>
          <w:p>
            <w:pPr>
              <w:spacing w:after="0"/>
              <w:rPr>
                <w:sz w:val="20"/>
                <w:szCs w:val="20"/>
                <w:color w:val="auto"/>
              </w:rPr>
            </w:pPr>
            <w:r>
              <w:rPr>
                <w:rFonts w:ascii="Arial" w:cs="Arial" w:eastAsia="Arial" w:hAnsi="Arial"/>
                <w:sz w:val="15"/>
                <w:szCs w:val="15"/>
                <w:color w:val="1E1E1E"/>
              </w:rPr>
              <w:t>Built world’s first genome-scale CRISPR knockout map in primary human</w:t>
            </w:r>
          </w:p>
        </w:tc>
        <w:tc>
          <w:tcPr>
            <w:tcW w:w="5420" w:type="dxa"/>
            <w:vAlign w:val="bottom"/>
          </w:tcPr>
          <w:p>
            <w:pPr>
              <w:ind w:left="220"/>
              <w:spacing w:after="0"/>
              <w:rPr>
                <w:sz w:val="20"/>
                <w:szCs w:val="20"/>
                <w:color w:val="auto"/>
              </w:rPr>
            </w:pPr>
            <w:r>
              <w:rPr>
                <w:rFonts w:ascii="Arial" w:cs="Arial" w:eastAsia="Arial" w:hAnsi="Arial"/>
                <w:sz w:val="15"/>
                <w:szCs w:val="15"/>
                <w:color w:val="1E1E1E"/>
              </w:rPr>
              <w:t>90% ability to filter out compounds that would have failed such bespoke</w:t>
            </w:r>
          </w:p>
        </w:tc>
        <w:tc>
          <w:tcPr>
            <w:tcW w:w="0" w:type="dxa"/>
            <w:vAlign w:val="bottom"/>
          </w:tcPr>
          <w:p>
            <w:pPr>
              <w:spacing w:after="0"/>
              <w:rPr>
                <w:sz w:val="1"/>
                <w:szCs w:val="1"/>
                <w:color w:val="auto"/>
              </w:rPr>
            </w:pPr>
          </w:p>
        </w:tc>
      </w:tr>
      <w:tr>
        <w:trPr>
          <w:trHeight w:val="103"/>
        </w:trPr>
        <w:tc>
          <w:tcPr>
            <w:tcW w:w="5620" w:type="dxa"/>
            <w:vAlign w:val="bottom"/>
            <w:tcBorders>
              <w:right w:val="single" w:sz="8" w:color="8D8D8D"/>
            </w:tcBorders>
            <w:vMerge w:val="continue"/>
          </w:tcPr>
          <w:p>
            <w:pPr>
              <w:spacing w:after="0"/>
              <w:rPr>
                <w:sz w:val="8"/>
                <w:szCs w:val="8"/>
                <w:color w:val="auto"/>
              </w:rPr>
            </w:pPr>
          </w:p>
        </w:tc>
        <w:tc>
          <w:tcPr>
            <w:tcW w:w="5420" w:type="dxa"/>
            <w:vAlign w:val="bottom"/>
            <w:vMerge w:val="restart"/>
          </w:tcPr>
          <w:p>
            <w:pPr>
              <w:ind w:left="220"/>
              <w:spacing w:after="0"/>
              <w:rPr>
                <w:sz w:val="20"/>
                <w:szCs w:val="20"/>
                <w:color w:val="auto"/>
              </w:rPr>
            </w:pPr>
            <w:r>
              <w:rPr>
                <w:rFonts w:ascii="Arial" w:cs="Arial" w:eastAsia="Arial" w:hAnsi="Arial"/>
                <w:sz w:val="15"/>
                <w:szCs w:val="15"/>
                <w:color w:val="1E1E1E"/>
              </w:rPr>
              <w:t>assays</w:t>
            </w:r>
          </w:p>
        </w:tc>
        <w:tc>
          <w:tcPr>
            <w:tcW w:w="0" w:type="dxa"/>
            <w:vAlign w:val="bottom"/>
          </w:tcPr>
          <w:p>
            <w:pPr>
              <w:spacing w:after="0"/>
              <w:rPr>
                <w:sz w:val="1"/>
                <w:szCs w:val="1"/>
                <w:color w:val="auto"/>
              </w:rPr>
            </w:pPr>
          </w:p>
        </w:tc>
      </w:tr>
      <w:tr>
        <w:trPr>
          <w:trHeight w:val="103"/>
        </w:trPr>
        <w:tc>
          <w:tcPr>
            <w:tcW w:w="5620" w:type="dxa"/>
            <w:vAlign w:val="bottom"/>
            <w:tcBorders>
              <w:right w:val="single" w:sz="8" w:color="8D8D8D"/>
            </w:tcBorders>
            <w:vMerge w:val="restart"/>
          </w:tcPr>
          <w:p>
            <w:pPr>
              <w:spacing w:after="0"/>
              <w:rPr>
                <w:sz w:val="20"/>
                <w:szCs w:val="20"/>
                <w:color w:val="auto"/>
              </w:rPr>
            </w:pPr>
            <w:r>
              <w:rPr>
                <w:rFonts w:ascii="Arial" w:cs="Arial" w:eastAsia="Arial" w:hAnsi="Arial"/>
                <w:sz w:val="15"/>
                <w:szCs w:val="15"/>
                <w:color w:val="1E1E1E"/>
              </w:rPr>
              <w:t>cells</w:t>
            </w:r>
          </w:p>
        </w:tc>
        <w:tc>
          <w:tcPr>
            <w:tcW w:w="5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620" w:type="dxa"/>
            <w:vAlign w:val="bottom"/>
            <w:tcBorders>
              <w:right w:val="single" w:sz="8" w:color="8D8D8D"/>
            </w:tcBorders>
            <w:vMerge w:val="continue"/>
          </w:tcPr>
          <w:p>
            <w:pPr>
              <w:spacing w:after="0"/>
              <w:rPr>
                <w:sz w:val="8"/>
                <w:szCs w:val="8"/>
                <w:color w:val="auto"/>
              </w:rPr>
            </w:pPr>
          </w:p>
        </w:tc>
        <w:tc>
          <w:tcPr>
            <w:tcW w:w="5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5620" w:type="dxa"/>
            <w:vAlign w:val="bottom"/>
            <w:tcBorders>
              <w:right w:val="single" w:sz="8" w:color="8D8D8D"/>
            </w:tcBorders>
          </w:tcPr>
          <w:p>
            <w:pPr>
              <w:spacing w:after="0"/>
              <w:rPr>
                <w:sz w:val="17"/>
                <w:szCs w:val="17"/>
                <w:color w:val="auto"/>
              </w:rPr>
            </w:pPr>
          </w:p>
        </w:tc>
        <w:tc>
          <w:tcPr>
            <w:tcW w:w="5420" w:type="dxa"/>
            <w:vAlign w:val="bottom"/>
          </w:tcPr>
          <w:p>
            <w:pPr>
              <w:ind w:left="220"/>
              <w:spacing w:after="0"/>
              <w:rPr>
                <w:sz w:val="20"/>
                <w:szCs w:val="20"/>
                <w:color w:val="auto"/>
              </w:rPr>
            </w:pPr>
            <w:r>
              <w:rPr>
                <w:rFonts w:ascii="Arial" w:cs="Arial" w:eastAsia="Arial" w:hAnsi="Arial"/>
                <w:sz w:val="15"/>
                <w:szCs w:val="15"/>
                <w:color w:val="1E1E1E"/>
              </w:rPr>
              <w:t>Initiated work on scaled representation learning in transcriptomics</w:t>
            </w:r>
          </w:p>
        </w:tc>
        <w:tc>
          <w:tcPr>
            <w:tcW w:w="0" w:type="dxa"/>
            <w:vAlign w:val="bottom"/>
          </w:tcPr>
          <w:p>
            <w:pPr>
              <w:spacing w:after="0"/>
              <w:rPr>
                <w:sz w:val="1"/>
                <w:szCs w:val="1"/>
                <w:color w:val="auto"/>
              </w:rPr>
            </w:pPr>
          </w:p>
        </w:tc>
      </w:tr>
      <w:tr>
        <w:trPr>
          <w:trHeight w:val="27"/>
        </w:trPr>
        <w:tc>
          <w:tcPr>
            <w:tcW w:w="5620" w:type="dxa"/>
            <w:vAlign w:val="bottom"/>
            <w:tcBorders>
              <w:right w:val="single" w:sz="8" w:color="8D8D8D"/>
            </w:tcBorders>
          </w:tcPr>
          <w:p>
            <w:pPr>
              <w:spacing w:after="0"/>
              <w:rPr>
                <w:sz w:val="2"/>
                <w:szCs w:val="2"/>
                <w:color w:val="auto"/>
              </w:rPr>
            </w:pPr>
          </w:p>
        </w:tc>
        <w:tc>
          <w:tcPr>
            <w:tcW w:w="5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15"/>
          <w:szCs w:val="15"/>
          <w:color w:val="1E1E1E"/>
        </w:rPr>
        <w:t>We acquire transcriptomics data in the real world using both an internally developed high-density bulk arrayed transcriptomics platform as well as a newly developed pooled single-cell transcriptomics capability. In 2024, we have expanded our arrayed transcriptomics platform capability to enable the sequencing up to 62,000 wells per week and in 2024, generated just under 1 million individual transcriptomes of data. This year, we augmented our platform with the capability to read out pooled perturbations by single-cell RNA sequencing and demonstrated this capability with what we believe to be the world’s first genome-scale CRISPR knockout map in primary human cells. We continue to explore investments in –omics technologies beyond transcriptomics, including but not limited to proteomics and metabolomics.</w:t>
      </w:r>
    </w:p>
    <w:p>
      <w:pPr>
        <w:spacing w:after="0" w:line="179" w:lineRule="exact"/>
        <w:rPr>
          <w:sz w:val="20"/>
          <w:szCs w:val="20"/>
          <w:color w:val="auto"/>
        </w:rPr>
      </w:pPr>
    </w:p>
    <w:p>
      <w:pPr>
        <w:ind w:right="200"/>
        <w:spacing w:after="0" w:line="267" w:lineRule="auto"/>
        <w:rPr>
          <w:sz w:val="20"/>
          <w:szCs w:val="20"/>
          <w:color w:val="auto"/>
        </w:rPr>
      </w:pPr>
      <w:r>
        <w:rPr>
          <w:rFonts w:ascii="Arial" w:cs="Arial" w:eastAsia="Arial" w:hAnsi="Arial"/>
          <w:sz w:val="15"/>
          <w:szCs w:val="15"/>
          <w:color w:val="1E1E1E"/>
        </w:rPr>
        <w:t>Transcriptomics represents the first extension beyond phenomics in the Recursion world model. In 2024, we applied Recursion algorithms operating on transcriptomic experiments confirming phenomics to replace time-consuming, disease-specific validation assays with a portfolio-wide multimodal analysis. This analysis demonstrated a 90% ability to predict compounds that failed later disease-relevant assays in internal tests and 60% ability to predict compounds that passed later disease-relevant assays in internal tests. The results of our whole-genome transcriptomic knockout map are now available for internal analysis in the Recursion Data Universe, and in 2025 we anticipate further development of scaled machine learning capabilities on transcriptomic data paralleling our historical development in phenomics.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369570</wp:posOffset>
            </wp:positionV>
            <wp:extent cx="3929380" cy="29146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2938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b w:val="1"/>
          <w:bCs w:val="1"/>
          <w:color w:val="6E6E6E"/>
        </w:rPr>
        <w:t xml:space="preserve">Figure 22. </w:t>
      </w:r>
      <w:r>
        <w:rPr>
          <w:rFonts w:ascii="Arial" w:cs="Arial" w:eastAsia="Arial" w:hAnsi="Arial"/>
          <w:sz w:val="14"/>
          <w:szCs w:val="14"/>
          <w:color w:val="6E6E6E"/>
        </w:rPr>
        <w:t>Phenomics and transcriptomics can provide complementary views of biology. In this figure, relationships between knockouts of genes involved in control of RNA transcription</w:t>
      </w:r>
      <w:r>
        <w:rPr>
          <w:rFonts w:ascii="Arial" w:cs="Arial" w:eastAsia="Arial" w:hAnsi="Arial"/>
          <w:sz w:val="14"/>
          <w:szCs w:val="14"/>
          <w:b w:val="1"/>
          <w:bCs w:val="1"/>
          <w:color w:val="6E6E6E"/>
        </w:rPr>
        <w:t xml:space="preserve"> </w:t>
      </w:r>
      <w:r>
        <w:rPr>
          <w:rFonts w:ascii="Arial" w:cs="Arial" w:eastAsia="Arial" w:hAnsi="Arial"/>
          <w:sz w:val="14"/>
          <w:szCs w:val="14"/>
          <w:color w:val="6E6E6E"/>
        </w:rPr>
        <w:t>and protein translation are visualized, with relationships from phenomics in the lower triangle and those from our internal genome-scale transcriptomic knockout map in the upper triangle. As a distal readout, phenomics sees similar effects on cellular biology from the loss of either transcription or translation. By contrast, transcriptomics identifies opposite directionality of effect between knockouts of these two classes of genes, potentially offering higher resolution in certain areas of biology.</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Micro Scale Data Layers</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1E1E1E"/>
        </w:rPr>
        <w:t xml:space="preserve">At the smallest end, microscale data informs on the key chemical and biophysical measurements needed to succeed in drug discovery. This scale covers the molecular-level events, such as the binding events between compounds and their target proteins, as well as the chemical reactions involved in synthesizing and metabolizing these compounds. Three data layers encompass this micro scale. </w:t>
      </w:r>
      <w:r>
        <w:rPr>
          <w:rFonts w:ascii="Arial" w:cs="Arial" w:eastAsia="Arial" w:hAnsi="Arial"/>
          <w:sz w:val="15"/>
          <w:szCs w:val="15"/>
          <w:i w:val="1"/>
          <w:iCs w:val="1"/>
          <w:color w:val="1E1E1E"/>
        </w:rPr>
        <w:t>(1) Protein Target, (2) Chemical Data &amp; Automated Synthesis, and (3) ADMET,</w:t>
      </w:r>
      <w:r>
        <w:rPr>
          <w:rFonts w:ascii="Arial" w:cs="Arial" w:eastAsia="Arial" w:hAnsi="Arial"/>
          <w:sz w:val="15"/>
          <w:szCs w:val="15"/>
          <w:color w:val="1E1E1E"/>
        </w:rPr>
        <w:t xml:space="preserve"> each encompassing scaled data generation and state-of-the-art AI models to accelerate our design initiatives.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1AA7DF"/>
        </w:rPr>
        <w:t>Protein Target Data Layer</w:t>
      </w:r>
    </w:p>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 xml:space="preserve">Our protein target data layer measures the protein-ligand binding interactions that drive drug discovery. Engaging protein targets with new compounds is a key driver in the development of effective medicines. This data layer encompasses the development of new target-centric functional assays, the automated platform conducting these real-world experiments, as well as our suite of advanced physics-based simulations that yield accurate synthetic data. These insights are captured by our </w:t>
      </w:r>
      <w:r>
        <w:rPr>
          <w:rFonts w:ascii="Arial" w:cs="Arial" w:eastAsia="Arial" w:hAnsi="Arial"/>
          <w:sz w:val="15"/>
          <w:szCs w:val="15"/>
          <w:i w:val="1"/>
          <w:iCs w:val="1"/>
          <w:color w:val="1E1E1E"/>
        </w:rPr>
        <w:t>state-of-the-art</w:t>
      </w:r>
      <w:r>
        <w:rPr>
          <w:rFonts w:ascii="Arial" w:cs="Arial" w:eastAsia="Arial" w:hAnsi="Arial"/>
          <w:sz w:val="15"/>
          <w:szCs w:val="15"/>
          <w:color w:val="1E1E1E"/>
        </w:rPr>
        <w:t xml:space="preserve"> predictive chemistry models, using this data to guide automated design decisions.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b w:val="1"/>
                <w:bCs w:val="1"/>
                <w:color w:val="1E1E1E"/>
              </w:rPr>
              <w:t>REAL WORLD</w:t>
            </w:r>
          </w:p>
        </w:tc>
        <w:tc>
          <w:tcPr>
            <w:tcW w:w="2340" w:type="dxa"/>
            <w:vAlign w:val="bottom"/>
          </w:tcPr>
          <w:p>
            <w:pPr>
              <w:ind w:left="220"/>
              <w:spacing w:after="0"/>
              <w:rPr>
                <w:sz w:val="20"/>
                <w:szCs w:val="20"/>
                <w:color w:val="auto"/>
              </w:rPr>
            </w:pPr>
            <w:r>
              <w:rPr>
                <w:rFonts w:ascii="Arial" w:cs="Arial" w:eastAsia="Arial" w:hAnsi="Arial"/>
                <w:sz w:val="15"/>
                <w:szCs w:val="15"/>
                <w:b w:val="1"/>
                <w:bCs w:val="1"/>
                <w:color w:val="1E1E1E"/>
              </w:rPr>
              <w:t>WORLD MODEL</w:t>
            </w:r>
          </w:p>
        </w:tc>
      </w:tr>
      <w:tr>
        <w:trPr>
          <w:trHeight w:val="332"/>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In-house support for over 250 unique assay types</w:t>
            </w:r>
          </w:p>
        </w:tc>
        <w:tc>
          <w:tcPr>
            <w:tcW w:w="2340" w:type="dxa"/>
            <w:vAlign w:val="bottom"/>
          </w:tcPr>
          <w:p>
            <w:pPr>
              <w:ind w:left="220"/>
              <w:spacing w:after="0"/>
              <w:rPr>
                <w:sz w:val="20"/>
                <w:szCs w:val="20"/>
                <w:color w:val="auto"/>
              </w:rPr>
            </w:pPr>
            <w:r>
              <w:rPr>
                <w:rFonts w:ascii="Arial" w:cs="Arial" w:eastAsia="Arial" w:hAnsi="Arial"/>
                <w:sz w:val="15"/>
                <w:szCs w:val="15"/>
                <w:color w:val="1E1E1E"/>
              </w:rPr>
              <w:t>Co-folding &amp; ABFE simulations</w:t>
            </w:r>
          </w:p>
        </w:tc>
      </w:tr>
      <w:tr>
        <w:trPr>
          <w:trHeight w:val="297"/>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Over 50% fully unattended assay ready plate production</w:t>
            </w:r>
          </w:p>
        </w:tc>
        <w:tc>
          <w:tcPr>
            <w:tcW w:w="2340" w:type="dxa"/>
            <w:vAlign w:val="bottom"/>
          </w:tcPr>
          <w:p>
            <w:pPr>
              <w:ind w:left="220"/>
              <w:spacing w:after="0"/>
              <w:rPr>
                <w:sz w:val="20"/>
                <w:szCs w:val="20"/>
                <w:color w:val="auto"/>
              </w:rPr>
            </w:pPr>
            <w:r>
              <w:rPr>
                <w:rFonts w:ascii="Arial" w:cs="Arial" w:eastAsia="Arial" w:hAnsi="Arial"/>
                <w:sz w:val="15"/>
                <w:szCs w:val="15"/>
                <w:color w:val="1E1E1E"/>
              </w:rPr>
              <w:t>MolGPS Foundation Model</w:t>
            </w:r>
          </w:p>
        </w:tc>
      </w:tr>
      <w:tr>
        <w:trPr>
          <w:trHeight w:val="40"/>
        </w:trPr>
        <w:tc>
          <w:tcPr>
            <w:tcW w:w="5620" w:type="dxa"/>
            <w:vAlign w:val="bottom"/>
            <w:tcBorders>
              <w:right w:val="single" w:sz="8" w:color="8D8D8D"/>
            </w:tcBorders>
          </w:tcPr>
          <w:p>
            <w:pPr>
              <w:spacing w:after="0"/>
              <w:rPr>
                <w:sz w:val="3"/>
                <w:szCs w:val="3"/>
                <w:color w:val="auto"/>
              </w:rPr>
            </w:pPr>
          </w:p>
        </w:tc>
        <w:tc>
          <w:tcPr>
            <w:tcW w:w="2340" w:type="dxa"/>
            <w:vAlign w:val="bottom"/>
          </w:tcPr>
          <w:p>
            <w:pPr>
              <w:spacing w:after="0"/>
              <w:rPr>
                <w:sz w:val="3"/>
                <w:szCs w:val="3"/>
                <w:color w:val="auto"/>
              </w:rPr>
            </w:pPr>
          </w:p>
        </w:tc>
      </w:tr>
    </w:tbl>
    <w:p>
      <w:pPr>
        <w:spacing w:after="0" w:line="220"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1E1E1E"/>
        </w:rPr>
        <w:t xml:space="preserve">In 2024, we scaled and automated our experimental bioassay platform, which drives the </w:t>
      </w:r>
      <w:r>
        <w:rPr>
          <w:rFonts w:ascii="Arial" w:cs="Arial" w:eastAsia="Arial" w:hAnsi="Arial"/>
          <w:sz w:val="15"/>
          <w:szCs w:val="15"/>
          <w:i w:val="1"/>
          <w:iCs w:val="1"/>
          <w:color w:val="1E1E1E"/>
        </w:rPr>
        <w:t>testing</w:t>
      </w:r>
      <w:r>
        <w:rPr>
          <w:rFonts w:ascii="Arial" w:cs="Arial" w:eastAsia="Arial" w:hAnsi="Arial"/>
          <w:sz w:val="15"/>
          <w:szCs w:val="15"/>
          <w:color w:val="1E1E1E"/>
        </w:rPr>
        <w:t xml:space="preserve"> phase of our precision Design-Make-Test-Analyze (DMTA) active learning loop. The platform's key features include assay type diversity, speed of execution, and close integration with software tools to enable autonomous operation. The platform currently supports over 250 diverse biochemical and functional assay types, allowing us to drive diverse, high-quality target-enabled programs. All assay plates are prepared autonomously, without human intervention, with over 50% of assay plate preparations taking place overnight in unattended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1E1E1E"/>
        </w:rPr>
        <w:t>Recursion enhances its automated bioassay platform with absolute and relative binding free energy simulations (ABFE/RBFE) of protein-ligand interactions and protein folding predictions, each serving a different purpose toward enhancing molecule design. ABFE and RBFE are accurate molecular dynamics (MD) simulations of protein-ligand binding interactions, which evaluate new chemical design on structurally enabled targets by computationally determining their affinities to the target. Our RBFE calculations have demonstrated an average accuracy of 1.3 kCal/mol. These evaluations prioritize which designed compounds are made and tested.</w:t>
      </w:r>
    </w:p>
    <w:p>
      <w:pPr>
        <w:spacing w:after="0" w:line="350"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1E1E1E"/>
        </w:rPr>
        <w:t xml:space="preserve">From there, protein folding and co-folding predictions are used to locate the ligand binding and mechanistic targets responsible for observed biology activities detected by our meso data layers (phenomics and transcriptomics). In 2024, we connected 1.4 million known active ligands mapped to specific pockets across a synthetic data layer of 3D human protein structures. These relationships are used to identify tentative off-target interactions, binding site (and their key active residues), and to initiate subsequent structure-based modeling, including ABFE and RBFE simulations. Bioactivity assays measured through the bioassay platform and sourced across the </w:t>
      </w:r>
      <w:r>
        <w:rPr>
          <w:rFonts w:ascii="Arial" w:cs="Arial" w:eastAsia="Arial" w:hAnsi="Arial"/>
          <w:sz w:val="15"/>
          <w:szCs w:val="15"/>
          <w:i w:val="1"/>
          <w:iCs w:val="1"/>
          <w:color w:val="1E1E1E"/>
        </w:rPr>
        <w:t>Recursion Data Universe</w:t>
      </w:r>
      <w:r>
        <w:rPr>
          <w:rFonts w:ascii="Arial" w:cs="Arial" w:eastAsia="Arial" w:hAnsi="Arial"/>
          <w:sz w:val="15"/>
          <w:szCs w:val="15"/>
          <w:color w:val="1E1E1E"/>
        </w:rPr>
        <w:t xml:space="preserve"> are further modelled through a suite of state-of-the-art machine learning models. Notably, activity models are built with our MolGPS foundation model pretrained on thousands of chemical properties and biological activities. Together, each virtual model enhances the “Design” capability of the iterative Design Make Test Learning loop.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121920</wp:posOffset>
            </wp:positionV>
            <wp:extent cx="5599430" cy="26193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9943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color w:val="6E6E6E"/>
        </w:rPr>
        <w:t xml:space="preserve">Figure 23. </w:t>
      </w:r>
      <w:r>
        <w:rPr>
          <w:rFonts w:ascii="Arial" w:cs="Arial" w:eastAsia="Arial" w:hAnsi="Arial"/>
          <w:sz w:val="14"/>
          <w:szCs w:val="14"/>
          <w:color w:val="6E6E6E"/>
        </w:rPr>
        <w:t>Interaction surfaces of a molecule as determined by fragment hotspot analysis. Fragment hotspot maps are used to identify druggable sites on protein surfaces, and to map</w:t>
      </w:r>
      <w:r>
        <w:rPr>
          <w:rFonts w:ascii="Arial" w:cs="Arial" w:eastAsia="Arial" w:hAnsi="Arial"/>
          <w:sz w:val="14"/>
          <w:szCs w:val="14"/>
          <w:b w:val="1"/>
          <w:bCs w:val="1"/>
          <w:color w:val="6E6E6E"/>
        </w:rPr>
        <w:t xml:space="preserve"> </w:t>
      </w:r>
      <w:r>
        <w:rPr>
          <w:rFonts w:ascii="Arial" w:cs="Arial" w:eastAsia="Arial" w:hAnsi="Arial"/>
          <w:sz w:val="14"/>
          <w:szCs w:val="14"/>
          <w:color w:val="6E6E6E"/>
        </w:rPr>
        <w:t>target similarity across a synthetic data layer of 3D protein structures.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1AA7DF"/>
        </w:rPr>
        <w:t>Chemical Data Layer &amp; Automated Synthesis</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Our chemical data layer integrates precision design, state-of-the-art molecular property prediction, and fully automated chemical synthesis, with the goal of designing and producing high-quality, differentiated medicines for patients. The precision design element transforms the drug discovery and development process. It replaces the current conventional/conservative approach with an AI-first learning system that is well-suited to the complexities of drug discovery in each step of the process. Our proprietary AI excels at generative molecular design, molecular property prediction and multi-parameter optimization - powering our platform to multiplex design against addressing more complex, desired profiles than conventional approaches, with synthetic accessibility at its core.</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b w:val="1"/>
                <w:bCs w:val="1"/>
                <w:color w:val="1E1E1E"/>
              </w:rPr>
              <w:t>REAL WORLD</w:t>
            </w:r>
          </w:p>
        </w:tc>
        <w:tc>
          <w:tcPr>
            <w:tcW w:w="2180" w:type="dxa"/>
            <w:vAlign w:val="bottom"/>
          </w:tcPr>
          <w:p>
            <w:pPr>
              <w:ind w:left="220"/>
              <w:spacing w:after="0"/>
              <w:rPr>
                <w:sz w:val="20"/>
                <w:szCs w:val="20"/>
                <w:color w:val="auto"/>
              </w:rPr>
            </w:pPr>
            <w:r>
              <w:rPr>
                <w:rFonts w:ascii="Arial" w:cs="Arial" w:eastAsia="Arial" w:hAnsi="Arial"/>
                <w:sz w:val="15"/>
                <w:szCs w:val="15"/>
                <w:b w:val="1"/>
                <w:bCs w:val="1"/>
                <w:color w:val="1E1E1E"/>
              </w:rPr>
              <w:t>WORLD MODEL</w:t>
            </w:r>
          </w:p>
        </w:tc>
      </w:tr>
      <w:tr>
        <w:trPr>
          <w:trHeight w:val="332"/>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Automated chemistry platform</w:t>
            </w:r>
          </w:p>
        </w:tc>
        <w:tc>
          <w:tcPr>
            <w:tcW w:w="2180" w:type="dxa"/>
            <w:vAlign w:val="bottom"/>
          </w:tcPr>
          <w:p>
            <w:pPr>
              <w:ind w:left="220"/>
              <w:spacing w:after="0"/>
              <w:rPr>
                <w:sz w:val="20"/>
                <w:szCs w:val="20"/>
                <w:color w:val="auto"/>
              </w:rPr>
            </w:pPr>
            <w:r>
              <w:rPr>
                <w:rFonts w:ascii="Arial" w:cs="Arial" w:eastAsia="Arial" w:hAnsi="Arial"/>
                <w:sz w:val="15"/>
                <w:szCs w:val="15"/>
                <w:color w:val="1E1E1E"/>
              </w:rPr>
              <w:t>Generative design</w:t>
            </w:r>
          </w:p>
        </w:tc>
      </w:tr>
      <w:tr>
        <w:trPr>
          <w:trHeight w:val="297"/>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Reaction data generation</w:t>
            </w:r>
          </w:p>
        </w:tc>
        <w:tc>
          <w:tcPr>
            <w:tcW w:w="2180" w:type="dxa"/>
            <w:vAlign w:val="bottom"/>
          </w:tcPr>
          <w:p>
            <w:pPr>
              <w:ind w:left="220"/>
              <w:spacing w:after="0"/>
              <w:rPr>
                <w:sz w:val="20"/>
                <w:szCs w:val="20"/>
                <w:color w:val="auto"/>
              </w:rPr>
            </w:pPr>
            <w:r>
              <w:rPr>
                <w:rFonts w:ascii="Arial" w:cs="Arial" w:eastAsia="Arial" w:hAnsi="Arial"/>
                <w:sz w:val="15"/>
                <w:szCs w:val="15"/>
                <w:color w:val="1E1E1E"/>
              </w:rPr>
              <w:t>ADMET/potency prediction</w:t>
            </w:r>
          </w:p>
        </w:tc>
      </w:tr>
      <w:tr>
        <w:trPr>
          <w:trHeight w:val="309"/>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Automated purification platform</w:t>
            </w:r>
          </w:p>
        </w:tc>
        <w:tc>
          <w:tcPr>
            <w:tcW w:w="2180" w:type="dxa"/>
            <w:vAlign w:val="bottom"/>
          </w:tcPr>
          <w:p>
            <w:pPr>
              <w:ind w:left="220"/>
              <w:spacing w:after="0"/>
              <w:rPr>
                <w:sz w:val="20"/>
                <w:szCs w:val="20"/>
                <w:color w:val="auto"/>
              </w:rPr>
            </w:pPr>
            <w:r>
              <w:rPr>
                <w:rFonts w:ascii="Arial" w:cs="Arial" w:eastAsia="Arial" w:hAnsi="Arial"/>
                <w:sz w:val="15"/>
                <w:szCs w:val="15"/>
                <w:color w:val="1E1E1E"/>
              </w:rPr>
              <w:t>Retrosynthesis prediction</w:t>
            </w:r>
          </w:p>
        </w:tc>
      </w:tr>
      <w:tr>
        <w:trPr>
          <w:trHeight w:val="309"/>
        </w:trPr>
        <w:tc>
          <w:tcPr>
            <w:tcW w:w="5620" w:type="dxa"/>
            <w:vAlign w:val="bottom"/>
            <w:tcBorders>
              <w:right w:val="single" w:sz="8" w:color="8D8D8D"/>
            </w:tcBorders>
          </w:tcPr>
          <w:p>
            <w:pPr>
              <w:spacing w:after="0"/>
              <w:rPr>
                <w:sz w:val="24"/>
                <w:szCs w:val="24"/>
                <w:color w:val="auto"/>
              </w:rPr>
            </w:pPr>
          </w:p>
        </w:tc>
        <w:tc>
          <w:tcPr>
            <w:tcW w:w="2180" w:type="dxa"/>
            <w:vAlign w:val="bottom"/>
          </w:tcPr>
          <w:p>
            <w:pPr>
              <w:ind w:left="220"/>
              <w:spacing w:after="0"/>
              <w:rPr>
                <w:sz w:val="20"/>
                <w:szCs w:val="20"/>
                <w:color w:val="auto"/>
              </w:rPr>
            </w:pPr>
            <w:r>
              <w:rPr>
                <w:rFonts w:ascii="Arial" w:cs="Arial" w:eastAsia="Arial" w:hAnsi="Arial"/>
                <w:sz w:val="15"/>
                <w:szCs w:val="15"/>
                <w:color w:val="1E1E1E"/>
              </w:rPr>
              <w:t>Reaction outcome prediction</w:t>
            </w:r>
          </w:p>
        </w:tc>
      </w:tr>
      <w:tr>
        <w:trPr>
          <w:trHeight w:val="27"/>
        </w:trPr>
        <w:tc>
          <w:tcPr>
            <w:tcW w:w="5620" w:type="dxa"/>
            <w:vAlign w:val="bottom"/>
            <w:tcBorders>
              <w:right w:val="single" w:sz="8" w:color="8D8D8D"/>
            </w:tcBorders>
          </w:tcPr>
          <w:p>
            <w:pPr>
              <w:spacing w:after="0"/>
              <w:rPr>
                <w:sz w:val="2"/>
                <w:szCs w:val="2"/>
                <w:color w:val="auto"/>
              </w:rPr>
            </w:pPr>
          </w:p>
        </w:tc>
        <w:tc>
          <w:tcPr>
            <w:tcW w:w="2180" w:type="dxa"/>
            <w:vAlign w:val="bottom"/>
          </w:tcPr>
          <w:p>
            <w:pPr>
              <w:spacing w:after="0"/>
              <w:rPr>
                <w:sz w:val="2"/>
                <w:szCs w:val="2"/>
                <w:color w:val="auto"/>
              </w:rPr>
            </w:pPr>
          </w:p>
        </w:tc>
      </w:tr>
    </w:tbl>
    <w:p>
      <w:pPr>
        <w:spacing w:after="0" w:line="233"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1E1E1E"/>
        </w:rPr>
        <w:t>The synthesis-first, generative design approach addresses a significant challenge posed by early generative methods, which frequently yield undesirable molecules that are difficult to synthesize. Our approach represents a substantial advancement in generative design and can be considered a next-generation solution. As we design molecules with AI-driven algorithms, our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0" w:name="page41"/>
    <w:bookmarkEnd w:id="40"/>
    <w:p>
      <w:pPr>
        <w:ind w:left="100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line="282" w:lineRule="auto"/>
        <w:rPr>
          <w:sz w:val="20"/>
          <w:szCs w:val="20"/>
          <w:color w:val="auto"/>
        </w:rPr>
      </w:pPr>
      <w:r>
        <w:rPr>
          <w:rFonts w:ascii="Arial" w:cs="Arial" w:eastAsia="Arial" w:hAnsi="Arial"/>
          <w:sz w:val="15"/>
          <w:szCs w:val="15"/>
          <w:color w:val="1E1E1E"/>
        </w:rPr>
        <w:t>platform, informed by our performant property prediction models, guides the design process towards compounds that are not only biologically and physiologically optimized, but also amenable to efficient synthesis on a unique, fully automated platform, suggesting the most cost and time-effective way to make the molecule with sophisticated retrosynthesis that is vendor-logistics-aware.</w:t>
      </w:r>
    </w:p>
    <w:p>
      <w:pPr>
        <w:spacing w:after="0" w:line="153"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1E1E1E"/>
        </w:rPr>
        <w:t>We capture reaction data, alongside bioassay data, and leverage active learning to ensure that our molecular property and synthesis prediction models continue to learn in step with the evolution of our pipeline, continuously refining our ability to identify the most promising molecules and predict the feasibility and success of future synthetic routes. Recursion’s AI synthesis planning capability shows a 25% improved tractability assessment of AI-generated compounds over competitors and integrates with the Recursion OS. Incorporation of our platform into our discovery processes has resulted in a 35% improvement in design cycle productivity, enabling our design platform to support a broad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109855</wp:posOffset>
            </wp:positionV>
            <wp:extent cx="5599430" cy="1645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99430" cy="164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24. </w:t>
      </w:r>
      <w:r>
        <w:rPr>
          <w:rFonts w:ascii="Arial" w:cs="Arial" w:eastAsia="Arial" w:hAnsi="Arial"/>
          <w:sz w:val="14"/>
          <w:szCs w:val="14"/>
          <w:color w:val="6E6E6E"/>
        </w:rPr>
        <w:t>Recursion's automated chemistry wet lab, a modular system for chemical synthesis preparation, execution, analysis, work-up, and purification.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1AA7DF"/>
        </w:rPr>
        <w:t>ADMET Data Layer</w:t>
      </w:r>
    </w:p>
    <w:p>
      <w:pPr>
        <w:spacing w:after="0" w:line="67"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1E1E1E"/>
        </w:rPr>
        <w:t>A durable truth in drug discovery is the requirement that we have confidence in our prediction of how our drugs will behave in patients. We must enter clinical experimentation assured that we have a reasonable expectation that we will safely deliver benefit to patients. A key part of building that confidence is early testing of a candidate molecule’s pharmacokinetic (PK) properties, which informs the likelihood that the drug will stay in a patient’s body for the right amount of time to be effective. At Recursion we strive to generate critical decision-making data as early as possible. Focusing our testing resources on compounds with higher likelihood to advance accelerates our mission to radically improve lives.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b w:val="1"/>
                <w:bCs w:val="1"/>
                <w:color w:val="1E1E1E"/>
              </w:rPr>
              <w:t>REAL WORLD</w:t>
            </w:r>
          </w:p>
        </w:tc>
        <w:tc>
          <w:tcPr>
            <w:tcW w:w="5260" w:type="dxa"/>
            <w:vAlign w:val="bottom"/>
          </w:tcPr>
          <w:p>
            <w:pPr>
              <w:ind w:left="220"/>
              <w:spacing w:after="0"/>
              <w:rPr>
                <w:sz w:val="20"/>
                <w:szCs w:val="20"/>
                <w:color w:val="auto"/>
              </w:rPr>
            </w:pPr>
            <w:r>
              <w:rPr>
                <w:rFonts w:ascii="Arial" w:cs="Arial" w:eastAsia="Arial" w:hAnsi="Arial"/>
                <w:sz w:val="15"/>
                <w:szCs w:val="15"/>
                <w:b w:val="1"/>
                <w:bCs w:val="1"/>
                <w:color w:val="1E1E1E"/>
              </w:rPr>
              <w:t>WORLD MODEL</w:t>
            </w:r>
          </w:p>
        </w:tc>
        <w:tc>
          <w:tcPr>
            <w:tcW w:w="0" w:type="dxa"/>
            <w:vAlign w:val="bottom"/>
          </w:tcPr>
          <w:p>
            <w:pPr>
              <w:spacing w:after="0"/>
              <w:rPr>
                <w:sz w:val="1"/>
                <w:szCs w:val="1"/>
                <w:color w:val="auto"/>
              </w:rPr>
            </w:pPr>
          </w:p>
        </w:tc>
      </w:tr>
      <w:tr>
        <w:trPr>
          <w:trHeight w:val="332"/>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High throughput experimentation on RADME-01</w:t>
            </w:r>
          </w:p>
        </w:tc>
        <w:tc>
          <w:tcPr>
            <w:tcW w:w="5260" w:type="dxa"/>
            <w:vAlign w:val="bottom"/>
          </w:tcPr>
          <w:p>
            <w:pPr>
              <w:ind w:left="220"/>
              <w:spacing w:after="0"/>
              <w:rPr>
                <w:sz w:val="20"/>
                <w:szCs w:val="20"/>
                <w:color w:val="auto"/>
              </w:rPr>
            </w:pPr>
            <w:r>
              <w:rPr>
                <w:rFonts w:ascii="Arial" w:cs="Arial" w:eastAsia="Arial" w:hAnsi="Arial"/>
                <w:sz w:val="15"/>
                <w:szCs w:val="15"/>
                <w:color w:val="1E1E1E"/>
              </w:rPr>
              <w:t>Prediction of compound properties to inform probability of clinical success</w:t>
            </w:r>
          </w:p>
        </w:tc>
        <w:tc>
          <w:tcPr>
            <w:tcW w:w="0" w:type="dxa"/>
            <w:vAlign w:val="bottom"/>
          </w:tcPr>
          <w:p>
            <w:pPr>
              <w:spacing w:after="0"/>
              <w:rPr>
                <w:sz w:val="1"/>
                <w:szCs w:val="1"/>
                <w:color w:val="auto"/>
              </w:rPr>
            </w:pPr>
          </w:p>
        </w:tc>
      </w:tr>
      <w:tr>
        <w:trPr>
          <w:trHeight w:val="297"/>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Experimentation at CRO’s to add to our dataset</w:t>
            </w:r>
          </w:p>
        </w:tc>
        <w:tc>
          <w:tcPr>
            <w:tcW w:w="5260" w:type="dxa"/>
            <w:vAlign w:val="bottom"/>
          </w:tcPr>
          <w:p>
            <w:pPr>
              <w:ind w:left="220"/>
              <w:spacing w:after="0"/>
              <w:rPr>
                <w:sz w:val="20"/>
                <w:szCs w:val="20"/>
                <w:color w:val="auto"/>
              </w:rPr>
            </w:pPr>
            <w:r>
              <w:rPr>
                <w:rFonts w:ascii="Arial" w:cs="Arial" w:eastAsia="Arial" w:hAnsi="Arial"/>
                <w:sz w:val="15"/>
                <w:szCs w:val="15"/>
                <w:color w:val="1E1E1E"/>
              </w:rPr>
              <w:t>Prediction of properties to inform the best compounds to advance</w:t>
            </w:r>
          </w:p>
        </w:tc>
        <w:tc>
          <w:tcPr>
            <w:tcW w:w="0" w:type="dxa"/>
            <w:vAlign w:val="bottom"/>
          </w:tcPr>
          <w:p>
            <w:pPr>
              <w:spacing w:after="0"/>
              <w:rPr>
                <w:sz w:val="1"/>
                <w:szCs w:val="1"/>
                <w:color w:val="auto"/>
              </w:rPr>
            </w:pPr>
          </w:p>
        </w:tc>
      </w:tr>
      <w:tr>
        <w:trPr>
          <w:trHeight w:val="206"/>
        </w:trPr>
        <w:tc>
          <w:tcPr>
            <w:tcW w:w="5620" w:type="dxa"/>
            <w:vAlign w:val="bottom"/>
            <w:tcBorders>
              <w:right w:val="single" w:sz="8" w:color="8D8D8D"/>
            </w:tcBorders>
          </w:tcPr>
          <w:p>
            <w:pPr>
              <w:spacing w:after="0"/>
              <w:rPr>
                <w:sz w:val="20"/>
                <w:szCs w:val="20"/>
                <w:color w:val="auto"/>
              </w:rPr>
            </w:pPr>
            <w:r>
              <w:rPr>
                <w:rFonts w:ascii="Arial" w:cs="Arial" w:eastAsia="Arial" w:hAnsi="Arial"/>
                <w:sz w:val="15"/>
                <w:szCs w:val="15"/>
                <w:color w:val="1E1E1E"/>
              </w:rPr>
              <w:t>and inform project decisions</w:t>
            </w:r>
          </w:p>
        </w:tc>
        <w:tc>
          <w:tcPr>
            <w:tcW w:w="5260" w:type="dxa"/>
            <w:vAlign w:val="bottom"/>
            <w:vMerge w:val="restart"/>
          </w:tcPr>
          <w:p>
            <w:pPr>
              <w:ind w:left="220"/>
              <w:spacing w:after="0"/>
              <w:rPr>
                <w:sz w:val="20"/>
                <w:szCs w:val="20"/>
                <w:color w:val="auto"/>
              </w:rPr>
            </w:pPr>
            <w:r>
              <w:rPr>
                <w:rFonts w:ascii="Arial" w:cs="Arial" w:eastAsia="Arial" w:hAnsi="Arial"/>
                <w:sz w:val="15"/>
                <w:szCs w:val="15"/>
                <w:color w:val="1E1E1E"/>
              </w:rPr>
              <w:t>Prediction of properties to inform the best compounds to make</w:t>
            </w:r>
          </w:p>
        </w:tc>
        <w:tc>
          <w:tcPr>
            <w:tcW w:w="0" w:type="dxa"/>
            <w:vAlign w:val="bottom"/>
          </w:tcPr>
          <w:p>
            <w:pPr>
              <w:spacing w:after="0"/>
              <w:rPr>
                <w:sz w:val="1"/>
                <w:szCs w:val="1"/>
                <w:color w:val="auto"/>
              </w:rPr>
            </w:pPr>
          </w:p>
        </w:tc>
      </w:tr>
      <w:tr>
        <w:trPr>
          <w:trHeight w:val="103"/>
        </w:trPr>
        <w:tc>
          <w:tcPr>
            <w:tcW w:w="5620" w:type="dxa"/>
            <w:vAlign w:val="bottom"/>
            <w:tcBorders>
              <w:right w:val="single" w:sz="8" w:color="8D8D8D"/>
            </w:tcBorders>
            <w:vMerge w:val="restart"/>
          </w:tcPr>
          <w:p>
            <w:pPr>
              <w:spacing w:after="0"/>
              <w:rPr>
                <w:sz w:val="20"/>
                <w:szCs w:val="20"/>
                <w:color w:val="auto"/>
              </w:rPr>
            </w:pPr>
            <w:r>
              <w:rPr>
                <w:rFonts w:ascii="Arial" w:cs="Arial" w:eastAsia="Arial" w:hAnsi="Arial"/>
                <w:sz w:val="15"/>
                <w:szCs w:val="15"/>
                <w:color w:val="1E1E1E"/>
              </w:rPr>
              <w:t>Publicly available datasets</w:t>
            </w:r>
          </w:p>
        </w:tc>
        <w:tc>
          <w:tcPr>
            <w:tcW w:w="5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5620" w:type="dxa"/>
            <w:vAlign w:val="bottom"/>
            <w:tcBorders>
              <w:right w:val="single" w:sz="8" w:color="8D8D8D"/>
            </w:tcBorders>
            <w:vMerge w:val="continue"/>
          </w:tcPr>
          <w:p>
            <w:pPr>
              <w:spacing w:after="0"/>
              <w:rPr>
                <w:sz w:val="16"/>
                <w:szCs w:val="16"/>
                <w:color w:val="auto"/>
              </w:rPr>
            </w:pPr>
          </w:p>
        </w:tc>
        <w:tc>
          <w:tcPr>
            <w:tcW w:w="5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5620" w:type="dxa"/>
            <w:vAlign w:val="bottom"/>
            <w:tcBorders>
              <w:right w:val="single" w:sz="8" w:color="8D8D8D"/>
            </w:tcBorders>
          </w:tcPr>
          <w:p>
            <w:pPr>
              <w:spacing w:after="0"/>
              <w:rPr>
                <w:sz w:val="3"/>
                <w:szCs w:val="3"/>
                <w:color w:val="auto"/>
              </w:rPr>
            </w:pPr>
          </w:p>
        </w:tc>
        <w:tc>
          <w:tcPr>
            <w:tcW w:w="52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1E1E1E"/>
        </w:rPr>
        <w:t>In 2024, we leveraged our high throughput ADME platform, RADME-01, to generate a bolus of data informing a compound’s likelihood to be viable. The RADME-01 platform semi-autonomously runs a suite of ADME experiments including passive permeability, metabolic stability in liver microsomes, and non-specific protein binding. Our platform has been operational since late 2023 and can evaluate two 384-well plates in all available assays each week. In 2024, we tested 12,209 novel compounds through this system, supporting both Recursion’s internal pipeline and partnered projects. Throughout the year the automation system evolved and refined, allowing for continually less human intervention. A sophisticated in-house built software system intelligently prioritizes compounds and designs experiments to deliver highest value data while avoiding pitfalls related to compound analysis at scale. Drug discovery project teams can use this data to prioritize higher quality compounds for subsequent evaluation, and we’ve also installed pre-set criteria for compound evaluation in our earlier (hit to lead) stage. In this semi-autonomous loop, data is generated and compounds are nominated for in vivo PK testing without human effort or bias. We are evaluating these criteria on a regular basis to ensure we are giving our projects the best chance at advancing high quality projects and compounds.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1E1E1E"/>
        </w:rPr>
        <w:t>Another primary use of data generated on our RADME-01 platform is to train predictive models, capable of evaluating designs before synthesizing new molecules. In 2024, we developed an automated machine learning framework that retrains and deploys new RADME-01 assay endpoint models weekly upon availability of new data, as well as several curated ADME property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datasets. These models included a broad set of properties such as intrinsic clearance, non-specific binding, solubility, efflux, drug-drug interactions, and several human PK parameters. Our teams used these models for both internal pipeline and partnership projects both for prioritization of experimentation and prioritization of new molecule synthesis targets. Recently, automated models derived from the RADME model were combined with their counterparts in the Centaur Chemist platform, further enabling rapid design compounds across both internal and partnership projects. Our combined datasets revealed very little direct overlap and have expanded the chemical space our models are trained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109855</wp:posOffset>
            </wp:positionV>
            <wp:extent cx="4322445" cy="25298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224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0"/>
        <w:spacing w:after="0" w:line="262" w:lineRule="auto"/>
        <w:rPr>
          <w:sz w:val="20"/>
          <w:szCs w:val="20"/>
          <w:color w:val="auto"/>
        </w:rPr>
      </w:pPr>
      <w:r>
        <w:rPr>
          <w:rFonts w:ascii="Arial" w:cs="Arial" w:eastAsia="Arial" w:hAnsi="Arial"/>
          <w:sz w:val="14"/>
          <w:szCs w:val="14"/>
          <w:b w:val="1"/>
          <w:bCs w:val="1"/>
          <w:color w:val="6E6E6E"/>
        </w:rPr>
        <w:t xml:space="preserve">Figure 25. </w:t>
      </w:r>
      <w:r>
        <w:rPr>
          <w:rFonts w:ascii="Arial" w:cs="Arial" w:eastAsia="Arial" w:hAnsi="Arial"/>
          <w:sz w:val="14"/>
          <w:szCs w:val="14"/>
          <w:color w:val="6E6E6E"/>
        </w:rPr>
        <w:t>The Exscientia and Recursion ADME datasets had few overlapping compound matches but were sufficiently representative to train ADME models with equivalent or</w:t>
      </w:r>
      <w:r>
        <w:rPr>
          <w:rFonts w:ascii="Arial" w:cs="Arial" w:eastAsia="Arial" w:hAnsi="Arial"/>
          <w:sz w:val="14"/>
          <w:szCs w:val="14"/>
          <w:b w:val="1"/>
          <w:bCs w:val="1"/>
          <w:color w:val="6E6E6E"/>
        </w:rPr>
        <w:t xml:space="preserve"> </w:t>
      </w:r>
      <w:r>
        <w:rPr>
          <w:rFonts w:ascii="Arial" w:cs="Arial" w:eastAsia="Arial" w:hAnsi="Arial"/>
          <w:sz w:val="14"/>
          <w:szCs w:val="14"/>
          <w:color w:val="6E6E6E"/>
        </w:rPr>
        <w:t>improved performances across all endpoints.</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Scientific agents and industrialized workflows</w:t>
      </w:r>
    </w:p>
    <w:p>
      <w:pPr>
        <w:spacing w:after="0" w:line="74" w:lineRule="exact"/>
        <w:rPr>
          <w:sz w:val="20"/>
          <w:szCs w:val="20"/>
          <w:color w:val="auto"/>
        </w:rPr>
      </w:pPr>
    </w:p>
    <w:p>
      <w:pPr>
        <w:spacing w:after="0" w:line="275" w:lineRule="auto"/>
        <w:rPr>
          <w:sz w:val="20"/>
          <w:szCs w:val="20"/>
          <w:color w:val="auto"/>
        </w:rPr>
      </w:pPr>
      <w:r>
        <w:rPr>
          <w:rFonts w:ascii="Arial" w:cs="Arial" w:eastAsia="Arial" w:hAnsi="Arial"/>
          <w:sz w:val="15"/>
          <w:szCs w:val="15"/>
          <w:color w:val="1E1E1E"/>
        </w:rPr>
        <w:t>Agentic systems are artificial intelligence systems, typically large language model-based, that can pursue complex goals with limited human intervention. They make decisions in a context-dependent manner and can learn and adapt through interaction with the world around them. They are perfectly suited to workflow design leveraging the data layer and model inference-based modules of the Recursion OS, automating the design of workflows to meet a human or machine-stated objective.</w:t>
      </w:r>
    </w:p>
    <w:p>
      <w:pPr>
        <w:spacing w:after="0" w:line="348"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color w:val="1E1E1E"/>
        </w:rPr>
        <w:t>Our goal at Recursion is to industrialize drug discovery and development through standardization and automation. The early stages of our drug discovery process, filling the T-shaped funnel, benefits from standardization and exploitation of the program-agnostic data universe that Recursion has generated this past decade. Industrializing later stages of drug discovery, where the focus is on molecular design, make and test in a program-specific assay cascade, requires context-dependent automation and exploitation of program-specific data. Agentic systems, with their adaptability and flexibility, provide Recursion with the opportunity to industrialize the drug discovery and development process in its entirety.</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5"/>
          <w:szCs w:val="15"/>
          <w:color w:val="1E1E1E"/>
        </w:rPr>
        <w:t>The industrialization of drug discovery and development at Recursion is implemented via a series of Industrialized Workflows, each exploiting the Recursion OS to serve both the mission of decoding biology to radically save lives and the pipeline. The first of these workflows, Initiation Workflow, offers a standardized approach to program initiation, the filling of the T-shaped funnel. Its role is to generate and assess disease-gene hypotheses. It succeeds by querying the patient data and maps of biology that reside in the data universe and, with help from a suite of Recursion OS models, hypothesizes which genes are associated with which diseases. Large language model-based approaches are used to annotate these hypotheses with strategic insights collated from external, unstructured sources. Such insights inform the biological relevance, novelty, commercial opportunity, competitor landscape, and the opportunity to differentiate. LLMs are also responsible for assigning a score related to the strength of the hypothesized relationship between each disease-gene pair.</w:t>
      </w:r>
    </w:p>
    <w:p>
      <w:pPr>
        <w:spacing w:after="0" w:line="165"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1E1E1E"/>
        </w:rPr>
        <w:t>The industrialization of lead optimization requires a different approach. At this stage, a program’s needs can be unique to that program. The assay cascade may be different and the chemical series undergoing optimization will be different. Recursion’s AI precision design platform, Centaur Chemist, enables computational and medicinal chemists to build molecular design workflows that design molecules that are synthesizable on our automated chemical synthesis platform and meet a particular design cycle objective.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1E1E1E"/>
        </w:rPr>
        <w:t>Our precision design approach represents a constant interplay of automated data generation from experimentation and intelligent learning systems, embodying virtuous cycles of improvement in chemistry optimization. Through our integrated platform, we can systematically encode the goals and strategy of each molecular design cycle, executing them through a sophisticated combination of scientific technology modules that form cohesive workflows. Compounds progress through synthesis and testing, generating valuable data that are automatically captured in our integrated platform, along with valuable annotations from our medicinal chemists, ready to inform and enhance our predictive modules. This closed-loop system helps translate design objectives into executable workflows, leveraging our 30+ scientific tech modules: from 2D and 3D synthesis-aware generative methods to property prediction models, reinforced with physics-based thinking, and active learning approaches for compound selection. As compounds are generated, synthesized, tested, and evaluated, the platform captures every decision point and experimental outcome, feeding this information back into our models to enhance future design choices. This recursive learning process ensures each iteration becomes more precise and informed than the last, driving the evolution of a more intelligent and efficient drug discovery engine that continuously learns and adapts.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122555</wp:posOffset>
            </wp:positionV>
            <wp:extent cx="5599430" cy="1948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99430" cy="194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26. </w:t>
      </w:r>
      <w:r>
        <w:rPr>
          <w:rFonts w:ascii="Arial" w:cs="Arial" w:eastAsia="Arial" w:hAnsi="Arial"/>
          <w:sz w:val="14"/>
          <w:szCs w:val="14"/>
          <w:color w:val="6E6E6E"/>
        </w:rPr>
        <w:t>Industrializing lead optimization with an integrated design and synthesis workflow.</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Processing and Data Storage Infrastructure</w:t>
      </w:r>
    </w:p>
    <w:p>
      <w:pPr>
        <w:spacing w:after="0" w:line="74"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1E1E1E"/>
        </w:rPr>
        <w:t>We believe modern drug discovery and development is a data and compute problem – the need to understand pathways, targets, compounds, and mechanisms of actions requires obtaining, synthesizing, or predicting large volumes of data. To store this data in an efficient and low-risk way, Recursion makes use of a combination of cloud storage, and on-premises storage. To process this data efficiently, we bring it close to where the compute will run – either in our HPC datacenter (BioHive) or to our cloud (partnering with Google Cloud). To make this more seamless for our scientists, we have invested in a hybrid storage and compute platform, which enables replication of data and locality of compute to allow us to use these resources as efficiently as possible.</w:t>
      </w:r>
    </w:p>
    <w:p>
      <w:pPr>
        <w:spacing w:after="0" w:line="179" w:lineRule="exact"/>
        <w:rPr>
          <w:sz w:val="20"/>
          <w:szCs w:val="20"/>
          <w:color w:val="auto"/>
        </w:rPr>
      </w:pPr>
    </w:p>
    <w:p>
      <w:pPr>
        <w:ind w:right="380"/>
        <w:spacing w:after="0" w:line="294" w:lineRule="auto"/>
        <w:rPr>
          <w:sz w:val="20"/>
          <w:szCs w:val="20"/>
          <w:color w:val="auto"/>
        </w:rPr>
      </w:pPr>
      <w:r>
        <w:rPr>
          <w:rFonts w:ascii="Arial" w:cs="Arial" w:eastAsia="Arial" w:hAnsi="Arial"/>
          <w:sz w:val="15"/>
          <w:szCs w:val="15"/>
          <w:color w:val="1E1E1E"/>
        </w:rPr>
        <w:t>This year we expanded our partnership with Google Cloud to explore generative AI capabilities, including Gemini models, supporting the Recursion OS, driving improved search and access with BigQuery, and helping scale compute resources.</w:t>
      </w:r>
    </w:p>
    <w:p>
      <w:pPr>
        <w:spacing w:after="0" w:line="145" w:lineRule="exact"/>
        <w:rPr>
          <w:sz w:val="20"/>
          <w:szCs w:val="20"/>
          <w:color w:val="auto"/>
        </w:rPr>
      </w:pPr>
    </w:p>
    <w:p>
      <w:pPr>
        <w:jc w:val="both"/>
        <w:ind w:right="160"/>
        <w:spacing w:after="0" w:line="271" w:lineRule="auto"/>
        <w:rPr>
          <w:sz w:val="20"/>
          <w:szCs w:val="20"/>
          <w:color w:val="auto"/>
        </w:rPr>
      </w:pPr>
      <w:r>
        <w:rPr>
          <w:rFonts w:ascii="Arial" w:cs="Arial" w:eastAsia="Arial" w:hAnsi="Arial"/>
          <w:sz w:val="15"/>
          <w:szCs w:val="15"/>
          <w:color w:val="1E1E1E"/>
        </w:rPr>
        <w:t>We currently have over tens of petabytes of unique data replicated across our sites for redundancy and resiliency. We use this data to train state of the art (SOTA) foundation models of biology and chemistry and continue to push the limits of what is possible as we invest to scale up beyond Phenom-2 on the biology side, and bring unique Quantum Mechanics (QM) and Molecular Dynamics (MD) data to bear in our chemistry models like MolGPS. We largely train these models using our own supercomputer which consists of two generations of DGX SuperPod, with 504 H100s, and 320 A100s, and over 65 TB of VRAM.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377190</wp:posOffset>
            </wp:positionV>
            <wp:extent cx="5599430" cy="1866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99430" cy="186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b w:val="1"/>
          <w:bCs w:val="1"/>
          <w:color w:val="6E6E6E"/>
        </w:rPr>
        <w:t xml:space="preserve">Figure 27. </w:t>
      </w:r>
      <w:r>
        <w:rPr>
          <w:rFonts w:ascii="Arial" w:cs="Arial" w:eastAsia="Arial" w:hAnsi="Arial"/>
          <w:sz w:val="13"/>
          <w:szCs w:val="13"/>
          <w:color w:val="6E6E6E"/>
        </w:rPr>
        <w:t>BioHive-2 is Recursion’s new NVIDIA DGX SuperPOD AI supercomputer, powered by 63 DGX H100 systems with a total of 504 NVIDIA H100 Tensor Core GPUs</w:t>
      </w:r>
      <w:r>
        <w:rPr>
          <w:rFonts w:ascii="Arial" w:cs="Arial" w:eastAsia="Arial" w:hAnsi="Arial"/>
          <w:sz w:val="13"/>
          <w:szCs w:val="13"/>
          <w:b w:val="1"/>
          <w:bCs w:val="1"/>
          <w:color w:val="6E6E6E"/>
        </w:rPr>
        <w:t xml:space="preserve"> </w:t>
      </w:r>
      <w:r>
        <w:rPr>
          <w:rFonts w:ascii="Arial" w:cs="Arial" w:eastAsia="Arial" w:hAnsi="Arial"/>
          <w:sz w:val="13"/>
          <w:szCs w:val="13"/>
          <w:color w:val="6E6E6E"/>
        </w:rPr>
        <w:t>interconnected by NVIDIA Quantum-2 InfiniBand networking. This NVIDIA-powered AI supercomputer results in over four times faster speeds than Recursion’s original supercomputer, BioHive-1, in benchmark performance tests. Based on available data, BioHive-2 is the fastest supercomputer wholly owned and operated by any pharmaceutical company worldwide.</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Bringing it together – Combining data scales to drive value</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The vision of the Recursion OS is to integrate data and insights across biological scales to build a comprehensive and predictive World Model that deciphers biology with unprecedented efficiency. Our ability to generate and leverage real-world data at scale—across macro, meso, and micro levels—has already begun to reshape how we approach drug discovery. By combining these layers through the Recursion OS, we are moving toward an industrialized, AI-driven system that not only accelerates therapeutic discovery, but we also believe will help us to increase the probability of success in clinical development.</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1E1E1E"/>
        </w:rPr>
        <w:t>Our first demonstrations of this approach have successfully integrated macroscale patient data with mesoscale phenomics, allowing us to extract genetic causal targets from datasets previously considered too small for statistical power. This methodology enables a capital-efficient approach to rare variant discovery, increasing our ability to identify novel drug targets that are deeply connected to human disease, and it is just the beginning.</w:t>
      </w:r>
    </w:p>
    <w:p>
      <w:pPr>
        <w:spacing w:after="0" w:line="153"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color w:val="1E1E1E"/>
        </w:rPr>
        <w:t>At the mesoscale, we have advanced our phenomics and transcriptomics capabilities to provide high-throughput, high-dimensional insights into cellular biology. By connecting these layers with microscale molecular interactions, such as protein-ligand binding and ADMET properties, we enhance the interpretability and mechanistic understanding of our drug candidates. We believe that bridging across all three scales—macro, meso, and micro—will unlock a deeper understanding of human biology and significantly improve the efficiency of drug discovery and development.</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1E1E1E"/>
        </w:rPr>
        <w:t>One of the most transformative outcomes of our integrated approach will be the ability to construct a Virtual Cell—an AI-powered system that simulates biological responses at scale. Traditionally, drug discovery has been an experiment-driven process where models are built from data collected in the lab. At Recursion, we are reversing this paradigm: our World Model is now driving the generation of new hypotheses, with real-world experimentation serving to validate the most promising insights. By iteratively refining these AI-driven predictions with physical experiments, we are creating a feedback loop that accelerates learning and reduces reliance on trial-and-error experimentation.</w:t>
      </w:r>
    </w:p>
    <w:p>
      <w:pPr>
        <w:spacing w:after="0" w:line="161"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1E1E1E"/>
        </w:rPr>
        <w:t>As this approach matures, we envision a future where the Virtual Cell serves as a comprehensive digital twin for human biology, enabling us to model drug interactions, disease progressions, and therapeutic interventions in silico before ever entering the lab. This shift—from experiment-first to model-first—has the potential to revolutionize how drugs are discovered, reducing both time and cost while significantly improving success rates.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1AA7DF"/>
        </w:rPr>
        <w:t>Scaling Beyond What Was Previously Possible in 2024</w:t>
      </w:r>
    </w:p>
    <w:p>
      <w:pPr>
        <w:spacing w:after="0" w:line="67" w:lineRule="exact"/>
        <w:rPr>
          <w:sz w:val="20"/>
          <w:szCs w:val="20"/>
          <w:color w:val="auto"/>
        </w:rPr>
      </w:pPr>
    </w:p>
    <w:p>
      <w:pPr>
        <w:ind w:right="600"/>
        <w:spacing w:after="0" w:line="294" w:lineRule="auto"/>
        <w:rPr>
          <w:sz w:val="20"/>
          <w:szCs w:val="20"/>
          <w:color w:val="auto"/>
        </w:rPr>
      </w:pPr>
      <w:r>
        <w:rPr>
          <w:rFonts w:ascii="Arial" w:cs="Arial" w:eastAsia="Arial" w:hAnsi="Arial"/>
          <w:sz w:val="15"/>
          <w:szCs w:val="15"/>
          <w:color w:val="1E1E1E"/>
        </w:rPr>
        <w:t>In 2024, Recursion expanded its ability to industrialize drug discovery by enhancing the OS’s automation, scalability, and machine learning capabilities. Key milestones included:</w:t>
      </w:r>
    </w:p>
    <w:p>
      <w:pPr>
        <w:spacing w:after="0" w:line="54" w:lineRule="exact"/>
        <w:rPr>
          <w:sz w:val="20"/>
          <w:szCs w:val="20"/>
          <w:color w:val="auto"/>
        </w:rPr>
      </w:pPr>
    </w:p>
    <w:p>
      <w:pPr>
        <w:ind w:left="620" w:right="60" w:hanging="307"/>
        <w:spacing w:after="0" w:line="294" w:lineRule="auto"/>
        <w:tabs>
          <w:tab w:leader="none" w:pos="609" w:val="left"/>
        </w:tabs>
        <w:numPr>
          <w:ilvl w:val="0"/>
          <w:numId w:val="50"/>
        </w:numPr>
        <w:rPr>
          <w:rFonts w:ascii="Arial" w:cs="Arial" w:eastAsia="Arial" w:hAnsi="Arial"/>
          <w:sz w:val="15"/>
          <w:szCs w:val="15"/>
          <w:color w:val="1E1E1E"/>
        </w:rPr>
      </w:pPr>
      <w:r>
        <w:rPr>
          <w:rFonts w:ascii="Arial" w:cs="Arial" w:eastAsia="Arial" w:hAnsi="Arial"/>
          <w:sz w:val="15"/>
          <w:szCs w:val="15"/>
          <w:color w:val="1E1E1E"/>
        </w:rPr>
        <w:t>The launch of BioHive-2, the most powerful supercomputer owned by any biopharma company, enabling the training of industry-leading foundation models like Phenom-2, MolPhenix, and MolGPS.</w:t>
      </w:r>
    </w:p>
    <w:p>
      <w:pPr>
        <w:spacing w:after="0" w:line="2" w:lineRule="exact"/>
        <w:rPr>
          <w:rFonts w:ascii="Arial" w:cs="Arial" w:eastAsia="Arial" w:hAnsi="Arial"/>
          <w:sz w:val="15"/>
          <w:szCs w:val="15"/>
          <w:color w:val="1E1E1E"/>
        </w:rPr>
      </w:pPr>
    </w:p>
    <w:p>
      <w:pPr>
        <w:ind w:left="620" w:hanging="307"/>
        <w:spacing w:after="0"/>
        <w:tabs>
          <w:tab w:leader="none" w:pos="620" w:val="left"/>
        </w:tabs>
        <w:numPr>
          <w:ilvl w:val="0"/>
          <w:numId w:val="50"/>
        </w:numPr>
        <w:rPr>
          <w:rFonts w:ascii="Arial" w:cs="Arial" w:eastAsia="Arial" w:hAnsi="Arial"/>
          <w:sz w:val="15"/>
          <w:szCs w:val="15"/>
          <w:color w:val="1E1E1E"/>
        </w:rPr>
      </w:pPr>
      <w:r>
        <w:rPr>
          <w:rFonts w:ascii="Arial" w:cs="Arial" w:eastAsia="Arial" w:hAnsi="Arial"/>
          <w:sz w:val="15"/>
          <w:szCs w:val="15"/>
          <w:color w:val="1E1E1E"/>
        </w:rPr>
        <w:t>The integration of Exscientia’s automated chemistry platform, which has already generated over 500 custom molecules in under nine days per cycle.</w:t>
      </w:r>
    </w:p>
    <w:p>
      <w:pPr>
        <w:spacing w:after="0" w:line="59" w:lineRule="exact"/>
        <w:rPr>
          <w:rFonts w:ascii="Arial" w:cs="Arial" w:eastAsia="Arial" w:hAnsi="Arial"/>
          <w:sz w:val="15"/>
          <w:szCs w:val="15"/>
          <w:color w:val="1E1E1E"/>
        </w:rPr>
      </w:pPr>
    </w:p>
    <w:p>
      <w:pPr>
        <w:ind w:left="620" w:right="40" w:hanging="307"/>
        <w:spacing w:after="0" w:line="294" w:lineRule="auto"/>
        <w:tabs>
          <w:tab w:leader="none" w:pos="609" w:val="left"/>
        </w:tabs>
        <w:numPr>
          <w:ilvl w:val="0"/>
          <w:numId w:val="50"/>
        </w:numPr>
        <w:rPr>
          <w:rFonts w:ascii="Arial" w:cs="Arial" w:eastAsia="Arial" w:hAnsi="Arial"/>
          <w:sz w:val="15"/>
          <w:szCs w:val="15"/>
          <w:color w:val="1E1E1E"/>
        </w:rPr>
      </w:pPr>
      <w:r>
        <w:rPr>
          <w:rFonts w:ascii="Arial" w:cs="Arial" w:eastAsia="Arial" w:hAnsi="Arial"/>
          <w:sz w:val="15"/>
          <w:szCs w:val="15"/>
          <w:color w:val="1E1E1E"/>
        </w:rPr>
        <w:t>The successful completion of the world’s first whole genome neuronal phenotype map (Neuromap) in partnership with Roche and Genentech, representing a significant leap forward in neuroscience drug discovery.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620" w:right="40" w:hanging="307"/>
        <w:spacing w:after="0" w:line="294" w:lineRule="auto"/>
        <w:tabs>
          <w:tab w:leader="none" w:pos="609" w:val="left"/>
        </w:tabs>
        <w:numPr>
          <w:ilvl w:val="0"/>
          <w:numId w:val="51"/>
        </w:numPr>
        <w:rPr>
          <w:rFonts w:ascii="Arial" w:cs="Arial" w:eastAsia="Arial" w:hAnsi="Arial"/>
          <w:sz w:val="15"/>
          <w:szCs w:val="15"/>
          <w:color w:val="1E1E1E"/>
        </w:rPr>
      </w:pPr>
      <w:r>
        <w:rPr>
          <w:rFonts w:ascii="Arial" w:cs="Arial" w:eastAsia="Arial" w:hAnsi="Arial"/>
          <w:sz w:val="15"/>
          <w:szCs w:val="15"/>
          <w:color w:val="1E1E1E"/>
        </w:rPr>
        <w:t>The augmentation of our real-world data layer with hundreds of thousands of patient records through new partnerships with Helix and Tempus, dramatically improving our ability to connect patient-level insights with early-stage discovery.</w:t>
      </w:r>
    </w:p>
    <w:p>
      <w:pPr>
        <w:spacing w:after="0" w:line="2" w:lineRule="exact"/>
        <w:rPr>
          <w:rFonts w:ascii="Arial" w:cs="Arial" w:eastAsia="Arial" w:hAnsi="Arial"/>
          <w:sz w:val="15"/>
          <w:szCs w:val="15"/>
          <w:color w:val="1E1E1E"/>
        </w:rPr>
      </w:pPr>
    </w:p>
    <w:p>
      <w:pPr>
        <w:ind w:left="620" w:right="380" w:hanging="307"/>
        <w:spacing w:after="0" w:line="294" w:lineRule="auto"/>
        <w:tabs>
          <w:tab w:leader="none" w:pos="609" w:val="left"/>
        </w:tabs>
        <w:numPr>
          <w:ilvl w:val="0"/>
          <w:numId w:val="51"/>
        </w:numPr>
        <w:rPr>
          <w:rFonts w:ascii="Arial" w:cs="Arial" w:eastAsia="Arial" w:hAnsi="Arial"/>
          <w:sz w:val="15"/>
          <w:szCs w:val="15"/>
          <w:color w:val="1E1E1E"/>
        </w:rPr>
      </w:pPr>
      <w:r>
        <w:rPr>
          <w:rFonts w:ascii="Arial" w:cs="Arial" w:eastAsia="Arial" w:hAnsi="Arial"/>
          <w:sz w:val="15"/>
          <w:szCs w:val="15"/>
          <w:color w:val="1E1E1E"/>
        </w:rPr>
        <w:t>The rapid expansion of our transcriptomics capabilities, surpassing 1 million whole transcriptomes sequenced in a single year, reinforcing our ability to generate multimodal insights.</w:t>
      </w:r>
    </w:p>
    <w:p>
      <w:pPr>
        <w:spacing w:after="0" w:line="2" w:lineRule="exact"/>
        <w:rPr>
          <w:rFonts w:ascii="Arial" w:cs="Arial" w:eastAsia="Arial" w:hAnsi="Arial"/>
          <w:sz w:val="15"/>
          <w:szCs w:val="15"/>
          <w:color w:val="1E1E1E"/>
        </w:rPr>
      </w:pPr>
    </w:p>
    <w:p>
      <w:pPr>
        <w:ind w:left="620" w:right="580" w:hanging="307"/>
        <w:spacing w:after="0" w:line="294" w:lineRule="auto"/>
        <w:tabs>
          <w:tab w:leader="none" w:pos="609" w:val="left"/>
        </w:tabs>
        <w:numPr>
          <w:ilvl w:val="0"/>
          <w:numId w:val="51"/>
        </w:numPr>
        <w:rPr>
          <w:rFonts w:ascii="Arial" w:cs="Arial" w:eastAsia="Arial" w:hAnsi="Arial"/>
          <w:sz w:val="15"/>
          <w:szCs w:val="15"/>
          <w:color w:val="1E1E1E"/>
        </w:rPr>
      </w:pPr>
      <w:r>
        <w:rPr>
          <w:rFonts w:ascii="Arial" w:cs="Arial" w:eastAsia="Arial" w:hAnsi="Arial"/>
          <w:sz w:val="15"/>
          <w:szCs w:val="15"/>
          <w:color w:val="1E1E1E"/>
        </w:rPr>
        <w:t>The development of InVivoPrint V1 (IVP-1), an advanced deep learning model that enhances our ability to detect organ toxicities and prioritize drug candidates with greater precision.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1AA7DF"/>
        </w:rPr>
        <w:t>The Road Ahead</w:t>
      </w:r>
    </w:p>
    <w:p>
      <w:pPr>
        <w:spacing w:after="0" w:line="67"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1E1E1E"/>
        </w:rPr>
        <w:t>Recursion is at the forefront of a new era in drug discovery, where data, AI, and automation converge to redefine the boundaries of what is possible. The continued evolution of the Recursion OS will focus on:</w:t>
      </w:r>
    </w:p>
    <w:p>
      <w:pPr>
        <w:spacing w:after="0" w:line="27" w:lineRule="exact"/>
        <w:rPr>
          <w:sz w:val="20"/>
          <w:szCs w:val="20"/>
          <w:color w:val="auto"/>
        </w:rPr>
      </w:pPr>
    </w:p>
    <w:p>
      <w:pPr>
        <w:ind w:left="620" w:hanging="307"/>
        <w:spacing w:after="0"/>
        <w:tabs>
          <w:tab w:leader="none" w:pos="620" w:val="left"/>
        </w:tabs>
        <w:numPr>
          <w:ilvl w:val="0"/>
          <w:numId w:val="52"/>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Further expansion of multimodal AI models </w:t>
      </w:r>
      <w:r>
        <w:rPr>
          <w:rFonts w:ascii="Arial" w:cs="Arial" w:eastAsia="Arial" w:hAnsi="Arial"/>
          <w:sz w:val="15"/>
          <w:szCs w:val="15"/>
          <w:color w:val="1E1E1E"/>
        </w:rPr>
        <w:t>that integrate patient-level insights with cellular and molecular data to refine drug target selection.</w:t>
      </w:r>
    </w:p>
    <w:p>
      <w:pPr>
        <w:spacing w:after="0" w:line="72" w:lineRule="exact"/>
        <w:rPr>
          <w:rFonts w:ascii="Arial" w:cs="Arial" w:eastAsia="Arial" w:hAnsi="Arial"/>
          <w:sz w:val="15"/>
          <w:szCs w:val="15"/>
          <w:b w:val="1"/>
          <w:bCs w:val="1"/>
          <w:color w:val="1E1E1E"/>
        </w:rPr>
      </w:pPr>
    </w:p>
    <w:p>
      <w:pPr>
        <w:ind w:left="620" w:hanging="307"/>
        <w:spacing w:after="0"/>
        <w:tabs>
          <w:tab w:leader="none" w:pos="620" w:val="left"/>
        </w:tabs>
        <w:numPr>
          <w:ilvl w:val="0"/>
          <w:numId w:val="52"/>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Greater automation in preclinical validation </w:t>
      </w:r>
      <w:r>
        <w:rPr>
          <w:rFonts w:ascii="Arial" w:cs="Arial" w:eastAsia="Arial" w:hAnsi="Arial"/>
          <w:sz w:val="15"/>
          <w:szCs w:val="15"/>
          <w:color w:val="1E1E1E"/>
        </w:rPr>
        <w:t>through advances in high-throughput biology and AI-driven chemistry.</w:t>
      </w:r>
    </w:p>
    <w:p>
      <w:pPr>
        <w:spacing w:after="0" w:line="59" w:lineRule="exact"/>
        <w:rPr>
          <w:rFonts w:ascii="Arial" w:cs="Arial" w:eastAsia="Arial" w:hAnsi="Arial"/>
          <w:sz w:val="15"/>
          <w:szCs w:val="15"/>
          <w:b w:val="1"/>
          <w:bCs w:val="1"/>
          <w:color w:val="1E1E1E"/>
        </w:rPr>
      </w:pPr>
    </w:p>
    <w:p>
      <w:pPr>
        <w:ind w:left="620" w:hanging="307"/>
        <w:spacing w:after="0"/>
        <w:tabs>
          <w:tab w:leader="none" w:pos="620" w:val="left"/>
        </w:tabs>
        <w:numPr>
          <w:ilvl w:val="0"/>
          <w:numId w:val="52"/>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Industrialized clinical development </w:t>
      </w:r>
      <w:r>
        <w:rPr>
          <w:rFonts w:ascii="Arial" w:cs="Arial" w:eastAsia="Arial" w:hAnsi="Arial"/>
          <w:sz w:val="15"/>
          <w:szCs w:val="15"/>
          <w:color w:val="1E1E1E"/>
        </w:rPr>
        <w:t>leveraging AI-powered trial design and patient selection to increase the probability of success.</w:t>
      </w:r>
    </w:p>
    <w:p>
      <w:pPr>
        <w:spacing w:after="0" w:line="59" w:lineRule="exact"/>
        <w:rPr>
          <w:rFonts w:ascii="Arial" w:cs="Arial" w:eastAsia="Arial" w:hAnsi="Arial"/>
          <w:sz w:val="15"/>
          <w:szCs w:val="15"/>
          <w:b w:val="1"/>
          <w:bCs w:val="1"/>
          <w:color w:val="1E1E1E"/>
        </w:rPr>
      </w:pPr>
    </w:p>
    <w:p>
      <w:pPr>
        <w:ind w:left="620" w:hanging="307"/>
        <w:spacing w:after="0"/>
        <w:tabs>
          <w:tab w:leader="none" w:pos="620" w:val="left"/>
        </w:tabs>
        <w:numPr>
          <w:ilvl w:val="0"/>
          <w:numId w:val="52"/>
        </w:numPr>
        <w:rPr>
          <w:rFonts w:ascii="Arial" w:cs="Arial" w:eastAsia="Arial" w:hAnsi="Arial"/>
          <w:sz w:val="15"/>
          <w:szCs w:val="15"/>
          <w:b w:val="1"/>
          <w:bCs w:val="1"/>
          <w:color w:val="1E1E1E"/>
        </w:rPr>
      </w:pPr>
      <w:r>
        <w:rPr>
          <w:rFonts w:ascii="Arial" w:cs="Arial" w:eastAsia="Arial" w:hAnsi="Arial"/>
          <w:sz w:val="15"/>
          <w:szCs w:val="15"/>
          <w:b w:val="1"/>
          <w:bCs w:val="1"/>
          <w:color w:val="1E1E1E"/>
        </w:rPr>
        <w:t xml:space="preserve">Scaling our Virtual Cell approach </w:t>
      </w:r>
      <w:r>
        <w:rPr>
          <w:rFonts w:ascii="Arial" w:cs="Arial" w:eastAsia="Arial" w:hAnsi="Arial"/>
          <w:sz w:val="15"/>
          <w:szCs w:val="15"/>
          <w:color w:val="1E1E1E"/>
        </w:rPr>
        <w:t>to predict and validate therapeutic interventions with unparalleled accuracy.</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1E1E1E"/>
        </w:rPr>
        <w:t>As we move forward, we remain committed to the mission that has guided Recursion from the beginning: to decode biology to radically improve lives. With our unique combination of scaled experimentation, AI-driven insights, and industry-leading automation, we are not just advancing drug discovery—we are fundamentally redefining its future.</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Our Pipeline</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1E1E1E"/>
        </w:rPr>
        <w:t>Programs in our internal pipeline are built on unique biological and chemical insights surfaced through the Recursion OS where:</w:t>
      </w:r>
    </w:p>
    <w:p>
      <w:pPr>
        <w:spacing w:after="0" w:line="124" w:lineRule="exact"/>
        <w:rPr>
          <w:sz w:val="20"/>
          <w:szCs w:val="20"/>
          <w:color w:val="auto"/>
        </w:rPr>
      </w:pPr>
    </w:p>
    <w:p>
      <w:pPr>
        <w:ind w:left="620" w:right="580" w:hanging="307"/>
        <w:spacing w:after="0" w:line="294" w:lineRule="auto"/>
        <w:tabs>
          <w:tab w:leader="none" w:pos="616" w:val="left"/>
        </w:tabs>
        <w:numPr>
          <w:ilvl w:val="0"/>
          <w:numId w:val="53"/>
        </w:numPr>
        <w:rPr>
          <w:rFonts w:ascii="Arial" w:cs="Arial" w:eastAsia="Arial" w:hAnsi="Arial"/>
          <w:sz w:val="15"/>
          <w:szCs w:val="15"/>
          <w:color w:val="1E1E1E"/>
        </w:rPr>
      </w:pPr>
      <w:r>
        <w:rPr>
          <w:rFonts w:ascii="Arial" w:cs="Arial" w:eastAsia="Arial" w:hAnsi="Arial"/>
          <w:sz w:val="15"/>
          <w:szCs w:val="15"/>
          <w:color w:val="1E1E1E"/>
        </w:rPr>
        <w:t>The etiology of the disease is well defined, but the subsequent impacts of the disease are generally obscure and/or the primary targets are typically considered undruggable.</w:t>
      </w:r>
    </w:p>
    <w:p>
      <w:pPr>
        <w:spacing w:after="0" w:line="3" w:lineRule="exact"/>
        <w:rPr>
          <w:sz w:val="20"/>
          <w:szCs w:val="20"/>
          <w:color w:val="auto"/>
        </w:rPr>
      </w:pPr>
    </w:p>
    <w:p>
      <w:pPr>
        <w:ind w:left="620" w:hanging="307"/>
        <w:spacing w:after="0"/>
        <w:tabs>
          <w:tab w:leader="none" w:pos="620" w:val="left"/>
        </w:tabs>
        <w:numPr>
          <w:ilvl w:val="0"/>
          <w:numId w:val="54"/>
        </w:numPr>
        <w:rPr>
          <w:rFonts w:ascii="Arial" w:cs="Arial" w:eastAsia="Arial" w:hAnsi="Arial"/>
          <w:sz w:val="15"/>
          <w:szCs w:val="15"/>
          <w:color w:val="1E1E1E"/>
        </w:rPr>
      </w:pPr>
      <w:r>
        <w:rPr>
          <w:rFonts w:ascii="Arial" w:cs="Arial" w:eastAsia="Arial" w:hAnsi="Arial"/>
          <w:sz w:val="15"/>
          <w:szCs w:val="15"/>
          <w:color w:val="1E1E1E"/>
        </w:rPr>
        <w:t>There is a high unmet medical need, no approved therapies, or significant limitations to existing treatments.</w:t>
      </w:r>
    </w:p>
    <w:p>
      <w:pPr>
        <w:spacing w:after="0" w:line="214" w:lineRule="exact"/>
        <w:rPr>
          <w:sz w:val="20"/>
          <w:szCs w:val="20"/>
          <w:color w:val="auto"/>
        </w:rPr>
      </w:pPr>
    </w:p>
    <w:p>
      <w:pPr>
        <w:ind w:right="220"/>
        <w:spacing w:after="0" w:line="294" w:lineRule="auto"/>
        <w:rPr>
          <w:sz w:val="20"/>
          <w:szCs w:val="20"/>
          <w:color w:val="auto"/>
        </w:rPr>
      </w:pPr>
      <w:r>
        <w:rPr>
          <w:rFonts w:ascii="Arial" w:cs="Arial" w:eastAsia="Arial" w:hAnsi="Arial"/>
          <w:sz w:val="15"/>
          <w:szCs w:val="15"/>
          <w:color w:val="1E1E1E"/>
        </w:rPr>
        <w:t>Following the combination with Exscientia, we have expanded our internal and partnered portfolio, adding multiple programs across oncology, immunology, rare diseases, neuroscience, and more. Beyond our 10 clinical and preclinical programs, we are advancing 10+ next-gen discovery programs for further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107950</wp:posOffset>
            </wp:positionV>
            <wp:extent cx="5296535" cy="258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9653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color w:val="6E6E6E"/>
        </w:rPr>
        <w:t xml:space="preserve">Figure 28. </w:t>
      </w:r>
      <w:r>
        <w:rPr>
          <w:rFonts w:ascii="Arial" w:cs="Arial" w:eastAsia="Arial" w:hAnsi="Arial"/>
          <w:sz w:val="14"/>
          <w:szCs w:val="14"/>
          <w:color w:val="6E6E6E"/>
        </w:rPr>
        <w:t>The power of our Recursion OS exemplified by our expansive therapeutic pipeline.</w:t>
      </w:r>
      <w:r>
        <w:rPr>
          <w:rFonts w:ascii="Arial" w:cs="Arial" w:eastAsia="Arial" w:hAnsi="Arial"/>
          <w:sz w:val="14"/>
          <w:szCs w:val="14"/>
          <w:b w:val="1"/>
          <w:bCs w:val="1"/>
          <w:color w:val="6E6E6E"/>
        </w:rPr>
        <w:t xml:space="preserve"> </w:t>
      </w:r>
      <w:r>
        <w:rPr>
          <w:rFonts w:ascii="Arial" w:cs="Arial" w:eastAsia="Arial" w:hAnsi="Arial"/>
          <w:sz w:val="8"/>
          <w:szCs w:val="8"/>
          <w:color w:val="6E6E6E"/>
        </w:rPr>
        <w:t>1</w:t>
      </w:r>
      <w:r>
        <w:rPr>
          <w:rFonts w:ascii="Arial" w:cs="Arial" w:eastAsia="Arial" w:hAnsi="Arial"/>
          <w:sz w:val="14"/>
          <w:szCs w:val="14"/>
          <w:color w:val="6E6E6E"/>
        </w:rPr>
        <w:t>Includes non-small cell lung cancer (NSCLC), colorectal cancer, breast cancer, pancreatic</w:t>
      </w:r>
      <w:r>
        <w:rPr>
          <w:rFonts w:ascii="Arial" w:cs="Arial" w:eastAsia="Arial" w:hAnsi="Arial"/>
          <w:sz w:val="14"/>
          <w:szCs w:val="14"/>
          <w:b w:val="1"/>
          <w:bCs w:val="1"/>
          <w:color w:val="6E6E6E"/>
        </w:rPr>
        <w:t xml:space="preserve"> </w:t>
      </w:r>
      <w:r>
        <w:rPr>
          <w:rFonts w:ascii="Arial" w:cs="Arial" w:eastAsia="Arial" w:hAnsi="Arial"/>
          <w:sz w:val="14"/>
          <w:szCs w:val="14"/>
          <w:color w:val="6E6E6E"/>
        </w:rPr>
        <w:t xml:space="preserve">cancer, ovarian cancer, head and neck cancer; </w:t>
      </w:r>
      <w:r>
        <w:rPr>
          <w:rFonts w:ascii="Arial" w:cs="Arial" w:eastAsia="Arial" w:hAnsi="Arial"/>
          <w:sz w:val="8"/>
          <w:szCs w:val="8"/>
          <w:color w:val="6E6E6E"/>
        </w:rPr>
        <w:t>2</w:t>
      </w:r>
      <w:r>
        <w:rPr>
          <w:rFonts w:ascii="Arial" w:cs="Arial" w:eastAsia="Arial" w:hAnsi="Arial"/>
          <w:sz w:val="14"/>
          <w:szCs w:val="14"/>
          <w:color w:val="6E6E6E"/>
        </w:rPr>
        <w:t>Joint venture with Rallybio.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Clinical Programs in Oncology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1AA7DF"/>
        </w:rPr>
        <w:t xml:space="preserve">REC-617 – </w:t>
      </w:r>
      <w:r>
        <w:rPr>
          <w:rFonts w:ascii="Arial" w:cs="Arial" w:eastAsia="Arial" w:hAnsi="Arial"/>
          <w:sz w:val="17"/>
          <w:szCs w:val="17"/>
          <w:i w:val="1"/>
          <w:iCs w:val="1"/>
          <w:color w:val="1AA7DF"/>
        </w:rPr>
        <w:t>Advanced Solid Tumors</w:t>
      </w:r>
    </w:p>
    <w:p>
      <w:pPr>
        <w:spacing w:after="0" w:line="67" w:lineRule="exact"/>
        <w:rPr>
          <w:sz w:val="20"/>
          <w:szCs w:val="20"/>
          <w:color w:val="auto"/>
        </w:rPr>
      </w:pPr>
    </w:p>
    <w:p>
      <w:pPr>
        <w:jc w:val="both"/>
        <w:ind w:right="100"/>
        <w:spacing w:after="0" w:line="271" w:lineRule="auto"/>
        <w:rPr>
          <w:sz w:val="20"/>
          <w:szCs w:val="20"/>
          <w:color w:val="auto"/>
        </w:rPr>
      </w:pPr>
      <w:r>
        <w:rPr>
          <w:rFonts w:ascii="Arial" w:cs="Arial" w:eastAsia="Arial" w:hAnsi="Arial"/>
          <w:sz w:val="15"/>
          <w:szCs w:val="15"/>
          <w:color w:val="1E1E1E"/>
        </w:rPr>
        <w:t>REC-617 is a potential best-in-class, potent and selective oral small molecule inhibitor of CDK7 with demonstrated activity in preclinical studies. CDK7 controls cell cycle progression and gene transcription, often overexpressed in advanced stage cancers reliant on transcriptional pathways. This program utilized our generative AI and active learning platform to optimize molecule design, including non-covalent binding and ADME/PK for rapid absorption. This rapid design cycle enabled us to synthesize 136 novel compounds and select REC-617 as our lead candidate in under 11 months.</w:t>
      </w:r>
    </w:p>
    <w:p>
      <w:pPr>
        <w:spacing w:after="0" w:line="162" w:lineRule="exact"/>
        <w:rPr>
          <w:sz w:val="20"/>
          <w:szCs w:val="20"/>
          <w:color w:val="auto"/>
        </w:rPr>
      </w:pPr>
    </w:p>
    <w:p>
      <w:pPr>
        <w:jc w:val="both"/>
        <w:ind w:right="140"/>
        <w:spacing w:after="0" w:line="267" w:lineRule="auto"/>
        <w:rPr>
          <w:sz w:val="20"/>
          <w:szCs w:val="20"/>
          <w:color w:val="auto"/>
        </w:rPr>
      </w:pPr>
      <w:r>
        <w:rPr>
          <w:rFonts w:ascii="Arial" w:cs="Arial" w:eastAsia="Arial" w:hAnsi="Arial"/>
          <w:sz w:val="15"/>
          <w:szCs w:val="15"/>
          <w:color w:val="1E1E1E"/>
        </w:rPr>
        <w:t xml:space="preserve">A multicenter, open-label, Phase 1/2 </w:t>
      </w:r>
      <w:r>
        <w:rPr>
          <w:rFonts w:ascii="Arial" w:cs="Arial" w:eastAsia="Arial" w:hAnsi="Arial"/>
          <w:sz w:val="15"/>
          <w:szCs w:val="15"/>
          <w:i w:val="1"/>
          <w:iCs w:val="1"/>
          <w:color w:val="1E1E1E"/>
        </w:rPr>
        <w:t>(ELUCIDATE)</w:t>
      </w:r>
      <w:r>
        <w:rPr>
          <w:rFonts w:ascii="Arial" w:cs="Arial" w:eastAsia="Arial" w:hAnsi="Arial"/>
          <w:sz w:val="15"/>
          <w:szCs w:val="15"/>
          <w:color w:val="1E1E1E"/>
        </w:rPr>
        <w:t xml:space="preserve"> monotherapy dose escalation (QD and BID) study is currently ongoing in advanced solid tumors. In December 2024, results from the initial 19 patients (18 response-evaluable at the time of cutoff) were presented at an AACR Special Conference in Cancer Research. REC-617 monotherapy demonstrated signs of preliminary efficacy. One heavily pre-treated ovarian cancer patient achieved a confirmed durable partial response (PR), which correlated with significant reductions in clinical tumor markers (CA125 and TK1). Four additional patients achieved durable stable disease (SD) as their best response. REC-617 was generally well-tolerated, with adverse events predominantly low grade, on-target, and reversible upon treatment cessation. The MTD was not reached and there were no treatment-related discontinuations.</w:t>
      </w:r>
    </w:p>
    <w:p>
      <w:pPr>
        <w:spacing w:after="0" w:line="177" w:lineRule="exact"/>
        <w:rPr>
          <w:sz w:val="20"/>
          <w:szCs w:val="20"/>
          <w:color w:val="auto"/>
        </w:rPr>
      </w:pPr>
    </w:p>
    <w:p>
      <w:pPr>
        <w:ind w:right="440"/>
        <w:spacing w:after="0" w:line="294" w:lineRule="auto"/>
        <w:rPr>
          <w:sz w:val="20"/>
          <w:szCs w:val="20"/>
          <w:color w:val="auto"/>
        </w:rPr>
      </w:pPr>
      <w:r>
        <w:rPr>
          <w:rFonts w:ascii="Arial" w:cs="Arial" w:eastAsia="Arial" w:hAnsi="Arial"/>
          <w:sz w:val="15"/>
          <w:szCs w:val="15"/>
          <w:color w:val="1E1E1E"/>
        </w:rPr>
        <w:t>Monotherapy dose escalation (QD and BID) remains ongoing, and we expect to initiate combination studies in the first half of 2025. We also expect to provide additional data updates from the Phase 1 in 2025.</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1AA7DF"/>
        </w:rPr>
        <w:t xml:space="preserve">REC-1245 – </w:t>
      </w:r>
      <w:r>
        <w:rPr>
          <w:rFonts w:ascii="Arial" w:cs="Arial" w:eastAsia="Arial" w:hAnsi="Arial"/>
          <w:sz w:val="17"/>
          <w:szCs w:val="17"/>
          <w:i w:val="1"/>
          <w:iCs w:val="1"/>
          <w:color w:val="1AA7DF"/>
        </w:rPr>
        <w:t>Biomarker-enriched Solid Tumors and Lymphoma</w:t>
      </w:r>
    </w:p>
    <w:p>
      <w:pPr>
        <w:spacing w:after="0" w:line="67"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1E1E1E"/>
        </w:rPr>
        <w:t>REC-1245 is a first-in-class, novel, potent, and selective molecular glue degrader of RBM39, a critical RNA-binding protein involved in alternative splicing and DNA damage repair (DDR) pathways. Leveraging the Recursion OS, we discovered that genetic knockout of RBM39 can phenotypically mimic CDK12 loss – a validated DDR target –without impacting CDK13. To our knowledge, we were the first to report this novel biological insight. Utilizing our phenomics based platform for SAR, we synthesized 204 candidates and advanced this program from target ID to IND-enabling studies in 18 months (vs. industry average of 42 months).</w:t>
      </w:r>
    </w:p>
    <w:p>
      <w:pPr>
        <w:spacing w:after="0" w:line="175"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1E1E1E"/>
        </w:rPr>
        <w:t>Preclinical data confirmed strong anti-tumor activity, including tumor regressions in a BRCA-proficient ovarian cancer model, minimal off-target effects, and no CDK12 kinase inhibition. With over 100,000 addressable patients in the US and EU5 each year, REC-1245 has the potential to be a novel therapy in a biomarker-enriched advanced solid tumors and lymphoma patient population – either as a monotherapy and/or in combination regimens.</w:t>
      </w:r>
    </w:p>
    <w:p>
      <w:pPr>
        <w:spacing w:after="0" w:line="153"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1E1E1E"/>
        </w:rPr>
        <w:t xml:space="preserve">Following IND clearance in September 2024, we initiated a Phase 1/2 </w:t>
      </w:r>
      <w:r>
        <w:rPr>
          <w:rFonts w:ascii="Arial" w:cs="Arial" w:eastAsia="Arial" w:hAnsi="Arial"/>
          <w:sz w:val="15"/>
          <w:szCs w:val="15"/>
          <w:i w:val="1"/>
          <w:iCs w:val="1"/>
          <w:color w:val="1E1E1E"/>
        </w:rPr>
        <w:t>(DAHLIA)</w:t>
      </w:r>
      <w:r>
        <w:rPr>
          <w:rFonts w:ascii="Arial" w:cs="Arial" w:eastAsia="Arial" w:hAnsi="Arial"/>
          <w:sz w:val="15"/>
          <w:szCs w:val="15"/>
          <w:color w:val="1E1E1E"/>
        </w:rPr>
        <w:t xml:space="preserve"> study in December 2024 to evaluate the safety, tolerability, PK/PD, and preliminary efficacy of REC-1245 in unresectable, locally advanced, or metastatic cancers. The trial is currently enrolling at three US sites and includes a biomarker-enriched population that may benefit most from targeted RBM39 degradation. We expect to share an update on the Phase 1 dose-escalation portion of the study in the first half of 2026.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1AA7DF"/>
        </w:rPr>
        <w:t xml:space="preserve">REC-3565 – </w:t>
      </w:r>
      <w:r>
        <w:rPr>
          <w:rFonts w:ascii="Arial" w:cs="Arial" w:eastAsia="Arial" w:hAnsi="Arial"/>
          <w:sz w:val="17"/>
          <w:szCs w:val="17"/>
          <w:i w:val="1"/>
          <w:iCs w:val="1"/>
          <w:color w:val="1AA7DF"/>
        </w:rPr>
        <w:t>Relapsed / Refractory B-cell Malignancies</w:t>
      </w:r>
    </w:p>
    <w:p>
      <w:pPr>
        <w:spacing w:after="0" w:line="67"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1E1E1E"/>
        </w:rPr>
        <w:t>We are advancing REC-3565, our reversible allosteric potential best-in-class MALT1 inhibitor, for the treatment of patients with relapsed or refractory B-cell malignancies. A variety of mutations seen in lymphomas induce constitutive MALT1 protease activation, leading to aberrant NF-κB signaling that drives survival and proliferation of B-cell tumors. Key preclinical data demonstrates sustained anti-tumor activity as a single-agent or in combination with BTK inhibitors.</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1E1E1E"/>
        </w:rPr>
        <w:t>We leveraged physics-based predictive modelling using our molecular dynamics toolkit and AI-powered hotspot analysis to deliver a candidate with lower predicted safety risk in the clinic. We synthesized 344 novel compounds and advanced this program from hit ID to lead candidate in 15 months.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 xml:space="preserve">The molecule’s unique profile minimizes UGT1A1 inhibition risk, demonstrating superior target selectivity compared to oral competitors, both of which reported treatment-related hyperbilirubinemia in early Phase 1/2 studies. As a result, REC-3565’s enhanced selectivity supports the potential for a more favorable therapeutic index not only as a monotherapy, but also in combinations with BTK and BCL2 inhibitors. A multicenter, open-label, dose escalation Phase 1 study </w:t>
      </w:r>
      <w:r>
        <w:rPr>
          <w:rFonts w:ascii="Arial" w:cs="Arial" w:eastAsia="Arial" w:hAnsi="Arial"/>
          <w:sz w:val="15"/>
          <w:szCs w:val="15"/>
          <w:i w:val="1"/>
          <w:iCs w:val="1"/>
          <w:color w:val="1E1E1E"/>
        </w:rPr>
        <w:t>(EXCELERIZE)</w:t>
      </w:r>
      <w:r>
        <w:rPr>
          <w:rFonts w:ascii="Arial" w:cs="Arial" w:eastAsia="Arial" w:hAnsi="Arial"/>
          <w:sz w:val="15"/>
          <w:szCs w:val="15"/>
          <w:color w:val="1E1E1E"/>
        </w:rPr>
        <w:t xml:space="preserve"> cleared a CTA by the MHRA in December 2024. We expect to dose the first patient in the first half of 2025.</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1AA7DF"/>
        </w:rPr>
        <w:t xml:space="preserve">REC-4539 – </w:t>
      </w:r>
      <w:r>
        <w:rPr>
          <w:rFonts w:ascii="Arial" w:cs="Arial" w:eastAsia="Arial" w:hAnsi="Arial"/>
          <w:sz w:val="17"/>
          <w:szCs w:val="17"/>
          <w:i w:val="1"/>
          <w:iCs w:val="1"/>
          <w:color w:val="1AA7DF"/>
        </w:rPr>
        <w:t>Small Cell Lung Cancer</w:t>
      </w:r>
    </w:p>
    <w:p>
      <w:pPr>
        <w:spacing w:after="0" w:line="67"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1E1E1E"/>
        </w:rPr>
        <w:t>REC-4539 is reversible CNS penetrant, orally bioavailable, and potential best-in-class inhibitor of LSD1. LSD1 is an epigenetic enzyme that removes methyl groups from histones to control gene expression. SCLC is particularly dependent on LSD1 to maintain a neuroendocrine phenotype that drives tumor cell survival in this aggressive lung cancer subtype. Preclinical studies demonstrate that REC-4539 shows anti-tumor activity in SCLC human xenografts with limited impact on platelets.</w:t>
      </w:r>
    </w:p>
    <w:p>
      <w:pPr>
        <w:spacing w:after="0" w:line="361"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1E1E1E"/>
        </w:rPr>
        <w:t>Our program used multi-parameter optimization to design a unique candidate combining reversibility with CNS penetration. We synthesized 414 novel candidates to arrive at our lead candidate in 22 months. Following IND clearance in January 2025, we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300"/>
        <w:spacing w:after="0" w:line="294" w:lineRule="auto"/>
        <w:rPr>
          <w:sz w:val="20"/>
          <w:szCs w:val="20"/>
          <w:color w:val="auto"/>
        </w:rPr>
      </w:pPr>
      <w:r>
        <w:rPr>
          <w:rFonts w:ascii="Arial" w:cs="Arial" w:eastAsia="Arial" w:hAnsi="Arial"/>
          <w:sz w:val="15"/>
          <w:szCs w:val="15"/>
          <w:color w:val="1E1E1E"/>
        </w:rPr>
        <w:t xml:space="preserve">expect to initiate a multicenter, open-label Phase 1/2 trial </w:t>
      </w:r>
      <w:r>
        <w:rPr>
          <w:rFonts w:ascii="Arial" w:cs="Arial" w:eastAsia="Arial" w:hAnsi="Arial"/>
          <w:sz w:val="15"/>
          <w:szCs w:val="15"/>
          <w:i w:val="1"/>
          <w:iCs w:val="1"/>
          <w:color w:val="1E1E1E"/>
        </w:rPr>
        <w:t>(ENLYGHT)</w:t>
      </w:r>
      <w:r>
        <w:rPr>
          <w:rFonts w:ascii="Arial" w:cs="Arial" w:eastAsia="Arial" w:hAnsi="Arial"/>
          <w:sz w:val="15"/>
          <w:szCs w:val="15"/>
          <w:color w:val="1E1E1E"/>
        </w:rPr>
        <w:t xml:space="preserve"> in the first half of 2025. We plan to target an SCLC patient population as well as additional biomarker-selected cancers following the dose escalation portion.</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Clinical Programs in Rare Diseases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1AA7DF"/>
        </w:rPr>
        <w:t xml:space="preserve">REC-994 – </w:t>
      </w:r>
      <w:r>
        <w:rPr>
          <w:rFonts w:ascii="Arial" w:cs="Arial" w:eastAsia="Arial" w:hAnsi="Arial"/>
          <w:sz w:val="17"/>
          <w:szCs w:val="17"/>
          <w:i w:val="1"/>
          <w:iCs w:val="1"/>
          <w:color w:val="1AA7DF"/>
        </w:rPr>
        <w:t>Cerebral Cavernous Malformation</w:t>
      </w:r>
    </w:p>
    <w:p>
      <w:pPr>
        <w:spacing w:after="0" w:line="67"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1E1E1E"/>
        </w:rPr>
        <w:t>We are developing REC-994, an orally bioavailable small molecule superoxide scavenger, as a first-in-disease opportunity for symptomatic cerebral cavernous malformations (CCM). CCMs are rare vascular anomalies marked by abnormal capillary-venous structures, recurrent lesions, and stroke-like symptoms. REC-994 was discovered using the earliest version of Recursion’s comprehensive drug discovery platform. In an unbiased CCM2 loss of function phenotypic screen, REC-994 demonstrated concentration dependent rescue and was advanced into preclinical studies. In animal models of CCM, REC-994 reduced the burden of CCM lesions by ~50%. In addition, REC-994 also reduced the vascular permeability defects in CCM2-deficient mice, which is critical in CCM pathology. This data supported the clinical development of REC-994, the first industry-sponsored trial for CCM.</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1E1E1E"/>
        </w:rPr>
        <w:t>In late 2020, initial results from the clinical program were reported and a randomized Phase 2 trial of REC-994 (SYCAMORE) was initiated in March 2022 in patients with symptomatic CCM. In April 2024, the Phase 1 SAD/MAD study was published. Initial results in September 2024 showed REC-994 met its primary endpoint of safety with encouraging trends in preliminary efficacy. The drug was well-tolerated, with no treatment-related discontinuations or Grade 3-4 adverse events reported. We presented the Phase 2 study data as a late-breaking oral presentation at the International Stroke Conference, or ISC, annual meeting in February 2025. The data presented showed signs of safety and efficacy as follows:</w:t>
      </w:r>
    </w:p>
    <w:p>
      <w:pPr>
        <w:spacing w:after="0" w:line="76" w:lineRule="exact"/>
        <w:rPr>
          <w:sz w:val="20"/>
          <w:szCs w:val="20"/>
          <w:color w:val="auto"/>
        </w:rPr>
      </w:pPr>
    </w:p>
    <w:p>
      <w:pPr>
        <w:ind w:left="620" w:right="40" w:hanging="307"/>
        <w:spacing w:after="0" w:line="287" w:lineRule="auto"/>
        <w:tabs>
          <w:tab w:leader="none" w:pos="609" w:val="left"/>
        </w:tabs>
        <w:numPr>
          <w:ilvl w:val="0"/>
          <w:numId w:val="55"/>
        </w:numPr>
        <w:rPr>
          <w:rFonts w:ascii="Arial" w:cs="Arial" w:eastAsia="Arial" w:hAnsi="Arial"/>
          <w:sz w:val="15"/>
          <w:szCs w:val="15"/>
          <w:color w:val="1E1E1E"/>
        </w:rPr>
      </w:pPr>
      <w:r>
        <w:rPr>
          <w:rFonts w:ascii="Arial" w:cs="Arial" w:eastAsia="Arial" w:hAnsi="Arial"/>
          <w:sz w:val="15"/>
          <w:szCs w:val="15"/>
          <w:color w:val="1E1E1E"/>
        </w:rPr>
        <w:t>REC-994 met the primary endpoint of safety and tolerability in CCM patients with no treatment-related discontinuations, SAEs or Grade ≥ 3 adverse events related to study drug</w:t>
      </w:r>
    </w:p>
    <w:p>
      <w:pPr>
        <w:ind w:left="620" w:hanging="307"/>
        <w:spacing w:after="0"/>
        <w:tabs>
          <w:tab w:leader="none" w:pos="620" w:val="left"/>
        </w:tabs>
        <w:numPr>
          <w:ilvl w:val="0"/>
          <w:numId w:val="55"/>
        </w:numPr>
        <w:rPr>
          <w:rFonts w:ascii="Arial" w:cs="Arial" w:eastAsia="Arial" w:hAnsi="Arial"/>
          <w:sz w:val="15"/>
          <w:szCs w:val="15"/>
          <w:color w:val="1E1E1E"/>
        </w:rPr>
      </w:pPr>
      <w:r>
        <w:rPr>
          <w:rFonts w:ascii="Arial" w:cs="Arial" w:eastAsia="Arial" w:hAnsi="Arial"/>
          <w:sz w:val="15"/>
          <w:szCs w:val="15"/>
          <w:color w:val="1E1E1E"/>
        </w:rPr>
        <w:t>No new safety signals observed, with the incidence of adverse events comparable across arms</w:t>
      </w:r>
    </w:p>
    <w:p>
      <w:pPr>
        <w:spacing w:after="0" w:line="72" w:lineRule="exact"/>
        <w:rPr>
          <w:rFonts w:ascii="Arial" w:cs="Arial" w:eastAsia="Arial" w:hAnsi="Arial"/>
          <w:sz w:val="15"/>
          <w:szCs w:val="15"/>
          <w:color w:val="1E1E1E"/>
        </w:rPr>
      </w:pPr>
    </w:p>
    <w:p>
      <w:pPr>
        <w:ind w:left="620" w:hanging="307"/>
        <w:spacing w:after="0"/>
        <w:tabs>
          <w:tab w:leader="none" w:pos="620" w:val="left"/>
        </w:tabs>
        <w:numPr>
          <w:ilvl w:val="0"/>
          <w:numId w:val="55"/>
        </w:numPr>
        <w:rPr>
          <w:rFonts w:ascii="Arial" w:cs="Arial" w:eastAsia="Arial" w:hAnsi="Arial"/>
          <w:sz w:val="15"/>
          <w:szCs w:val="15"/>
          <w:color w:val="1E1E1E"/>
        </w:rPr>
      </w:pPr>
      <w:r>
        <w:rPr>
          <w:rFonts w:ascii="Arial" w:cs="Arial" w:eastAsia="Arial" w:hAnsi="Arial"/>
          <w:sz w:val="15"/>
          <w:szCs w:val="15"/>
          <w:color w:val="1E1E1E"/>
        </w:rPr>
        <w:t>No treatment-related adverse events that led to discontinuations</w:t>
      </w:r>
    </w:p>
    <w:p>
      <w:pPr>
        <w:spacing w:after="0" w:line="59" w:lineRule="exact"/>
        <w:rPr>
          <w:rFonts w:ascii="Arial" w:cs="Arial" w:eastAsia="Arial" w:hAnsi="Arial"/>
          <w:sz w:val="15"/>
          <w:szCs w:val="15"/>
          <w:color w:val="1E1E1E"/>
        </w:rPr>
      </w:pPr>
    </w:p>
    <w:p>
      <w:pPr>
        <w:ind w:left="620" w:right="180" w:hanging="307"/>
        <w:spacing w:after="0" w:line="295" w:lineRule="auto"/>
        <w:tabs>
          <w:tab w:leader="none" w:pos="609" w:val="left"/>
        </w:tabs>
        <w:numPr>
          <w:ilvl w:val="0"/>
          <w:numId w:val="55"/>
        </w:numPr>
        <w:rPr>
          <w:rFonts w:ascii="Arial" w:cs="Arial" w:eastAsia="Arial" w:hAnsi="Arial"/>
          <w:sz w:val="15"/>
          <w:szCs w:val="15"/>
          <w:color w:val="1E1E1E"/>
        </w:rPr>
      </w:pPr>
      <w:r>
        <w:rPr>
          <w:rFonts w:ascii="Arial" w:cs="Arial" w:eastAsia="Arial" w:hAnsi="Arial"/>
          <w:sz w:val="15"/>
          <w:szCs w:val="15"/>
          <w:color w:val="1E1E1E"/>
        </w:rPr>
        <w:t>50% of patients on REC-994 400 mg (n=20) achieved a reduction in total lesion volume versus 28% of patients in placebo (n=18) and 24% of patients on REC-994 200 mg (n=17)</w:t>
      </w:r>
    </w:p>
    <w:p>
      <w:pPr>
        <w:spacing w:after="0" w:line="1" w:lineRule="exact"/>
        <w:rPr>
          <w:rFonts w:ascii="Arial" w:cs="Arial" w:eastAsia="Arial" w:hAnsi="Arial"/>
          <w:sz w:val="15"/>
          <w:szCs w:val="15"/>
          <w:color w:val="1E1E1E"/>
        </w:rPr>
      </w:pPr>
    </w:p>
    <w:p>
      <w:pPr>
        <w:ind w:left="620" w:right="340" w:hanging="307"/>
        <w:spacing w:after="0" w:line="294" w:lineRule="auto"/>
        <w:tabs>
          <w:tab w:leader="none" w:pos="609" w:val="left"/>
        </w:tabs>
        <w:numPr>
          <w:ilvl w:val="0"/>
          <w:numId w:val="55"/>
        </w:numPr>
        <w:rPr>
          <w:rFonts w:ascii="Arial" w:cs="Arial" w:eastAsia="Arial" w:hAnsi="Arial"/>
          <w:sz w:val="15"/>
          <w:szCs w:val="15"/>
          <w:color w:val="1E1E1E"/>
        </w:rPr>
      </w:pPr>
      <w:r>
        <w:rPr>
          <w:rFonts w:ascii="Arial" w:cs="Arial" w:eastAsia="Arial" w:hAnsi="Arial"/>
          <w:sz w:val="15"/>
          <w:szCs w:val="15"/>
          <w:color w:val="1E1E1E"/>
        </w:rPr>
        <w:t>Trends towards improvement and/or stabilization of symptoms for patients treated with REC-994 400 mg (n=19) compared to placebo, which observed trends towards functional decline, based on changes in the Modified Rankin Scale (mRS) score from baseline to 12 months</w:t>
      </w:r>
    </w:p>
    <w:p>
      <w:pPr>
        <w:spacing w:after="0" w:line="158" w:lineRule="exact"/>
        <w:rPr>
          <w:sz w:val="20"/>
          <w:szCs w:val="20"/>
          <w:color w:val="auto"/>
        </w:rPr>
      </w:pPr>
    </w:p>
    <w:p>
      <w:pPr>
        <w:ind w:right="420"/>
        <w:spacing w:after="0" w:line="294" w:lineRule="auto"/>
        <w:rPr>
          <w:sz w:val="20"/>
          <w:szCs w:val="20"/>
          <w:color w:val="auto"/>
        </w:rPr>
      </w:pPr>
      <w:r>
        <w:rPr>
          <w:rFonts w:ascii="Arial" w:cs="Arial" w:eastAsia="Arial" w:hAnsi="Arial"/>
          <w:sz w:val="15"/>
          <w:szCs w:val="15"/>
          <w:color w:val="1E1E1E"/>
        </w:rPr>
        <w:t>Similar trends of exploratory efficacy (lesion volume reduction and functional outcome improvement) were seen in the cohort of patients with brainstem lesions treated with REC-994 400 mg</w:t>
      </w:r>
    </w:p>
    <w:p>
      <w:pPr>
        <w:spacing w:after="0" w:line="158" w:lineRule="exact"/>
        <w:rPr>
          <w:sz w:val="20"/>
          <w:szCs w:val="20"/>
          <w:color w:val="auto"/>
        </w:rPr>
      </w:pPr>
    </w:p>
    <w:p>
      <w:pPr>
        <w:jc w:val="both"/>
        <w:ind w:right="120"/>
        <w:spacing w:after="0" w:line="273" w:lineRule="auto"/>
        <w:rPr>
          <w:sz w:val="20"/>
          <w:szCs w:val="20"/>
          <w:color w:val="auto"/>
        </w:rPr>
      </w:pPr>
      <w:r>
        <w:rPr>
          <w:rFonts w:ascii="Arial" w:cs="Arial" w:eastAsia="Arial" w:hAnsi="Arial"/>
          <w:sz w:val="15"/>
          <w:szCs w:val="15"/>
          <w:color w:val="1E1E1E"/>
        </w:rPr>
        <w:t>Most (80%) patients who completed at least 12 months of treatment in the Phase 2 study elected to continue into the long-term extension (LTE) portion of the trial. As of December 31, 2024, the LTE portion is ongoing. As there are no therapeutic options for patients with symptomatic CCM, we plan to seek regulatory guidance from the FDA and additional health authorities on a path forward for this potential first-in-disease program. We expect to share updates on next steps in 2025.</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1AA7DF"/>
        </w:rPr>
        <w:t xml:space="preserve">REC-4881 – </w:t>
      </w:r>
      <w:r>
        <w:rPr>
          <w:rFonts w:ascii="Arial" w:cs="Arial" w:eastAsia="Arial" w:hAnsi="Arial"/>
          <w:sz w:val="17"/>
          <w:szCs w:val="17"/>
          <w:i w:val="1"/>
          <w:iCs w:val="1"/>
          <w:color w:val="1AA7DF"/>
        </w:rPr>
        <w:t>Familial Adenomatous Polyposis</w:t>
      </w:r>
    </w:p>
    <w:p>
      <w:pPr>
        <w:spacing w:after="0" w:line="67"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1E1E1E"/>
        </w:rPr>
        <w:t>We are developing REC-4881, a highly potent and selective, potential best-in-class MEK1/2 inhibitor, for familial adenomatous polyposis (FAP). FAP is a genetic condition characterized by the development of adenomas throughout the GI tract. It is an orphan disease caused by inactivating mutations in APC, with most patients undergoing prophylactic colectomy due to nearly 100% likelihood of CRC by age 60.</w:t>
      </w:r>
    </w:p>
    <w:p>
      <w:pPr>
        <w:spacing w:after="0" w:line="153" w:lineRule="exact"/>
        <w:rPr>
          <w:sz w:val="20"/>
          <w:szCs w:val="20"/>
          <w:color w:val="auto"/>
        </w:rPr>
      </w:pPr>
    </w:p>
    <w:p>
      <w:pPr>
        <w:ind w:right="60"/>
        <w:spacing w:after="0" w:line="246" w:lineRule="auto"/>
        <w:rPr>
          <w:sz w:val="20"/>
          <w:szCs w:val="20"/>
          <w:color w:val="auto"/>
        </w:rPr>
      </w:pPr>
      <w:r>
        <w:rPr>
          <w:rFonts w:ascii="Arial" w:cs="Arial" w:eastAsia="Arial" w:hAnsi="Arial"/>
          <w:sz w:val="15"/>
          <w:szCs w:val="15"/>
          <w:color w:val="1E1E1E"/>
        </w:rPr>
        <w:t xml:space="preserve">During a collaboration with Takeda, we leveraged machine vision and automated analysis to quantify hundreds of cellular parameters linked to </w:t>
      </w:r>
      <w:r>
        <w:rPr>
          <w:rFonts w:ascii="Arial" w:cs="Arial" w:eastAsia="Arial" w:hAnsi="Arial"/>
          <w:sz w:val="15"/>
          <w:szCs w:val="15"/>
          <w:i w:val="1"/>
          <w:iCs w:val="1"/>
          <w:color w:val="1E1E1E"/>
        </w:rPr>
        <w:t>APC</w:t>
      </w:r>
      <w:r>
        <w:rPr>
          <w:rFonts w:ascii="Arial" w:cs="Arial" w:eastAsia="Arial" w:hAnsi="Arial"/>
          <w:sz w:val="15"/>
          <w:szCs w:val="15"/>
          <w:color w:val="1E1E1E"/>
        </w:rPr>
        <w:t xml:space="preserve"> siRNA knockdown. We screened numerous compounds in this genetic background for 24 hours and identified REC-4881 as a potent molecule that rescued the phenotype in a concentration dependent manner. In preclinical studies, REC-4881 demonstrated over 1,000-fold selectivity in </w:t>
      </w:r>
      <w:r>
        <w:rPr>
          <w:rFonts w:ascii="Arial" w:cs="Arial" w:eastAsia="Arial" w:hAnsi="Arial"/>
          <w:sz w:val="15"/>
          <w:szCs w:val="15"/>
          <w:i w:val="1"/>
          <w:iCs w:val="1"/>
          <w:color w:val="1E1E1E"/>
        </w:rPr>
        <w:t>APC</w:t>
      </w:r>
      <w:r>
        <w:rPr>
          <w:rFonts w:ascii="Arial" w:cs="Arial" w:eastAsia="Arial" w:hAnsi="Arial"/>
          <w:sz w:val="15"/>
          <w:szCs w:val="15"/>
          <w:color w:val="1E1E1E"/>
        </w:rPr>
        <w:t xml:space="preserve">-mutant tumor cell lines and effectively inhibited spheroid growth and organization. In the </w:t>
      </w:r>
      <w:r>
        <w:rPr>
          <w:rFonts w:ascii="Arial" w:cs="Arial" w:eastAsia="Arial" w:hAnsi="Arial"/>
          <w:sz w:val="15"/>
          <w:szCs w:val="15"/>
          <w:i w:val="1"/>
          <w:iCs w:val="1"/>
          <w:color w:val="1E1E1E"/>
        </w:rPr>
        <w:t>APC</w:t>
      </w:r>
      <w:r>
        <w:rPr>
          <w:rFonts w:ascii="Arial" w:cs="Arial" w:eastAsia="Arial" w:hAnsi="Arial"/>
          <w:sz w:val="20"/>
          <w:szCs w:val="20"/>
          <w:color w:val="1E1E1E"/>
          <w:vertAlign w:val="superscript"/>
        </w:rPr>
        <w:t>min</w:t>
      </w:r>
      <w:r>
        <w:rPr>
          <w:rFonts w:ascii="Arial" w:cs="Arial" w:eastAsia="Arial" w:hAnsi="Arial"/>
          <w:sz w:val="15"/>
          <w:szCs w:val="15"/>
          <w:color w:val="1E1E1E"/>
        </w:rPr>
        <w:t xml:space="preserve"> mouse model of FAP, REC-4881 showed up to a 70% reduction in total polyps, surpassing celecoxib’s 30% reduction, highlighting its potential as a highly selective and efficacious therapy for FAP.</w:t>
      </w:r>
    </w:p>
    <w:p>
      <w:pPr>
        <w:spacing w:after="0" w:line="192"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color w:val="1E1E1E"/>
        </w:rPr>
        <w:t xml:space="preserve">In April 2022, the IND was reactivated and in September 2022, the Phase 1b/2 trial </w:t>
      </w:r>
      <w:r>
        <w:rPr>
          <w:rFonts w:ascii="Arial" w:cs="Arial" w:eastAsia="Arial" w:hAnsi="Arial"/>
          <w:sz w:val="15"/>
          <w:szCs w:val="15"/>
          <w:i w:val="1"/>
          <w:iCs w:val="1"/>
          <w:color w:val="1E1E1E"/>
        </w:rPr>
        <w:t>(TUPELO)</w:t>
      </w:r>
      <w:r>
        <w:rPr>
          <w:rFonts w:ascii="Arial" w:cs="Arial" w:eastAsia="Arial" w:hAnsi="Arial"/>
          <w:sz w:val="15"/>
          <w:szCs w:val="15"/>
          <w:color w:val="1E1E1E"/>
        </w:rPr>
        <w:t xml:space="preserve"> of REC-4881 was initiated. As of December 31, 2024, Part 1 of the study is complete, and Part 2 remains ongoing. We expect to share safety and preliminary efficacy data in the first half of 2025.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1AA7DF"/>
        </w:rPr>
        <w:t xml:space="preserve">REC-2282 – </w:t>
      </w:r>
      <w:r>
        <w:rPr>
          <w:rFonts w:ascii="Arial" w:cs="Arial" w:eastAsia="Arial" w:hAnsi="Arial"/>
          <w:sz w:val="17"/>
          <w:szCs w:val="17"/>
          <w:i w:val="1"/>
          <w:iCs w:val="1"/>
          <w:color w:val="1AA7DF"/>
        </w:rPr>
        <w:t>Neurofibromatosis Type 2</w:t>
      </w:r>
    </w:p>
    <w:p>
      <w:pPr>
        <w:spacing w:after="0" w:line="67" w:lineRule="exact"/>
        <w:rPr>
          <w:sz w:val="20"/>
          <w:szCs w:val="20"/>
          <w:color w:val="auto"/>
        </w:rPr>
      </w:pPr>
    </w:p>
    <w:p>
      <w:pPr>
        <w:ind w:right="460"/>
        <w:spacing w:after="0" w:line="294" w:lineRule="auto"/>
        <w:rPr>
          <w:sz w:val="20"/>
          <w:szCs w:val="20"/>
          <w:color w:val="auto"/>
        </w:rPr>
      </w:pPr>
      <w:r>
        <w:rPr>
          <w:rFonts w:ascii="Arial" w:cs="Arial" w:eastAsia="Arial" w:hAnsi="Arial"/>
          <w:sz w:val="15"/>
          <w:szCs w:val="15"/>
          <w:color w:val="1E1E1E"/>
        </w:rPr>
        <w:t xml:space="preserve">We are developing REC-2282, a CNS penetrant, potential best-in-class pan-HDAC inhibitor, for neurofibromatosis type 2 (NF2). NF2 is a rare genetic disease caused by loss of function mutations in the </w:t>
      </w:r>
      <w:r>
        <w:rPr>
          <w:rFonts w:ascii="Arial" w:cs="Arial" w:eastAsia="Arial" w:hAnsi="Arial"/>
          <w:sz w:val="15"/>
          <w:szCs w:val="15"/>
          <w:i w:val="1"/>
          <w:iCs w:val="1"/>
          <w:color w:val="1E1E1E"/>
        </w:rPr>
        <w:t>NF2</w:t>
      </w:r>
      <w:r>
        <w:rPr>
          <w:rFonts w:ascii="Arial" w:cs="Arial" w:eastAsia="Arial" w:hAnsi="Arial"/>
          <w:sz w:val="15"/>
          <w:szCs w:val="15"/>
          <w:color w:val="1E1E1E"/>
        </w:rPr>
        <w:t xml:space="preserve"> gene which leads to deficiencies in the tumor suppressor protein merlin.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1E1E1E"/>
        </w:rPr>
        <w:t xml:space="preserve">REC-2282 was identified as a potential therapeutic capable of rescuing HUVEC cells treated with </w:t>
      </w:r>
      <w:r>
        <w:rPr>
          <w:rFonts w:ascii="Arial" w:cs="Arial" w:eastAsia="Arial" w:hAnsi="Arial"/>
          <w:sz w:val="15"/>
          <w:szCs w:val="15"/>
          <w:i w:val="1"/>
          <w:iCs w:val="1"/>
          <w:color w:val="1E1E1E"/>
        </w:rPr>
        <w:t>NF2</w:t>
      </w:r>
      <w:r>
        <w:rPr>
          <w:rFonts w:ascii="Arial" w:cs="Arial" w:eastAsia="Arial" w:hAnsi="Arial"/>
          <w:sz w:val="15"/>
          <w:szCs w:val="15"/>
          <w:color w:val="1E1E1E"/>
        </w:rPr>
        <w:t xml:space="preserve"> siRNA and subsequently in-licensed from Ohio State Innovation Foundation in December 2018. We initiated the POPLAR study, an adaptive, randomized, multicenter Phase 2/3 trial in June 2022, with the first patient dosed in October 2022. In November 2024, we announced that the trial was fully enrolled in the Phase 2 portion.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1E1E1E"/>
        </w:rPr>
        <w:t>As of December 31, 2024, Phase 2 data is maturing, and we expect to share the results of the futility analysis (PFS6 rate) in the first half of 2025.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1AA7DF"/>
        </w:rPr>
        <w:t xml:space="preserve">REC-3964 – </w:t>
      </w:r>
      <w:r>
        <w:rPr>
          <w:rFonts w:ascii="Arial" w:cs="Arial" w:eastAsia="Arial" w:hAnsi="Arial"/>
          <w:sz w:val="17"/>
          <w:szCs w:val="17"/>
          <w:i w:val="1"/>
          <w:iCs w:val="1"/>
          <w:color w:val="1AA7DF"/>
        </w:rPr>
        <w:t>Prevention of Recurrent C. difficile infection</w:t>
      </w:r>
    </w:p>
    <w:p>
      <w:pPr>
        <w:spacing w:after="0" w:line="67"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1E1E1E"/>
        </w:rPr>
        <w:t xml:space="preserve">We are developing REC-3964, a non-microbial, orally bioavailable, potential first-in-class </w:t>
      </w:r>
      <w:r>
        <w:rPr>
          <w:rFonts w:ascii="Arial" w:cs="Arial" w:eastAsia="Arial" w:hAnsi="Arial"/>
          <w:sz w:val="15"/>
          <w:szCs w:val="15"/>
          <w:i w:val="1"/>
          <w:iCs w:val="1"/>
          <w:color w:val="1E1E1E"/>
        </w:rPr>
        <w:t>C. difficile (C. diff)</w:t>
      </w:r>
      <w:r>
        <w:rPr>
          <w:rFonts w:ascii="Arial" w:cs="Arial" w:eastAsia="Arial" w:hAnsi="Arial"/>
          <w:sz w:val="15"/>
          <w:szCs w:val="15"/>
          <w:color w:val="1E1E1E"/>
        </w:rPr>
        <w:t xml:space="preserve"> toxin B selective inhibitor for the prevention of recurrent </w:t>
      </w:r>
      <w:r>
        <w:rPr>
          <w:rFonts w:ascii="Arial" w:cs="Arial" w:eastAsia="Arial" w:hAnsi="Arial"/>
          <w:sz w:val="15"/>
          <w:szCs w:val="15"/>
          <w:i w:val="1"/>
          <w:iCs w:val="1"/>
          <w:color w:val="1E1E1E"/>
        </w:rPr>
        <w:t xml:space="preserve">Clostridioides difficile infection (rCDI). C. diff </w:t>
      </w:r>
      <w:r>
        <w:rPr>
          <w:rFonts w:ascii="Arial" w:cs="Arial" w:eastAsia="Arial" w:hAnsi="Arial"/>
          <w:sz w:val="15"/>
          <w:szCs w:val="15"/>
          <w:color w:val="1E1E1E"/>
        </w:rPr>
        <w:t xml:space="preserve">toxin B disrupts the tight junctions in colonic cells and increases vascular permeability, leading to a leaky gut. REC-3964 is Recursion’s first new chemical entity to reach the clinic and binds and blocks the catalytic activity of the toxin's innate glucosyltransferase, while sparing the host. In a human disease relevant </w:t>
      </w:r>
      <w:r>
        <w:rPr>
          <w:rFonts w:ascii="Arial" w:cs="Arial" w:eastAsia="Arial" w:hAnsi="Arial"/>
          <w:sz w:val="15"/>
          <w:szCs w:val="15"/>
          <w:i w:val="1"/>
          <w:iCs w:val="1"/>
          <w:color w:val="1E1E1E"/>
        </w:rPr>
        <w:t>C. diff</w:t>
      </w:r>
      <w:r>
        <w:rPr>
          <w:rFonts w:ascii="Arial" w:cs="Arial" w:eastAsia="Arial" w:hAnsi="Arial"/>
          <w:sz w:val="15"/>
          <w:szCs w:val="15"/>
          <w:color w:val="1E1E1E"/>
        </w:rPr>
        <w:t>. hamster model, REC-3964 demonstrated a significant difference in the probability of survival versus bezlotoxumab alone.</w:t>
      </w:r>
    </w:p>
    <w:p>
      <w:pPr>
        <w:spacing w:after="0" w:line="162"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1E1E1E"/>
        </w:rPr>
        <w:t>Our program leveraged an ML-aided conditional phenotypic drug screen in human cells and identified novel mechanisms that mitigated the effect of C. diff. toxin B treatment. Through orthogonal validation screens, precursors to REC-3964 emerged as promising substrates for further advancement.</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1E1E1E"/>
        </w:rPr>
        <w:t>In June 2024, we presented Phase 1 data in healthy volunteers at the 6th Edition of World Congress on Infectious Diseases in Paris. In October 2024, we initiated a Phase 2 open-label, randomized, 3-arm study (ALDER) to evaluate the rate of recurrence in patients with a high-risk of CDI, who have achieved symptom resolution following treatment with oral vancomycin for 14 days. We expect to share initial results from the Phase 2 study in the first quarter of 2026.</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1E1E1E"/>
        </w:rPr>
        <w:t>Details on preclinical programs (e.g., ENPP1 inhibitor, Target Epsilon) will be shared in the next section.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6"/>
          <w:szCs w:val="26"/>
          <w:b w:val="1"/>
          <w:bCs w:val="1"/>
          <w:color w:val="E2188A"/>
        </w:rPr>
        <w:t>Deep Dive into Clinical and Select Preclinical Programs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REC-617 for Advanced Solid Tumors – Phase 1/2</w:t>
      </w:r>
    </w:p>
    <w:p>
      <w:pPr>
        <w:spacing w:after="0" w:line="74"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1E1E1E"/>
        </w:rPr>
        <w:t>REC-617 is an orally bioavailable, cyclin-dependent kinase 7 (CDK7) inhibitor currently under development for the treatment of advanced solid tumors. Inhibiting CDK7 targets both cell cycle dysregulation and transcriptional "addiction", which are hallmarks of multiple aggressive cancers including, but not limited to, CDK4/6 resistant breast cancer, ovarian cancer, and other solid tumors. There are currently no CDK7 inhibitors approved by the FDA. ELUCIDATE, a Phase 1/2 open-label, multicenter, safety, PK, PD and preliminary efficacy study is currently underway. Interim Phase 1 safety, PK, PD, and efficacy data were shared in the fourth quarter of 2024. We expect to initiate combination studies in the first half of 2025.</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1AA7DF"/>
        </w:rPr>
        <w:t>Disease Overview</w:t>
      </w:r>
    </w:p>
    <w:p>
      <w:pPr>
        <w:spacing w:after="0" w:line="67"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1E1E1E"/>
        </w:rPr>
        <w:t>The importance of cell cycle inhibitors in oncology has been established with CDK4/6 inhibitors, which generated approximately $10.5 billion in sales in 2023. Aberrant CDK7 overexpression is common in many cancer indications and associated with poor prognosis. CDK7 presents an opportunity to improve treatment outcomes over CDK4/6 inhibitors due to CDK7’s dual role in cell cycle and transcription. Potential specific indications include non-small cell lung cancer (NSCLC), colorectal cancer, breast cancer, pancreatic cancer, ovarian cancer, head and neck cancer for which we estimate an addressable population of approximately 185,000 drug-treatable patients per year in the US and EU5.</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1AA7DF"/>
        </w:rPr>
        <w:t>Insight from Recursion OS</w:t>
      </w:r>
    </w:p>
    <w:p>
      <w:pPr>
        <w:spacing w:after="0" w:line="67"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1E1E1E"/>
        </w:rPr>
        <w:t>CDK7 inhibitor development has faced significant challenges, primarily due to off-target effects and suboptimal pharmacokinetics. Previous attempts often employed covalent binding mechanisms or exhibited poor oral bioavailability, leading to undesirable side effects in the clinic. Current candidates in development for CDK7 feature covalent binding or extended half-lives potentially resulting in substantial on-target toxicity. In addition, the reversible inhibitors under investigation are transporter substrates, likely compromising their absorption and exacerbating gastrointestinal adverse events. These limitations underscore the critical need for novel CDK7 inhibitor designs that optimize both safety and efficacy profiles.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1E1E1E"/>
        </w:rPr>
        <w:t>Leveraging our AI-driven multi-parameter optimization approach, we identified critical design limitations in existing CDK7 inhibitors. This insight led to an improved target product profile and a novel molecule design. REC-617 is an orally bioavailable, potent and selective CDK7 inhibitor with enhanced oral bioavailability. It has a non-covalent, reversible mechanism of action, and a predicted shorter human half-life compared to other drugs in development. These characteristics potentially offer an improved therapeutic index, less off-target effects, and more consistent absorption.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1AA7DF"/>
        </w:rPr>
        <w:t>Preclinical</w:t>
      </w:r>
    </w:p>
    <w:p>
      <w:pPr>
        <w:spacing w:after="0" w:line="67"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1E1E1E"/>
        </w:rPr>
        <w:t>REC-617 has demonstrated strong anti-tumor activities in preclinical studies and in vivo experiments showed potent tumor regression across multiple solid tumor types. Notably, in the OVCAR3 ovarian cancer xenograft model as shown below, complete tumor regression was observed in all 8 mice treated with 10 mg/kg by Day 27. Importantly, no significant body weight loss was observed across treatment arms. Mouse PK studies revealed that maintaining 8-10 hours of CDK7 IC</w:t>
      </w:r>
      <w:r>
        <w:rPr>
          <w:rFonts w:ascii="Arial" w:cs="Arial" w:eastAsia="Arial" w:hAnsi="Arial"/>
          <w:sz w:val="10"/>
          <w:szCs w:val="10"/>
          <w:color w:val="1E1E1E"/>
        </w:rPr>
        <w:t>80</w:t>
      </w:r>
      <w:r>
        <w:rPr>
          <w:rFonts w:ascii="Arial" w:cs="Arial" w:eastAsia="Arial" w:hAnsi="Arial"/>
          <w:sz w:val="15"/>
          <w:szCs w:val="15"/>
          <w:color w:val="1E1E1E"/>
        </w:rPr>
        <w:t xml:space="preserve"> coverage resulted in potent tumor regression with minimal side effects, while coverage beyond 10 hours led to significant body weight loss. This defined an optimal therapeutic window that guided target efficacious exposures in the clinic.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377190</wp:posOffset>
            </wp:positionV>
            <wp:extent cx="5599430" cy="26117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99430" cy="261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0"/>
        <w:spacing w:after="0" w:line="223" w:lineRule="auto"/>
        <w:rPr>
          <w:sz w:val="20"/>
          <w:szCs w:val="20"/>
          <w:color w:val="auto"/>
        </w:rPr>
      </w:pPr>
      <w:r>
        <w:rPr>
          <w:rFonts w:ascii="Arial" w:cs="Arial" w:eastAsia="Arial" w:hAnsi="Arial"/>
          <w:sz w:val="14"/>
          <w:szCs w:val="14"/>
          <w:b w:val="1"/>
          <w:bCs w:val="1"/>
          <w:color w:val="6E6E6E"/>
        </w:rPr>
        <w:t xml:space="preserve">Figure 29. REC-1245 anti-tumor activity and PK in preclinical tumor models. </w:t>
      </w:r>
      <w:r>
        <w:rPr>
          <w:rFonts w:ascii="Arial" w:cs="Arial" w:eastAsia="Arial" w:hAnsi="Arial"/>
          <w:sz w:val="14"/>
          <w:szCs w:val="14"/>
          <w:color w:val="6E6E6E"/>
        </w:rPr>
        <w:t>(Left) REC-617 induces tumor regression in the OVCAR3 cell line derived xenograft mouse model.</w:t>
      </w:r>
      <w:r>
        <w:rPr>
          <w:rFonts w:ascii="Arial" w:cs="Arial" w:eastAsia="Arial" w:hAnsi="Arial"/>
          <w:sz w:val="14"/>
          <w:szCs w:val="14"/>
          <w:b w:val="1"/>
          <w:bCs w:val="1"/>
          <w:color w:val="6E6E6E"/>
        </w:rPr>
        <w:t xml:space="preserve"> </w:t>
      </w:r>
      <w:r>
        <w:rPr>
          <w:rFonts w:ascii="Arial" w:cs="Arial" w:eastAsia="Arial" w:hAnsi="Arial"/>
          <w:sz w:val="14"/>
          <w:szCs w:val="14"/>
          <w:color w:val="6E6E6E"/>
        </w:rPr>
        <w:t>N=8, 28 days of treatment, REC-617 administered QD PO. (Right) REC-617 administration results in 8-10 hours of therapeutic coverage at IC</w:t>
      </w:r>
      <w:r>
        <w:rPr>
          <w:rFonts w:ascii="Arial" w:cs="Arial" w:eastAsia="Arial" w:hAnsi="Arial"/>
          <w:sz w:val="17"/>
          <w:szCs w:val="17"/>
          <w:color w:val="6E6E6E"/>
          <w:vertAlign w:val="subscript"/>
        </w:rPr>
        <w:t>80</w:t>
      </w:r>
      <w:r>
        <w:rPr>
          <w:rFonts w:ascii="Arial" w:cs="Arial" w:eastAsia="Arial" w:hAnsi="Arial"/>
          <w:sz w:val="14"/>
          <w:szCs w:val="14"/>
          <w:color w:val="6E6E6E"/>
        </w:rPr>
        <w:t>. PK studies conducted in CD1 mice, single-dose administration. &gt;10 hr IC</w:t>
      </w:r>
      <w:r>
        <w:rPr>
          <w:rFonts w:ascii="Arial" w:cs="Arial" w:eastAsia="Arial" w:hAnsi="Arial"/>
          <w:sz w:val="17"/>
          <w:szCs w:val="17"/>
          <w:color w:val="6E6E6E"/>
          <w:vertAlign w:val="subscript"/>
        </w:rPr>
        <w:t>80</w:t>
      </w:r>
      <w:r>
        <w:rPr>
          <w:rFonts w:ascii="Arial" w:cs="Arial" w:eastAsia="Arial" w:hAnsi="Arial"/>
          <w:sz w:val="14"/>
          <w:szCs w:val="14"/>
          <w:color w:val="6E6E6E"/>
        </w:rPr>
        <w:t xml:space="preserve"> results in significant body weight loss.</w:t>
      </w:r>
      <w:r>
        <w:rPr>
          <w:rFonts w:ascii="Arial" w:cs="Arial" w:eastAsia="Arial" w:hAnsi="Arial"/>
          <w:sz w:val="8"/>
          <w:szCs w:val="8"/>
          <w:color w:val="6E6E6E"/>
        </w:rPr>
        <w:t>14,15</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1AA7DF"/>
        </w:rPr>
        <w:t>Clinical</w:t>
      </w:r>
    </w:p>
    <w:p>
      <w:pPr>
        <w:spacing w:after="0" w:line="67" w:lineRule="exact"/>
        <w:rPr>
          <w:sz w:val="20"/>
          <w:szCs w:val="20"/>
          <w:color w:val="auto"/>
        </w:rPr>
      </w:pPr>
    </w:p>
    <w:p>
      <w:pPr>
        <w:spacing w:after="0" w:line="294" w:lineRule="auto"/>
        <w:rPr>
          <w:sz w:val="20"/>
          <w:szCs w:val="20"/>
          <w:color w:val="auto"/>
        </w:rPr>
      </w:pPr>
      <w:r>
        <w:rPr>
          <w:rFonts w:ascii="Arial" w:cs="Arial" w:eastAsia="Arial" w:hAnsi="Arial"/>
          <w:sz w:val="15"/>
          <w:szCs w:val="15"/>
          <w:color w:val="1E1E1E"/>
        </w:rPr>
        <w:t xml:space="preserve">In the third quarter of 2023, we initiated a Phase 1/2 open-label, multicenter study </w:t>
      </w:r>
      <w:r>
        <w:rPr>
          <w:rFonts w:ascii="Arial" w:cs="Arial" w:eastAsia="Arial" w:hAnsi="Arial"/>
          <w:sz w:val="15"/>
          <w:szCs w:val="15"/>
          <w:i w:val="1"/>
          <w:iCs w:val="1"/>
          <w:color w:val="1E1E1E"/>
        </w:rPr>
        <w:t>(ELUCIDATE)</w:t>
      </w:r>
      <w:r>
        <w:rPr>
          <w:rFonts w:ascii="Arial" w:cs="Arial" w:eastAsia="Arial" w:hAnsi="Arial"/>
          <w:sz w:val="15"/>
          <w:szCs w:val="15"/>
          <w:color w:val="1E1E1E"/>
        </w:rPr>
        <w:t xml:space="preserve"> in patients with advanced solid tumors, with the design shown in the figure below. Currently, monotherapy dose escalation (QD and BID) is ongoing, with combination study initiation expected in the first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107950</wp:posOffset>
            </wp:positionV>
            <wp:extent cx="3929380" cy="254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2938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30. ELUDICATE study design. </w:t>
      </w:r>
      <w:r>
        <w:rPr>
          <w:rFonts w:ascii="Arial" w:cs="Arial" w:eastAsia="Arial" w:hAnsi="Arial"/>
          <w:sz w:val="14"/>
          <w:szCs w:val="14"/>
          <w:color w:val="6E6E6E"/>
        </w:rPr>
        <w:t>Phase 1/2 trial design to assess the safety, PK, exploratory PD, and efficacy of REC-617 in patients with advanced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16370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72" w:lineRule="exact"/>
        <w:rPr>
          <w:sz w:val="20"/>
          <w:szCs w:val="20"/>
          <w:color w:val="auto"/>
        </w:rPr>
      </w:pPr>
    </w:p>
    <w:p>
      <w:pPr>
        <w:ind w:left="240" w:hanging="237"/>
        <w:spacing w:after="0" w:line="218" w:lineRule="auto"/>
        <w:tabs>
          <w:tab w:leader="none" w:pos="260" w:val="left"/>
        </w:tabs>
        <w:numPr>
          <w:ilvl w:val="0"/>
          <w:numId w:val="56"/>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Besnard, et al. (2022). AI-driven discovery and profiling of GTAEXS-617, a selective and highly potent inhibitor of CDK7 [abstract]. AACR; Cancer Res 2022;82(12_Supplement): 3930.</w:t>
      </w:r>
    </w:p>
    <w:p>
      <w:pPr>
        <w:spacing w:after="0" w:line="39" w:lineRule="exact"/>
        <w:rPr>
          <w:rFonts w:ascii="Arial" w:cs="Arial" w:eastAsia="Arial" w:hAnsi="Arial"/>
          <w:sz w:val="18"/>
          <w:szCs w:val="18"/>
          <w:i w:val="1"/>
          <w:iCs w:val="1"/>
          <w:color w:val="6E6E6E"/>
          <w:vertAlign w:val="superscript"/>
        </w:rPr>
      </w:pPr>
    </w:p>
    <w:p>
      <w:pPr>
        <w:ind w:left="240" w:right="300" w:hanging="237"/>
        <w:spacing w:after="0" w:line="226" w:lineRule="auto"/>
        <w:tabs>
          <w:tab w:leader="none" w:pos="260" w:val="left"/>
        </w:tabs>
        <w:numPr>
          <w:ilvl w:val="0"/>
          <w:numId w:val="56"/>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Hallett, et al. (2024). Overcoming traditional design limitations with AI-based discovery. AACR Special Conference in Cancer Research: Optimizing Therapeutic Efficacy and Tolerability through Cancer Chemistry; Plenary Session 1</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00"/>
          </w:cols>
          <w:pgMar w:left="320" w:top="123" w:right="57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1E1E1E"/>
        </w:rPr>
        <w:t>In December 2024, we presented results from the initial 18 response evaluable patients at an AACR Special Conference in Cancer Research. REC-617 was well-tolerated with predominantly Grade 1-2 adverse events, no treatment-related discontinuations, and fewer GI side-effects than reported for other CDK7 inhibitors. Dose escalation (QD and BID) is ongoing, and the maximum tolerated dose (MTD) has not been reached. PK was dose linear and exceeded the CDK7 IC</w:t>
      </w:r>
      <w:r>
        <w:rPr>
          <w:rFonts w:ascii="Arial" w:cs="Arial" w:eastAsia="Arial" w:hAnsi="Arial"/>
          <w:sz w:val="10"/>
          <w:szCs w:val="10"/>
          <w:color w:val="1E1E1E"/>
        </w:rPr>
        <w:t>80</w:t>
      </w:r>
      <w:r>
        <w:rPr>
          <w:rFonts w:ascii="Arial" w:cs="Arial" w:eastAsia="Arial" w:hAnsi="Arial"/>
          <w:sz w:val="15"/>
          <w:szCs w:val="15"/>
          <w:color w:val="1E1E1E"/>
        </w:rPr>
        <w:t xml:space="preserve"> with rapid absorption (Tmax 0.5–2h) and short t½ (5–6h). Robust target engagement was also observed with rapid increases in POLR2A (3-4x), which normalized within 24 hours. These data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109855</wp:posOffset>
            </wp:positionV>
            <wp:extent cx="5706110" cy="258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06110"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b w:val="1"/>
          <w:bCs w:val="1"/>
          <w:color w:val="6E6E6E"/>
        </w:rPr>
        <w:t xml:space="preserve">Figure 31. REC-617 clinical plasma pharmacokinetics and pharmacodynamics. </w:t>
      </w:r>
      <w:r>
        <w:rPr>
          <w:rFonts w:ascii="Arial" w:cs="Arial" w:eastAsia="Arial" w:hAnsi="Arial"/>
          <w:sz w:val="14"/>
          <w:szCs w:val="14"/>
          <w:color w:val="6E6E6E"/>
        </w:rPr>
        <w:t>(Left) REC-617 plasma concentration, in a dose-linear fashion, well above CDK7 IC</w:t>
      </w:r>
      <w:r>
        <w:rPr>
          <w:rFonts w:ascii="Arial" w:cs="Arial" w:eastAsia="Arial" w:hAnsi="Arial"/>
          <w:sz w:val="8"/>
          <w:szCs w:val="8"/>
          <w:color w:val="6E6E6E"/>
        </w:rPr>
        <w:t>80</w:t>
      </w:r>
      <w:r>
        <w:rPr>
          <w:rFonts w:ascii="Arial" w:cs="Arial" w:eastAsia="Arial" w:hAnsi="Arial"/>
          <w:sz w:val="14"/>
          <w:szCs w:val="14"/>
          <w:b w:val="1"/>
          <w:bCs w:val="1"/>
          <w:color w:val="6E6E6E"/>
        </w:rPr>
        <w:t xml:space="preserve"> </w:t>
      </w:r>
      <w:r>
        <w:rPr>
          <w:rFonts w:ascii="Arial" w:cs="Arial" w:eastAsia="Arial" w:hAnsi="Arial"/>
          <w:sz w:val="14"/>
          <w:szCs w:val="14"/>
          <w:color w:val="6E6E6E"/>
        </w:rPr>
        <w:t>at peak and</w:t>
      </w:r>
      <w:r>
        <w:rPr>
          <w:rFonts w:ascii="Arial" w:cs="Arial" w:eastAsia="Arial" w:hAnsi="Arial"/>
          <w:sz w:val="14"/>
          <w:szCs w:val="14"/>
          <w:b w:val="1"/>
          <w:bCs w:val="1"/>
          <w:color w:val="6E6E6E"/>
        </w:rPr>
        <w:t xml:space="preserve"> </w:t>
      </w:r>
      <w:r>
        <w:rPr>
          <w:rFonts w:ascii="Arial" w:cs="Arial" w:eastAsia="Arial" w:hAnsi="Arial"/>
          <w:sz w:val="14"/>
          <w:szCs w:val="14"/>
          <w:color w:val="6E6E6E"/>
        </w:rPr>
        <w:t>well below CDK2 IC</w:t>
      </w:r>
      <w:r>
        <w:rPr>
          <w:rFonts w:ascii="Arial" w:cs="Arial" w:eastAsia="Arial" w:hAnsi="Arial"/>
          <w:sz w:val="17"/>
          <w:szCs w:val="17"/>
          <w:color w:val="6E6E6E"/>
          <w:vertAlign w:val="subscript"/>
        </w:rPr>
        <w:t>80</w:t>
      </w:r>
      <w:r>
        <w:rPr>
          <w:rFonts w:ascii="Arial" w:cs="Arial" w:eastAsia="Arial" w:hAnsi="Arial"/>
          <w:sz w:val="14"/>
          <w:szCs w:val="14"/>
          <w:color w:val="6E6E6E"/>
        </w:rPr>
        <w:t>, indicating a broad therapeutic window for the study drug. (Right) POL2RA expression data (PD), which is associated with tumor regression, shows a rapid pharmacodynamic effect and short half-life.</w:t>
      </w:r>
      <w:r>
        <w:rPr>
          <w:rFonts w:ascii="Arial" w:cs="Arial" w:eastAsia="Arial" w:hAnsi="Arial"/>
          <w:sz w:val="17"/>
          <w:szCs w:val="17"/>
          <w:color w:val="6E6E6E"/>
          <w:vertAlign w:val="superscript"/>
        </w:rPr>
        <w:t>16,17</w:t>
      </w:r>
    </w:p>
    <w:p>
      <w:pPr>
        <w:spacing w:after="0" w:line="81"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1E1E1E"/>
        </w:rPr>
        <w:t>Encouraging antitumor activity included a confirmed partial response (PR), in a heavily pre-treated metastatic ovarian cancer patient, with a durable response that was maintained for more than 6 months of treatment. LDH levels were also normalized, and reductions were observed in CA125 (-44%) and TK1 (-68%). Four additional patients achieved the best response of stable disease (SD) lasting up to six months.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1AA7DF"/>
        </w:rPr>
        <w:t>Competitors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E1E1E"/>
        </w:rPr>
        <w:t>We are aware of five active CDK7 inhibitor programs in clinical development:</w:t>
      </w:r>
    </w:p>
    <w:p>
      <w:pPr>
        <w:spacing w:after="0" w:line="227" w:lineRule="exact"/>
        <w:rPr>
          <w:sz w:val="20"/>
          <w:szCs w:val="20"/>
          <w:color w:val="auto"/>
        </w:rPr>
      </w:pPr>
    </w:p>
    <w:p>
      <w:pPr>
        <w:ind w:left="620" w:hanging="307"/>
        <w:spacing w:after="0"/>
        <w:tabs>
          <w:tab w:leader="none" w:pos="620" w:val="left"/>
        </w:tabs>
        <w:numPr>
          <w:ilvl w:val="0"/>
          <w:numId w:val="57"/>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Samuraciclib (Carrick Therapeutics): </w:t>
      </w:r>
      <w:r>
        <w:rPr>
          <w:rFonts w:ascii="Arial" w:cs="Arial" w:eastAsia="Arial" w:hAnsi="Arial"/>
          <w:sz w:val="15"/>
          <w:szCs w:val="15"/>
          <w:color w:val="1E1E1E"/>
        </w:rPr>
        <w:t>In Phase 2 as a monotherapy and in a range of combination studies</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57"/>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SY-5609 (Syros Pharmaceuticals): </w:t>
      </w:r>
      <w:r>
        <w:rPr>
          <w:rFonts w:ascii="Arial" w:cs="Arial" w:eastAsia="Arial" w:hAnsi="Arial"/>
          <w:sz w:val="15"/>
          <w:szCs w:val="15"/>
          <w:color w:val="1E1E1E"/>
        </w:rPr>
        <w:t>Completed Phase 1 monotherapy and in Phase 1/1b in combination with atezolizumab</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57"/>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Q-901 (Qurient): </w:t>
      </w:r>
      <w:r>
        <w:rPr>
          <w:rFonts w:ascii="Arial" w:cs="Arial" w:eastAsia="Arial" w:hAnsi="Arial"/>
          <w:sz w:val="15"/>
          <w:szCs w:val="15"/>
          <w:color w:val="1E1E1E"/>
        </w:rPr>
        <w:t>In Phase 1/2 in monotherapy and combination with PD-1 inhibitors in solid tumors</w:t>
      </w:r>
    </w:p>
    <w:p>
      <w:pPr>
        <w:spacing w:after="0" w:line="72"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57"/>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TY-2699a (TYK Medicines): </w:t>
      </w:r>
      <w:r>
        <w:rPr>
          <w:rFonts w:ascii="Arial" w:cs="Arial" w:eastAsia="Arial" w:hAnsi="Arial"/>
          <w:sz w:val="15"/>
          <w:szCs w:val="15"/>
          <w:color w:val="1E1E1E"/>
        </w:rPr>
        <w:t>In Phase 1 trial in China only</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57"/>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EOC-237 (EOC Pharma): </w:t>
      </w:r>
      <w:r>
        <w:rPr>
          <w:rFonts w:ascii="Arial" w:cs="Arial" w:eastAsia="Arial" w:hAnsi="Arial"/>
          <w:sz w:val="15"/>
          <w:szCs w:val="15"/>
          <w:color w:val="1E1E1E"/>
        </w:rPr>
        <w:t>In Phase 1 trial in China only</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REC-1245 for Solid Tumors and Lymphoma – Phase 1/2</w:t>
      </w:r>
    </w:p>
    <w:p>
      <w:pPr>
        <w:spacing w:after="0" w:line="61"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color w:val="1E1E1E"/>
        </w:rPr>
        <w:t>REC-1245 is a novel, potent and selective molecular glue degrader of RNA-binding motif protein 39 (RBM39) currently under development for the treatment of biomarker-enriched solid tumors and lymphoma. There are currently no RBM39 degraders approved by the FDA. Following IND clearance in September 2024, we initiated a Phase 1/2 open-label, multicenter study (DAHLIA) to evaluate the safety, tolerability, PK, PD, RP2D, and preliminary efficacy of REC-1245. With the first patient dosed in December 2024, we expect to share an update on the program in the first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16370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36" w:lineRule="exact"/>
        <w:rPr>
          <w:sz w:val="20"/>
          <w:szCs w:val="20"/>
          <w:color w:val="auto"/>
        </w:rPr>
      </w:pPr>
    </w:p>
    <w:p>
      <w:pPr>
        <w:ind w:left="260" w:hanging="257"/>
        <w:spacing w:after="0"/>
        <w:tabs>
          <w:tab w:leader="none" w:pos="260" w:val="left"/>
        </w:tabs>
        <w:numPr>
          <w:ilvl w:val="0"/>
          <w:numId w:val="58"/>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Papadopoulos, et al. (2020). EORTC-NCI-AACR (ENA) Symposium</w:t>
      </w:r>
    </w:p>
    <w:p>
      <w:pPr>
        <w:spacing w:after="0" w:line="37" w:lineRule="exact"/>
        <w:rPr>
          <w:rFonts w:ascii="Arial" w:cs="Arial" w:eastAsia="Arial" w:hAnsi="Arial"/>
          <w:sz w:val="18"/>
          <w:szCs w:val="18"/>
          <w:i w:val="1"/>
          <w:iCs w:val="1"/>
          <w:color w:val="6E6E6E"/>
          <w:vertAlign w:val="superscript"/>
        </w:rPr>
      </w:pPr>
    </w:p>
    <w:p>
      <w:pPr>
        <w:ind w:left="240" w:right="540" w:hanging="237"/>
        <w:spacing w:after="0" w:line="260" w:lineRule="auto"/>
        <w:tabs>
          <w:tab w:leader="none" w:pos="260" w:val="left"/>
        </w:tabs>
        <w:numPr>
          <w:ilvl w:val="0"/>
          <w:numId w:val="58"/>
        </w:numPr>
        <w:rPr>
          <w:rFonts w:ascii="Arial" w:cs="Arial" w:eastAsia="Arial" w:hAnsi="Arial"/>
          <w:sz w:val="9"/>
          <w:szCs w:val="9"/>
          <w:i w:val="1"/>
          <w:iCs w:val="1"/>
          <w:color w:val="6E6E6E"/>
        </w:rPr>
      </w:pPr>
      <w:r>
        <w:rPr>
          <w:rFonts w:ascii="Arial" w:cs="Arial" w:eastAsia="Arial" w:hAnsi="Arial"/>
          <w:sz w:val="14"/>
          <w:szCs w:val="14"/>
          <w:i w:val="1"/>
          <w:iCs w:val="1"/>
          <w:color w:val="6E6E6E"/>
        </w:rPr>
        <w:t>Hallett, et al. (2024). Overcoming traditional design limitations with AI-based discovery. AACR Special Conference in Cancer Research: Optimizing Therapeutic Efficacy and Tolerability through Cancer Chemistry; Plenary Session 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1AA7DF"/>
        </w:rPr>
        <w:t>Disease Overview</w:t>
      </w:r>
    </w:p>
    <w:p>
      <w:pPr>
        <w:spacing w:after="0" w:line="67"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1E1E1E"/>
        </w:rPr>
        <w:t>Alternative splicing and RNA-binding proteins (RBPs) have recently emerged as attractive therapeutic targets for cancer due to their critical roles in the regulation of post-transcriptional modifications, impacts on DNA damage repair pathways, and modulation of cell cycle functions. Recent studies have revealed that RBM39 is an unexpected target of aryl sulfonamides, which can function as molecular glue degraders by forming a ternary complex with RBM39 and the E3 ubiquitin ligase receptor DDB1 and CUL4 associated factor 15 (DCAF15). Additionally, clinical trials have shown that aryl sulfonamides were well tolerated with modest anti-tumor activity seen across a variety of cancers. These findings suggest that RBM39 degraders may show promise as targeted cancer therapies, but the lack of predictive biomarkers and an inadequate understanding of RBM39 biology has limited their therapeutic potential. With over 100,000 addressable patients, with biomarker-enriched solid tumors and other select histologies in the US and EU5 each year, REC-1245 has the potential to be used as a single agent or in combination with chemotherapy and/or immunotherapy.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1AA7DF"/>
        </w:rPr>
        <w:t>Insight from Recursion OS</w:t>
      </w:r>
    </w:p>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5"/>
          <w:szCs w:val="15"/>
          <w:color w:val="1E1E1E"/>
        </w:rPr>
        <w:t>Reports suggest that genetic or pharmacologic depletion of CDK12 can reduce the expression of several genes involved in the homologous recombination repair pathway such as BRCA1 and BRCA2, inducing a BRCA-like phenotype and DDR response. Thus, CDK12 has received considerable interest as a therapeutic target and tumor biomarker for HR-proficient cancers. Despite reports of functional redundancy, we observed that the genetic knockout of CDK12 could be clearly distinguished phenotypically from that of CDK13. Using map-based inference to characterize and relate cellular phenotypes, we identified RBM39 as an alternative target that selectively mimics CDK12 loss, but not CDK13, providing a novel approach for targeting CDK12 biology while circumventing any toxicities that may arise due to CDK13. We subsequently discovered REC-1245 as an RBM39 molecular glue degrader that closely mimics the phenotypic loss of CDK12 and RBM39, but not CDK13. Functionally, REC-1245 treatment globally impacts the expression of many DDR genes but does so in a CDK12 independent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121920</wp:posOffset>
            </wp:positionV>
            <wp:extent cx="5599430" cy="2889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9943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b w:val="1"/>
          <w:bCs w:val="1"/>
          <w:color w:val="6E6E6E"/>
        </w:rPr>
        <w:t xml:space="preserve">Figure 32. Inferred map relationships between CDK12, CDK13, RBM39 and REC-1245. </w:t>
      </w:r>
      <w:r>
        <w:rPr>
          <w:rFonts w:ascii="Arial" w:cs="Arial" w:eastAsia="Arial" w:hAnsi="Arial"/>
          <w:sz w:val="14"/>
          <w:szCs w:val="14"/>
          <w:color w:val="6E6E6E"/>
        </w:rPr>
        <w:t>Map representation demonstrates a high degree of phenotypic similarity between CDK12,</w:t>
      </w:r>
      <w:r>
        <w:rPr>
          <w:rFonts w:ascii="Arial" w:cs="Arial" w:eastAsia="Arial" w:hAnsi="Arial"/>
          <w:sz w:val="14"/>
          <w:szCs w:val="14"/>
          <w:b w:val="1"/>
          <w:bCs w:val="1"/>
          <w:color w:val="6E6E6E"/>
        </w:rPr>
        <w:t xml:space="preserve"> </w:t>
      </w:r>
      <w:r>
        <w:rPr>
          <w:rFonts w:ascii="Arial" w:cs="Arial" w:eastAsia="Arial" w:hAnsi="Arial"/>
          <w:sz w:val="14"/>
          <w:szCs w:val="14"/>
          <w:color w:val="6E6E6E"/>
        </w:rPr>
        <w:t>RBM39, and multiple concentrations of REC-1245. CDK13 shows little or no functional similarity to CDK12, RBM39, or any concentration of REC-1245.</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1AA7DF"/>
        </w:rPr>
        <w:t>Preclinical</w:t>
      </w:r>
    </w:p>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 xml:space="preserve">REC-1245 is a potent, potential first-in-class RBM39 molecular glue degrader with compelling preclinical activity. It showed no significant in vitro safety concerns (CEREP, hERG), no CDK12 kinase activity, and minimal ITGA2 liability – an off-target effect seen with prior RBM39 degraders. As shown in the figures below, REC-1245 demonstrated strong antitumor activities as a single-agent, including tumor regression in an ovarian cancer BRCA-proficient, p53 mutant, OVK18 </w:t>
      </w:r>
      <w:r>
        <w:rPr>
          <w:rFonts w:ascii="Arial" w:cs="Arial" w:eastAsia="Arial" w:hAnsi="Arial"/>
          <w:sz w:val="15"/>
          <w:szCs w:val="15"/>
          <w:i w:val="1"/>
          <w:iCs w:val="1"/>
          <w:color w:val="1E1E1E"/>
        </w:rPr>
        <w:t>in vivo</w:t>
      </w:r>
      <w:r>
        <w:rPr>
          <w:rFonts w:ascii="Arial" w:cs="Arial" w:eastAsia="Arial" w:hAnsi="Arial"/>
          <w:sz w:val="15"/>
          <w:szCs w:val="15"/>
          <w:color w:val="1E1E1E"/>
        </w:rPr>
        <w:t xml:space="preserve"> cell line derived xenograft (CDX) model. In addition, dose-dependent anti-tumor activity correlated with increases in RBM39 degradation confirming target engagement and an exposure-response-efficacy relationship.</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369570</wp:posOffset>
            </wp:positionV>
            <wp:extent cx="5599430" cy="26117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99430" cy="261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301" w:lineRule="auto"/>
        <w:rPr>
          <w:sz w:val="20"/>
          <w:szCs w:val="20"/>
          <w:color w:val="auto"/>
        </w:rPr>
      </w:pPr>
      <w:r>
        <w:rPr>
          <w:rFonts w:ascii="Arial" w:cs="Arial" w:eastAsia="Arial" w:hAnsi="Arial"/>
          <w:sz w:val="13"/>
          <w:szCs w:val="13"/>
          <w:b w:val="1"/>
          <w:bCs w:val="1"/>
          <w:color w:val="6E6E6E"/>
        </w:rPr>
        <w:t xml:space="preserve">Figure 33. REC-1245 single-agent activity and target engagement. </w:t>
      </w:r>
      <w:r>
        <w:rPr>
          <w:rFonts w:ascii="Arial" w:cs="Arial" w:eastAsia="Arial" w:hAnsi="Arial"/>
          <w:sz w:val="13"/>
          <w:szCs w:val="13"/>
          <w:color w:val="6E6E6E"/>
        </w:rPr>
        <w:t>REC-1245 single-agent activity and target engagement. (Left) REC-1245 administered BID PO at doses noted for</w:t>
      </w:r>
      <w:r>
        <w:rPr>
          <w:rFonts w:ascii="Arial" w:cs="Arial" w:eastAsia="Arial" w:hAnsi="Arial"/>
          <w:sz w:val="13"/>
          <w:szCs w:val="13"/>
          <w:b w:val="1"/>
          <w:bCs w:val="1"/>
          <w:color w:val="6E6E6E"/>
        </w:rPr>
        <w:t xml:space="preserve"> </w:t>
      </w:r>
      <w:r>
        <w:rPr>
          <w:rFonts w:ascii="Arial" w:cs="Arial" w:eastAsia="Arial" w:hAnsi="Arial"/>
          <w:sz w:val="13"/>
          <w:szCs w:val="13"/>
          <w:color w:val="6E6E6E"/>
        </w:rPr>
        <w:t>15 days. N=8 mice per group. (Right) Percent RBM39 degradation (PD) evaluated at REC-1245 doses noted after 5 days BID oral administration of REC-1245. N=3 mice per group.</w:t>
      </w:r>
      <w:r>
        <w:rPr>
          <w:rFonts w:ascii="Arial" w:cs="Arial" w:eastAsia="Arial" w:hAnsi="Arial"/>
          <w:sz w:val="7"/>
          <w:szCs w:val="7"/>
          <w:color w:val="6E6E6E"/>
        </w:rPr>
        <w:t>18</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1AA7DF"/>
        </w:rPr>
        <w:t>Clinical</w:t>
      </w:r>
    </w:p>
    <w:p>
      <w:pPr>
        <w:spacing w:after="0" w:line="67"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1E1E1E"/>
        </w:rPr>
        <w:t>In December 2024, we initiated a Phase 1/2 open-label, multicenter study to characterize the safety, tolerability, PK, PD, and preliminary anti-tumor activity of REC-1245 in participants with unresectable locally advanced or metastatic cancer. As of December 31, 2024, the trial is currently active and enrolling at 5 US sites. We expect to share an update on the Phase 1 dose escalation portion in the first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104775</wp:posOffset>
            </wp:positionV>
            <wp:extent cx="3929380" cy="26523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29380" cy="265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b w:val="1"/>
          <w:bCs w:val="1"/>
          <w:color w:val="6E6E6E"/>
        </w:rPr>
        <w:t xml:space="preserve">Figure 34. DAHLIA study design. </w:t>
      </w:r>
      <w:r>
        <w:rPr>
          <w:rFonts w:ascii="Arial" w:cs="Arial" w:eastAsia="Arial" w:hAnsi="Arial"/>
          <w:sz w:val="14"/>
          <w:szCs w:val="14"/>
          <w:color w:val="6E6E6E"/>
        </w:rPr>
        <w:t>Phase 1/2 trial design to assess the safety, tolerability, PK, PD, and preliminary anti-tumor activity of REC-1245 in participants with unresectable</w:t>
      </w:r>
      <w:r>
        <w:rPr>
          <w:rFonts w:ascii="Arial" w:cs="Arial" w:eastAsia="Arial" w:hAnsi="Arial"/>
          <w:sz w:val="14"/>
          <w:szCs w:val="14"/>
          <w:b w:val="1"/>
          <w:bCs w:val="1"/>
          <w:color w:val="6E6E6E"/>
        </w:rPr>
        <w:t xml:space="preserve"> </w:t>
      </w:r>
      <w:r>
        <w:rPr>
          <w:rFonts w:ascii="Arial" w:cs="Arial" w:eastAsia="Arial" w:hAnsi="Arial"/>
          <w:sz w:val="14"/>
          <w:szCs w:val="14"/>
          <w:color w:val="6E6E6E"/>
        </w:rPr>
        <w:t>locally advanced or metastatic cancer, and who are refractory to, had a relapse on, or intolerant of, established standard of care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16370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84" w:lineRule="exact"/>
        <w:rPr>
          <w:sz w:val="20"/>
          <w:szCs w:val="20"/>
          <w:color w:val="auto"/>
        </w:rPr>
      </w:pPr>
    </w:p>
    <w:p>
      <w:pPr>
        <w:ind w:left="260" w:hanging="257"/>
        <w:spacing w:after="0"/>
        <w:tabs>
          <w:tab w:leader="none" w:pos="260" w:val="left"/>
        </w:tabs>
        <w:numPr>
          <w:ilvl w:val="0"/>
          <w:numId w:val="59"/>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1AA7DF"/>
        </w:rPr>
        <w:t>Competitors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E1E1E"/>
        </w:rPr>
        <w:t>We are aware of only one other RBM39 development program, which is known to be active:</w:t>
      </w:r>
    </w:p>
    <w:p>
      <w:pPr>
        <w:spacing w:after="0" w:line="111" w:lineRule="exact"/>
        <w:rPr>
          <w:sz w:val="20"/>
          <w:szCs w:val="20"/>
          <w:color w:val="auto"/>
        </w:rPr>
      </w:pPr>
    </w:p>
    <w:p>
      <w:pPr>
        <w:ind w:left="620" w:hanging="307"/>
        <w:spacing w:after="0"/>
        <w:tabs>
          <w:tab w:leader="none" w:pos="620" w:val="left"/>
        </w:tabs>
        <w:numPr>
          <w:ilvl w:val="0"/>
          <w:numId w:val="60"/>
        </w:numPr>
        <w:rPr>
          <w:rFonts w:ascii="Arial" w:cs="Arial" w:eastAsia="Arial" w:hAnsi="Arial"/>
          <w:sz w:val="15"/>
          <w:szCs w:val="15"/>
          <w:color w:val="1E1E1E"/>
        </w:rPr>
      </w:pPr>
      <w:r>
        <w:rPr>
          <w:rFonts w:ascii="Arial" w:cs="Arial" w:eastAsia="Arial" w:hAnsi="Arial"/>
          <w:sz w:val="15"/>
          <w:szCs w:val="15"/>
          <w:color w:val="1E1E1E"/>
        </w:rPr>
        <w:t>ST-01156 (SEED Therapeutics): In IND-enabling studies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REC-3565 for B-Cell Malignancies – Phase 1</w:t>
      </w:r>
    </w:p>
    <w:p>
      <w:pPr>
        <w:spacing w:after="0" w:line="61"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1E1E1E"/>
        </w:rPr>
        <w:t>REC-3565 is an orally bioavailable, highly potent and selective, potential best-in-class MALT1 inhibitor currently under development for the treatment of B-cell malignancies, including chronic lymphocytic leukemia (CLL). MALT1 is a protease crucial for activation of the NF-κB pathway, which drives the proliferation of malignant B-cells in hematological cancers. There are currently no MALT1 inhibitors approved by the FDA. Following clearance of a CTA by the MHRA in December 2024, we plan to initiate EXCELERIZE, a Phase 1 open-label, multicenter, dose escalation study to evaluate the safety, tolerability, PK, PD, and preliminary anti-tumor activity of REC-3565. We expect the first patient to be dosed in the first half of 2025.</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1AA7DF"/>
        </w:rPr>
        <w:t>Disease Overview</w:t>
      </w:r>
    </w:p>
    <w:p>
      <w:pPr>
        <w:spacing w:after="0" w:line="67"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1E1E1E"/>
        </w:rPr>
        <w:t>B-cell malignancies encompass a range of hematological cancers, including lymphomas such as diffuse large B-cell lymphoma (DLBCL), follicular lymphoma (FL), mantle cell lymphoma (MCL), and leukemias such as chronic lymphocytic leukemia (CLL) and small lymphocytic lymphoma (SLL). These diseases are characterized by the dysregulated growth or function of B-cells and are often driven by chronic B-cell receptor (BCR) signaling, which leads to unchecked NF-κB activation. MALT1 functions downstream of the BCR and the widely targeted Bruton’s tyrosine kinase (BTK), mediating pro-tumorigenic signals in malignant B-cells. Current therapies (e.g., BTK inhibitors) have transformed the treatment landscape, yet resistance remains a significant challenge. By inhibiting MALT1, REC-3565 may help overcome resistance and improve therapeutic outcomes, either as a monotherapy or in combination with BTK and/or BCL2 inhibitors. Notably, the total addressable population for MALT1 inhibitors spans multiple hematologic indications, with approximately 41,000 relapsed and/or refractory (R/R) patients with CLL and B-cell lymphomas in the U.S. and EU5 annually.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1AA7DF"/>
        </w:rPr>
        <w:t>Insight from Recursion OS</w:t>
      </w:r>
    </w:p>
    <w:p>
      <w:pPr>
        <w:spacing w:after="0" w:line="67"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1E1E1E"/>
        </w:rPr>
        <w:t>BTK inhibitors and other therapies for B-cell malignancies can cause drug-induced liver injury (DILI), limiting combination treatment options. Current MALT1 inhibitor scaffolds significantly inhibit UGT1A1, leading to dose-limiting toxicities, potentially restricting their utility in combination. Leveraging our AI-driven, multi-parameter optimization approach, we focused on an allosteric mechanism to enhance potency, selectivity, and safety for REC-3565. Hotspot analyses and physics-based molecular dynamics guided our design strategy, helping us address the hydrophobic and highly mobile nature of the allosteric binding site. As a result, REC-3565 does not significantly inhibit UGT1A1, potentially mitigating liver toxicity risks and facilitating higher target engagement. This profile also supports combination strategies with agents known to affect liver function like BTK and BCL2 inhibitors, offering a path to potentially deeper and more durable responses.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1AA7DF"/>
        </w:rPr>
        <w:t>Preclinical</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REC-3565 demonstrated significant antitumor activity across multiple B-cell lymphoma models. As a monotherapy, it drove tumor regressions in ABC-DLBCL xenografts, and in combination with zanubrutinib – a next-generation BTK inhibitor – it produced durable responses, with 70% of mice displaying no palpable tumors 10 days after the last dose. Additional in vitro analyses revealed minimal UGT1A1 inhibitory effects relative to other MALT1 inhibitor scaffolds in clinical development, suggesting an improved safety and combination therapy profile.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369570</wp:posOffset>
            </wp:positionV>
            <wp:extent cx="5419090" cy="259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19090" cy="259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spacing w:after="0" w:line="257" w:lineRule="auto"/>
        <w:rPr>
          <w:sz w:val="20"/>
          <w:szCs w:val="20"/>
          <w:color w:val="auto"/>
        </w:rPr>
      </w:pPr>
      <w:r>
        <w:rPr>
          <w:rFonts w:ascii="Arial" w:cs="Arial" w:eastAsia="Arial" w:hAnsi="Arial"/>
          <w:sz w:val="14"/>
          <w:szCs w:val="14"/>
          <w:b w:val="1"/>
          <w:bCs w:val="1"/>
          <w:color w:val="6E6E6E"/>
        </w:rPr>
        <w:t xml:space="preserve">Figure 35. Preclinical data highlighting REC-3565 as a potential best-in-class MALT1 inhibitor. </w:t>
      </w:r>
      <w:r>
        <w:rPr>
          <w:rFonts w:ascii="Arial" w:cs="Arial" w:eastAsia="Arial" w:hAnsi="Arial"/>
          <w:sz w:val="14"/>
          <w:szCs w:val="14"/>
          <w:color w:val="6E6E6E"/>
        </w:rPr>
        <w:t>(Left) REC-3565 showed tumor growth regression as a single agent and when</w:t>
      </w:r>
      <w:r>
        <w:rPr>
          <w:rFonts w:ascii="Arial" w:cs="Arial" w:eastAsia="Arial" w:hAnsi="Arial"/>
          <w:sz w:val="14"/>
          <w:szCs w:val="14"/>
          <w:b w:val="1"/>
          <w:bCs w:val="1"/>
          <w:color w:val="6E6E6E"/>
        </w:rPr>
        <w:t xml:space="preserve"> </w:t>
      </w:r>
      <w:r>
        <w:rPr>
          <w:rFonts w:ascii="Arial" w:cs="Arial" w:eastAsia="Arial" w:hAnsi="Arial"/>
          <w:sz w:val="14"/>
          <w:szCs w:val="14"/>
          <w:color w:val="6E6E6E"/>
        </w:rPr>
        <w:t>combined with zanubrutinib. N=10 per group mice per group, REC-3565 and zanubrutinib dosed BID. PD evaluated after 5 days BID oral administration of REC-1245 at doses noted. N=3 mice per group in PD portion. N=8 mice per group REC-3565 administered BID PO at doses noted. (Right) REC-3565 has best-in-class potential, especially given REC-3565 has &gt;10 uM vs. &lt;1 uM for other MALT1 inhibitors in clinical development. Development candidate criteria: MALT1 IC50 nM: green &lt;100 nM; yellow &gt;100-&lt;300 nM; red&gt;300 nM; OCI-Ly3 IC50 nM: green &lt;400 nM; yellow &gt;400-&lt;1000 nM; red&gt;1000 nM; UGT1A1 IC50 uM: green &gt;10 uM; yellow &lt;10-&gt;1 uM; red&lt;1 uM; Caco-2 A2B (efflux): green &gt;5(&lt;3); yellow &gt;1-&lt;5(&gt;3-&lt;10); red &lt;1(&gt;10).</w:t>
      </w:r>
      <w:r>
        <w:rPr>
          <w:rFonts w:ascii="Arial" w:cs="Arial" w:eastAsia="Arial" w:hAnsi="Arial"/>
          <w:sz w:val="17"/>
          <w:szCs w:val="17"/>
          <w:color w:val="6E6E6E"/>
          <w:vertAlign w:val="superscript"/>
        </w:rPr>
        <w:t>19,20</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1AA7DF"/>
        </w:rPr>
        <w:t>Clinical</w:t>
      </w:r>
    </w:p>
    <w:p>
      <w:pPr>
        <w:spacing w:after="0" w:line="67" w:lineRule="exact"/>
        <w:rPr>
          <w:sz w:val="20"/>
          <w:szCs w:val="20"/>
          <w:color w:val="auto"/>
        </w:rPr>
      </w:pPr>
    </w:p>
    <w:p>
      <w:pPr>
        <w:ind w:right="140"/>
        <w:spacing w:after="0" w:line="277" w:lineRule="auto"/>
        <w:rPr>
          <w:sz w:val="20"/>
          <w:szCs w:val="20"/>
          <w:color w:val="auto"/>
        </w:rPr>
      </w:pPr>
      <w:r>
        <w:rPr>
          <w:rFonts w:ascii="Arial" w:cs="Arial" w:eastAsia="Arial" w:hAnsi="Arial"/>
          <w:sz w:val="15"/>
          <w:szCs w:val="15"/>
          <w:i w:val="1"/>
          <w:iCs w:val="1"/>
          <w:color w:val="1E1E1E"/>
        </w:rPr>
        <w:t xml:space="preserve">EXCELERIZE </w:t>
      </w:r>
      <w:r>
        <w:rPr>
          <w:rFonts w:ascii="Arial" w:cs="Arial" w:eastAsia="Arial" w:hAnsi="Arial"/>
          <w:sz w:val="15"/>
          <w:szCs w:val="15"/>
          <w:color w:val="1E1E1E"/>
        </w:rPr>
        <w:t>is a Phase 1 open-label, multicenter, dose escalation study designed to evaluate the safety, tolerability, PK, PD and preliminary anti-tumor activity of</w:t>
      </w:r>
      <w:r>
        <w:rPr>
          <w:rFonts w:ascii="Arial" w:cs="Arial" w:eastAsia="Arial" w:hAnsi="Arial"/>
          <w:sz w:val="15"/>
          <w:szCs w:val="15"/>
          <w:i w:val="1"/>
          <w:iCs w:val="1"/>
          <w:color w:val="1E1E1E"/>
        </w:rPr>
        <w:t xml:space="preserve"> </w:t>
      </w:r>
      <w:r>
        <w:rPr>
          <w:rFonts w:ascii="Arial" w:cs="Arial" w:eastAsia="Arial" w:hAnsi="Arial"/>
          <w:sz w:val="15"/>
          <w:szCs w:val="15"/>
          <w:color w:val="1E1E1E"/>
        </w:rPr>
        <w:t>REC-3565 in patients with R/R B-cell malignancies. Part A will assess monotherapy dosing to identify a recommended dose for combination in Part B, which will evaluate combination regimens to inform future studies in B-cell cancers. Following CTA clearance by the MHRA in December 2024, we anticipate dosing the first patient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107950</wp:posOffset>
            </wp:positionV>
            <wp:extent cx="3929380" cy="25374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2938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6E6E6E"/>
        </w:rPr>
        <w:t xml:space="preserve">Figure 36. EXCELERIZE study design. </w:t>
      </w:r>
      <w:r>
        <w:rPr>
          <w:rFonts w:ascii="Arial" w:cs="Arial" w:eastAsia="Arial" w:hAnsi="Arial"/>
          <w:sz w:val="13"/>
          <w:szCs w:val="13"/>
          <w:color w:val="6E6E6E"/>
        </w:rPr>
        <w:t>Phase 1/2 trial to evaluate safety, tolerability, PK, PD and preliminary anti-tumor activity of REC-3565 in patients with R/R B-cell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16370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71" w:lineRule="exact"/>
        <w:rPr>
          <w:sz w:val="20"/>
          <w:szCs w:val="20"/>
          <w:color w:val="auto"/>
        </w:rPr>
      </w:pPr>
    </w:p>
    <w:p>
      <w:pPr>
        <w:ind w:left="240" w:right="340" w:hanging="237"/>
        <w:spacing w:after="0" w:line="226" w:lineRule="auto"/>
        <w:tabs>
          <w:tab w:leader="none" w:pos="260" w:val="left"/>
        </w:tabs>
        <w:numPr>
          <w:ilvl w:val="0"/>
          <w:numId w:val="61"/>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Payne, et al. (2024). Combining next-generation BTK and MALT1 inhibitors to enhance efficacy and therapeutic utility in B-cell malignancies [poster]. EORTC-NCI-AACR (ENA) Symposium: PB206.</w:t>
      </w:r>
    </w:p>
    <w:p>
      <w:pPr>
        <w:spacing w:after="0" w:line="27" w:lineRule="exact"/>
        <w:rPr>
          <w:rFonts w:ascii="Arial" w:cs="Arial" w:eastAsia="Arial" w:hAnsi="Arial"/>
          <w:sz w:val="18"/>
          <w:szCs w:val="18"/>
          <w:i w:val="1"/>
          <w:iCs w:val="1"/>
          <w:color w:val="6E6E6E"/>
          <w:vertAlign w:val="superscript"/>
        </w:rPr>
      </w:pPr>
    </w:p>
    <w:p>
      <w:pPr>
        <w:ind w:left="260" w:hanging="257"/>
        <w:spacing w:after="0"/>
        <w:tabs>
          <w:tab w:leader="none" w:pos="260" w:val="left"/>
        </w:tabs>
        <w:numPr>
          <w:ilvl w:val="0"/>
          <w:numId w:val="61"/>
        </w:numPr>
        <w:rPr>
          <w:rFonts w:ascii="Arial" w:cs="Arial" w:eastAsia="Arial" w:hAnsi="Arial"/>
          <w:sz w:val="9"/>
          <w:szCs w:val="9"/>
          <w:i w:val="1"/>
          <w:iCs w:val="1"/>
          <w:color w:val="6E6E6E"/>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1AA7DF"/>
        </w:rPr>
        <w:t>Competitors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E1E1E"/>
        </w:rPr>
        <w:t>We are aware of five active MALT1 inhibitor programs currently in clinical development:</w:t>
      </w:r>
    </w:p>
    <w:p>
      <w:pPr>
        <w:spacing w:after="0" w:line="111" w:lineRule="exact"/>
        <w:rPr>
          <w:sz w:val="20"/>
          <w:szCs w:val="20"/>
          <w:color w:val="auto"/>
        </w:rPr>
      </w:pPr>
    </w:p>
    <w:p>
      <w:pPr>
        <w:ind w:left="620" w:hanging="307"/>
        <w:spacing w:after="0"/>
        <w:tabs>
          <w:tab w:leader="none" w:pos="620" w:val="left"/>
        </w:tabs>
        <w:numPr>
          <w:ilvl w:val="0"/>
          <w:numId w:val="62"/>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ABBV-525 (AbbVie/Lupin): </w:t>
      </w:r>
      <w:r>
        <w:rPr>
          <w:rFonts w:ascii="Arial" w:cs="Arial" w:eastAsia="Arial" w:hAnsi="Arial"/>
          <w:sz w:val="15"/>
          <w:szCs w:val="15"/>
          <w:color w:val="1E1E1E"/>
        </w:rPr>
        <w:t>In Phase 1/2a trial in R/R B-cell malignancies</w:t>
      </w:r>
    </w:p>
    <w:p>
      <w:pPr>
        <w:spacing w:after="0" w:line="72"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62"/>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JNJ-6786633 (Johnson &amp; Johnson): </w:t>
      </w:r>
      <w:r>
        <w:rPr>
          <w:rFonts w:ascii="Arial" w:cs="Arial" w:eastAsia="Arial" w:hAnsi="Arial"/>
          <w:sz w:val="15"/>
          <w:szCs w:val="15"/>
          <w:color w:val="1E1E1E"/>
        </w:rPr>
        <w:t>Completed Phase 1/1b for NHL/CLL</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62"/>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MPT-0118 (Monopteros): </w:t>
      </w:r>
      <w:r>
        <w:rPr>
          <w:rFonts w:ascii="Arial" w:cs="Arial" w:eastAsia="Arial" w:hAnsi="Arial"/>
          <w:sz w:val="15"/>
          <w:szCs w:val="15"/>
          <w:color w:val="1E1E1E"/>
        </w:rPr>
        <w:t>In Phase 1/1b in solid tumors with a planned Phase 1/2a in combination PD-L1</w:t>
      </w:r>
    </w:p>
    <w:p>
      <w:pPr>
        <w:spacing w:after="0" w:line="72"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62"/>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SGR-1505 (Schrödinger): </w:t>
      </w:r>
      <w:r>
        <w:rPr>
          <w:rFonts w:ascii="Arial" w:cs="Arial" w:eastAsia="Arial" w:hAnsi="Arial"/>
          <w:sz w:val="15"/>
          <w:szCs w:val="15"/>
          <w:color w:val="1E1E1E"/>
        </w:rPr>
        <w:t>In Phase 1 in combination with BTK and BCL2 inhibitors for R/R B-cell lymphomas</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62"/>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CTX-177/ONO-7018 (Chordia/ONO): </w:t>
      </w:r>
      <w:r>
        <w:rPr>
          <w:rFonts w:ascii="Arial" w:cs="Arial" w:eastAsia="Arial" w:hAnsi="Arial"/>
          <w:sz w:val="15"/>
          <w:szCs w:val="15"/>
          <w:color w:val="1E1E1E"/>
        </w:rPr>
        <w:t>In Phase 1 trial for patients with R/R NHL/CLL</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REC-4539 for Small-Cell Lung Cancer – Phase 1/2</w:t>
      </w:r>
    </w:p>
    <w:p>
      <w:pPr>
        <w:spacing w:after="0" w:line="74"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1E1E1E"/>
        </w:rPr>
        <w:t xml:space="preserve">REC-4539 is an orally bioavailable, highly potent and selective, CNS penetrant, and potential best-in-class LSD1 inhibitor under development for the treatment of small-cell lung cancer (SCLC). LSD1 is an epigenetic regulator that removes methyl groups from histones, thereby controlling the expression of tumor suppressors and oncogenes. By inhibiting LSD1, REC-4539 promotes the reactivation of tumor suppressor pathways and may slow tumor growth or enhance sensitivity to cytotoxic agents. There are currently no LSD1 inhibitors approved by the FDA. In January 2025, the FDA cleared an IND application for </w:t>
      </w:r>
      <w:r>
        <w:rPr>
          <w:rFonts w:ascii="Arial" w:cs="Arial" w:eastAsia="Arial" w:hAnsi="Arial"/>
          <w:sz w:val="15"/>
          <w:szCs w:val="15"/>
          <w:i w:val="1"/>
          <w:iCs w:val="1"/>
          <w:color w:val="1E1E1E"/>
        </w:rPr>
        <w:t>ENLYGHT,</w:t>
      </w:r>
      <w:r>
        <w:rPr>
          <w:rFonts w:ascii="Arial" w:cs="Arial" w:eastAsia="Arial" w:hAnsi="Arial"/>
          <w:sz w:val="15"/>
          <w:szCs w:val="15"/>
          <w:color w:val="1E1E1E"/>
        </w:rPr>
        <w:t xml:space="preserve"> a Phase 1/2 open-label, multicenter study evaluating REC-4539 patients with advanced SCLC. We expect the first patient to be dosed in the first half of 2025.</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1AA7DF"/>
        </w:rPr>
        <w:t>Disease Overview</w:t>
      </w:r>
    </w:p>
    <w:p>
      <w:pPr>
        <w:spacing w:after="0" w:line="67" w:lineRule="exact"/>
        <w:rPr>
          <w:sz w:val="20"/>
          <w:szCs w:val="20"/>
          <w:color w:val="auto"/>
        </w:rPr>
      </w:pPr>
    </w:p>
    <w:p>
      <w:pPr>
        <w:spacing w:after="0" w:line="266" w:lineRule="auto"/>
        <w:rPr>
          <w:sz w:val="20"/>
          <w:szCs w:val="20"/>
          <w:color w:val="auto"/>
        </w:rPr>
      </w:pPr>
      <w:r>
        <w:rPr>
          <w:rFonts w:ascii="Arial" w:cs="Arial" w:eastAsia="Arial" w:hAnsi="Arial"/>
          <w:sz w:val="15"/>
          <w:szCs w:val="15"/>
          <w:color w:val="1E1E1E"/>
        </w:rPr>
        <w:t>Small-cell lung cancer (SCLC) is a poorly differentiated neuroendocrine tumor, representing roughly 15% of all lung cancer diagnoses. It is commonly categorized as limited stage (LS-SCLC) or extensive stage (ES-SCLC), with the majority of patients presenting with metastatic (extensive) or unresectable disease. SCLC is strongly linked to smoking, tends to grow rapidly, and frequently spreads early. Notably, over 50% of patients eventually develop brain metastases. Despite some improvements in frontline therapy such as chemotherapy plus immunotherapy, treatment options after progression remain limited. Median survival in ES-SCLC is poor, with a 5-year overall survival rate of approximately 3%. Across the US and EU5, more than 45,000 patients have a treatable Stage III/IV SCLC each year.</w:t>
      </w:r>
    </w:p>
    <w:p>
      <w:pPr>
        <w:spacing w:after="0" w:line="179"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1E1E1E"/>
        </w:rPr>
        <w:t>Within SCLC, LSD1 plays a key epigenetic role by demethylating histones that regulate critical tumor suppressor genes. Inhibiting LSD1 can reverse this epigenetic repression, upregulating pathways such as NOTCH, that promote differentiation of neuroendocrine tumor cells into a more quiescent state, potentially sensitizing them to cytotoxic therapies. However, effective LSD1 inhibition requires a reversible, brain-penetrant molecule with a short half-life to minimize risks such as thrombocytopenia. Many LSD1 inhibitors have failed to achieve these parameters, particularly brain penetration and controlled on-target effects, highlighting the unmet need that REC-4539 aims to address.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1AA7DF"/>
        </w:rPr>
        <w:t>Insight from Recursion OS</w:t>
      </w:r>
    </w:p>
    <w:p>
      <w:pPr>
        <w:spacing w:after="0" w:line="67" w:lineRule="exact"/>
        <w:rPr>
          <w:sz w:val="20"/>
          <w:szCs w:val="20"/>
          <w:color w:val="auto"/>
        </w:rPr>
      </w:pPr>
    </w:p>
    <w:p>
      <w:pPr>
        <w:spacing w:after="0" w:line="267" w:lineRule="auto"/>
        <w:rPr>
          <w:sz w:val="20"/>
          <w:szCs w:val="20"/>
          <w:color w:val="auto"/>
        </w:rPr>
      </w:pPr>
      <w:r>
        <w:rPr>
          <w:rFonts w:ascii="Arial" w:cs="Arial" w:eastAsia="Arial" w:hAnsi="Arial"/>
          <w:sz w:val="15"/>
          <w:szCs w:val="15"/>
          <w:color w:val="1E1E1E"/>
        </w:rPr>
        <w:t>Developing a selective LSD1 inhibitor for SCLC requires a reversible mechanism, a short half-life to minimize on-target toxicity (e.g., thrombocytopenia), and the ability to penetrate the blood-brain barrier to address frequent metastases. Many existing LSD1 agents fail to meet these criteria, resulting in dose-limiting toxicity and poor CNS exposure. Using our AI-driven, multi-parameter optimization approach, we generated and screened diverse chemical scaffolds for potency, selectivity, ADME properties, and CNS penetration. Active learning identified counterintuitive yet informative compounds, enabling a rapid design breakthrough. As a result, we created REC-4539 – a potent, selective, reversible, brain-penetrant, and potential best-in-class LSD1 inhibitor with a short predicted half-life. We believe these key attributes provide competitive differentiation for REC-4539 versus prior LSD1-targeted molecules.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1AA7DF"/>
        </w:rPr>
        <w:t>Preclinical</w:t>
      </w:r>
    </w:p>
    <w:p>
      <w:pPr>
        <w:spacing w:after="0" w:line="67"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1E1E1E"/>
        </w:rPr>
        <w:t>REC-4539 demonstrated potent anti-tumor activity across multiple preclinical models, including the NCI-H1417 human SCLC xenograft. In this model, dose-dependent tumor regression correlated with a corresponding decrease in the neuroendocrine tumor biomarker progastrin-releasing peptide (proGRP). Additionally, REC-4539 treatment was well-tolerated, with minimal impact on platelet counts.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369570</wp:posOffset>
            </wp:positionV>
            <wp:extent cx="5361940" cy="258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61940"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b w:val="1"/>
          <w:bCs w:val="1"/>
          <w:color w:val="6E6E6E"/>
        </w:rPr>
        <w:t xml:space="preserve">Figure 37. REC-4539 preclinical assessment in SCLC xenograft model. </w:t>
      </w:r>
      <w:r>
        <w:rPr>
          <w:rFonts w:ascii="Arial" w:cs="Arial" w:eastAsia="Arial" w:hAnsi="Arial"/>
          <w:sz w:val="14"/>
          <w:szCs w:val="14"/>
          <w:color w:val="6E6E6E"/>
        </w:rPr>
        <w:t>(Left) REC-4539 induces dose dependent tumor regression in the NCI-H1417 SCLC cell line derived</w:t>
      </w:r>
      <w:r>
        <w:rPr>
          <w:rFonts w:ascii="Arial" w:cs="Arial" w:eastAsia="Arial" w:hAnsi="Arial"/>
          <w:sz w:val="14"/>
          <w:szCs w:val="14"/>
          <w:b w:val="1"/>
          <w:bCs w:val="1"/>
          <w:color w:val="6E6E6E"/>
        </w:rPr>
        <w:t xml:space="preserve"> </w:t>
      </w:r>
      <w:r>
        <w:rPr>
          <w:rFonts w:ascii="Arial" w:cs="Arial" w:eastAsia="Arial" w:hAnsi="Arial"/>
          <w:sz w:val="14"/>
          <w:szCs w:val="14"/>
          <w:color w:val="6E6E6E"/>
        </w:rPr>
        <w:t>xenograft mouse model. BALB/c mice, REC-4539 dosed BID, 28 day study. (Right) REC-4539 induces dose dependent tumor reductions in plasma proGRP. BALB/c mice, REC-4539 dosed BID, 28 day study.</w:t>
      </w:r>
      <w:r>
        <w:rPr>
          <w:rFonts w:ascii="Arial" w:cs="Arial" w:eastAsia="Arial" w:hAnsi="Arial"/>
          <w:sz w:val="8"/>
          <w:szCs w:val="8"/>
          <w:color w:val="6E6E6E"/>
        </w:rPr>
        <w:t>21,22</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1AA7DF"/>
        </w:rPr>
        <w:t>Clinical</w:t>
      </w:r>
    </w:p>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i w:val="1"/>
          <w:iCs w:val="1"/>
          <w:color w:val="1E1E1E"/>
        </w:rPr>
        <w:t xml:space="preserve">ENLYGHT </w:t>
      </w:r>
      <w:r>
        <w:rPr>
          <w:rFonts w:ascii="Arial" w:cs="Arial" w:eastAsia="Arial" w:hAnsi="Arial"/>
          <w:sz w:val="15"/>
          <w:szCs w:val="15"/>
          <w:color w:val="1E1E1E"/>
        </w:rPr>
        <w:t>is a Phase 1/2, open-label, multicenter study designed to evaluate the safety, tolerability, and preliminary efficacy of REC-4539 in patients with SCLC.</w:t>
      </w:r>
      <w:r>
        <w:rPr>
          <w:rFonts w:ascii="Arial" w:cs="Arial" w:eastAsia="Arial" w:hAnsi="Arial"/>
          <w:sz w:val="15"/>
          <w:szCs w:val="15"/>
          <w:i w:val="1"/>
          <w:iCs w:val="1"/>
          <w:color w:val="1E1E1E"/>
        </w:rPr>
        <w:t xml:space="preserve"> </w:t>
      </w:r>
      <w:r>
        <w:rPr>
          <w:rFonts w:ascii="Arial" w:cs="Arial" w:eastAsia="Arial" w:hAnsi="Arial"/>
          <w:sz w:val="15"/>
          <w:szCs w:val="15"/>
          <w:color w:val="1E1E1E"/>
        </w:rPr>
        <w:t>The FDA cleared an IND application in January 2025, and we expect the first patient to be dosed in the first half of 2025. Phase 1 will include both monotherapy dose escalation and REC-4539 combination with durvalumab, determining safety, tolerability, and a recommended dose. Phase 2 will focus on dose optimization for both monotherapy and combination arms, followed by expansion to further assess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118745</wp:posOffset>
            </wp:positionV>
            <wp:extent cx="3929380" cy="2799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29380" cy="279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0"/>
        <w:spacing w:after="0" w:line="281" w:lineRule="auto"/>
        <w:rPr>
          <w:sz w:val="20"/>
          <w:szCs w:val="20"/>
          <w:color w:val="auto"/>
        </w:rPr>
      </w:pPr>
      <w:r>
        <w:rPr>
          <w:rFonts w:ascii="Arial" w:cs="Arial" w:eastAsia="Arial" w:hAnsi="Arial"/>
          <w:sz w:val="14"/>
          <w:szCs w:val="14"/>
          <w:b w:val="1"/>
          <w:bCs w:val="1"/>
          <w:color w:val="6E6E6E"/>
        </w:rPr>
        <w:t xml:space="preserve">Figure 38. ENLYGHT study design. </w:t>
      </w:r>
      <w:r>
        <w:rPr>
          <w:rFonts w:ascii="Arial" w:cs="Arial" w:eastAsia="Arial" w:hAnsi="Arial"/>
          <w:sz w:val="14"/>
          <w:szCs w:val="14"/>
          <w:color w:val="6E6E6E"/>
        </w:rPr>
        <w:t>Phase 1/2 trial design to assess the safety, tolerability, and recommended dose of REC-4539 with dose escalation as monotherapy and in</w:t>
      </w:r>
      <w:r>
        <w:rPr>
          <w:rFonts w:ascii="Arial" w:cs="Arial" w:eastAsia="Arial" w:hAnsi="Arial"/>
          <w:sz w:val="14"/>
          <w:szCs w:val="14"/>
          <w:b w:val="1"/>
          <w:bCs w:val="1"/>
          <w:color w:val="6E6E6E"/>
        </w:rPr>
        <w:t xml:space="preserve"> </w:t>
      </w:r>
      <w:r>
        <w:rPr>
          <w:rFonts w:ascii="Arial" w:cs="Arial" w:eastAsia="Arial" w:hAnsi="Arial"/>
          <w:sz w:val="14"/>
          <w:szCs w:val="14"/>
          <w:color w:val="6E6E6E"/>
        </w:rPr>
        <w:t>combination with durvalumab.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16370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11" w:lineRule="exact"/>
        <w:rPr>
          <w:sz w:val="20"/>
          <w:szCs w:val="20"/>
          <w:color w:val="auto"/>
        </w:rPr>
      </w:pPr>
    </w:p>
    <w:p>
      <w:pPr>
        <w:ind w:left="240" w:right="100" w:hanging="237"/>
        <w:spacing w:after="0" w:line="226" w:lineRule="auto"/>
        <w:tabs>
          <w:tab w:leader="none" w:pos="260" w:val="left"/>
        </w:tabs>
        <w:numPr>
          <w:ilvl w:val="0"/>
          <w:numId w:val="63"/>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Payne, et al. (2023). Characterizing Antitumor Responses to EXS74539, a Novel, Reversible LSD1 Inhibitor with Potential in Small-cell Lung Cancer [poster]. American Association for Cancer Research (AACR) Annual Meeting: 6290.</w:t>
      </w:r>
    </w:p>
    <w:p>
      <w:pPr>
        <w:spacing w:after="0" w:line="13" w:lineRule="exact"/>
        <w:rPr>
          <w:rFonts w:ascii="Arial" w:cs="Arial" w:eastAsia="Arial" w:hAnsi="Arial"/>
          <w:sz w:val="18"/>
          <w:szCs w:val="18"/>
          <w:i w:val="1"/>
          <w:iCs w:val="1"/>
          <w:color w:val="6E6E6E"/>
          <w:vertAlign w:val="superscript"/>
        </w:rPr>
      </w:pPr>
    </w:p>
    <w:p>
      <w:pPr>
        <w:ind w:left="260" w:hanging="257"/>
        <w:spacing w:after="0"/>
        <w:tabs>
          <w:tab w:leader="none" w:pos="260" w:val="left"/>
        </w:tabs>
        <w:numPr>
          <w:ilvl w:val="0"/>
          <w:numId w:val="63"/>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1AA7DF"/>
        </w:rPr>
        <w:t>Competitors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E1E1E"/>
        </w:rPr>
        <w:t>We are aware of three LSD1 inhibitor programs in various stages of clinical development:</w:t>
      </w:r>
    </w:p>
    <w:p>
      <w:pPr>
        <w:spacing w:after="0" w:line="111" w:lineRule="exact"/>
        <w:rPr>
          <w:sz w:val="20"/>
          <w:szCs w:val="20"/>
          <w:color w:val="auto"/>
        </w:rPr>
      </w:pPr>
    </w:p>
    <w:p>
      <w:pPr>
        <w:ind w:left="620" w:hanging="307"/>
        <w:spacing w:after="0" w:line="295" w:lineRule="auto"/>
        <w:tabs>
          <w:tab w:leader="none" w:pos="609" w:val="left"/>
        </w:tabs>
        <w:numPr>
          <w:ilvl w:val="0"/>
          <w:numId w:val="64"/>
        </w:numPr>
        <w:rPr>
          <w:rFonts w:ascii="Arial" w:cs="Arial" w:eastAsia="Arial" w:hAnsi="Arial"/>
          <w:sz w:val="15"/>
          <w:szCs w:val="15"/>
          <w:color w:val="1E1E1E"/>
        </w:rPr>
      </w:pPr>
      <w:r>
        <w:rPr>
          <w:rFonts w:ascii="Arial" w:cs="Arial" w:eastAsia="Arial" w:hAnsi="Arial"/>
          <w:sz w:val="15"/>
          <w:szCs w:val="15"/>
          <w:color w:val="1E1E1E"/>
        </w:rPr>
        <w:t>Bomedemstat (Merck): In Phase 3 trial in essential thrombocythemia (ET), a Phase 2 study in myelofibrosis (MF) and polycythemia vera (PV), and a Phase 1 study in AML (in combination with venetoclax); previously terminated Phase 1/2 SCLC trial in combination with PD-L1 maintenance</w:t>
      </w:r>
    </w:p>
    <w:p>
      <w:pPr>
        <w:spacing w:after="0" w:line="1" w:lineRule="exact"/>
        <w:rPr>
          <w:rFonts w:ascii="Arial" w:cs="Arial" w:eastAsia="Arial" w:hAnsi="Arial"/>
          <w:sz w:val="15"/>
          <w:szCs w:val="15"/>
          <w:color w:val="1E1E1E"/>
        </w:rPr>
      </w:pPr>
    </w:p>
    <w:p>
      <w:pPr>
        <w:ind w:left="620" w:right="220" w:hanging="307"/>
        <w:spacing w:after="0" w:line="295" w:lineRule="auto"/>
        <w:tabs>
          <w:tab w:leader="none" w:pos="609" w:val="left"/>
        </w:tabs>
        <w:numPr>
          <w:ilvl w:val="0"/>
          <w:numId w:val="64"/>
        </w:numPr>
        <w:rPr>
          <w:rFonts w:ascii="Arial" w:cs="Arial" w:eastAsia="Arial" w:hAnsi="Arial"/>
          <w:sz w:val="15"/>
          <w:szCs w:val="15"/>
          <w:color w:val="1E1E1E"/>
        </w:rPr>
      </w:pPr>
      <w:r>
        <w:rPr>
          <w:rFonts w:ascii="Arial" w:cs="Arial" w:eastAsia="Arial" w:hAnsi="Arial"/>
          <w:sz w:val="15"/>
          <w:szCs w:val="15"/>
          <w:color w:val="1E1E1E"/>
        </w:rPr>
        <w:t>Iadademstat (Oryzon): In Phase 2 for relapsed/refractory (R/R) SCLC and extrapulmonary high-grade NETs (in combination with paclitaxel), as well as a Phase 1b/2 trial in first-line extensive-stage SCLC (ES-SCLC) in combination with a checkpoint inhibitor; further trials are ongoing in AML</w:t>
      </w:r>
    </w:p>
    <w:p>
      <w:pPr>
        <w:spacing w:after="0" w:line="1" w:lineRule="exact"/>
        <w:rPr>
          <w:rFonts w:ascii="Arial" w:cs="Arial" w:eastAsia="Arial" w:hAnsi="Arial"/>
          <w:sz w:val="15"/>
          <w:szCs w:val="15"/>
          <w:color w:val="1E1E1E"/>
        </w:rPr>
      </w:pPr>
    </w:p>
    <w:p>
      <w:pPr>
        <w:ind w:left="620" w:right="120" w:hanging="307"/>
        <w:spacing w:after="0" w:line="294" w:lineRule="auto"/>
        <w:tabs>
          <w:tab w:leader="none" w:pos="609" w:val="left"/>
        </w:tabs>
        <w:numPr>
          <w:ilvl w:val="0"/>
          <w:numId w:val="64"/>
        </w:numPr>
        <w:rPr>
          <w:rFonts w:ascii="Arial" w:cs="Arial" w:eastAsia="Arial" w:hAnsi="Arial"/>
          <w:sz w:val="15"/>
          <w:szCs w:val="15"/>
          <w:color w:val="1E1E1E"/>
        </w:rPr>
      </w:pPr>
      <w:r>
        <w:rPr>
          <w:rFonts w:ascii="Arial" w:cs="Arial" w:eastAsia="Arial" w:hAnsi="Arial"/>
          <w:sz w:val="15"/>
          <w:szCs w:val="15"/>
          <w:color w:val="1E1E1E"/>
        </w:rPr>
        <w:t>JBI-802 (Jubilant Life Sciences): In Phase 1/2 basket study, with expansion cohorts planned in SCLC, neuroendocrine prostate cancer (NEPC), and other NETs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REC-994 for Cerebral Cavernous Malformation – Phase 2</w:t>
      </w:r>
    </w:p>
    <w:p>
      <w:pPr>
        <w:spacing w:after="0" w:line="61"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1E1E1E"/>
        </w:rPr>
        <w:t>REC-994 is an orally bioavailable superoxide scavenger under development as a potential first-in-disease therapy for symptomatic cerebral cavernous malformation (CCM). CCMs are rare neurovascular lesions characterized by abnormal capillary-venous structures, recurrent bleeding, and stroke-like symptoms. REC-994 emerged from an early version of Recursion’s phenotypic platform, showing robust rescue in CCM2-deficient endothelial cells. In animal models, it reduced lesion burden by approximately 50% and improved vascular permeability. Phase 1 studies established its safety and tolerability, supporting the ongoing Phase 2 SYCAMORE trial, which to date has shown encouraging safety and preliminary efficacy signals. With no approved therapies for symptomatic CCM, we plan to consult with the FDA and other regulatory authorities on a path forward for this potential first-in-disease program and plan to share additional updates in 2025. REC-994 has received Orphan Drug Designation (ODD) in the United States and Europe.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1AA7DF"/>
        </w:rPr>
        <w:t>Disease Overview</w:t>
      </w:r>
    </w:p>
    <w:p>
      <w:pPr>
        <w:spacing w:after="0" w:line="67"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1E1E1E"/>
        </w:rPr>
        <w:t xml:space="preserve">CCM is a neurovascular disorder affecting roughly 360,000 symptomatic individuals in the US and EU5, although actual prevalence may exceed one million due to underdiagnosis. CCM arises from mutations in any of three genes </w:t>
      </w:r>
      <w:r>
        <w:rPr>
          <w:rFonts w:ascii="Arial" w:cs="Arial" w:eastAsia="Arial" w:hAnsi="Arial"/>
          <w:sz w:val="15"/>
          <w:szCs w:val="15"/>
          <w:i w:val="1"/>
          <w:iCs w:val="1"/>
          <w:color w:val="1E1E1E"/>
        </w:rPr>
        <w:t>(CCM1, CCM2, or CCM3)</w:t>
      </w:r>
      <w:r>
        <w:rPr>
          <w:rFonts w:ascii="Arial" w:cs="Arial" w:eastAsia="Arial" w:hAnsi="Arial"/>
          <w:sz w:val="15"/>
          <w:szCs w:val="15"/>
          <w:color w:val="1E1E1E"/>
        </w:rPr>
        <w:t xml:space="preserve"> that regulate endothelial function. These mutations result in enlarged capillary cavities with no intervening brain parenchyma, placing patients at high risk for seizures, progressive neurological deficits, and life-threatening hemorrhagic strokes. Up to 20% of cases are familial and inherited in an autosomal dominant pattern; sporadic disease makes up the remainder. Surgical resection and stereotactic radiosurgery are the primary interventions, yet many lesions – especially in the brainstem – are not amenable to resection. For approximately 25% of symptomatic cavernomas that occur in the brainstem, such invasive approaches carry substantial risks. Currently, there is no pharmacologic agent that reduces CCM lesion growth or bleeding propensity, highlighting a critical unmet need.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1AA7DF"/>
        </w:rPr>
        <w:t>Insight from Recursion OS</w:t>
      </w:r>
    </w:p>
    <w:p>
      <w:pPr>
        <w:spacing w:after="0" w:line="67"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1E1E1E"/>
        </w:rPr>
        <w:t xml:space="preserve">Using a </w:t>
      </w:r>
      <w:r>
        <w:rPr>
          <w:rFonts w:ascii="Arial" w:cs="Arial" w:eastAsia="Arial" w:hAnsi="Arial"/>
          <w:sz w:val="15"/>
          <w:szCs w:val="15"/>
          <w:i w:val="1"/>
          <w:iCs w:val="1"/>
          <w:color w:val="1E1E1E"/>
        </w:rPr>
        <w:t>CCM2</w:t>
      </w:r>
      <w:r>
        <w:rPr>
          <w:rFonts w:ascii="Arial" w:cs="Arial" w:eastAsia="Arial" w:hAnsi="Arial"/>
          <w:sz w:val="15"/>
          <w:szCs w:val="15"/>
          <w:color w:val="1E1E1E"/>
        </w:rPr>
        <w:t xml:space="preserve"> loss-of-function screen in human endothelial cells, our early phenotypic platform rapidly identified drug candidates capable of reversing disease-relevant phenotypes. REC-994 emerged from this unbiased approach as a potent molecule that modulated CCM pathology in vitro. These discoveries laid the groundwork for preclinical validation and subsequent clinical development, exemplifying how our platform can accelerate therapeutic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6350</wp:posOffset>
            </wp:positionV>
            <wp:extent cx="4526915" cy="15716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26915" cy="157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b w:val="1"/>
          <w:bCs w:val="1"/>
          <w:color w:val="6E6E6E"/>
        </w:rPr>
        <w:t xml:space="preserve">Figure 39: </w:t>
      </w:r>
      <w:r>
        <w:rPr>
          <w:rFonts w:ascii="Arial" w:cs="Arial" w:eastAsia="Arial" w:hAnsi="Arial"/>
          <w:sz w:val="14"/>
          <w:szCs w:val="14"/>
          <w:color w:val="6E6E6E"/>
        </w:rPr>
        <w:t>Rescue of structural phenotypes associated with loss of CCM2. Immunofluorescence images of endothelial cells modified with siCTRL, siCCM2, or siCCM2 and treated with</w:t>
      </w:r>
      <w:r>
        <w:rPr>
          <w:rFonts w:ascii="Arial" w:cs="Arial" w:eastAsia="Arial" w:hAnsi="Arial"/>
          <w:sz w:val="14"/>
          <w:szCs w:val="14"/>
          <w:b w:val="1"/>
          <w:bCs w:val="1"/>
          <w:color w:val="6E6E6E"/>
        </w:rPr>
        <w:t xml:space="preserve"> </w:t>
      </w:r>
      <w:r>
        <w:rPr>
          <w:rFonts w:ascii="Arial" w:cs="Arial" w:eastAsia="Arial" w:hAnsi="Arial"/>
          <w:sz w:val="14"/>
          <w:szCs w:val="14"/>
          <w:color w:val="6E6E6E"/>
        </w:rPr>
        <w:t>REC-994. Cells stained for DNA (blue), actin (green) and VE-cadherin (red). REC-994 demonstrated image-based phenotypic rescue, as analyzed by a machine learning classifier trained on images.</w:t>
      </w:r>
      <w:r>
        <w:rPr>
          <w:rFonts w:ascii="Arial" w:cs="Arial" w:eastAsia="Arial" w:hAnsi="Arial"/>
          <w:sz w:val="8"/>
          <w:szCs w:val="8"/>
          <w:color w:val="6E6E6E"/>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6370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27" w:lineRule="exact"/>
        <w:rPr>
          <w:sz w:val="20"/>
          <w:szCs w:val="20"/>
          <w:color w:val="auto"/>
        </w:rPr>
      </w:pPr>
    </w:p>
    <w:p>
      <w:pPr>
        <w:ind w:left="260" w:hanging="257"/>
        <w:spacing w:after="0"/>
        <w:tabs>
          <w:tab w:leader="none" w:pos="260" w:val="left"/>
        </w:tabs>
        <w:numPr>
          <w:ilvl w:val="0"/>
          <w:numId w:val="65"/>
        </w:numPr>
        <w:rPr>
          <w:rFonts w:ascii="Arial" w:cs="Arial" w:eastAsia="Arial" w:hAnsi="Arial"/>
          <w:sz w:val="9"/>
          <w:szCs w:val="9"/>
          <w:i w:val="1"/>
          <w:iCs w:val="1"/>
          <w:color w:val="6E6E6E"/>
        </w:rPr>
      </w:pPr>
      <w:r>
        <w:rPr>
          <w:rFonts w:ascii="Arial" w:cs="Arial" w:eastAsia="Arial" w:hAnsi="Arial"/>
          <w:sz w:val="14"/>
          <w:szCs w:val="14"/>
          <w:i w:val="1"/>
          <w:iCs w:val="1"/>
          <w:color w:val="6E6E6E"/>
        </w:rPr>
        <w:t>Gibson, et al. (2015). Strategy for identifying repurposed drugs for the treatment of cerebral cavernous malformation. Circulation. 131(3), 289-99.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440"/>
        <w:spacing w:after="0" w:line="271" w:lineRule="auto"/>
        <w:rPr>
          <w:sz w:val="20"/>
          <w:szCs w:val="20"/>
          <w:color w:val="auto"/>
        </w:rPr>
      </w:pPr>
      <w:r>
        <w:rPr>
          <w:rFonts w:ascii="Arial" w:cs="Arial" w:eastAsia="Arial" w:hAnsi="Arial"/>
          <w:sz w:val="15"/>
          <w:szCs w:val="15"/>
          <w:color w:val="1E1E1E"/>
        </w:rPr>
        <w:t>REC-994 is a therapeutic designed to alleviate neurological symptoms associated with CCM and potentially reduce the accumulation of new lesions with pharmacokinetics supporting once-daily dosing in humans. The putative mechanism of action of REC-994 is through reduction of reactive oxygen species and decreased oxidative stress that leads to stabilization of endothelial barrier function. In addition, REC-994 exhibits anti-inflammatory properties which could be beneficial in reducing disease-associated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118745</wp:posOffset>
            </wp:positionV>
            <wp:extent cx="5599430" cy="16452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99430" cy="164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40. </w:t>
      </w:r>
      <w:r>
        <w:rPr>
          <w:rFonts w:ascii="Arial" w:cs="Arial" w:eastAsia="Arial" w:hAnsi="Arial"/>
          <w:sz w:val="14"/>
          <w:szCs w:val="14"/>
          <w:color w:val="6E6E6E"/>
        </w:rPr>
        <w:t>REC-994 mechanism of action and proposed potential therapeutic impact.</w:t>
      </w:r>
      <w:r>
        <w:rPr>
          <w:rFonts w:ascii="Arial" w:cs="Arial" w:eastAsia="Arial" w:hAnsi="Arial"/>
          <w:sz w:val="8"/>
          <w:szCs w:val="8"/>
          <w:color w:val="6E6E6E"/>
        </w:rPr>
        <w:t>24</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1AA7DF"/>
        </w:rPr>
        <w:t>Preclinical</w:t>
      </w:r>
    </w:p>
    <w:p>
      <w:pPr>
        <w:spacing w:after="0" w:line="67"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1E1E1E"/>
        </w:rPr>
        <w:t xml:space="preserve">In CCM mouse models (including </w:t>
      </w:r>
      <w:r>
        <w:rPr>
          <w:rFonts w:ascii="Arial" w:cs="Arial" w:eastAsia="Arial" w:hAnsi="Arial"/>
          <w:sz w:val="15"/>
          <w:szCs w:val="15"/>
          <w:i w:val="1"/>
          <w:iCs w:val="1"/>
          <w:color w:val="1E1E1E"/>
        </w:rPr>
        <w:t>Ccm1</w:t>
      </w:r>
      <w:r>
        <w:rPr>
          <w:rFonts w:ascii="Arial" w:cs="Arial" w:eastAsia="Arial" w:hAnsi="Arial"/>
          <w:sz w:val="15"/>
          <w:szCs w:val="15"/>
          <w:color w:val="1E1E1E"/>
        </w:rPr>
        <w:t xml:space="preserve">- and </w:t>
      </w:r>
      <w:r>
        <w:rPr>
          <w:rFonts w:ascii="Arial" w:cs="Arial" w:eastAsia="Arial" w:hAnsi="Arial"/>
          <w:sz w:val="15"/>
          <w:szCs w:val="15"/>
          <w:i w:val="1"/>
          <w:iCs w:val="1"/>
          <w:color w:val="1E1E1E"/>
        </w:rPr>
        <w:t>Ccm2</w:t>
      </w:r>
      <w:r>
        <w:rPr>
          <w:rFonts w:ascii="Arial" w:cs="Arial" w:eastAsia="Arial" w:hAnsi="Arial"/>
          <w:sz w:val="15"/>
          <w:szCs w:val="15"/>
          <w:color w:val="1E1E1E"/>
        </w:rPr>
        <w:t>-deficient strains), chronic REC-994 administration significantly reduced lesion number and size while improving vascular permeability parameters. These data supported further clinical evaluation of REC-994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107950</wp:posOffset>
            </wp:positionV>
            <wp:extent cx="5599430" cy="18662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99430" cy="186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b w:val="1"/>
          <w:bCs w:val="1"/>
          <w:color w:val="6E6E6E"/>
        </w:rPr>
        <w:t xml:space="preserve">Figure 41. </w:t>
      </w:r>
      <w:r>
        <w:rPr>
          <w:rFonts w:ascii="Arial" w:cs="Arial" w:eastAsia="Arial" w:hAnsi="Arial"/>
          <w:sz w:val="14"/>
          <w:szCs w:val="14"/>
          <w:color w:val="6E6E6E"/>
        </w:rPr>
        <w:t>REC-994 reduces lesion severity and vascular permeability defects in CCM loss of function mouse models. (Left) Mice treated with REC-994 demonstrated a statistically</w:t>
      </w:r>
      <w:r>
        <w:rPr>
          <w:rFonts w:ascii="Arial" w:cs="Arial" w:eastAsia="Arial" w:hAnsi="Arial"/>
          <w:sz w:val="14"/>
          <w:szCs w:val="14"/>
          <w:b w:val="1"/>
          <w:bCs w:val="1"/>
          <w:color w:val="6E6E6E"/>
        </w:rPr>
        <w:t xml:space="preserve"> </w:t>
      </w:r>
      <w:r>
        <w:rPr>
          <w:rFonts w:ascii="Arial" w:cs="Arial" w:eastAsia="Arial" w:hAnsi="Arial"/>
          <w:sz w:val="14"/>
          <w:szCs w:val="14"/>
          <w:color w:val="6E6E6E"/>
        </w:rPr>
        <w:t>significant decrease in the number of small-size lesions, with a trend towards a decrease in the number of mid-size lesions. (Right) REC-994 rescues the dermal permeability defects in Ccm2 endothelial specific knockout mice.</w:t>
      </w:r>
      <w:r>
        <w:rPr>
          <w:rFonts w:ascii="Arial" w:cs="Arial" w:eastAsia="Arial" w:hAnsi="Arial"/>
          <w:sz w:val="17"/>
          <w:szCs w:val="17"/>
          <w:color w:val="6E6E6E"/>
          <w:vertAlign w:val="superscript"/>
        </w:rPr>
        <w:t>25,26</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1AA7DF"/>
        </w:rPr>
        <w:t>Clinical</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6E6E6E"/>
        </w:rPr>
        <w:t>Phase 1</w:t>
      </w:r>
    </w:p>
    <w:p>
      <w:pPr>
        <w:spacing w:after="0" w:line="27"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1E1E1E"/>
        </w:rPr>
        <w:t>Single- and multiple-ascending dose (SAD/MAD) studies in healthy volunteers established the safety, tolerability, and pharmacokinetics of REC-994. The compound was well tolerated with no treatment-related discontinuations or serious adverse events, supporting once-daily dosing for chronic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16370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59" w:lineRule="exact"/>
        <w:rPr>
          <w:sz w:val="20"/>
          <w:szCs w:val="20"/>
          <w:color w:val="auto"/>
        </w:rPr>
      </w:pPr>
    </w:p>
    <w:p>
      <w:pPr>
        <w:ind w:left="240" w:right="160" w:hanging="237"/>
        <w:spacing w:after="0" w:line="218" w:lineRule="auto"/>
        <w:tabs>
          <w:tab w:leader="none" w:pos="255" w:val="left"/>
        </w:tabs>
        <w:numPr>
          <w:ilvl w:val="0"/>
          <w:numId w:val="66"/>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Alfa R, et al. (2024). Clinical pharmacology and tolerability of REC-994, a redox-cycling nitroxide compound, in randomized phase 1 dose-finding studies. Pharmacology Research Perspectives. 12(3): e1200.</w:t>
      </w:r>
    </w:p>
    <w:p>
      <w:pPr>
        <w:spacing w:after="0" w:line="13" w:lineRule="exact"/>
        <w:rPr>
          <w:rFonts w:ascii="Arial" w:cs="Arial" w:eastAsia="Arial" w:hAnsi="Arial"/>
          <w:sz w:val="18"/>
          <w:szCs w:val="18"/>
          <w:i w:val="1"/>
          <w:iCs w:val="1"/>
          <w:color w:val="6E6E6E"/>
          <w:vertAlign w:val="superscript"/>
        </w:rPr>
      </w:pPr>
    </w:p>
    <w:p>
      <w:pPr>
        <w:ind w:left="260" w:hanging="257"/>
        <w:spacing w:after="0"/>
        <w:tabs>
          <w:tab w:leader="none" w:pos="260" w:val="left"/>
        </w:tabs>
        <w:numPr>
          <w:ilvl w:val="0"/>
          <w:numId w:val="66"/>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Gibson, et al. (2015). Strategy for identifying repurposed drugs for the treatment of cerebral cavernous malformation. Circulation. 131(3), 289-99.</w:t>
      </w:r>
    </w:p>
    <w:p>
      <w:pPr>
        <w:spacing w:after="0" w:line="50" w:lineRule="exact"/>
        <w:rPr>
          <w:rFonts w:ascii="Arial" w:cs="Arial" w:eastAsia="Arial" w:hAnsi="Arial"/>
          <w:sz w:val="18"/>
          <w:szCs w:val="18"/>
          <w:i w:val="1"/>
          <w:iCs w:val="1"/>
          <w:color w:val="6E6E6E"/>
          <w:vertAlign w:val="superscript"/>
        </w:rPr>
      </w:pPr>
    </w:p>
    <w:p>
      <w:pPr>
        <w:ind w:left="260" w:hanging="257"/>
        <w:spacing w:after="0" w:line="195" w:lineRule="auto"/>
        <w:tabs>
          <w:tab w:leader="none" w:pos="260" w:val="left"/>
        </w:tabs>
        <w:numPr>
          <w:ilvl w:val="0"/>
          <w:numId w:val="66"/>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i w:val="1"/>
          <w:iCs w:val="1"/>
          <w:color w:val="6E6E6E"/>
        </w:rPr>
        <w:t>Phase 2 (SYCAMORE)</w:t>
      </w:r>
    </w:p>
    <w:p>
      <w:pPr>
        <w:spacing w:after="0" w:line="27"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1E1E1E"/>
        </w:rPr>
        <w:t xml:space="preserve">Initiated in March 2022, the </w:t>
      </w:r>
      <w:r>
        <w:rPr>
          <w:rFonts w:ascii="Arial" w:cs="Arial" w:eastAsia="Arial" w:hAnsi="Arial"/>
          <w:sz w:val="15"/>
          <w:szCs w:val="15"/>
          <w:i w:val="1"/>
          <w:iCs w:val="1"/>
          <w:color w:val="1E1E1E"/>
        </w:rPr>
        <w:t>SYCAMORE</w:t>
      </w:r>
      <w:r>
        <w:rPr>
          <w:rFonts w:ascii="Arial" w:cs="Arial" w:eastAsia="Arial" w:hAnsi="Arial"/>
          <w:sz w:val="15"/>
          <w:szCs w:val="15"/>
          <w:color w:val="1E1E1E"/>
        </w:rPr>
        <w:t xml:space="preserve"> study is a two-part Phase 2 trial in patients with symptomatic CCM. Part 1 was a 12-month, randomized, double-blind, placebo-controlled comparison of 200 mg or 400 mg REC-994 vs. placebo daily and as of December 31, 2024, was completed. Part 2 is an optional long-term extension (LTE) for eligible participants and is currently ongoing. Approximately 80% of participants who completed 12 months of treatment opted to continue into the long-term extension portion of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120650</wp:posOffset>
            </wp:positionV>
            <wp:extent cx="3929380" cy="2292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929380" cy="229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color w:val="6E6E6E"/>
        </w:rPr>
        <w:t xml:space="preserve">Figure 42. </w:t>
      </w:r>
      <w:r>
        <w:rPr>
          <w:rFonts w:ascii="Arial" w:cs="Arial" w:eastAsia="Arial" w:hAnsi="Arial"/>
          <w:sz w:val="14"/>
          <w:szCs w:val="14"/>
          <w:color w:val="6E6E6E"/>
        </w:rPr>
        <w:t>SYCAMORE Phase 2 study schema. Phase 2 trial design to assess the efficacy and safety of REC-994 in patients with symptomatic CCM. There was no patient enrichment</w:t>
      </w:r>
      <w:r>
        <w:rPr>
          <w:rFonts w:ascii="Arial" w:cs="Arial" w:eastAsia="Arial" w:hAnsi="Arial"/>
          <w:sz w:val="14"/>
          <w:szCs w:val="14"/>
          <w:b w:val="1"/>
          <w:bCs w:val="1"/>
          <w:color w:val="6E6E6E"/>
        </w:rPr>
        <w:t xml:space="preserve"> </w:t>
      </w:r>
      <w:r>
        <w:rPr>
          <w:rFonts w:ascii="Arial" w:cs="Arial" w:eastAsia="Arial" w:hAnsi="Arial"/>
          <w:sz w:val="14"/>
          <w:szCs w:val="14"/>
          <w:color w:val="6E6E6E"/>
        </w:rPr>
        <w:t>by symptom, nor stratification. 13 US sites were enrolled in 18 months. Secondary and exploratory endpoints were not statistically powered.</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Topline 12-month data from Part 1, shared in September 2024 and at the ISC annual meeting in February 2025, showed that REC-994 met its primary endpoints of safety and tolerability, in-line with Phase 1 results and with no new safety signals observed. Adverse events were similar between treatment and placebo groups. Common adverse events that occurred in ≥10% of patients included: dizziness, headache, back pain, constipation, COVID-19. There were no SAEs attributed to REC-994 or treatment-related adverse events leading to discontinuation. Data is highlighted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110490</wp:posOffset>
            </wp:positionV>
            <wp:extent cx="5599430" cy="20218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99430" cy="202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b w:val="1"/>
          <w:bCs w:val="1"/>
          <w:color w:val="6E6E6E"/>
        </w:rPr>
        <w:t xml:space="preserve">Figure 43: Summary of Treatment Emergent Adverse Events from 12-month data in Part 1 of Phase 2 Study. </w:t>
      </w:r>
      <w:r>
        <w:rPr>
          <w:rFonts w:ascii="Arial" w:cs="Arial" w:eastAsia="Arial" w:hAnsi="Arial"/>
          <w:sz w:val="14"/>
          <w:szCs w:val="14"/>
          <w:color w:val="6E6E6E"/>
        </w:rPr>
        <w:t>In the REC-994 400 mg arm these consisted of dizziness, rash,</w:t>
      </w:r>
      <w:r>
        <w:rPr>
          <w:rFonts w:ascii="Arial" w:cs="Arial" w:eastAsia="Arial" w:hAnsi="Arial"/>
          <w:sz w:val="14"/>
          <w:szCs w:val="14"/>
          <w:b w:val="1"/>
          <w:bCs w:val="1"/>
          <w:color w:val="6E6E6E"/>
        </w:rPr>
        <w:t xml:space="preserve"> </w:t>
      </w:r>
      <w:r>
        <w:rPr>
          <w:rFonts w:ascii="Arial" w:cs="Arial" w:eastAsia="Arial" w:hAnsi="Arial"/>
          <w:sz w:val="14"/>
          <w:szCs w:val="14"/>
          <w:color w:val="6E6E6E"/>
        </w:rPr>
        <w:t>anemia, nausea and peripheral edema. In the placebo arm these consisted of dizziness and erythema multiforme. Across both arms, TEAEs related to study drug were Grade 1 or 2. TEAE=treatment-emergent adverse event.</w:t>
      </w:r>
      <w:r>
        <w:rPr>
          <w:rFonts w:ascii="Arial" w:cs="Arial" w:eastAsia="Arial" w:hAnsi="Arial"/>
          <w:sz w:val="17"/>
          <w:szCs w:val="17"/>
          <w:color w:val="6E6E6E"/>
          <w:vertAlign w:val="superscript"/>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16370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34" w:lineRule="exact"/>
        <w:rPr>
          <w:sz w:val="20"/>
          <w:szCs w:val="20"/>
          <w:color w:val="auto"/>
        </w:rPr>
      </w:pPr>
    </w:p>
    <w:p>
      <w:pPr>
        <w:ind w:left="260" w:hanging="257"/>
        <w:spacing w:after="0"/>
        <w:tabs>
          <w:tab w:leader="none" w:pos="260" w:val="left"/>
        </w:tabs>
        <w:numPr>
          <w:ilvl w:val="0"/>
          <w:numId w:val="67"/>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SYCAMORE data on file.</w:t>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1E1E1E"/>
        </w:rPr>
        <w:t>Secondary and exploratory endpoints were centered around MRI assessments. These evaluations were performed by a single, blinded, central neuroradiologist according to a study specified protocol. Up to 10 of the most relevant CCM lesions were captured and evaluated longitudinally. Key aspects measured were lesions size, location, and acuteness of hemorrhage, if present.</w:t>
      </w:r>
    </w:p>
    <w:p>
      <w:pPr>
        <w:spacing w:after="0" w:line="153"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1E1E1E"/>
        </w:rPr>
        <w:t>An exploratory efficacy endpoint assessed lesion volume size and the changes from baseline to month 12. Patients receiving REC-994 400 mg showed an absolute mean decrease in total lesion volume of −457 mm</w:t>
      </w:r>
      <w:r>
        <w:rPr>
          <w:rFonts w:ascii="Arial" w:cs="Arial" w:eastAsia="Arial" w:hAnsi="Arial"/>
          <w:sz w:val="20"/>
          <w:szCs w:val="20"/>
          <w:color w:val="1E1E1E"/>
          <w:vertAlign w:val="superscript"/>
        </w:rPr>
        <w:t>3</w:t>
      </w:r>
      <w:r>
        <w:rPr>
          <w:rFonts w:ascii="Arial" w:cs="Arial" w:eastAsia="Arial" w:hAnsi="Arial"/>
          <w:sz w:val="15"/>
          <w:szCs w:val="15"/>
          <w:color w:val="1E1E1E"/>
        </w:rPr>
        <w:t xml:space="preserve"> vs. 61 mm</w:t>
      </w:r>
      <w:r>
        <w:rPr>
          <w:rFonts w:ascii="Arial" w:cs="Arial" w:eastAsia="Arial" w:hAnsi="Arial"/>
          <w:sz w:val="20"/>
          <w:szCs w:val="20"/>
          <w:color w:val="1E1E1E"/>
          <w:vertAlign w:val="superscript"/>
        </w:rPr>
        <w:t>3</w:t>
      </w:r>
      <w:r>
        <w:rPr>
          <w:rFonts w:ascii="Arial" w:cs="Arial" w:eastAsia="Arial" w:hAnsi="Arial"/>
          <w:sz w:val="15"/>
          <w:szCs w:val="15"/>
          <w:color w:val="1E1E1E"/>
        </w:rPr>
        <w:t xml:space="preserve"> increase and 53 mm</w:t>
      </w:r>
      <w:r>
        <w:rPr>
          <w:rFonts w:ascii="Arial" w:cs="Arial" w:eastAsia="Arial" w:hAnsi="Arial"/>
          <w:sz w:val="20"/>
          <w:szCs w:val="20"/>
          <w:color w:val="1E1E1E"/>
          <w:vertAlign w:val="superscript"/>
        </w:rPr>
        <w:t>3</w:t>
      </w:r>
      <w:r>
        <w:rPr>
          <w:rFonts w:ascii="Arial" w:cs="Arial" w:eastAsia="Arial" w:hAnsi="Arial"/>
          <w:sz w:val="15"/>
          <w:szCs w:val="15"/>
          <w:color w:val="1E1E1E"/>
        </w:rPr>
        <w:t xml:space="preserve"> increase in the 200 mg and placebo arms, respectively. Notably, 50% of patients on 400 mg achieved a reduction in total lesion volume versus 28% observed in placebo. Patients treated with 200 mg REC-994 had similar changes in lesion volume compared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130810</wp:posOffset>
            </wp:positionV>
            <wp:extent cx="5599430" cy="18503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99430" cy="185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97" w:lineRule="auto"/>
        <w:rPr>
          <w:sz w:val="20"/>
          <w:szCs w:val="20"/>
          <w:color w:val="auto"/>
        </w:rPr>
      </w:pPr>
      <w:r>
        <w:rPr>
          <w:rFonts w:ascii="Arial" w:cs="Arial" w:eastAsia="Arial" w:hAnsi="Arial"/>
          <w:sz w:val="14"/>
          <w:szCs w:val="14"/>
          <w:b w:val="1"/>
          <w:bCs w:val="1"/>
          <w:color w:val="6E6E6E"/>
        </w:rPr>
        <w:t xml:space="preserve">Figure 44. </w:t>
      </w:r>
      <w:r>
        <w:rPr>
          <w:rFonts w:ascii="Arial" w:cs="Arial" w:eastAsia="Arial" w:hAnsi="Arial"/>
          <w:sz w:val="14"/>
          <w:szCs w:val="14"/>
          <w:color w:val="6E6E6E"/>
        </w:rPr>
        <w:t>Change in total lesion volume from baseline to 12 months across all patients. Analysis of change from baseline between treatment and placebo in lesion volume (LV) at</w:t>
      </w:r>
      <w:r>
        <w:rPr>
          <w:rFonts w:ascii="Arial" w:cs="Arial" w:eastAsia="Arial" w:hAnsi="Arial"/>
          <w:sz w:val="14"/>
          <w:szCs w:val="14"/>
          <w:b w:val="1"/>
          <w:bCs w:val="1"/>
          <w:color w:val="6E6E6E"/>
        </w:rPr>
        <w:t xml:space="preserve"> </w:t>
      </w:r>
      <w:r>
        <w:rPr>
          <w:rFonts w:ascii="Arial" w:cs="Arial" w:eastAsia="Arial" w:hAnsi="Arial"/>
          <w:sz w:val="14"/>
          <w:szCs w:val="14"/>
          <w:color w:val="6E6E6E"/>
        </w:rPr>
        <w:t>month 12 for REC-994 200 mg (p=0.912) and REC-994 400 mg (p-0.089) assessed by mixed model for repeated measures (MMRM) analysis.</w:t>
      </w:r>
      <w:r>
        <w:rPr>
          <w:rFonts w:ascii="Arial" w:cs="Arial" w:eastAsia="Arial" w:hAnsi="Arial"/>
          <w:sz w:val="17"/>
          <w:szCs w:val="17"/>
          <w:color w:val="6E6E6E"/>
          <w:vertAlign w:val="superscript"/>
        </w:rPr>
        <w:t>28</w:t>
      </w:r>
    </w:p>
    <w:p>
      <w:pPr>
        <w:spacing w:after="0" w:line="46"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1E1E1E"/>
        </w:rPr>
        <w:t>Further exploratory analyses suggested functional improvement in patients who received REC-994 400 mg as evaluated by the Modified Rankin Scale (mRS) score from baseline to month 12. The mRS is widely recognized and approved by the FDA as a clinically meaningful endpoint for assessing functional outcomes in acute stroke trials. A single point change on the mRS is clinically relevant, with the agency previously utilizing the scale as an endpoint in Phase 3 studies. At baseline, patients who received 400 mg REC-994 had a greater proportion of mRS scores ≥ 3, including an mRS score of 4-5, indicating that at the start of study these patients had worse clinical function compared to the placebo arm. Following 12 months of treatment, patients who received 400 mg REC-994 demonstrated trends toward improvement and/or stabilization of symptoms compared with the placebo arm, which observed trends towards functional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111760</wp:posOffset>
            </wp:positionV>
            <wp:extent cx="5599430" cy="1579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99430" cy="157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b w:val="1"/>
          <w:bCs w:val="1"/>
          <w:color w:val="6E6E6E"/>
        </w:rPr>
        <w:t xml:space="preserve">Figure 45. </w:t>
      </w:r>
      <w:r>
        <w:rPr>
          <w:rFonts w:ascii="Arial" w:cs="Arial" w:eastAsia="Arial" w:hAnsi="Arial"/>
          <w:sz w:val="14"/>
          <w:szCs w:val="14"/>
          <w:color w:val="6E6E6E"/>
        </w:rPr>
        <w:t>Summary of modified Rankin Scale Score at 12 Months for all lesions. All patients at baseline were required to have mRS &gt;1. These observations are exploratory in nature</w:t>
      </w:r>
      <w:r>
        <w:rPr>
          <w:rFonts w:ascii="Arial" w:cs="Arial" w:eastAsia="Arial" w:hAnsi="Arial"/>
          <w:sz w:val="14"/>
          <w:szCs w:val="14"/>
          <w:b w:val="1"/>
          <w:bCs w:val="1"/>
          <w:color w:val="6E6E6E"/>
        </w:rPr>
        <w:t xml:space="preserve"> </w:t>
      </w:r>
      <w:r>
        <w:rPr>
          <w:rFonts w:ascii="Arial" w:cs="Arial" w:eastAsia="Arial" w:hAnsi="Arial"/>
          <w:sz w:val="14"/>
          <w:szCs w:val="14"/>
          <w:color w:val="6E6E6E"/>
        </w:rPr>
        <w:t>and while not powered for statistical significance, we observed patterns that merit further investigation, and also observed a few patients transitioning down to mRS scores of 0. A single point change on the mRS is clinically relevant.</w:t>
      </w:r>
      <w:r>
        <w:rPr>
          <w:rFonts w:ascii="Arial" w:cs="Arial" w:eastAsia="Arial" w:hAnsi="Arial"/>
          <w:sz w:val="17"/>
          <w:szCs w:val="17"/>
          <w:color w:val="6E6E6E"/>
          <w:vertAlign w:val="superscript"/>
        </w:rPr>
        <w:t>29,30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16370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0" w:lineRule="exact"/>
        <w:rPr>
          <w:sz w:val="20"/>
          <w:szCs w:val="20"/>
          <w:color w:val="auto"/>
        </w:rPr>
      </w:pPr>
    </w:p>
    <w:p>
      <w:pPr>
        <w:ind w:left="240" w:right="120" w:hanging="237"/>
        <w:spacing w:after="0" w:line="218" w:lineRule="auto"/>
        <w:tabs>
          <w:tab w:leader="none" w:pos="260" w:val="left"/>
        </w:tabs>
        <w:numPr>
          <w:ilvl w:val="0"/>
          <w:numId w:val="68"/>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Burkhardt, et al. (2025). The SYCAMORE Study Results: First Randomized, Placebo-Controlled Phase 2 Trial in Symptomatic Cerebral Cavernous Malformation (CCM) Evaluating REC-994 [late-breaking abstract]. International Stroke Conference (ISC); LB6</w:t>
      </w:r>
    </w:p>
    <w:p>
      <w:pPr>
        <w:spacing w:after="0" w:line="39" w:lineRule="exact"/>
        <w:rPr>
          <w:rFonts w:ascii="Arial" w:cs="Arial" w:eastAsia="Arial" w:hAnsi="Arial"/>
          <w:sz w:val="18"/>
          <w:szCs w:val="18"/>
          <w:i w:val="1"/>
          <w:iCs w:val="1"/>
          <w:color w:val="6E6E6E"/>
          <w:vertAlign w:val="superscript"/>
        </w:rPr>
      </w:pPr>
    </w:p>
    <w:p>
      <w:pPr>
        <w:ind w:left="240" w:right="120" w:hanging="237"/>
        <w:spacing w:after="0" w:line="278" w:lineRule="auto"/>
        <w:tabs>
          <w:tab w:leader="none" w:pos="260" w:val="left"/>
        </w:tabs>
        <w:numPr>
          <w:ilvl w:val="0"/>
          <w:numId w:val="68"/>
        </w:numPr>
        <w:rPr>
          <w:rFonts w:ascii="Arial" w:cs="Arial" w:eastAsia="Arial" w:hAnsi="Arial"/>
          <w:sz w:val="9"/>
          <w:szCs w:val="9"/>
          <w:i w:val="1"/>
          <w:iCs w:val="1"/>
          <w:color w:val="6E6E6E"/>
        </w:rPr>
      </w:pPr>
      <w:r>
        <w:rPr>
          <w:rFonts w:ascii="Arial" w:cs="Arial" w:eastAsia="Arial" w:hAnsi="Arial"/>
          <w:sz w:val="14"/>
          <w:szCs w:val="14"/>
          <w:i w:val="1"/>
          <w:iCs w:val="1"/>
          <w:color w:val="6E6E6E"/>
        </w:rPr>
        <w:t>Burkhardt, et al. (2025). The SYCAMORE Study Results: First Randomized, Placebo-Controlled Phase 2 Trial in Symptomatic Cerebral Cavernous Malformation (CCM) Evaluating REC-994 [late-breaking abstract]. International Stroke Conference (ISC); LB6</w:t>
      </w:r>
    </w:p>
    <w:p>
      <w:pPr>
        <w:ind w:left="260" w:hanging="257"/>
        <w:spacing w:after="0"/>
        <w:tabs>
          <w:tab w:leader="none" w:pos="260" w:val="left"/>
        </w:tabs>
        <w:numPr>
          <w:ilvl w:val="0"/>
          <w:numId w:val="68"/>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Broderick, et al. (2017). Evolution of the Modified Rankin Scale and Its Use in Future Stroke Trials. Stroke. 48(7):2007-2012.</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60"/>
        <w:spacing w:after="0" w:line="233" w:lineRule="auto"/>
        <w:rPr>
          <w:sz w:val="20"/>
          <w:szCs w:val="20"/>
          <w:color w:val="auto"/>
        </w:rPr>
      </w:pPr>
      <w:r>
        <w:rPr>
          <w:rFonts w:ascii="Arial" w:cs="Arial" w:eastAsia="Arial" w:hAnsi="Arial"/>
          <w:sz w:val="15"/>
          <w:szCs w:val="15"/>
          <w:color w:val="1E1E1E"/>
        </w:rPr>
        <w:t>Given the high unmet need in patients with brainstem lesions, where lesion volume can influence symptomatology, we evaluated lesion volume changes and mRS scores in this specific patient cohort. Patients on 400mg REC-994 had a −256mm</w:t>
      </w:r>
      <w:r>
        <w:rPr>
          <w:rFonts w:ascii="Arial" w:cs="Arial" w:eastAsia="Arial" w:hAnsi="Arial"/>
          <w:sz w:val="20"/>
          <w:szCs w:val="20"/>
          <w:color w:val="1E1E1E"/>
          <w:vertAlign w:val="superscript"/>
        </w:rPr>
        <w:t>3</w:t>
      </w:r>
      <w:r>
        <w:rPr>
          <w:rFonts w:ascii="Arial" w:cs="Arial" w:eastAsia="Arial" w:hAnsi="Arial"/>
          <w:sz w:val="15"/>
          <w:szCs w:val="15"/>
          <w:color w:val="1E1E1E"/>
        </w:rPr>
        <w:t xml:space="preserve"> reduction in absolute mean change in lesion volume. In contrast, placebo patients had a 23mm</w:t>
      </w:r>
      <w:r>
        <w:rPr>
          <w:rFonts w:ascii="Arial" w:cs="Arial" w:eastAsia="Arial" w:hAnsi="Arial"/>
          <w:sz w:val="20"/>
          <w:szCs w:val="20"/>
          <w:color w:val="1E1E1E"/>
          <w:vertAlign w:val="superscript"/>
        </w:rPr>
        <w:t>3</w:t>
      </w:r>
      <w:r>
        <w:rPr>
          <w:rFonts w:ascii="Arial" w:cs="Arial" w:eastAsia="Arial" w:hAnsi="Arial"/>
          <w:sz w:val="15"/>
          <w:szCs w:val="15"/>
          <w:color w:val="1E1E1E"/>
        </w:rPr>
        <w:t xml:space="preserve"> decrease in absolute mean change from baseline to month 12. Notably, 50% of patients on 400 mg also showed a reduction in total lesion volume versus 27% in the placebo arm. When evaluating the mRS score for this subgroup, a similar trend in improvement or stabilization in the REC-994 400mg arm was observed while patients in the placebo arm appeared to trend worse.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125730</wp:posOffset>
            </wp:positionV>
            <wp:extent cx="5599430" cy="19157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99430" cy="191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b w:val="1"/>
          <w:bCs w:val="1"/>
          <w:color w:val="6E6E6E"/>
        </w:rPr>
        <w:t xml:space="preserve">Figure 46. </w:t>
      </w:r>
      <w:r>
        <w:rPr>
          <w:rFonts w:ascii="Arial" w:cs="Arial" w:eastAsia="Arial" w:hAnsi="Arial"/>
          <w:sz w:val="14"/>
          <w:szCs w:val="14"/>
          <w:color w:val="6E6E6E"/>
        </w:rPr>
        <w:t>Summary of Total Lesion Volume at 12 months for Brainstem Only. Analysis of change from baseline between treatment and placebo for lesion volume (LV) at month 12 for</w:t>
      </w:r>
      <w:r>
        <w:rPr>
          <w:rFonts w:ascii="Arial" w:cs="Arial" w:eastAsia="Arial" w:hAnsi="Arial"/>
          <w:sz w:val="14"/>
          <w:szCs w:val="14"/>
          <w:b w:val="1"/>
          <w:bCs w:val="1"/>
          <w:color w:val="6E6E6E"/>
        </w:rPr>
        <w:t xml:space="preserve"> </w:t>
      </w:r>
      <w:r>
        <w:rPr>
          <w:rFonts w:ascii="Arial" w:cs="Arial" w:eastAsia="Arial" w:hAnsi="Arial"/>
          <w:sz w:val="14"/>
          <w:szCs w:val="14"/>
          <w:color w:val="6E6E6E"/>
        </w:rPr>
        <w:t>REC-994 200 mg (p=0.987) and REC-994 400 mg (p-0.449) assessed by mixed model for repeated measures (MMRM) analysis.</w:t>
      </w:r>
      <w:r>
        <w:rPr>
          <w:rFonts w:ascii="Arial" w:cs="Arial" w:eastAsia="Arial" w:hAnsi="Arial"/>
          <w:sz w:val="8"/>
          <w:szCs w:val="8"/>
          <w:color w:val="6E6E6E"/>
        </w:rPr>
        <w:t>31</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1E1E1E"/>
        </w:rPr>
        <w:t>Additional secondary and exploratory analyses are summarized below:</w:t>
      </w:r>
    </w:p>
    <w:p>
      <w:pPr>
        <w:spacing w:after="0" w:line="124" w:lineRule="exact"/>
        <w:rPr>
          <w:sz w:val="20"/>
          <w:szCs w:val="20"/>
          <w:color w:val="auto"/>
        </w:rPr>
      </w:pPr>
    </w:p>
    <w:p>
      <w:pPr>
        <w:ind w:left="620" w:hanging="307"/>
        <w:spacing w:after="0"/>
        <w:tabs>
          <w:tab w:leader="none" w:pos="620" w:val="left"/>
        </w:tabs>
        <w:numPr>
          <w:ilvl w:val="0"/>
          <w:numId w:val="69"/>
        </w:numPr>
        <w:rPr>
          <w:rFonts w:ascii="Arial" w:cs="Arial" w:eastAsia="Arial" w:hAnsi="Arial"/>
          <w:sz w:val="15"/>
          <w:szCs w:val="15"/>
          <w:color w:val="1E1E1E"/>
        </w:rPr>
      </w:pPr>
      <w:r>
        <w:rPr>
          <w:rFonts w:ascii="Arial" w:cs="Arial" w:eastAsia="Arial" w:hAnsi="Arial"/>
          <w:sz w:val="15"/>
          <w:szCs w:val="15"/>
          <w:color w:val="1E1E1E"/>
        </w:rPr>
        <w:t>Time-dependent reductions in hemosiderin ring size observed in the 400 mg arm as compared to 200 mg and placebo</w:t>
      </w:r>
    </w:p>
    <w:p>
      <w:pPr>
        <w:spacing w:after="0" w:line="59" w:lineRule="exact"/>
        <w:rPr>
          <w:rFonts w:ascii="Arial" w:cs="Arial" w:eastAsia="Arial" w:hAnsi="Arial"/>
          <w:sz w:val="15"/>
          <w:szCs w:val="15"/>
          <w:color w:val="1E1E1E"/>
        </w:rPr>
      </w:pPr>
    </w:p>
    <w:p>
      <w:pPr>
        <w:ind w:left="620" w:right="160" w:hanging="307"/>
        <w:spacing w:after="0" w:line="294" w:lineRule="auto"/>
        <w:tabs>
          <w:tab w:leader="none" w:pos="609" w:val="left"/>
        </w:tabs>
        <w:numPr>
          <w:ilvl w:val="0"/>
          <w:numId w:val="69"/>
        </w:numPr>
        <w:rPr>
          <w:rFonts w:ascii="Arial" w:cs="Arial" w:eastAsia="Arial" w:hAnsi="Arial"/>
          <w:sz w:val="15"/>
          <w:szCs w:val="15"/>
          <w:color w:val="1E1E1E"/>
        </w:rPr>
      </w:pPr>
      <w:r>
        <w:rPr>
          <w:rFonts w:ascii="Arial" w:cs="Arial" w:eastAsia="Arial" w:hAnsi="Arial"/>
          <w:sz w:val="15"/>
          <w:szCs w:val="15"/>
          <w:color w:val="1E1E1E"/>
        </w:rPr>
        <w:t>Seizure frequency appeared to be reduced in the 400 mg arm as compared to 200 mg and placebo arms; however, there was imbalance with respect to seizure history and frequency across the arms</w:t>
      </w:r>
    </w:p>
    <w:p>
      <w:pPr>
        <w:spacing w:after="0" w:line="2" w:lineRule="exact"/>
        <w:rPr>
          <w:rFonts w:ascii="Arial" w:cs="Arial" w:eastAsia="Arial" w:hAnsi="Arial"/>
          <w:sz w:val="15"/>
          <w:szCs w:val="15"/>
          <w:color w:val="1E1E1E"/>
        </w:rPr>
      </w:pPr>
    </w:p>
    <w:p>
      <w:pPr>
        <w:ind w:left="620" w:hanging="307"/>
        <w:spacing w:after="0"/>
        <w:tabs>
          <w:tab w:leader="none" w:pos="620" w:val="left"/>
        </w:tabs>
        <w:numPr>
          <w:ilvl w:val="0"/>
          <w:numId w:val="69"/>
        </w:numPr>
        <w:rPr>
          <w:rFonts w:ascii="Arial" w:cs="Arial" w:eastAsia="Arial" w:hAnsi="Arial"/>
          <w:sz w:val="15"/>
          <w:szCs w:val="15"/>
          <w:color w:val="1E1E1E"/>
        </w:rPr>
      </w:pPr>
      <w:r>
        <w:rPr>
          <w:rFonts w:ascii="Arial" w:cs="Arial" w:eastAsia="Arial" w:hAnsi="Arial"/>
          <w:sz w:val="15"/>
          <w:szCs w:val="15"/>
          <w:color w:val="1E1E1E"/>
        </w:rPr>
        <w:t>Incidence of new symptomatic hemorrhage events were comparable across arms and in line with natural history studies</w:t>
      </w:r>
    </w:p>
    <w:p>
      <w:pPr>
        <w:spacing w:after="0" w:line="59" w:lineRule="exact"/>
        <w:rPr>
          <w:rFonts w:ascii="Arial" w:cs="Arial" w:eastAsia="Arial" w:hAnsi="Arial"/>
          <w:sz w:val="15"/>
          <w:szCs w:val="15"/>
          <w:color w:val="1E1E1E"/>
        </w:rPr>
      </w:pPr>
    </w:p>
    <w:p>
      <w:pPr>
        <w:ind w:left="620" w:right="180" w:hanging="307"/>
        <w:spacing w:after="0" w:line="312" w:lineRule="auto"/>
        <w:tabs>
          <w:tab w:leader="none" w:pos="609" w:val="left"/>
        </w:tabs>
        <w:numPr>
          <w:ilvl w:val="0"/>
          <w:numId w:val="69"/>
        </w:numPr>
        <w:rPr>
          <w:rFonts w:ascii="Arial" w:cs="Arial" w:eastAsia="Arial" w:hAnsi="Arial"/>
          <w:sz w:val="15"/>
          <w:szCs w:val="15"/>
          <w:color w:val="1E1E1E"/>
        </w:rPr>
      </w:pPr>
      <w:r>
        <w:rPr>
          <w:rFonts w:ascii="Arial" w:cs="Arial" w:eastAsia="Arial" w:hAnsi="Arial"/>
          <w:sz w:val="15"/>
          <w:szCs w:val="15"/>
          <w:color w:val="1E1E1E"/>
        </w:rPr>
        <w:t>Other PROs including PROMIS29, CCM-HI, NIHSS, SMSS, CGI, and PGI did not demonstrate differences between the treatment arms of the study nor placebo</w:t>
      </w:r>
    </w:p>
    <w:p>
      <w:pPr>
        <w:spacing w:after="0" w:line="132" w:lineRule="exact"/>
        <w:rPr>
          <w:sz w:val="20"/>
          <w:szCs w:val="20"/>
          <w:color w:val="auto"/>
        </w:rPr>
      </w:pPr>
    </w:p>
    <w:p>
      <w:pPr>
        <w:spacing w:after="0" w:line="282" w:lineRule="auto"/>
        <w:rPr>
          <w:sz w:val="20"/>
          <w:szCs w:val="20"/>
          <w:color w:val="auto"/>
        </w:rPr>
      </w:pPr>
      <w:r>
        <w:rPr>
          <w:rFonts w:ascii="Arial" w:cs="Arial" w:eastAsia="Arial" w:hAnsi="Arial"/>
          <w:sz w:val="15"/>
          <w:szCs w:val="15"/>
          <w:color w:val="1E1E1E"/>
        </w:rPr>
        <w:t>All efficacy analyses were exploratory in nature and not powered for statistical significance. While we observed patterns that merit further investigation, these data require prospective validation. Approximately 80% of participants completing 12 months of therapy opted to continue in a long-term extension (LTE), which remains ongoing. Given the absence of approved therapies for CCM, we plan to discuss next steps with regulatory authorities and anticipate providing an update in 2025.</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1AA7DF"/>
        </w:rPr>
        <w:t>Competitors</w:t>
      </w:r>
    </w:p>
    <w:p>
      <w:pPr>
        <w:spacing w:after="0" w:line="67" w:lineRule="exact"/>
        <w:rPr>
          <w:sz w:val="20"/>
          <w:szCs w:val="20"/>
          <w:color w:val="auto"/>
        </w:rPr>
      </w:pPr>
    </w:p>
    <w:p>
      <w:pPr>
        <w:ind w:right="380"/>
        <w:spacing w:after="0" w:line="312" w:lineRule="auto"/>
        <w:rPr>
          <w:sz w:val="20"/>
          <w:szCs w:val="20"/>
          <w:color w:val="auto"/>
        </w:rPr>
      </w:pPr>
      <w:r>
        <w:rPr>
          <w:rFonts w:ascii="Arial" w:cs="Arial" w:eastAsia="Arial" w:hAnsi="Arial"/>
          <w:sz w:val="15"/>
          <w:szCs w:val="15"/>
          <w:color w:val="1E1E1E"/>
        </w:rPr>
        <w:t>To our knowledge, the REC-994 program is the first industry sponsored therapeutic program in clinical trials for CCM. If approved, REC-994 would be the first pharmacologic disease-modifying treatment for CCM, one of the largest areas of unmet need in the rare disease space.</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1E1E1E"/>
        </w:rPr>
        <w:t>We are aware of two other programs currently active in clinical development for CCM:</w:t>
      </w:r>
    </w:p>
    <w:p>
      <w:pPr>
        <w:spacing w:after="0" w:line="214" w:lineRule="exact"/>
        <w:rPr>
          <w:sz w:val="20"/>
          <w:szCs w:val="20"/>
          <w:color w:val="auto"/>
        </w:rPr>
      </w:pPr>
    </w:p>
    <w:p>
      <w:pPr>
        <w:ind w:left="620" w:hanging="307"/>
        <w:spacing w:after="0"/>
        <w:tabs>
          <w:tab w:leader="none" w:pos="620" w:val="left"/>
        </w:tabs>
        <w:numPr>
          <w:ilvl w:val="0"/>
          <w:numId w:val="7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NRL-1049 (Neurelis): </w:t>
      </w:r>
      <w:r>
        <w:rPr>
          <w:rFonts w:ascii="Arial" w:cs="Arial" w:eastAsia="Arial" w:hAnsi="Arial"/>
          <w:sz w:val="15"/>
          <w:szCs w:val="15"/>
          <w:color w:val="1E1E1E"/>
        </w:rPr>
        <w:t>In Phase 1 SAD study</w:t>
      </w:r>
    </w:p>
    <w:p>
      <w:pPr>
        <w:spacing w:after="0" w:line="72"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RLY-2608 (Relay Therapeutics): </w:t>
      </w:r>
      <w:r>
        <w:rPr>
          <w:rFonts w:ascii="Arial" w:cs="Arial" w:eastAsia="Arial" w:hAnsi="Arial"/>
          <w:sz w:val="15"/>
          <w:szCs w:val="15"/>
          <w:color w:val="1E1E1E"/>
        </w:rPr>
        <w:t>Expected to initiate FIH study Q1 2025</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REC-2282 for Neurofibromatosis Type 2 - Phase 2/3</w:t>
      </w:r>
    </w:p>
    <w:p>
      <w:pPr>
        <w:spacing w:after="0" w:line="74"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1E1E1E"/>
        </w:rPr>
        <w:t xml:space="preserve">REC-2282 is a small molecule potential best-in-class HDAC inhibitor currently under development for the treatment of </w:t>
      </w:r>
      <w:r>
        <w:rPr>
          <w:rFonts w:ascii="Arial" w:cs="Arial" w:eastAsia="Arial" w:hAnsi="Arial"/>
          <w:sz w:val="15"/>
          <w:szCs w:val="15"/>
          <w:i w:val="1"/>
          <w:iCs w:val="1"/>
          <w:color w:val="1E1E1E"/>
        </w:rPr>
        <w:t>NF2</w:t>
      </w:r>
      <w:r>
        <w:rPr>
          <w:rFonts w:ascii="Arial" w:cs="Arial" w:eastAsia="Arial" w:hAnsi="Arial"/>
          <w:sz w:val="15"/>
          <w:szCs w:val="15"/>
          <w:color w:val="1E1E1E"/>
        </w:rPr>
        <w:t>-mutant meningiomas. In prior clinical trials, the molecule was well tolerated, including in patients who were dosed for multiple years. In contrast to approved HDAC inhibitors, REC-2282 is CNS-penetrant and orally bioavailable. An adaptive, Phase 2/3, randomized, multicenter study is ongoing with Phase 2 data continuing to mature. As of December 31, 2024, enrollment in Phase 2 is complete. Orphan Drug Designation in the US and EU as well as Fast Track Designation in the US were granted to REC-2282 for NF2. Results from the futility analysis (PFS6 rate) of the Phase 2 portion of the study expected in the first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16370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0" w:lineRule="exact"/>
        <w:rPr>
          <w:sz w:val="20"/>
          <w:szCs w:val="20"/>
          <w:color w:val="auto"/>
        </w:rPr>
      </w:pPr>
    </w:p>
    <w:p>
      <w:pPr>
        <w:ind w:left="260" w:hanging="257"/>
        <w:spacing w:after="0"/>
        <w:tabs>
          <w:tab w:leader="none" w:pos="260" w:val="left"/>
        </w:tabs>
        <w:numPr>
          <w:ilvl w:val="0"/>
          <w:numId w:val="71"/>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SYCAMORE data on file.</w:t>
      </w: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1AA7DF"/>
        </w:rPr>
        <w:t>Disease Overview</w:t>
      </w:r>
    </w:p>
    <w:p>
      <w:pPr>
        <w:spacing w:after="0" w:line="67" w:lineRule="exact"/>
        <w:rPr>
          <w:sz w:val="20"/>
          <w:szCs w:val="20"/>
          <w:color w:val="auto"/>
        </w:rPr>
      </w:pPr>
    </w:p>
    <w:p>
      <w:pPr>
        <w:spacing w:after="0" w:line="265" w:lineRule="auto"/>
        <w:rPr>
          <w:sz w:val="20"/>
          <w:szCs w:val="20"/>
          <w:color w:val="auto"/>
        </w:rPr>
      </w:pPr>
      <w:r>
        <w:rPr>
          <w:rFonts w:ascii="Arial" w:cs="Arial" w:eastAsia="Arial" w:hAnsi="Arial"/>
          <w:sz w:val="15"/>
          <w:szCs w:val="15"/>
          <w:color w:val="1E1E1E"/>
        </w:rPr>
        <w:t xml:space="preserve">Neurofibromatosis type 2 (NF2) is a rare, inherited tumor syndrome characterized by multiple nervous system tumors, primarily bilateral vestibular schwannomas and meningiomas. This autosomal dominant condition typically manifests in late teens or early 20s, with initial symptoms including unilateral hearing loss and focal neurological deficits. As the disease progresses, patients may experience bilateral hearing loss, facial paralysis, balance issues, and visual problems. Approximately 50% of NF2 patients develop meningiomas, often multiple, with a lifetime risk reaching 75%. Treatment is challenging due to tumor locations that often preclude complete resection, leading to significant morbidity and early mortality. With an estimated 33,000 </w:t>
      </w:r>
      <w:r>
        <w:rPr>
          <w:rFonts w:ascii="Arial" w:cs="Arial" w:eastAsia="Arial" w:hAnsi="Arial"/>
          <w:sz w:val="15"/>
          <w:szCs w:val="15"/>
          <w:i w:val="1"/>
          <w:iCs w:val="1"/>
          <w:color w:val="1E1E1E"/>
        </w:rPr>
        <w:t>NF2</w:t>
      </w:r>
      <w:r>
        <w:rPr>
          <w:rFonts w:ascii="Arial" w:cs="Arial" w:eastAsia="Arial" w:hAnsi="Arial"/>
          <w:sz w:val="15"/>
          <w:szCs w:val="15"/>
          <w:color w:val="1E1E1E"/>
        </w:rPr>
        <w:t xml:space="preserve">-driven meningioma patients annually in the US and EU5, there is an urgent need for new treatment approaches to reduce tumor burden and improve patient outcomes. There is currently no cure or approved treatment for </w:t>
      </w:r>
      <w:r>
        <w:rPr>
          <w:rFonts w:ascii="Arial" w:cs="Arial" w:eastAsia="Arial" w:hAnsi="Arial"/>
          <w:sz w:val="15"/>
          <w:szCs w:val="15"/>
          <w:i w:val="1"/>
          <w:iCs w:val="1"/>
          <w:color w:val="1E1E1E"/>
        </w:rPr>
        <w:t>NF2</w:t>
      </w:r>
      <w:r>
        <w:rPr>
          <w:rFonts w:ascii="Arial" w:cs="Arial" w:eastAsia="Arial" w:hAnsi="Arial"/>
          <w:sz w:val="15"/>
          <w:szCs w:val="15"/>
          <w:color w:val="1E1E1E"/>
        </w:rPr>
        <w:t>-driven meningioma.</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1AA7DF"/>
        </w:rPr>
        <w:t>Insight from Recursion OS</w:t>
      </w:r>
    </w:p>
    <w:p>
      <w:pPr>
        <w:spacing w:after="0" w:line="67"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1E1E1E"/>
        </w:rPr>
        <w:t xml:space="preserve">We selected REC-2282 as a candidate for our NF2 program using our brute-force phenotypic screening approach in </w:t>
      </w:r>
      <w:r>
        <w:rPr>
          <w:rFonts w:ascii="Arial" w:cs="Arial" w:eastAsia="Arial" w:hAnsi="Arial"/>
          <w:sz w:val="15"/>
          <w:szCs w:val="15"/>
          <w:i w:val="1"/>
          <w:iCs w:val="1"/>
          <w:color w:val="1E1E1E"/>
        </w:rPr>
        <w:t>NF2</w:t>
      </w:r>
      <w:r>
        <w:rPr>
          <w:rFonts w:ascii="Arial" w:cs="Arial" w:eastAsia="Arial" w:hAnsi="Arial"/>
          <w:sz w:val="15"/>
          <w:szCs w:val="15"/>
          <w:color w:val="1E1E1E"/>
        </w:rPr>
        <w:t xml:space="preserve">-deficent HUVEC cells. REC-2282 was uniquely identified as reversing the cellular and structural defects back to a wildtype like morphological state. The compound demonstrated concentration dependent rescue, showing no significant activity on other tumor suppressors or oncogene knockdown models. These data validated REC-2282’s selective activity, supporting advancement into preclinical studies for </w:t>
      </w:r>
      <w:r>
        <w:rPr>
          <w:rFonts w:ascii="Arial" w:cs="Arial" w:eastAsia="Arial" w:hAnsi="Arial"/>
          <w:sz w:val="15"/>
          <w:szCs w:val="15"/>
          <w:i w:val="1"/>
          <w:iCs w:val="1"/>
          <w:color w:val="1E1E1E"/>
        </w:rPr>
        <w:t>NF2</w:t>
      </w:r>
      <w:r>
        <w:rPr>
          <w:rFonts w:ascii="Arial" w:cs="Arial" w:eastAsia="Arial" w:hAnsi="Arial"/>
          <w:sz w:val="15"/>
          <w:szCs w:val="15"/>
          <w:color w:val="1E1E1E"/>
        </w:rPr>
        <w:t xml:space="preserve"> mutant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110490</wp:posOffset>
            </wp:positionV>
            <wp:extent cx="3929380" cy="29959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29380" cy="299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color w:val="6E6E6E"/>
        </w:rPr>
        <w:t xml:space="preserve">Figure 47. </w:t>
      </w:r>
      <w:r>
        <w:rPr>
          <w:rFonts w:ascii="Arial" w:cs="Arial" w:eastAsia="Arial" w:hAnsi="Arial"/>
          <w:sz w:val="14"/>
          <w:szCs w:val="14"/>
          <w:color w:val="6E6E6E"/>
        </w:rPr>
        <w:t>Discovery of REC-2282 in Recursion OS. REC-2282 rescued the high-dimensional disease phenotype as evidenced by a concentration dependent rescue from the disease</w:t>
      </w:r>
      <w:r>
        <w:rPr>
          <w:rFonts w:ascii="Arial" w:cs="Arial" w:eastAsia="Arial" w:hAnsi="Arial"/>
          <w:sz w:val="14"/>
          <w:szCs w:val="14"/>
          <w:b w:val="1"/>
          <w:bCs w:val="1"/>
          <w:color w:val="6E6E6E"/>
        </w:rPr>
        <w:t xml:space="preserve"> </w:t>
      </w:r>
      <w:r>
        <w:rPr>
          <w:rFonts w:ascii="Arial" w:cs="Arial" w:eastAsia="Arial" w:hAnsi="Arial"/>
          <w:sz w:val="14"/>
          <w:szCs w:val="14"/>
          <w:color w:val="6E6E6E"/>
        </w:rPr>
        <w:t>state to the healthy state.</w:t>
      </w:r>
    </w:p>
    <w:p>
      <w:pPr>
        <w:spacing w:after="0" w:line="110"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1E1E1E"/>
        </w:rPr>
        <w:t>REC-2282 is an oral, CNS-penetrant pan-HDAC inhibitor with PI3K/AKT/mTOR pathway modulatory activity. With high oral bioavailability, CNS exposure, and no reported cardiovascular liabilities to date, REC-2282 is differentiated over existing HDAC inhibitors for treating NF2 and NF2-mutant CNS tumors. NF2 mutations disrupt merlin, a tumor suppressor that normally inhibits PI3K/AKT/mTOR signaling. REC-2282 targets this pathology by disrupting the PP1-HDAC interaction, suppressing PI3K/AKT signaling to induce cancer cell growth arrest and apoptosis. This mechanism addresses both HDAC-mediated epigenetic dysregulation and NF2-driven pathway hyperactivation.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377190</wp:posOffset>
            </wp:positionV>
            <wp:extent cx="4305935" cy="25133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05935" cy="251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48. </w:t>
      </w:r>
      <w:r>
        <w:rPr>
          <w:rFonts w:ascii="Arial" w:cs="Arial" w:eastAsia="Arial" w:hAnsi="Arial"/>
          <w:sz w:val="14"/>
          <w:szCs w:val="14"/>
          <w:color w:val="6E6E6E"/>
        </w:rPr>
        <w:t>REC-2282 acts on an important pathway in tumor development to inhibit the growth of tumor cells. A potential mechanism of action of REC-2282 in NF2.</w:t>
      </w:r>
      <w:r>
        <w:rPr>
          <w:rFonts w:ascii="Arial" w:cs="Arial" w:eastAsia="Arial" w:hAnsi="Arial"/>
          <w:sz w:val="17"/>
          <w:szCs w:val="17"/>
          <w:color w:val="6E6E6E"/>
          <w:vertAlign w:val="superscript"/>
        </w:rPr>
        <w:t>32</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1AA7DF"/>
        </w:rPr>
        <w:t>Preclinical</w:t>
      </w:r>
    </w:p>
    <w:p>
      <w:pPr>
        <w:spacing w:after="0" w:line="67" w:lineRule="exact"/>
        <w:rPr>
          <w:sz w:val="20"/>
          <w:szCs w:val="20"/>
          <w:color w:val="auto"/>
        </w:rPr>
      </w:pPr>
    </w:p>
    <w:p>
      <w:pPr>
        <w:jc w:val="both"/>
        <w:ind w:right="160"/>
        <w:spacing w:after="0" w:line="282" w:lineRule="auto"/>
        <w:rPr>
          <w:sz w:val="20"/>
          <w:szCs w:val="20"/>
          <w:color w:val="auto"/>
        </w:rPr>
      </w:pPr>
      <w:r>
        <w:rPr>
          <w:rFonts w:ascii="Arial" w:cs="Arial" w:eastAsia="Arial" w:hAnsi="Arial"/>
          <w:sz w:val="15"/>
          <w:szCs w:val="15"/>
          <w:color w:val="1E1E1E"/>
        </w:rPr>
        <w:t>REC-2282 demonstrated potent anti-tumor activity in NF2-relevant models, inhibiting proliferation of vestibular schwannoma (VS) and meningioma cells via AKT inactivation (cell cycle arrest/apoptosis). It suppressed tumor growth in NF2-deficient mouse VS allografts, human VS xenografts (25 mg/kg/day for 45 days), and orthotopic NF2-deficient meningioma models (Ben-Men-1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113030</wp:posOffset>
            </wp:positionV>
            <wp:extent cx="3536315" cy="257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36315" cy="257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97" w:lineRule="auto"/>
        <w:rPr>
          <w:sz w:val="20"/>
          <w:szCs w:val="20"/>
          <w:color w:val="auto"/>
        </w:rPr>
      </w:pPr>
      <w:r>
        <w:rPr>
          <w:rFonts w:ascii="Arial" w:cs="Arial" w:eastAsia="Arial" w:hAnsi="Arial"/>
          <w:sz w:val="14"/>
          <w:szCs w:val="14"/>
          <w:b w:val="1"/>
          <w:bCs w:val="1"/>
          <w:color w:val="6E6E6E"/>
        </w:rPr>
        <w:t xml:space="preserve">Figure 49. </w:t>
      </w:r>
      <w:r>
        <w:rPr>
          <w:rFonts w:ascii="Arial" w:cs="Arial" w:eastAsia="Arial" w:hAnsi="Arial"/>
          <w:sz w:val="14"/>
          <w:szCs w:val="14"/>
          <w:color w:val="6E6E6E"/>
        </w:rPr>
        <w:t>REC-2282 prevents growth &amp; regrowth of tumors in the NF2-deficient meningioma mouse model. REC-2282 suppressed the growth of Ben-Men-1-LucB tumor xenografts as</w:t>
      </w:r>
      <w:r>
        <w:rPr>
          <w:rFonts w:ascii="Arial" w:cs="Arial" w:eastAsia="Arial" w:hAnsi="Arial"/>
          <w:sz w:val="14"/>
          <w:szCs w:val="14"/>
          <w:b w:val="1"/>
          <w:bCs w:val="1"/>
          <w:color w:val="6E6E6E"/>
        </w:rPr>
        <w:t xml:space="preserve"> </w:t>
      </w:r>
      <w:r>
        <w:rPr>
          <w:rFonts w:ascii="Arial" w:cs="Arial" w:eastAsia="Arial" w:hAnsi="Arial"/>
          <w:sz w:val="14"/>
          <w:szCs w:val="14"/>
          <w:color w:val="6E6E6E"/>
        </w:rPr>
        <w:t>measured by tumor bioluminescence.</w:t>
      </w:r>
      <w:r>
        <w:rPr>
          <w:rFonts w:ascii="Arial" w:cs="Arial" w:eastAsia="Arial" w:hAnsi="Arial"/>
          <w:sz w:val="17"/>
          <w:szCs w:val="17"/>
          <w:color w:val="6E6E6E"/>
          <w:vertAlign w:val="superscript"/>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16370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20" w:lineRule="exact"/>
        <w:rPr>
          <w:sz w:val="20"/>
          <w:szCs w:val="20"/>
          <w:color w:val="auto"/>
        </w:rPr>
      </w:pPr>
    </w:p>
    <w:p>
      <w:pPr>
        <w:ind w:left="240" w:hanging="237"/>
        <w:spacing w:after="0"/>
        <w:tabs>
          <w:tab w:leader="none" w:pos="240" w:val="left"/>
        </w:tabs>
        <w:numPr>
          <w:ilvl w:val="0"/>
          <w:numId w:val="72"/>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Adapted from Petrilli and Fernández-Valle. (2016). Role of Merlin/NF2 inactivation in tumor biology. Oncogene, 35(5), 537-48.</w:t>
      </w:r>
    </w:p>
    <w:p>
      <w:pPr>
        <w:spacing w:after="0" w:line="50" w:lineRule="exact"/>
        <w:rPr>
          <w:rFonts w:ascii="Arial" w:cs="Arial" w:eastAsia="Arial" w:hAnsi="Arial"/>
          <w:sz w:val="18"/>
          <w:szCs w:val="18"/>
          <w:i w:val="1"/>
          <w:iCs w:val="1"/>
          <w:color w:val="6E6E6E"/>
          <w:vertAlign w:val="superscript"/>
        </w:rPr>
      </w:pPr>
    </w:p>
    <w:p>
      <w:pPr>
        <w:ind w:left="240" w:right="640" w:hanging="237"/>
        <w:spacing w:after="0" w:line="219" w:lineRule="auto"/>
        <w:tabs>
          <w:tab w:leader="none" w:pos="260" w:val="left"/>
        </w:tabs>
        <w:numPr>
          <w:ilvl w:val="0"/>
          <w:numId w:val="72"/>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Burns SS, et al. (2013). Histone Deacetylase Inhibitor AR-42 Differentially Affects Cell-cycle Transit in Meningeal and Meningioma Cells, Potently Inhibiting NF2-Deficient Meningioma Growth. Cancer Res; 73(2), 792-803.</w:t>
      </w: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1AA7DF"/>
        </w:rPr>
        <w:t>Clinical</w:t>
      </w:r>
    </w:p>
    <w:p>
      <w:pPr>
        <w:spacing w:after="0" w:line="67"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1E1E1E"/>
        </w:rPr>
        <w:t>Four investigator-sponsored trials (ISTs) of REC-2282 established a 60 mg TIW MTD for solid tumors with manageable cytopenia. In an early Phase 1 pharmacodynamic IST, REC-2282 suppressed aberrant activation of ERK/AKT/S6 pathways in resected human, results which may be potentially difficult to achieve with single pathway inhibitors of ALK or MEK. An adaptive, Phase 2/3, randomized, multicenter study (POPLAR) to evaluate the efficacy and safety of REC-2282 in patients with progressive NF2-mutated meningiomas with underlying NF2 disease and sporadic meningiomas with documented NF2 mutations is currently ongoing. As of December 31, 2024, the Phase 2 portion is fully accrued with 25 adult participants enrolled. Once all 25 subjects complete six months of treatment, a futility analysis will be conducted to determine a go/no-go for the Phase 3 portion of the study. We expect to share this data in the first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111760</wp:posOffset>
            </wp:positionV>
            <wp:extent cx="3765550" cy="25374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7655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color w:val="6E6E6E"/>
        </w:rPr>
        <w:t xml:space="preserve">Figure 50. </w:t>
      </w:r>
      <w:r>
        <w:rPr>
          <w:rFonts w:ascii="Arial" w:cs="Arial" w:eastAsia="Arial" w:hAnsi="Arial"/>
          <w:sz w:val="14"/>
          <w:szCs w:val="14"/>
          <w:color w:val="6E6E6E"/>
        </w:rPr>
        <w:t>POPLAR Phase 2/3 study schema. Phase 2/3 study design to assess the safety, tolerability, and preliminary efficacy of REC-2282 in patients with progressive NF2-mutated</w:t>
      </w:r>
      <w:r>
        <w:rPr>
          <w:rFonts w:ascii="Arial" w:cs="Arial" w:eastAsia="Arial" w:hAnsi="Arial"/>
          <w:sz w:val="14"/>
          <w:szCs w:val="14"/>
          <w:b w:val="1"/>
          <w:bCs w:val="1"/>
          <w:color w:val="6E6E6E"/>
        </w:rPr>
        <w:t xml:space="preserve"> </w:t>
      </w:r>
      <w:r>
        <w:rPr>
          <w:rFonts w:ascii="Arial" w:cs="Arial" w:eastAsia="Arial" w:hAnsi="Arial"/>
          <w:sz w:val="14"/>
          <w:szCs w:val="14"/>
          <w:color w:val="6E6E6E"/>
        </w:rPr>
        <w:t>meningiomas.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1AA7DF"/>
        </w:rPr>
        <w:t>Competitors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E1E1E"/>
        </w:rPr>
        <w:t>We are aware of 4 programs currently in clinical development targeting NF2-driven meningiomas</w:t>
      </w:r>
    </w:p>
    <w:p>
      <w:pPr>
        <w:spacing w:after="0" w:line="214" w:lineRule="exact"/>
        <w:rPr>
          <w:sz w:val="20"/>
          <w:szCs w:val="20"/>
          <w:color w:val="auto"/>
        </w:rPr>
      </w:pPr>
    </w:p>
    <w:p>
      <w:pPr>
        <w:ind w:left="620" w:hanging="307"/>
        <w:spacing w:after="0"/>
        <w:tabs>
          <w:tab w:leader="none" w:pos="620" w:val="left"/>
        </w:tabs>
        <w:numPr>
          <w:ilvl w:val="0"/>
          <w:numId w:val="73"/>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Selumetinib (AstraZeneca): </w:t>
      </w:r>
      <w:r>
        <w:rPr>
          <w:rFonts w:ascii="Arial" w:cs="Arial" w:eastAsia="Arial" w:hAnsi="Arial"/>
          <w:sz w:val="15"/>
          <w:szCs w:val="15"/>
          <w:color w:val="1E1E1E"/>
        </w:rPr>
        <w:t>Completed Phase 2 single-center study</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3"/>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VT3989 (Vivace Therapeutics): </w:t>
      </w:r>
      <w:r>
        <w:rPr>
          <w:rFonts w:ascii="Arial" w:cs="Arial" w:eastAsia="Arial" w:hAnsi="Arial"/>
          <w:sz w:val="15"/>
          <w:szCs w:val="15"/>
          <w:color w:val="1E1E1E"/>
        </w:rPr>
        <w:t>In Phase 1/2 study</w:t>
      </w:r>
    </w:p>
    <w:p>
      <w:pPr>
        <w:spacing w:after="0" w:line="72"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3"/>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Brigatinib and Neratinib (Takeda in collaboration with CTF and DFCI): </w:t>
      </w:r>
      <w:r>
        <w:rPr>
          <w:rFonts w:ascii="Arial" w:cs="Arial" w:eastAsia="Arial" w:hAnsi="Arial"/>
          <w:sz w:val="15"/>
          <w:szCs w:val="15"/>
          <w:color w:val="1E1E1E"/>
        </w:rPr>
        <w:t>Completed Phase 2 IST</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3"/>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GSK225609 (Alliance for Clinical Trials in Oncology): </w:t>
      </w:r>
      <w:r>
        <w:rPr>
          <w:rFonts w:ascii="Arial" w:cs="Arial" w:eastAsia="Arial" w:hAnsi="Arial"/>
          <w:sz w:val="15"/>
          <w:szCs w:val="15"/>
          <w:color w:val="1E1E1E"/>
        </w:rPr>
        <w:t>Completed Phase 2 IST for meningiomas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REC-4881 for Familial Adenomatous Polyposis (FAP) - Phase 1b/2</w:t>
      </w:r>
    </w:p>
    <w:p>
      <w:pPr>
        <w:spacing w:after="0" w:line="61"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REC-4881 is an orally bioavailable, non-ATP-competitive, allosteric small molecule inhibitor of MEK1 and MEK2 currently under development for familial adenomatous polyposis (FAP). REC-4881 was well tolerated in prior clinical studies, demonstrating dose-dependent increases in exposure and pharmacological activity. We are currently enrolling patients in TUPELO, a Phase 1b/2, open-label, multicenter study to evaluate the effect of REC-4881 on polyp burden reduction. Orphan Drug Designation in the US and EU as well as Fast Track Designation in the US were granted to REC-4881 for FAP. We expect to share Phase 2 safety and preliminary efficacy data in the first half of 2025.</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1AA7DF"/>
        </w:rPr>
        <w:t>Disease Overview</w:t>
      </w:r>
    </w:p>
    <w:p>
      <w:pPr>
        <w:spacing w:after="0" w:line="67"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1E1E1E"/>
        </w:rPr>
        <w:t>FAP is a rare, inherited tumor predisposition syndrome affecting approximately 50,000 patients in the US and EU5, resulting from heterogeneous mutations in the APC gene, a key negative regulator of the Wnt signaling pathway. FAP is characterized by the progressive development of hundreds to thousands of adenomas in the colon and rectum, with an almost 100% lifetime risk of colorectal cancer by early adulthood if untreated. While prophylactic colectomy during adolescence is the standard of care, many patients continue to develop adenomatous lesions in the rectum/pouch and duodenum sustain cancer risk, necessitating further endoscopic or surgical interventions. In advanced cases, larger adenomas and carcinoma may require localized surgeries, such as radical Whipple procedures, which carry significant morbidity and mortality. Despite this substantial disease burden, no approved therapies currently exist for FAP.</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1AA7DF"/>
        </w:rPr>
        <w:t>Insights from Recursion OS</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1E1E1E"/>
        </w:rPr>
        <w:t>REC-4881 was identified as a potential first-in-disease therapy for FAP using a high-content phenotypic screening approach targeting APC-deficient human cells. In this screen, REC-4881 emerged as a potent allosteric MEK1/2 inhibitor that rescued an APC siRNA genetic knockdown-associated morphological phenotype. Compared to other MEK inhibitors, REC-4881 demonstrated a highly selective and concentration-dependent response, suggesting best-in-class potential. As a result, REC-4881 was in-licensed from Takeda and subsequently advanced into preclinical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2163445</wp:posOffset>
            </wp:positionH>
            <wp:positionV relativeFrom="paragraph">
              <wp:posOffset>118745</wp:posOffset>
            </wp:positionV>
            <wp:extent cx="2824480" cy="2414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24480" cy="241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b w:val="1"/>
          <w:bCs w:val="1"/>
          <w:color w:val="6E6E6E"/>
        </w:rPr>
        <w:t xml:space="preserve">Figure 51. </w:t>
      </w:r>
      <w:r>
        <w:rPr>
          <w:rFonts w:ascii="Arial" w:cs="Arial" w:eastAsia="Arial" w:hAnsi="Arial"/>
          <w:sz w:val="14"/>
          <w:szCs w:val="14"/>
          <w:color w:val="6E6E6E"/>
        </w:rPr>
        <w:t>Discovery of REC-4881 in Recursion OS. Compared to thousands of other molecules tested, REC-4881 rescued phenotypic defects associated with APC siRNA genetic</w:t>
      </w:r>
      <w:r>
        <w:rPr>
          <w:rFonts w:ascii="Arial" w:cs="Arial" w:eastAsia="Arial" w:hAnsi="Arial"/>
          <w:sz w:val="14"/>
          <w:szCs w:val="14"/>
          <w:b w:val="1"/>
          <w:bCs w:val="1"/>
          <w:color w:val="6E6E6E"/>
        </w:rPr>
        <w:t xml:space="preserve"> </w:t>
      </w:r>
      <w:r>
        <w:rPr>
          <w:rFonts w:ascii="Arial" w:cs="Arial" w:eastAsia="Arial" w:hAnsi="Arial"/>
          <w:sz w:val="14"/>
          <w:szCs w:val="14"/>
          <w:color w:val="6E6E6E"/>
        </w:rPr>
        <w:t>knockdown.</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5"/>
          <w:szCs w:val="15"/>
          <w:color w:val="1E1E1E"/>
        </w:rPr>
        <w:t>REC-4881 is an orally bioavailable, non-ATP-competitive allosteric inhibitor of MEK1 (IC</w:t>
      </w:r>
      <w:r>
        <w:rPr>
          <w:rFonts w:ascii="Arial" w:cs="Arial" w:eastAsia="Arial" w:hAnsi="Arial"/>
          <w:sz w:val="10"/>
          <w:szCs w:val="10"/>
          <w:color w:val="1E1E1E"/>
        </w:rPr>
        <w:t>50</w:t>
      </w:r>
      <w:r>
        <w:rPr>
          <w:rFonts w:ascii="Arial" w:cs="Arial" w:eastAsia="Arial" w:hAnsi="Arial"/>
          <w:sz w:val="15"/>
          <w:szCs w:val="15"/>
          <w:color w:val="1E1E1E"/>
        </w:rPr>
        <w:t>: 2-3 nM) and MEK2 (IC</w:t>
      </w:r>
      <w:r>
        <w:rPr>
          <w:rFonts w:ascii="Arial" w:cs="Arial" w:eastAsia="Arial" w:hAnsi="Arial"/>
          <w:sz w:val="10"/>
          <w:szCs w:val="10"/>
          <w:color w:val="1E1E1E"/>
        </w:rPr>
        <w:t>50</w:t>
      </w:r>
      <w:r>
        <w:rPr>
          <w:rFonts w:ascii="Arial" w:cs="Arial" w:eastAsia="Arial" w:hAnsi="Arial"/>
          <w:sz w:val="15"/>
          <w:szCs w:val="15"/>
          <w:color w:val="1E1E1E"/>
        </w:rPr>
        <w:t>: 3-5 nM) being developed as a potential first-in-disease therapy for FAP. Loss of APC disrupts β-catenin regulation, leading to uncontrolled Wnt signaling, RAS stabilization, and ERK pathway activation, which drives MYC-dependent proliferation. REC-4881 inhibits MEK1/2, and blocks ERK phosphorylation downstream. This reduces MYC expression levels in the cell and potentially restores Wnt pathway control. Given ERK signaling activity in both adenoma epithelium and tumor stroma, as well as frequent MAPK-activating mutations in FAP, MEK inhibition offers a targeted strategy to suppress disease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121285</wp:posOffset>
            </wp:positionV>
            <wp:extent cx="5108575" cy="23329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08575" cy="233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b w:val="1"/>
          <w:bCs w:val="1"/>
          <w:color w:val="6E6E6E"/>
        </w:rPr>
        <w:t xml:space="preserve">Figure 52. </w:t>
      </w:r>
      <w:r>
        <w:rPr>
          <w:rFonts w:ascii="Arial" w:cs="Arial" w:eastAsia="Arial" w:hAnsi="Arial"/>
          <w:sz w:val="14"/>
          <w:szCs w:val="14"/>
          <w:color w:val="6E6E6E"/>
        </w:rPr>
        <w:t>REC-4881 inhibits APC-mutation induced MAPK signaling to block cell proliferation in the context of FAP. A potential mechanism of action of REC-4881 in cells with loss of</w:t>
      </w:r>
      <w:r>
        <w:rPr>
          <w:rFonts w:ascii="Arial" w:cs="Arial" w:eastAsia="Arial" w:hAnsi="Arial"/>
          <w:sz w:val="14"/>
          <w:szCs w:val="14"/>
          <w:b w:val="1"/>
          <w:bCs w:val="1"/>
          <w:color w:val="6E6E6E"/>
        </w:rPr>
        <w:t xml:space="preserve"> </w:t>
      </w:r>
      <w:r>
        <w:rPr>
          <w:rFonts w:ascii="Arial" w:cs="Arial" w:eastAsia="Arial" w:hAnsi="Arial"/>
          <w:sz w:val="14"/>
          <w:szCs w:val="14"/>
          <w:color w:val="6E6E6E"/>
        </w:rPr>
        <w:t>function mutations in APC.</w:t>
      </w:r>
      <w:r>
        <w:rPr>
          <w:rFonts w:ascii="Arial" w:cs="Arial" w:eastAsia="Arial" w:hAnsi="Arial"/>
          <w:sz w:val="8"/>
          <w:szCs w:val="8"/>
          <w:color w:val="6E6E6E"/>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16370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50" w:lineRule="exact"/>
        <w:rPr>
          <w:sz w:val="20"/>
          <w:szCs w:val="20"/>
          <w:color w:val="auto"/>
        </w:rPr>
      </w:pPr>
    </w:p>
    <w:p>
      <w:pPr>
        <w:ind w:left="240" w:right="380" w:hanging="237"/>
        <w:spacing w:after="0" w:line="226" w:lineRule="auto"/>
        <w:tabs>
          <w:tab w:leader="none" w:pos="260" w:val="left"/>
        </w:tabs>
        <w:numPr>
          <w:ilvl w:val="0"/>
          <w:numId w:val="74"/>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Jeon, WJ, et al. (2018). Interaction between Wnt/β-catenin and RAS-ERK pathways and an anti-cancer strategy via degradations of β-catenin and RAS by targeting the Wnt/β-catenin pathway. NPJ Precision Oncology, 2(5).</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1AA7DF"/>
        </w:rPr>
        <w:t>Preclinical</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1E1E1E"/>
        </w:rPr>
        <w:t>REC-4881’s activity was validated in tumor cell lines and spheroid models derived from APC-mutant human epithelial tumor cells. In these systems, REC-4881 inhibited spheroid growth and disrupted cellular organization, demonstrating over 1,000-fold selectivity in APC-mutant cells. In a disease-relevant FAP model, Apc</w:t>
      </w:r>
      <w:r>
        <w:rPr>
          <w:rFonts w:ascii="Arial" w:cs="Arial" w:eastAsia="Arial" w:hAnsi="Arial"/>
          <w:sz w:val="20"/>
          <w:szCs w:val="20"/>
          <w:color w:val="1E1E1E"/>
          <w:vertAlign w:val="superscript"/>
        </w:rPr>
        <w:t>Min/+</w:t>
      </w:r>
      <w:r>
        <w:rPr>
          <w:rFonts w:ascii="Arial" w:cs="Arial" w:eastAsia="Arial" w:hAnsi="Arial"/>
          <w:sz w:val="15"/>
          <w:szCs w:val="15"/>
          <w:color w:val="1E1E1E"/>
        </w:rPr>
        <w:t xml:space="preserve"> mice were treated with multiple oral doses of REC-4881 or celecoxib over eight weeks. While celecoxib reduced polyp formation by approximately 30% compared to vehicle, REC-4881 treatment led to a reduction of 50% (1-3 mg/kg), and 70% (10 mg/kg). Mice that were treated with 10 mg/kg REC-4881, the highest dose tested, exhibited an approximately 70% reduction in total polyps. Histological analysis of gastrointestinal tissues further revealed that, unlike celecoxib, which primarily affected benign polyps, REC-4881 significantly reduced both benign polyps and high-grade adenomas. These findings suggest that REC-4881 not only limits early polyp formation but may also inhibit progression to advanced adenomas, highlighting its potential to address both pre- and post-colectomy FAP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240030</wp:posOffset>
            </wp:positionV>
            <wp:extent cx="3929380" cy="23660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2938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6E6E6E"/>
        </w:rPr>
        <w:t>Figure 53. REC-4881 reduces GI polyp count and pre-cancerous, high-grade adenomas in the Apc</w:t>
      </w:r>
      <w:r>
        <w:rPr>
          <w:rFonts w:ascii="Arial" w:cs="Arial" w:eastAsia="Arial" w:hAnsi="Arial"/>
          <w:sz w:val="16"/>
          <w:szCs w:val="16"/>
          <w:b w:val="1"/>
          <w:bCs w:val="1"/>
          <w:color w:val="6E6E6E"/>
          <w:vertAlign w:val="superscript"/>
        </w:rPr>
        <w:t>Min/+</w:t>
      </w:r>
      <w:r>
        <w:rPr>
          <w:rFonts w:ascii="Arial" w:cs="Arial" w:eastAsia="Arial" w:hAnsi="Arial"/>
          <w:sz w:val="13"/>
          <w:szCs w:val="13"/>
          <w:b w:val="1"/>
          <w:bCs w:val="1"/>
          <w:color w:val="6E6E6E"/>
        </w:rPr>
        <w:t xml:space="preserve"> mouse model of FAP. </w:t>
      </w:r>
      <w:r>
        <w:rPr>
          <w:rFonts w:ascii="Arial" w:cs="Arial" w:eastAsia="Arial" w:hAnsi="Arial"/>
          <w:sz w:val="13"/>
          <w:szCs w:val="13"/>
          <w:color w:val="6E6E6E"/>
        </w:rPr>
        <w:t>GI polyp count (left) and the percentage of high-</w:t>
      </w:r>
    </w:p>
    <w:p>
      <w:pPr>
        <w:ind w:right="80"/>
        <w:spacing w:after="0" w:line="255" w:lineRule="auto"/>
        <w:rPr>
          <w:sz w:val="20"/>
          <w:szCs w:val="20"/>
          <w:color w:val="auto"/>
        </w:rPr>
      </w:pPr>
      <w:r>
        <w:rPr>
          <w:rFonts w:ascii="Arial" w:cs="Arial" w:eastAsia="Arial" w:hAnsi="Arial"/>
          <w:sz w:val="14"/>
          <w:szCs w:val="14"/>
          <w:color w:val="6E6E6E"/>
        </w:rPr>
        <w:t>grade adenomas (right) after oral administration of indicated dose of REC-4881, celecoxib, or vehicle control for 8 weeks. Polyp count at the start of dosing reflects animals sacrificed at the start of study (15 weeks of age). P &lt; 0.001 for all REC-4881 treatment groups vs. vehicle control. Quantification of high-grade adenomas versus total polyps was based on blinded histological review by a pathologist. While celecoxib reduces benign polyps, most remaining lesions are high-grade adenomas. By contrast, REC-4881 reduces both polyps and high-grade adenomas.</w:t>
      </w:r>
      <w:r>
        <w:rPr>
          <w:rFonts w:ascii="Arial" w:cs="Arial" w:eastAsia="Arial" w:hAnsi="Arial"/>
          <w:sz w:val="17"/>
          <w:szCs w:val="17"/>
          <w:color w:val="6E6E6E"/>
          <w:vertAlign w:val="superscript"/>
        </w:rPr>
        <w:t>35</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1AA7DF"/>
        </w:rPr>
        <w:t>Clinical</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E1E1E"/>
        </w:rPr>
        <w:t>REC-4881 has been evaluated in multiple clinical studies, demonstrating a well-tolerated safety profile and pharmacological activity.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6E6E6E"/>
        </w:rPr>
        <w:t>Phase 1 Oncology Studies</w:t>
      </w:r>
    </w:p>
    <w:p>
      <w:pPr>
        <w:spacing w:after="0" w:line="27"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1E1E1E"/>
        </w:rPr>
        <w:t>In a prior dose-escalation study (C20001) conducted by Millennium Pharmaceuticals in 51 participants with non-hematologic malignancies, REC-4881 (formerly TAK-733) was administered at doses ranging from 0.2 mg to 22 mg once daily. The maximum tolerated dose (MTD) was determined to be 16 mg. The most common adverse events (AEs) were rash (67%), and treatment-related serious adverse events (SAEs) were infrequent. No unexpected safety concerns emerged, and pharmacokinetic analyses showed a less-than-dose proportional increase in exposure.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6E6E6E"/>
        </w:rPr>
        <w:t>REC-4881-101 (Healthy Volunteers)</w:t>
      </w:r>
    </w:p>
    <w:p>
      <w:pPr>
        <w:spacing w:after="0" w:line="27" w:lineRule="exact"/>
        <w:rPr>
          <w:sz w:val="20"/>
          <w:szCs w:val="20"/>
          <w:color w:val="auto"/>
        </w:rPr>
      </w:pPr>
    </w:p>
    <w:p>
      <w:pPr>
        <w:jc w:val="both"/>
        <w:ind w:right="240"/>
        <w:spacing w:after="0" w:line="272" w:lineRule="auto"/>
        <w:rPr>
          <w:sz w:val="20"/>
          <w:szCs w:val="20"/>
          <w:color w:val="auto"/>
        </w:rPr>
      </w:pPr>
      <w:r>
        <w:rPr>
          <w:rFonts w:ascii="Arial" w:cs="Arial" w:eastAsia="Arial" w:hAnsi="Arial"/>
          <w:sz w:val="15"/>
          <w:szCs w:val="15"/>
          <w:color w:val="1E1E1E"/>
        </w:rPr>
        <w:t>We conducted a Phase 1 study to evaluate the safety and pharmacokinetics of REC-4881 in 25 healthy participants receiving single doses of 4 mg, 8 mg, and 12 mg. REC-4881 was well tolerated, with no SAEs or dose-related safety concerns. The most common treatment-emergent adverse events (TEAEs) were mild and self-limiting, including transient blurred vision and vitreous floaters. No QTcF abnormalities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16370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21" w:lineRule="exact"/>
        <w:rPr>
          <w:sz w:val="20"/>
          <w:szCs w:val="20"/>
          <w:color w:val="auto"/>
        </w:rPr>
      </w:pPr>
    </w:p>
    <w:p>
      <w:pPr>
        <w:ind w:left="260" w:hanging="257"/>
        <w:spacing w:after="0"/>
        <w:tabs>
          <w:tab w:leader="none" w:pos="260" w:val="left"/>
        </w:tabs>
        <w:numPr>
          <w:ilvl w:val="0"/>
          <w:numId w:val="75"/>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i w:val="1"/>
          <w:iCs w:val="1"/>
          <w:color w:val="6E6E6E"/>
        </w:rPr>
        <w:t>TUPELO (Phase 1b/2 in FAP)</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1E1E1E"/>
        </w:rPr>
        <w:t>We are currently enrolling patients in TUPELO, a Phase 1b/2 open-label, multicenter study evaluating the efficacy, safety, pharmacokinetics, and pharmacodynamics of REC-4881 in FAP. Part 1 assessed safety, tolerability, and pharmacokinetics in FAP patients receiving 4 mg once daily for 14 days. REC-4881 was generally well-tolerated, with a safety profile consistent with other MEK inhibitors. Preliminary pharmacodynamic data suggests the 4 mg dose is pharmacologically active in FAP. Part 2 will evaluate efficacy, safety, and pharmacokinetics in post-colectomy FAP patients with confirmed germline APC mutations. Participants will receive once-daily REC-4881 for three months. Safety and preliminary efficacy data from Part 2 are expected in the first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112395</wp:posOffset>
            </wp:positionV>
            <wp:extent cx="3929380" cy="22345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29380" cy="223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80"/>
        <w:spacing w:after="0" w:line="262" w:lineRule="auto"/>
        <w:rPr>
          <w:sz w:val="20"/>
          <w:szCs w:val="20"/>
          <w:color w:val="auto"/>
        </w:rPr>
      </w:pPr>
      <w:r>
        <w:rPr>
          <w:rFonts w:ascii="Arial" w:cs="Arial" w:eastAsia="Arial" w:hAnsi="Arial"/>
          <w:sz w:val="14"/>
          <w:szCs w:val="14"/>
          <w:b w:val="1"/>
          <w:bCs w:val="1"/>
          <w:color w:val="6E6E6E"/>
        </w:rPr>
        <w:t xml:space="preserve">Figure 54. </w:t>
      </w:r>
      <w:r>
        <w:rPr>
          <w:rFonts w:ascii="Arial" w:cs="Arial" w:eastAsia="Arial" w:hAnsi="Arial"/>
          <w:sz w:val="14"/>
          <w:szCs w:val="14"/>
          <w:color w:val="6E6E6E"/>
        </w:rPr>
        <w:t>Phase 1b/2 study schema for REC-4881. Phase 1b/2 clinical study to assess the efficacy, safety, and pharmacokinetics of REC-4881 in patients with classical Familial</w:t>
      </w:r>
      <w:r>
        <w:rPr>
          <w:rFonts w:ascii="Arial" w:cs="Arial" w:eastAsia="Arial" w:hAnsi="Arial"/>
          <w:sz w:val="14"/>
          <w:szCs w:val="14"/>
          <w:b w:val="1"/>
          <w:bCs w:val="1"/>
          <w:color w:val="6E6E6E"/>
        </w:rPr>
        <w:t xml:space="preserve"> </w:t>
      </w:r>
      <w:r>
        <w:rPr>
          <w:rFonts w:ascii="Arial" w:cs="Arial" w:eastAsia="Arial" w:hAnsi="Arial"/>
          <w:sz w:val="14"/>
          <w:szCs w:val="14"/>
          <w:color w:val="6E6E6E"/>
        </w:rPr>
        <w:t>Adenomatous Polyposis (FAP)</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1AA7DF"/>
        </w:rPr>
        <w:t>Competitors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E1E1E"/>
        </w:rPr>
        <w:t>We are aware of seven other currently active programs in clinical development for FAP:</w:t>
      </w:r>
    </w:p>
    <w:p>
      <w:pPr>
        <w:spacing w:after="0" w:line="124" w:lineRule="exact"/>
        <w:rPr>
          <w:sz w:val="20"/>
          <w:szCs w:val="20"/>
          <w:color w:val="auto"/>
        </w:rPr>
      </w:pPr>
    </w:p>
    <w:p>
      <w:pPr>
        <w:ind w:left="620" w:hanging="307"/>
        <w:spacing w:after="0"/>
        <w:tabs>
          <w:tab w:leader="none" w:pos="620" w:val="left"/>
        </w:tabs>
        <w:numPr>
          <w:ilvl w:val="0"/>
          <w:numId w:val="76"/>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ALFA (SLA Pharma/KD Pharma): </w:t>
      </w:r>
      <w:r>
        <w:rPr>
          <w:rFonts w:ascii="Arial" w:cs="Arial" w:eastAsia="Arial" w:hAnsi="Arial"/>
          <w:sz w:val="15"/>
          <w:szCs w:val="15"/>
          <w:color w:val="1E1E1E"/>
        </w:rPr>
        <w:t>In Phase 3 trial in patients with confirmed APC mutations post-colectomy</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6"/>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Flynpovi (Panbela Therapeutics): </w:t>
      </w:r>
      <w:r>
        <w:rPr>
          <w:rFonts w:ascii="Arial" w:cs="Arial" w:eastAsia="Arial" w:hAnsi="Arial"/>
          <w:sz w:val="15"/>
          <w:szCs w:val="15"/>
          <w:color w:val="1E1E1E"/>
        </w:rPr>
        <w:t>In Phase 3 combination therapy targeting lower GI disease in FAP</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6"/>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eRapa (Biodexa Pharmaceuticals): </w:t>
      </w:r>
      <w:r>
        <w:rPr>
          <w:rFonts w:ascii="Arial" w:cs="Arial" w:eastAsia="Arial" w:hAnsi="Arial"/>
          <w:sz w:val="15"/>
          <w:szCs w:val="15"/>
          <w:color w:val="1E1E1E"/>
        </w:rPr>
        <w:t>Planned Phase 3 for FAP</w:t>
      </w:r>
    </w:p>
    <w:p>
      <w:pPr>
        <w:spacing w:after="0" w:line="72"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6"/>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TPST-1495 (Tempest Therapeutics): </w:t>
      </w:r>
      <w:r>
        <w:rPr>
          <w:rFonts w:ascii="Arial" w:cs="Arial" w:eastAsia="Arial" w:hAnsi="Arial"/>
          <w:sz w:val="15"/>
          <w:szCs w:val="15"/>
          <w:color w:val="1E1E1E"/>
        </w:rPr>
        <w:t>Planned Phase 2 trial in FAP</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6"/>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Lapatinib (Johnson &amp; Johnson): </w:t>
      </w:r>
      <w:r>
        <w:rPr>
          <w:rFonts w:ascii="Arial" w:cs="Arial" w:eastAsia="Arial" w:hAnsi="Arial"/>
          <w:sz w:val="15"/>
          <w:szCs w:val="15"/>
          <w:color w:val="1E1E1E"/>
        </w:rPr>
        <w:t>Completed Phase 1 trial in FAP</w:t>
      </w:r>
    </w:p>
    <w:p>
      <w:pPr>
        <w:spacing w:after="0" w:line="72"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6"/>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ST-316 (Sapience Therapeutics): </w:t>
      </w:r>
      <w:r>
        <w:rPr>
          <w:rFonts w:ascii="Arial" w:cs="Arial" w:eastAsia="Arial" w:hAnsi="Arial"/>
          <w:sz w:val="15"/>
          <w:szCs w:val="15"/>
          <w:color w:val="1E1E1E"/>
        </w:rPr>
        <w:t>In Phase 1/2 with dose expansion study ongoing in colorectal cancer</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6"/>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ZKN-013 (Almirall/Eloxx Pharmaceuticals): </w:t>
      </w:r>
      <w:r>
        <w:rPr>
          <w:rFonts w:ascii="Arial" w:cs="Arial" w:eastAsia="Arial" w:hAnsi="Arial"/>
          <w:sz w:val="15"/>
          <w:szCs w:val="15"/>
          <w:color w:val="1E1E1E"/>
        </w:rPr>
        <w:t>In Phase 1 trial that includes an FAP cohort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 xml:space="preserve">REC-3964 for Prevention of Recurrent </w:t>
      </w:r>
      <w:r>
        <w:rPr>
          <w:rFonts w:ascii="Arial" w:cs="Arial" w:eastAsia="Arial" w:hAnsi="Arial"/>
          <w:sz w:val="19"/>
          <w:szCs w:val="19"/>
          <w:b w:val="1"/>
          <w:bCs w:val="1"/>
          <w:i w:val="1"/>
          <w:iCs w:val="1"/>
          <w:color w:val="1E1E1E"/>
        </w:rPr>
        <w:t>Clostridioides Difficile</w:t>
      </w:r>
      <w:r>
        <w:rPr>
          <w:rFonts w:ascii="Arial" w:cs="Arial" w:eastAsia="Arial" w:hAnsi="Arial"/>
          <w:sz w:val="19"/>
          <w:szCs w:val="19"/>
          <w:b w:val="1"/>
          <w:bCs w:val="1"/>
          <w:color w:val="1E1E1E"/>
        </w:rPr>
        <w:t xml:space="preserve"> Infection - Phase 2</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5"/>
          <w:szCs w:val="15"/>
          <w:color w:val="1E1E1E"/>
        </w:rPr>
        <w:t xml:space="preserve">REC-3964 is an orally bioavailable, non-antimicrobial, small molecule designed to prevent recurrence of </w:t>
      </w:r>
      <w:r>
        <w:rPr>
          <w:rFonts w:ascii="Arial" w:cs="Arial" w:eastAsia="Arial" w:hAnsi="Arial"/>
          <w:sz w:val="15"/>
          <w:szCs w:val="15"/>
          <w:i w:val="1"/>
          <w:iCs w:val="1"/>
          <w:color w:val="1E1E1E"/>
        </w:rPr>
        <w:t>Clostridioides difficile (C.diff)</w:t>
      </w:r>
      <w:r>
        <w:rPr>
          <w:rFonts w:ascii="Arial" w:cs="Arial" w:eastAsia="Arial" w:hAnsi="Arial"/>
          <w:sz w:val="15"/>
          <w:szCs w:val="15"/>
          <w:color w:val="1E1E1E"/>
        </w:rPr>
        <w:t xml:space="preserve"> infection (rCDI) and serve as a secondary prophylactic therapy in high-risk patients. Unlike antibiotics, which can further disrupt gut microbiota and contribute to relapse, REC-3964 selectively targets </w:t>
      </w:r>
      <w:r>
        <w:rPr>
          <w:rFonts w:ascii="Arial" w:cs="Arial" w:eastAsia="Arial" w:hAnsi="Arial"/>
          <w:sz w:val="15"/>
          <w:szCs w:val="15"/>
          <w:i w:val="1"/>
          <w:iCs w:val="1"/>
          <w:color w:val="1E1E1E"/>
        </w:rPr>
        <w:t>C. difficile</w:t>
      </w:r>
      <w:r>
        <w:rPr>
          <w:rFonts w:ascii="Arial" w:cs="Arial" w:eastAsia="Arial" w:hAnsi="Arial"/>
          <w:sz w:val="15"/>
          <w:szCs w:val="15"/>
          <w:color w:val="1E1E1E"/>
        </w:rPr>
        <w:t xml:space="preserve"> toxin B without affecting the host. Identified using Recursion’s AI-driven phenotypic screening platform, REC-3964 demonstrated potent toxin inhibition and barrier restoration in preclinical studies. A Phase 1 study established its safety, tolerability, and pharmacokinetics, supporting the initiation of the ALDER Phase 2 trial in Q3 2024. This trial is evaluating REC-3964’s ability to reduce recurrence rates in patients recovering from a recent </w:t>
      </w:r>
      <w:r>
        <w:rPr>
          <w:rFonts w:ascii="Arial" w:cs="Arial" w:eastAsia="Arial" w:hAnsi="Arial"/>
          <w:sz w:val="15"/>
          <w:szCs w:val="15"/>
          <w:i w:val="1"/>
          <w:iCs w:val="1"/>
          <w:color w:val="1E1E1E"/>
        </w:rPr>
        <w:t>C. diff</w:t>
      </w:r>
      <w:r>
        <w:rPr>
          <w:rFonts w:ascii="Arial" w:cs="Arial" w:eastAsia="Arial" w:hAnsi="Arial"/>
          <w:sz w:val="15"/>
          <w:szCs w:val="15"/>
          <w:color w:val="1E1E1E"/>
        </w:rPr>
        <w:t xml:space="preserve"> infection. We expect to share preliminary data in the first quarter of 2026.</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1AA7DF"/>
        </w:rPr>
        <w:t>Disease Overview</w:t>
      </w:r>
    </w:p>
    <w:p>
      <w:pPr>
        <w:spacing w:after="0" w:line="67"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i w:val="1"/>
          <w:iCs w:val="1"/>
          <w:color w:val="1E1E1E"/>
        </w:rPr>
        <w:t xml:space="preserve">C. diff </w:t>
      </w:r>
      <w:r>
        <w:rPr>
          <w:rFonts w:ascii="Arial" w:cs="Arial" w:eastAsia="Arial" w:hAnsi="Arial"/>
          <w:sz w:val="15"/>
          <w:szCs w:val="15"/>
          <w:color w:val="1E1E1E"/>
        </w:rPr>
        <w:t>is a significant cause of antibiotic-associated diarrhea, leading to severe colitis and potentially fatal outcomes. Annually, over 730,000 cases are reported in</w:t>
      </w:r>
      <w:r>
        <w:rPr>
          <w:rFonts w:ascii="Arial" w:cs="Arial" w:eastAsia="Arial" w:hAnsi="Arial"/>
          <w:sz w:val="15"/>
          <w:szCs w:val="15"/>
          <w:i w:val="1"/>
          <w:iCs w:val="1"/>
          <w:color w:val="1E1E1E"/>
        </w:rPr>
        <w:t xml:space="preserve"> </w:t>
      </w:r>
      <w:r>
        <w:rPr>
          <w:rFonts w:ascii="Arial" w:cs="Arial" w:eastAsia="Arial" w:hAnsi="Arial"/>
          <w:sz w:val="15"/>
          <w:szCs w:val="15"/>
          <w:color w:val="1E1E1E"/>
        </w:rPr>
        <w:t>the U.S. and EU5, with approximately 29,000 deaths in the U.S. alone. Standard antibiotic treatments can disrupt the gut microbiome, resulting in recurrence rates of 20 to 30% after initial infection, increasing to 40% after the first recurrence and 45–65% after multiple recurrences. This escalating pattern underscores the urgent need for novel therapeutic approaches that address rCDI.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1AA7DF"/>
        </w:rPr>
        <w:t>Insight Recursion OS</w:t>
      </w:r>
    </w:p>
    <w:p>
      <w:pPr>
        <w:spacing w:after="0" w:line="67"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1E1E1E"/>
        </w:rPr>
        <w:t xml:space="preserve">Leveraging the Recursion OS, we identified REC-3964 as a new chemical entity that selectively inhibits the glucosyltransferase activity of </w:t>
      </w:r>
      <w:r>
        <w:rPr>
          <w:rFonts w:ascii="Arial" w:cs="Arial" w:eastAsia="Arial" w:hAnsi="Arial"/>
          <w:sz w:val="15"/>
          <w:szCs w:val="15"/>
          <w:i w:val="1"/>
          <w:iCs w:val="1"/>
          <w:color w:val="1E1E1E"/>
        </w:rPr>
        <w:t>C. difficile</w:t>
      </w:r>
      <w:r>
        <w:rPr>
          <w:rFonts w:ascii="Arial" w:cs="Arial" w:eastAsia="Arial" w:hAnsi="Arial"/>
          <w:sz w:val="15"/>
          <w:szCs w:val="15"/>
          <w:color w:val="1E1E1E"/>
        </w:rPr>
        <w:t xml:space="preserve"> toxin B. This non-antibiotic approach was discovered through a high-content phenotypic screen, where REC-3964 demonstrated potent reversal of toxin-induced cellular damage in HUVEC. We drove SAR and optimization of REC-3964 directly on the platform and subsequently advanced the molecule into preclinical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104775</wp:posOffset>
            </wp:positionV>
            <wp:extent cx="5419090" cy="18745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19090" cy="187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b w:val="1"/>
          <w:bCs w:val="1"/>
          <w:color w:val="6E6E6E"/>
        </w:rPr>
        <w:t xml:space="preserve">Figure 55. </w:t>
      </w:r>
      <w:r>
        <w:rPr>
          <w:rFonts w:ascii="Arial" w:cs="Arial" w:eastAsia="Arial" w:hAnsi="Arial"/>
          <w:sz w:val="14"/>
          <w:szCs w:val="14"/>
          <w:color w:val="6E6E6E"/>
        </w:rPr>
        <w:t>REC-3964 rescued the phenotype of human epithelial cells treated with</w:t>
      </w:r>
      <w:r>
        <w:rPr>
          <w:rFonts w:ascii="Arial" w:cs="Arial" w:eastAsia="Arial" w:hAnsi="Arial"/>
          <w:sz w:val="14"/>
          <w:szCs w:val="14"/>
          <w:b w:val="1"/>
          <w:bCs w:val="1"/>
          <w:color w:val="6E6E6E"/>
        </w:rPr>
        <w:t xml:space="preserve"> </w:t>
      </w:r>
      <w:r>
        <w:rPr>
          <w:rFonts w:ascii="Arial" w:cs="Arial" w:eastAsia="Arial" w:hAnsi="Arial"/>
          <w:sz w:val="14"/>
          <w:szCs w:val="14"/>
          <w:i w:val="1"/>
          <w:iCs w:val="1"/>
          <w:color w:val="6E6E6E"/>
        </w:rPr>
        <w:t>C. difficile</w:t>
      </w:r>
      <w:r>
        <w:rPr>
          <w:rFonts w:ascii="Arial" w:cs="Arial" w:eastAsia="Arial" w:hAnsi="Arial"/>
          <w:sz w:val="14"/>
          <w:szCs w:val="14"/>
          <w:b w:val="1"/>
          <w:bCs w:val="1"/>
          <w:color w:val="6E6E6E"/>
        </w:rPr>
        <w:t xml:space="preserve"> </w:t>
      </w:r>
      <w:r>
        <w:rPr>
          <w:rFonts w:ascii="Arial" w:cs="Arial" w:eastAsia="Arial" w:hAnsi="Arial"/>
          <w:sz w:val="14"/>
          <w:szCs w:val="14"/>
          <w:color w:val="6E6E6E"/>
        </w:rPr>
        <w:t>toxin. REC-3964 was identified as demonstrating concentration-responsive rescue in</w:t>
      </w:r>
      <w:r>
        <w:rPr>
          <w:rFonts w:ascii="Arial" w:cs="Arial" w:eastAsia="Arial" w:hAnsi="Arial"/>
          <w:sz w:val="14"/>
          <w:szCs w:val="14"/>
          <w:b w:val="1"/>
          <w:bCs w:val="1"/>
          <w:color w:val="6E6E6E"/>
        </w:rPr>
        <w:t xml:space="preserve"> </w:t>
      </w:r>
      <w:r>
        <w:rPr>
          <w:rFonts w:ascii="Arial" w:cs="Arial" w:eastAsia="Arial" w:hAnsi="Arial"/>
          <w:sz w:val="14"/>
          <w:szCs w:val="14"/>
          <w:color w:val="6E6E6E"/>
        </w:rPr>
        <w:t xml:space="preserve">HUVEC cells treated with </w:t>
      </w:r>
      <w:r>
        <w:rPr>
          <w:rFonts w:ascii="Arial" w:cs="Arial" w:eastAsia="Arial" w:hAnsi="Arial"/>
          <w:sz w:val="14"/>
          <w:szCs w:val="14"/>
          <w:i w:val="1"/>
          <w:iCs w:val="1"/>
          <w:color w:val="6E6E6E"/>
        </w:rPr>
        <w:t>C. difficile</w:t>
      </w:r>
      <w:r>
        <w:rPr>
          <w:rFonts w:ascii="Arial" w:cs="Arial" w:eastAsia="Arial" w:hAnsi="Arial"/>
          <w:sz w:val="14"/>
          <w:szCs w:val="14"/>
          <w:color w:val="6E6E6E"/>
        </w:rPr>
        <w:t xml:space="preserve"> toxin B on Recursion’s phenomics platform.</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1AA7DF"/>
        </w:rPr>
        <w:t>Preclinical</w:t>
      </w:r>
    </w:p>
    <w:p>
      <w:pPr>
        <w:spacing w:after="0" w:line="67"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1E1E1E"/>
        </w:rPr>
        <w:t xml:space="preserve">REC-3964 was validated in orthogonal functional assays including the electrical cell-substrate impedance sensing (ECIS) assay where it demonstrated concentration-dependent activity in blocking toxin-mediated barrier disruption. In a hamster model of </w:t>
      </w:r>
      <w:r>
        <w:rPr>
          <w:rFonts w:ascii="Arial" w:cs="Arial" w:eastAsia="Arial" w:hAnsi="Arial"/>
          <w:sz w:val="15"/>
          <w:szCs w:val="15"/>
          <w:i w:val="1"/>
          <w:iCs w:val="1"/>
          <w:color w:val="1E1E1E"/>
        </w:rPr>
        <w:t>C. diff</w:t>
      </w:r>
      <w:r>
        <w:rPr>
          <w:rFonts w:ascii="Arial" w:cs="Arial" w:eastAsia="Arial" w:hAnsi="Arial"/>
          <w:sz w:val="15"/>
          <w:szCs w:val="15"/>
          <w:color w:val="1E1E1E"/>
        </w:rPr>
        <w:t>, REC-3964 treatment significantly prolonged survival compared to bezlotoxumab and control groups, indicating its potential to reduce both initial infection severity and recurrence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113030</wp:posOffset>
            </wp:positionV>
            <wp:extent cx="4633595" cy="2824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33595" cy="282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b w:val="1"/>
          <w:bCs w:val="1"/>
          <w:color w:val="6E6E6E"/>
        </w:rPr>
        <w:t xml:space="preserve">Figure 56. REC-3964 selectively inhibits the toxin’s innate UDP-glucose glucosyltransferase. </w:t>
      </w:r>
      <w:r>
        <w:rPr>
          <w:rFonts w:ascii="Arial" w:cs="Arial" w:eastAsia="Arial" w:hAnsi="Arial"/>
          <w:sz w:val="14"/>
          <w:szCs w:val="14"/>
          <w:color w:val="6E6E6E"/>
        </w:rPr>
        <w:t>(Left) Autocatalytic event releases</w:t>
      </w:r>
      <w:r>
        <w:rPr>
          <w:rFonts w:ascii="Arial" w:cs="Arial" w:eastAsia="Arial" w:hAnsi="Arial"/>
          <w:sz w:val="14"/>
          <w:szCs w:val="14"/>
          <w:b w:val="1"/>
          <w:bCs w:val="1"/>
          <w:color w:val="6E6E6E"/>
        </w:rPr>
        <w:t xml:space="preserve"> </w:t>
      </w:r>
      <w:r>
        <w:rPr>
          <w:rFonts w:ascii="Arial" w:cs="Arial" w:eastAsia="Arial" w:hAnsi="Arial"/>
          <w:sz w:val="14"/>
          <w:szCs w:val="14"/>
          <w:i w:val="1"/>
          <w:iCs w:val="1"/>
          <w:color w:val="6E6E6E"/>
        </w:rPr>
        <w:t>C. difficile</w:t>
      </w:r>
      <w:r>
        <w:rPr>
          <w:rFonts w:ascii="Arial" w:cs="Arial" w:eastAsia="Arial" w:hAnsi="Arial"/>
          <w:sz w:val="14"/>
          <w:szCs w:val="14"/>
          <w:b w:val="1"/>
          <w:bCs w:val="1"/>
          <w:color w:val="6E6E6E"/>
        </w:rPr>
        <w:t xml:space="preserve"> </w:t>
      </w:r>
      <w:r>
        <w:rPr>
          <w:rFonts w:ascii="Arial" w:cs="Arial" w:eastAsia="Arial" w:hAnsi="Arial"/>
          <w:sz w:val="14"/>
          <w:szCs w:val="14"/>
          <w:color w:val="6E6E6E"/>
        </w:rPr>
        <w:t>toxin’s glucosyltransferase enzymatic</w:t>
      </w:r>
      <w:r>
        <w:rPr>
          <w:rFonts w:ascii="Arial" w:cs="Arial" w:eastAsia="Arial" w:hAnsi="Arial"/>
          <w:sz w:val="14"/>
          <w:szCs w:val="14"/>
          <w:b w:val="1"/>
          <w:bCs w:val="1"/>
          <w:color w:val="6E6E6E"/>
        </w:rPr>
        <w:t xml:space="preserve"> </w:t>
      </w:r>
      <w:r>
        <w:rPr>
          <w:rFonts w:ascii="Arial" w:cs="Arial" w:eastAsia="Arial" w:hAnsi="Arial"/>
          <w:sz w:val="14"/>
          <w:szCs w:val="14"/>
          <w:color w:val="6E6E6E"/>
        </w:rPr>
        <w:t xml:space="preserve">domain into the infected cell, which locks Rho family GTPases in the inactive state. Inactivation of Rho GTPases alters cytoskeletal dynamics, induces apoptosis and impairs barrier function which drives the pathological effects of </w:t>
      </w:r>
      <w:r>
        <w:rPr>
          <w:rFonts w:ascii="Arial" w:cs="Arial" w:eastAsia="Arial" w:hAnsi="Arial"/>
          <w:sz w:val="14"/>
          <w:szCs w:val="14"/>
          <w:i w:val="1"/>
          <w:iCs w:val="1"/>
          <w:color w:val="6E6E6E"/>
        </w:rPr>
        <w:t>C. difficile</w:t>
      </w:r>
      <w:r>
        <w:rPr>
          <w:rFonts w:ascii="Arial" w:cs="Arial" w:eastAsia="Arial" w:hAnsi="Arial"/>
          <w:sz w:val="14"/>
          <w:szCs w:val="14"/>
          <w:color w:val="6E6E6E"/>
        </w:rPr>
        <w:t xml:space="preserve"> infection. (Right) REC-3964 binds and blocks catalytic activity of the toxin’s innate glucosyltransferase with no effect on the host protein.</w:t>
      </w:r>
      <w:r>
        <w:rPr>
          <w:rFonts w:ascii="Arial" w:cs="Arial" w:eastAsia="Arial" w:hAnsi="Arial"/>
          <w:sz w:val="17"/>
          <w:szCs w:val="17"/>
          <w:color w:val="6E6E6E"/>
          <w:vertAlign w:val="superscript"/>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6370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39" w:lineRule="exact"/>
        <w:rPr>
          <w:sz w:val="20"/>
          <w:szCs w:val="20"/>
          <w:color w:val="auto"/>
        </w:rPr>
      </w:pPr>
    </w:p>
    <w:p>
      <w:pPr>
        <w:ind w:left="240" w:hanging="237"/>
        <w:spacing w:after="0"/>
        <w:tabs>
          <w:tab w:leader="none" w:pos="240" w:val="left"/>
        </w:tabs>
        <w:numPr>
          <w:ilvl w:val="0"/>
          <w:numId w:val="77"/>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Awad, MM. et al. (2014). Clostridium difficile virulence factors: Insights into an anaerobic spore-forming pathogen. Gut Microbes. 5(5), 579-593.</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377190</wp:posOffset>
            </wp:positionV>
            <wp:extent cx="3929380" cy="267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929380" cy="267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00"/>
        <w:spacing w:after="0" w:line="262" w:lineRule="auto"/>
        <w:rPr>
          <w:sz w:val="20"/>
          <w:szCs w:val="20"/>
          <w:color w:val="auto"/>
        </w:rPr>
      </w:pPr>
      <w:r>
        <w:rPr>
          <w:rFonts w:ascii="Arial" w:cs="Arial" w:eastAsia="Arial" w:hAnsi="Arial"/>
          <w:sz w:val="14"/>
          <w:szCs w:val="14"/>
          <w:b w:val="1"/>
          <w:bCs w:val="1"/>
          <w:color w:val="6E6E6E"/>
        </w:rPr>
        <w:t xml:space="preserve">Figure 57. REC-3964 in vivo efficacy in a CDI hamster model. </w:t>
      </w:r>
      <w:r>
        <w:rPr>
          <w:rFonts w:ascii="Arial" w:cs="Arial" w:eastAsia="Arial" w:hAnsi="Arial"/>
          <w:sz w:val="14"/>
          <w:szCs w:val="14"/>
          <w:color w:val="6E6E6E"/>
        </w:rPr>
        <w:t>REC-3964 was administered at 200 mg/kg by oral gavage twice daily for 7 consecutive days along with groups for</w:t>
      </w:r>
      <w:r>
        <w:rPr>
          <w:rFonts w:ascii="Arial" w:cs="Arial" w:eastAsia="Arial" w:hAnsi="Arial"/>
          <w:sz w:val="14"/>
          <w:szCs w:val="14"/>
          <w:b w:val="1"/>
          <w:bCs w:val="1"/>
          <w:color w:val="6E6E6E"/>
        </w:rPr>
        <w:t xml:space="preserve"> </w:t>
      </w:r>
      <w:r>
        <w:rPr>
          <w:rFonts w:ascii="Arial" w:cs="Arial" w:eastAsia="Arial" w:hAnsi="Arial"/>
          <w:sz w:val="14"/>
          <w:szCs w:val="14"/>
          <w:color w:val="6E6E6E"/>
        </w:rPr>
        <w:t>vehicle and vancomycin (50 mg/kg, QD). Bezlotoxumab was administered at 10 mg/kg BID 2 days prior to inoculation with C. difficile (strain 630). N=10 hamsters per group. Clinical observations were conducted from Day 0 to Day 7, with surviving animals monitored until Day 14. REC-3964 demonstrated a significant difference in the probability of survival vs. bezlotoxumab at the end of treatment (p&lt;0.001, log-rank test).</w:t>
      </w:r>
      <w:r>
        <w:rPr>
          <w:rFonts w:ascii="Arial" w:cs="Arial" w:eastAsia="Arial" w:hAnsi="Arial"/>
          <w:sz w:val="17"/>
          <w:szCs w:val="17"/>
          <w:color w:val="6E6E6E"/>
          <w:vertAlign w:val="superscript"/>
        </w:rPr>
        <w:t>37</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1AA7DF"/>
        </w:rPr>
        <w:t>Clinical</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E1E1E"/>
        </w:rPr>
        <w:t>REC-3964 has been evaluated in a Phase 1 study in healthy volunteers and is currently being investigated in the ALDER Phase 2 trial for rCDI.</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6E6E6E"/>
        </w:rPr>
        <w:t>Phase 1 (Healthy Volunteers)</w:t>
      </w:r>
    </w:p>
    <w:p>
      <w:pPr>
        <w:spacing w:after="0" w:line="2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1E1E1E"/>
        </w:rPr>
        <w:t>A Phase 1 study assessed the safety, tolerability, and pharmacokinetics of REC-3964 in 90 healthy participants, including a cohort of elderly subjects (&gt;65 years). REC-3964 was well tolerated at single doses up to 1,200 mg and multiple doses up to 900 mg, with no serious adverse events (SAEs), discontinuations, or deaths. The most common treatment-emergent adverse events (TEAEs) were mild and included fatigue, headache, and abdominal distension, with similar rates between REC-3964 and placebo groups. Pharmacokinetics demonstrated dose-proportional exposure with a 7 to10 hour half-life, supporting twice-daily (BID) dosing. No clinically significant effects on ECG parameters, vital signs, or laboratory markers were observed. Results were presented at the 6th Edition of the World Congress on Infectious Diseases in June 2024.</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6E6E6E"/>
        </w:rPr>
        <w:t>Phase 2 (ALDER – Ongoing, Initiated Q3 2024)</w:t>
      </w:r>
    </w:p>
    <w:p>
      <w:pPr>
        <w:spacing w:after="0" w:line="27" w:lineRule="exact"/>
        <w:rPr>
          <w:sz w:val="20"/>
          <w:szCs w:val="20"/>
          <w:color w:val="auto"/>
        </w:rPr>
      </w:pPr>
    </w:p>
    <w:p>
      <w:pPr>
        <w:jc w:val="both"/>
        <w:ind w:right="400"/>
        <w:spacing w:after="0" w:line="265" w:lineRule="auto"/>
        <w:rPr>
          <w:sz w:val="20"/>
          <w:szCs w:val="20"/>
          <w:color w:val="auto"/>
        </w:rPr>
      </w:pPr>
      <w:r>
        <w:rPr>
          <w:rFonts w:ascii="Arial" w:cs="Arial" w:eastAsia="Arial" w:hAnsi="Arial"/>
          <w:sz w:val="15"/>
          <w:szCs w:val="15"/>
          <w:color w:val="1E1E1E"/>
        </w:rPr>
        <w:t xml:space="preserve">The ALDER study is a Phase 2 open-label, multicenter trial evaluating REC-3964 as secondary prophylaxis therapy in patients recovering from an initial </w:t>
      </w:r>
      <w:r>
        <w:rPr>
          <w:rFonts w:ascii="Arial" w:cs="Arial" w:eastAsia="Arial" w:hAnsi="Arial"/>
          <w:sz w:val="15"/>
          <w:szCs w:val="15"/>
          <w:i w:val="1"/>
          <w:iCs w:val="1"/>
          <w:color w:val="1E1E1E"/>
        </w:rPr>
        <w:t>C. diff</w:t>
      </w:r>
      <w:r>
        <w:rPr>
          <w:rFonts w:ascii="Arial" w:cs="Arial" w:eastAsia="Arial" w:hAnsi="Arial"/>
          <w:sz w:val="15"/>
          <w:szCs w:val="15"/>
          <w:color w:val="1E1E1E"/>
        </w:rPr>
        <w:t xml:space="preserve"> infection. Participants will be randomized 2:1:1 to receive 500 mg or 250 mg BID for 28 days, compared to an observational cohort. The primary endpoints are safety, tolerability, and recurrence rates of rCDI. A Phase 2 data update is expected in the first quarter of 2026. To our knowledge, REC-3964 is the first orally bioavailable, non-antibiotic, </w:t>
      </w:r>
      <w:r>
        <w:rPr>
          <w:rFonts w:ascii="Arial" w:cs="Arial" w:eastAsia="Arial" w:hAnsi="Arial"/>
          <w:sz w:val="15"/>
          <w:szCs w:val="15"/>
          <w:i w:val="1"/>
          <w:iCs w:val="1"/>
          <w:color w:val="1E1E1E"/>
        </w:rPr>
        <w:t>C. diff</w:t>
      </w:r>
      <w:r>
        <w:rPr>
          <w:rFonts w:ascii="Arial" w:cs="Arial" w:eastAsia="Arial" w:hAnsi="Arial"/>
          <w:sz w:val="15"/>
          <w:szCs w:val="15"/>
          <w:color w:val="1E1E1E"/>
        </w:rPr>
        <w:t xml:space="preserve"> toxin inhibitor that selectively targets bacterial toxin, while sparing the host.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16370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38" w:lineRule="exact"/>
        <w:rPr>
          <w:sz w:val="20"/>
          <w:szCs w:val="20"/>
          <w:color w:val="auto"/>
        </w:rPr>
      </w:pPr>
    </w:p>
    <w:p>
      <w:pPr>
        <w:ind w:left="260" w:hanging="257"/>
        <w:spacing w:after="0"/>
        <w:tabs>
          <w:tab w:leader="none" w:pos="260" w:val="left"/>
        </w:tabs>
        <w:numPr>
          <w:ilvl w:val="0"/>
          <w:numId w:val="78"/>
        </w:numPr>
        <w:rPr>
          <w:rFonts w:ascii="Arial" w:cs="Arial" w:eastAsia="Arial" w:hAnsi="Arial"/>
          <w:sz w:val="17"/>
          <w:szCs w:val="17"/>
          <w:i w:val="1"/>
          <w:iCs w:val="1"/>
          <w:color w:val="6E6E6E"/>
          <w:vertAlign w:val="superscript"/>
        </w:rPr>
      </w:pPr>
      <w:r>
        <w:rPr>
          <w:rFonts w:ascii="Arial" w:cs="Arial" w:eastAsia="Arial" w:hAnsi="Arial"/>
          <w:sz w:val="13"/>
          <w:szCs w:val="13"/>
          <w:i w:val="1"/>
          <w:iCs w:val="1"/>
          <w:color w:val="6E6E6E"/>
        </w:rPr>
        <w:t>Stiles, et al. (2024). REC-3964, a First-in-Class Molecule for the Prevention of Recurrent Clostridioides difficile Infection [poster]. World Congress on Infectious Diseases. 6th edition.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369570</wp:posOffset>
            </wp:positionV>
            <wp:extent cx="3929380" cy="268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929380" cy="268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00"/>
        <w:spacing w:after="0" w:line="254" w:lineRule="auto"/>
        <w:rPr>
          <w:sz w:val="20"/>
          <w:szCs w:val="20"/>
          <w:color w:val="auto"/>
        </w:rPr>
      </w:pPr>
      <w:r>
        <w:rPr>
          <w:rFonts w:ascii="Arial" w:cs="Arial" w:eastAsia="Arial" w:hAnsi="Arial"/>
          <w:sz w:val="14"/>
          <w:szCs w:val="14"/>
          <w:b w:val="1"/>
          <w:bCs w:val="1"/>
          <w:color w:val="6E6E6E"/>
        </w:rPr>
        <w:t xml:space="preserve">Figure 58. Planned Phase 2 study schema of REC-3964 for prevention of rCDI. </w:t>
      </w:r>
      <w:r>
        <w:rPr>
          <w:rFonts w:ascii="Arial" w:cs="Arial" w:eastAsia="Arial" w:hAnsi="Arial"/>
          <w:sz w:val="14"/>
          <w:szCs w:val="14"/>
          <w:color w:val="6E6E6E"/>
        </w:rPr>
        <w:t>Phase 2 open-label, multicenter clinical study to assess the safety, tolerability, PK, and efficacy of</w:t>
      </w:r>
      <w:r>
        <w:rPr>
          <w:rFonts w:ascii="Arial" w:cs="Arial" w:eastAsia="Arial" w:hAnsi="Arial"/>
          <w:sz w:val="14"/>
          <w:szCs w:val="14"/>
          <w:b w:val="1"/>
          <w:bCs w:val="1"/>
          <w:color w:val="6E6E6E"/>
        </w:rPr>
        <w:t xml:space="preserve"> </w:t>
      </w:r>
      <w:r>
        <w:rPr>
          <w:rFonts w:ascii="Arial" w:cs="Arial" w:eastAsia="Arial" w:hAnsi="Arial"/>
          <w:sz w:val="14"/>
          <w:szCs w:val="14"/>
          <w:color w:val="6E6E6E"/>
        </w:rPr>
        <w:t>REC-3964 at two dose levels. Enrollment criteria include (1) High risk for rCDI; (2) C. difficile associated diarrhea with confirmation of toxin positivity (3) No fulminant CDI; (4) No history of chronic diarrheal illness due to other causes. The primary endpoints are safety, tolerability, and efficacy as determined by the rate of reduction of rCDI after initial clinical cure with vancomycin.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1AA7DF"/>
        </w:rPr>
        <w:t>Competitors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1E1E1E"/>
        </w:rPr>
        <w:t>There are a number of approved drugs for the treatment and prevention of C. difficile infection.</w:t>
      </w:r>
    </w:p>
    <w:p>
      <w:pPr>
        <w:spacing w:after="0" w:line="214" w:lineRule="exact"/>
        <w:rPr>
          <w:sz w:val="20"/>
          <w:szCs w:val="20"/>
          <w:color w:val="auto"/>
        </w:rPr>
      </w:pPr>
    </w:p>
    <w:p>
      <w:pPr>
        <w:ind w:left="620" w:right="40" w:hanging="307"/>
        <w:spacing w:after="0" w:line="295" w:lineRule="auto"/>
        <w:tabs>
          <w:tab w:leader="none" w:pos="609" w:val="left"/>
        </w:tabs>
        <w:numPr>
          <w:ilvl w:val="0"/>
          <w:numId w:val="79"/>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Vancomycin, Fidaxomicin (Merck), and Metronidazole: </w:t>
      </w:r>
      <w:r>
        <w:rPr>
          <w:rFonts w:ascii="Arial" w:cs="Arial" w:eastAsia="Arial" w:hAnsi="Arial"/>
          <w:sz w:val="15"/>
          <w:szCs w:val="15"/>
          <w:color w:val="1E1E1E"/>
        </w:rPr>
        <w:t>Most commonly prescribed antibiotics; however, the efficacy of antibiotic therapy decreases with</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each recurrence</w:t>
      </w:r>
    </w:p>
    <w:p>
      <w:pPr>
        <w:spacing w:after="0" w:line="1"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79"/>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Bezlotoxumab (Merck): </w:t>
      </w:r>
      <w:r>
        <w:rPr>
          <w:rFonts w:ascii="Arial" w:cs="Arial" w:eastAsia="Arial" w:hAnsi="Arial"/>
          <w:sz w:val="15"/>
          <w:szCs w:val="15"/>
          <w:color w:val="1E1E1E"/>
        </w:rPr>
        <w:t>Approved for reducing CDI recurrence in patients receiving antibiotics who are at high-risk for CDI recurrence</w:t>
      </w:r>
    </w:p>
    <w:p>
      <w:pPr>
        <w:spacing w:after="0" w:line="59" w:lineRule="exact"/>
        <w:rPr>
          <w:rFonts w:ascii="Arial" w:cs="Arial" w:eastAsia="Arial" w:hAnsi="Arial"/>
          <w:sz w:val="15"/>
          <w:szCs w:val="15"/>
          <w:b w:val="1"/>
          <w:bCs w:val="1"/>
          <w:i w:val="1"/>
          <w:iCs w:val="1"/>
          <w:color w:val="1E1E1E"/>
        </w:rPr>
      </w:pPr>
    </w:p>
    <w:p>
      <w:pPr>
        <w:ind w:left="620" w:right="540" w:hanging="307"/>
        <w:spacing w:after="0" w:line="312" w:lineRule="auto"/>
        <w:tabs>
          <w:tab w:leader="none" w:pos="609" w:val="left"/>
        </w:tabs>
        <w:numPr>
          <w:ilvl w:val="0"/>
          <w:numId w:val="79"/>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RBX2660 (Ferring) and SER-109 (Seres Therapeutics): </w:t>
      </w:r>
      <w:r>
        <w:rPr>
          <w:rFonts w:ascii="Arial" w:cs="Arial" w:eastAsia="Arial" w:hAnsi="Arial"/>
          <w:sz w:val="15"/>
          <w:szCs w:val="15"/>
          <w:color w:val="1E1E1E"/>
        </w:rPr>
        <w:t>Approved stool derived microbiome products used for recurrent CDI prevention, following</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antibiotic treatment</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1E1E1E"/>
        </w:rPr>
        <w:t>We are aware of seven currently active programs in clinical development for the prevention of recurrent C. difficile infection:</w:t>
      </w:r>
    </w:p>
    <w:p>
      <w:pPr>
        <w:spacing w:after="0" w:line="227" w:lineRule="exact"/>
        <w:rPr>
          <w:sz w:val="20"/>
          <w:szCs w:val="20"/>
          <w:color w:val="auto"/>
        </w:rPr>
      </w:pPr>
    </w:p>
    <w:p>
      <w:pPr>
        <w:ind w:left="620" w:right="560" w:hanging="307"/>
        <w:spacing w:after="0" w:line="287" w:lineRule="auto"/>
        <w:tabs>
          <w:tab w:leader="none" w:pos="609" w:val="left"/>
        </w:tabs>
        <w:numPr>
          <w:ilvl w:val="0"/>
          <w:numId w:val="8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VE303 (Vedanta Biosciences): </w:t>
      </w:r>
      <w:r>
        <w:rPr>
          <w:rFonts w:ascii="Arial" w:cs="Arial" w:eastAsia="Arial" w:hAnsi="Arial"/>
          <w:sz w:val="15"/>
          <w:szCs w:val="15"/>
          <w:color w:val="1E1E1E"/>
        </w:rPr>
        <w:t>In Phase 3 study for 14-day course in patients with ≥ 1 prior occurrence of CDI, including a high-risk for recurrence</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population along with an open-label extension if recurrence of CDI occurs during study</w:t>
      </w:r>
    </w:p>
    <w:p>
      <w:pPr>
        <w:ind w:left="620" w:hanging="307"/>
        <w:spacing w:after="0"/>
        <w:tabs>
          <w:tab w:leader="none" w:pos="620" w:val="left"/>
        </w:tabs>
        <w:numPr>
          <w:ilvl w:val="0"/>
          <w:numId w:val="8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NTCD-M3 (Sebela Pharmaceuticals/Destiny Pharma): </w:t>
      </w:r>
      <w:r>
        <w:rPr>
          <w:rFonts w:ascii="Arial" w:cs="Arial" w:eastAsia="Arial" w:hAnsi="Arial"/>
          <w:sz w:val="15"/>
          <w:szCs w:val="15"/>
          <w:color w:val="1E1E1E"/>
        </w:rPr>
        <w:t>In Phase 3 planning stages for naturally occurring non-toxigenic strain of C. difficile</w:t>
      </w:r>
    </w:p>
    <w:p>
      <w:pPr>
        <w:spacing w:after="0" w:line="72"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8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LMN-201 (Lumen Bioscience): </w:t>
      </w:r>
      <w:r>
        <w:rPr>
          <w:rFonts w:ascii="Arial" w:cs="Arial" w:eastAsia="Arial" w:hAnsi="Arial"/>
          <w:sz w:val="15"/>
          <w:szCs w:val="15"/>
          <w:color w:val="1E1E1E"/>
        </w:rPr>
        <w:t>In Phase 2 study in patients newly diagnosed with CDI planning to receive antibiotic treatment</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8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CRS3123 (Crestone): </w:t>
      </w:r>
      <w:r>
        <w:rPr>
          <w:rFonts w:ascii="Arial" w:cs="Arial" w:eastAsia="Arial" w:hAnsi="Arial"/>
          <w:sz w:val="15"/>
          <w:szCs w:val="15"/>
          <w:color w:val="1E1E1E"/>
        </w:rPr>
        <w:t>In Phase 2 study assessing two different doses compared to vancomycin</w:t>
      </w:r>
    </w:p>
    <w:p>
      <w:pPr>
        <w:spacing w:after="0" w:line="72"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8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IMM-529 (Immuron): </w:t>
      </w:r>
      <w:r>
        <w:rPr>
          <w:rFonts w:ascii="Arial" w:cs="Arial" w:eastAsia="Arial" w:hAnsi="Arial"/>
          <w:sz w:val="15"/>
          <w:szCs w:val="15"/>
          <w:color w:val="1E1E1E"/>
        </w:rPr>
        <w:t>In Phase 2 study for primary and recurrent CDI</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8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OraCAb (MicroPharm): </w:t>
      </w:r>
      <w:r>
        <w:rPr>
          <w:rFonts w:ascii="Arial" w:cs="Arial" w:eastAsia="Arial" w:hAnsi="Arial"/>
          <w:sz w:val="15"/>
          <w:szCs w:val="15"/>
          <w:color w:val="1E1E1E"/>
        </w:rPr>
        <w:t>In Phase 2 planning stages to assess oral immunotherapeutic for primary and recurrent CDI</w:t>
      </w:r>
    </w:p>
    <w:p>
      <w:pPr>
        <w:spacing w:after="0" w:line="59"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8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AZD5148 (AstraZeneca): </w:t>
      </w:r>
      <w:r>
        <w:rPr>
          <w:rFonts w:ascii="Arial" w:cs="Arial" w:eastAsia="Arial" w:hAnsi="Arial"/>
          <w:sz w:val="15"/>
          <w:szCs w:val="15"/>
          <w:color w:val="1E1E1E"/>
        </w:rPr>
        <w:t>In Phase 1 study assessing the anti-toxin B neutralizing mAb injectable for the reduction of CDI recurrence</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Selected Preclinical Programs:</w:t>
      </w:r>
    </w:p>
    <w:p>
      <w:pPr>
        <w:spacing w:after="0" w:line="61" w:lineRule="exact"/>
        <w:rPr>
          <w:sz w:val="20"/>
          <w:szCs w:val="20"/>
          <w:color w:val="auto"/>
        </w:rPr>
      </w:pPr>
    </w:p>
    <w:p>
      <w:pPr>
        <w:ind w:left="620" w:hanging="307"/>
        <w:spacing w:after="0"/>
        <w:tabs>
          <w:tab w:leader="none" w:pos="620" w:val="left"/>
        </w:tabs>
        <w:numPr>
          <w:ilvl w:val="0"/>
          <w:numId w:val="81"/>
        </w:numPr>
        <w:rPr>
          <w:rFonts w:ascii="Arial" w:cs="Arial" w:eastAsia="Arial" w:hAnsi="Arial"/>
          <w:sz w:val="15"/>
          <w:szCs w:val="15"/>
          <w:color w:val="1E1E1E"/>
        </w:rPr>
      </w:pPr>
      <w:r>
        <w:rPr>
          <w:rFonts w:ascii="Arial" w:cs="Arial" w:eastAsia="Arial" w:hAnsi="Arial"/>
          <w:sz w:val="15"/>
          <w:szCs w:val="15"/>
          <w:color w:val="1E1E1E"/>
        </w:rPr>
        <w:t>REV102 a potential first-in-class and best-in-class ENPP1 inhibitor for Hypophosphatasia (HPP)</w:t>
      </w:r>
    </w:p>
    <w:p>
      <w:pPr>
        <w:spacing w:after="0" w:line="72" w:lineRule="exact"/>
        <w:rPr>
          <w:rFonts w:ascii="Arial" w:cs="Arial" w:eastAsia="Arial" w:hAnsi="Arial"/>
          <w:sz w:val="15"/>
          <w:szCs w:val="15"/>
          <w:color w:val="1E1E1E"/>
        </w:rPr>
      </w:pPr>
    </w:p>
    <w:p>
      <w:pPr>
        <w:ind w:left="620" w:hanging="307"/>
        <w:spacing w:after="0"/>
        <w:tabs>
          <w:tab w:leader="none" w:pos="620" w:val="left"/>
        </w:tabs>
        <w:numPr>
          <w:ilvl w:val="0"/>
          <w:numId w:val="81"/>
        </w:numPr>
        <w:rPr>
          <w:rFonts w:ascii="Arial" w:cs="Arial" w:eastAsia="Arial" w:hAnsi="Arial"/>
          <w:sz w:val="15"/>
          <w:szCs w:val="15"/>
          <w:color w:val="1E1E1E"/>
        </w:rPr>
      </w:pPr>
      <w:r>
        <w:rPr>
          <w:rFonts w:ascii="Arial" w:cs="Arial" w:eastAsia="Arial" w:hAnsi="Arial"/>
          <w:sz w:val="15"/>
          <w:szCs w:val="15"/>
          <w:color w:val="1E1E1E"/>
        </w:rPr>
        <w:t>REC-4209, a potential first-in-class NCE for the treatment of Idiopathic Pulmonary Fibrosis (IPF)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REV102 for Hypophosphatasia – IND Enabling</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5"/>
          <w:szCs w:val="15"/>
          <w:color w:val="1E1E1E"/>
        </w:rPr>
        <w:t>In 2019, Recursion (formerly Exscientia) and Rallybio established a co-development and co-ownership joint venture to apply AI-driven drug discovery to rare diseases. Using Recursion’s generative AI platform, Gambit, we identified ectonucleotide pyrophosphatase/phosphodiesterase 1 (ENPP1) as a target for the treatment of Hypophosphatasia (HPP). ENPP1 catalyzes the production of inorganic pyrophosphate (PPi), exacerbating the mineralization imbalance in HPP patients. Inhibiting ENPP1 offers a novel therapeutic approach to restoring PPi balance, promoting proper bone formation. This led to the discovery and development of REV102, a selective, orally bioavailable ENPP1 inhibitor optimized for chronic dosing with high potency and a favorable safety profile. As of December 31, 2024, REV102 has advanced to development candidate status, with IND-enabling studies expected in 2025. If successful, REV102 could provide the first oral treatment for juvenile-onset and adult HPP, addressing the limitations of enzyme replacement therapy (ERT) and expanding treatment options for patients with unmet needs.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1AA7DF"/>
        </w:rPr>
        <w:t>Disease Overview</w:t>
      </w:r>
    </w:p>
    <w:p>
      <w:pPr>
        <w:spacing w:after="0" w:line="67"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1E1E1E"/>
        </w:rPr>
        <w:t>HPP is a rare genetic disorder caused by ALPL mutations, leading to deficient tissue-nonspecific alkaline phosphatase (TNAP) activity and PPi, a potent inhibitor of bone mineralization. PPi accumulation disrupts hydroxyapatite formation, resulting in skeletal deformities, fractures, and premature tooth loss. HPP severity varies from severe early-onset cases, presenting in infancy with life-threatening complications, to juvenile-onset and adult forms, which cause progressive fractures, pain, and mobility issues. Current treatment is limited to enzyme replacement therapy (ERT), and is associated with frequent injections, immunogenicity, and costs exceeding $1 million per year. By selectively inhibiting ENPP1, REV102 aims to restore physiological mineralization by normalizing PPi levels, offering a non-immunogenic, oral alternative to ERT. With an estimated 7,800 diagnosed HPP patients at birth in the US and EU5, REV102 has the potential to expand treatment access to underserved patients.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1AA7DF"/>
        </w:rPr>
        <w:t>Insight from Recursion OS</w:t>
      </w:r>
    </w:p>
    <w:p>
      <w:pPr>
        <w:spacing w:after="0" w:line="67"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1E1E1E"/>
        </w:rPr>
        <w:t>Using our GenAI platform, we designed REV102, a potential first-in-class and best-in-class orally bioavailable and highly selective ENPP1 inhibitor for HPP. Our proprietary generative AU design algorithm, Gambit, guided precision optimization, incorporating rigorous 3D and 2D constraints to ensure high potency and suitability for lifelong chronic dosing. This AI-driven approach allowed the discovery of a structurally distinct compound with strong target engagement, designed to restore PPi homeostasis and improve bone mineralization in juvenile-onset and adult HPP patients.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1AA7DF"/>
        </w:rPr>
        <w:t>Preclinical</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In preclinical studies, our first-generation tool compound, REV101, demonstrated improved bone mineralization in HPP mouse models. Bone morphometry analysis showed that L3 vertebrae in treated HPP mice reached mineralization levels comparable to wildtype mice, while trabecular regions of the distal femur exhibited slight improvement. Notably, REV101 significantly reduced plasma PPi levels by approximately 30%, restoring them to wildtype levels after 100 days of dosing. These findings validate ENPP1 inhibition as a viable therapeutic approach for HPP and informed the design and optimization of REV102 for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118745</wp:posOffset>
            </wp:positionV>
            <wp:extent cx="5599430" cy="16046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99430" cy="160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b w:val="1"/>
          <w:bCs w:val="1"/>
          <w:color w:val="6E6E6E"/>
        </w:rPr>
        <w:t xml:space="preserve">Figure 59. </w:t>
      </w:r>
      <w:r>
        <w:rPr>
          <w:rFonts w:ascii="Arial" w:cs="Arial" w:eastAsia="Arial" w:hAnsi="Arial"/>
          <w:sz w:val="14"/>
          <w:szCs w:val="14"/>
          <w:color w:val="6E6E6E"/>
        </w:rPr>
        <w:t>(Left) ENPP1 inhibition results in improved mineralization in mouse models of HPP. Alpl-/</w:t>
      </w:r>
      <w:r>
        <w:rPr>
          <w:rFonts w:ascii="Arial" w:cs="Arial" w:eastAsia="Arial" w:hAnsi="Arial"/>
          <w:sz w:val="8"/>
          <w:szCs w:val="8"/>
          <w:color w:val="6E6E6E"/>
        </w:rPr>
        <w:t>Prx1</w:t>
      </w:r>
      <w:r>
        <w:rPr>
          <w:rFonts w:ascii="Arial" w:cs="Arial" w:eastAsia="Arial" w:hAnsi="Arial"/>
          <w:sz w:val="14"/>
          <w:szCs w:val="14"/>
          <w:b w:val="1"/>
          <w:bCs w:val="1"/>
          <w:color w:val="6E6E6E"/>
        </w:rPr>
        <w:t xml:space="preserve"> </w:t>
      </w:r>
      <w:r>
        <w:rPr>
          <w:rFonts w:ascii="Arial" w:cs="Arial" w:eastAsia="Arial" w:hAnsi="Arial"/>
          <w:sz w:val="14"/>
          <w:szCs w:val="14"/>
          <w:color w:val="6E6E6E"/>
        </w:rPr>
        <w:t>mouse model. 2D Bone morphometric analysis of trabecular bones was</w:t>
      </w:r>
      <w:r>
        <w:rPr>
          <w:rFonts w:ascii="Arial" w:cs="Arial" w:eastAsia="Arial" w:hAnsi="Arial"/>
          <w:sz w:val="14"/>
          <w:szCs w:val="14"/>
          <w:b w:val="1"/>
          <w:bCs w:val="1"/>
          <w:color w:val="6E6E6E"/>
        </w:rPr>
        <w:t xml:space="preserve"> </w:t>
      </w:r>
      <w:r>
        <w:rPr>
          <w:rFonts w:ascii="Arial" w:cs="Arial" w:eastAsia="Arial" w:hAnsi="Arial"/>
          <w:sz w:val="14"/>
          <w:szCs w:val="14"/>
          <w:color w:val="6E6E6E"/>
        </w:rPr>
        <w:t>performed on Von Kossa-stained sections using the Kawamoto’s film method. (Right) ENPP1 inhibition reduces PPi levels to those of wild-type mice. Alpl-/</w:t>
      </w:r>
      <w:r>
        <w:rPr>
          <w:rFonts w:ascii="Arial" w:cs="Arial" w:eastAsia="Arial" w:hAnsi="Arial"/>
          <w:sz w:val="17"/>
          <w:szCs w:val="17"/>
          <w:color w:val="6E6E6E"/>
          <w:vertAlign w:val="superscript"/>
        </w:rPr>
        <w:t>Prx1</w:t>
      </w:r>
      <w:r>
        <w:rPr>
          <w:rFonts w:ascii="Arial" w:cs="Arial" w:eastAsia="Arial" w:hAnsi="Arial"/>
          <w:sz w:val="14"/>
          <w:szCs w:val="14"/>
          <w:color w:val="6E6E6E"/>
        </w:rPr>
        <w:t xml:space="preserve"> in an adult-onset HPP mouse model. Plasma levels of PPi following 100 days of dosing.</w:t>
      </w:r>
      <w:r>
        <w:rPr>
          <w:rFonts w:ascii="Arial" w:cs="Arial" w:eastAsia="Arial" w:hAnsi="Arial"/>
          <w:sz w:val="17"/>
          <w:szCs w:val="17"/>
          <w:color w:val="6E6E6E"/>
          <w:vertAlign w:val="superscript"/>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16370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74" w:lineRule="exact"/>
        <w:rPr>
          <w:sz w:val="20"/>
          <w:szCs w:val="20"/>
          <w:color w:val="auto"/>
        </w:rPr>
      </w:pPr>
    </w:p>
    <w:p>
      <w:pPr>
        <w:ind w:left="240" w:right="220" w:hanging="237"/>
        <w:spacing w:after="0" w:line="226" w:lineRule="auto"/>
        <w:tabs>
          <w:tab w:leader="none" w:pos="260" w:val="left"/>
        </w:tabs>
        <w:numPr>
          <w:ilvl w:val="0"/>
          <w:numId w:val="82"/>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Narisawa, et al. (2024). ENPP1 Inhibition as a Therapeutic Approach for Later-onset Hypophosphatasia [late breaking poster]. American Society for Bone and Mineral Research (ASBMR) Annual Meeting.</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REC-4209 for Idiopathic Pulmonary Fibrosis (IPF) – IND Enabling</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Recursion identified REC-4209, a potential first-in-class, orally bioavailable immuno-mesenchymal modulator for idiopathic pulmonary fibrosis (IPF) using phenotypic screening of human PBMC-derived fibrocytes. This approach uncovered Target Epsilon, a novel regulator of fibrotic diseases. REC-4209 selectively modulates fibrocytes, fibrotic macrophages, and adaptive immune cells, offering a potential disease-modifying approach distinct from current therapies. REC-4209 is currently undergoing IND-enabling studies in preparation for clinical development.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1AA7DF"/>
        </w:rPr>
        <w:t>Disease Overview</w:t>
      </w:r>
    </w:p>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IPF is a chronic, progressive interstitial lung disease characterized by fibrotic remodeling of lung tissue, leading to irreversible respiratory decline. The disease affects approximately 3 million patients globally, with incidence rising significantly in individuals over 50 years old. Fibroblast accumulation, myofibroblast activation, and excessive extracellular matrix deposition contribute to progressive lung volume loss and impaired gas exchange. Repeated epithelial injury, coupled with immune dysregulation and fibroblast dysfunction, drives self-perpetuating fibrosis in IPF. Current antifibrotic therapies, nintedanib and pirfenidone, only slow disease progression, leaving an urgent unmet need for disease-modifying treatments that restore tissue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109855</wp:posOffset>
            </wp:positionV>
            <wp:extent cx="5108575" cy="17437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08575" cy="174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40"/>
        <w:spacing w:after="0" w:line="281" w:lineRule="auto"/>
        <w:rPr>
          <w:sz w:val="20"/>
          <w:szCs w:val="20"/>
          <w:color w:val="auto"/>
        </w:rPr>
      </w:pPr>
      <w:r>
        <w:rPr>
          <w:rFonts w:ascii="Arial" w:cs="Arial" w:eastAsia="Arial" w:hAnsi="Arial"/>
          <w:sz w:val="14"/>
          <w:szCs w:val="14"/>
          <w:b w:val="1"/>
          <w:bCs w:val="1"/>
          <w:color w:val="6E6E6E"/>
        </w:rPr>
        <w:t xml:space="preserve">Figure 60. </w:t>
      </w:r>
      <w:r>
        <w:rPr>
          <w:rFonts w:ascii="Arial" w:cs="Arial" w:eastAsia="Arial" w:hAnsi="Arial"/>
          <w:sz w:val="14"/>
          <w:szCs w:val="14"/>
          <w:color w:val="6E6E6E"/>
        </w:rPr>
        <w:t>Phenotypic screening assay. Differentiation of human PBMCs into fibrocytes can be reversed by Pentraxin-2, a tissue repair protein, to mimic a healthy state. Small</w:t>
      </w:r>
      <w:r>
        <w:rPr>
          <w:rFonts w:ascii="Arial" w:cs="Arial" w:eastAsia="Arial" w:hAnsi="Arial"/>
          <w:sz w:val="14"/>
          <w:szCs w:val="14"/>
          <w:b w:val="1"/>
          <w:bCs w:val="1"/>
          <w:color w:val="6E6E6E"/>
        </w:rPr>
        <w:t xml:space="preserve"> </w:t>
      </w:r>
      <w:r>
        <w:rPr>
          <w:rFonts w:ascii="Arial" w:cs="Arial" w:eastAsia="Arial" w:hAnsi="Arial"/>
          <w:sz w:val="14"/>
          <w:szCs w:val="14"/>
          <w:color w:val="6E6E6E"/>
        </w:rPr>
        <w:t>molecules are identified which rescue disease state to healthy state.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1AA7DF"/>
        </w:rPr>
        <w:t>Insight from Recursion OS</w:t>
      </w:r>
    </w:p>
    <w:p>
      <w:pPr>
        <w:spacing w:after="0" w:line="67"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1E1E1E"/>
        </w:rPr>
        <w:t>We developed a PBMC-derived fibrocyte phenotypic screen to model fibrotic disease and identify novel therapeutic targets in an unbiased manner. This approach identified multiple small molecules capable of mimicking the effects of pentraxin-2 (PTX-2), an endogenous anti-fibrotic protein involved in monocyte differentiation and macrophage polarization. Combining our inferential search capabilities within the Recursion OS, we uncovered Target Epsilon, a novel regulator of immuno-mesenchymal cell function. Biochemical validation confirmed small molecule binding to Target Epsilon, leading to the identification and optimization of REC-4209, a potent and selective compound designed to reverse fibrosis by restoring immune-mesenchymal homeostasis.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109855</wp:posOffset>
            </wp:positionV>
            <wp:extent cx="5599430" cy="141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99430" cy="141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400"/>
        <w:spacing w:after="0" w:line="276" w:lineRule="auto"/>
        <w:rPr>
          <w:sz w:val="20"/>
          <w:szCs w:val="20"/>
          <w:color w:val="auto"/>
        </w:rPr>
      </w:pPr>
      <w:r>
        <w:rPr>
          <w:rFonts w:ascii="Arial" w:cs="Arial" w:eastAsia="Arial" w:hAnsi="Arial"/>
          <w:sz w:val="14"/>
          <w:szCs w:val="14"/>
          <w:b w:val="1"/>
          <w:bCs w:val="1"/>
          <w:color w:val="6E6E6E"/>
        </w:rPr>
        <w:t xml:space="preserve">Figure 61. </w:t>
      </w:r>
      <w:r>
        <w:rPr>
          <w:rFonts w:ascii="Arial" w:cs="Arial" w:eastAsia="Arial" w:hAnsi="Arial"/>
          <w:sz w:val="14"/>
          <w:szCs w:val="14"/>
          <w:color w:val="6E6E6E"/>
        </w:rPr>
        <w:t>Target and compound identification and validation related to Target Epsilon. (1) Disease Score of 1.0 reflects “disease state” while disease score of 0.0 reflects “healthy</w:t>
      </w:r>
      <w:r>
        <w:rPr>
          <w:rFonts w:ascii="Arial" w:cs="Arial" w:eastAsia="Arial" w:hAnsi="Arial"/>
          <w:sz w:val="14"/>
          <w:szCs w:val="14"/>
          <w:b w:val="1"/>
          <w:bCs w:val="1"/>
          <w:color w:val="6E6E6E"/>
        </w:rPr>
        <w:t xml:space="preserve"> </w:t>
      </w:r>
      <w:r>
        <w:rPr>
          <w:rFonts w:ascii="Arial" w:cs="Arial" w:eastAsia="Arial" w:hAnsi="Arial"/>
          <w:sz w:val="14"/>
          <w:szCs w:val="14"/>
          <w:color w:val="6E6E6E"/>
        </w:rPr>
        <w:t>state”; (2) cosine similarity between REC-1169575 and genetic knockout of Epsilon is the cosine of the angle between the two vectors in high-dimensional space. Values near 1.0 suggest the angle between perturbations is near 0° and is interpreted as directionally phenosimilar; and (3) Target Epsilon NanoBRET assay.</w:t>
      </w:r>
      <w:r>
        <w:rPr>
          <w:rFonts w:ascii="Arial" w:cs="Arial" w:eastAsia="Arial" w:hAnsi="Arial"/>
          <w:sz w:val="17"/>
          <w:szCs w:val="17"/>
          <w:color w:val="6E6E6E"/>
          <w:vertAlign w:val="superscript"/>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16370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34" w:lineRule="exact"/>
        <w:rPr>
          <w:sz w:val="20"/>
          <w:szCs w:val="20"/>
          <w:color w:val="auto"/>
        </w:rPr>
      </w:pPr>
    </w:p>
    <w:p>
      <w:pPr>
        <w:ind w:left="260" w:hanging="257"/>
        <w:spacing w:after="0"/>
        <w:tabs>
          <w:tab w:leader="none" w:pos="260" w:val="left"/>
        </w:tabs>
        <w:numPr>
          <w:ilvl w:val="0"/>
          <w:numId w:val="83"/>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1AA7DF"/>
        </w:rPr>
        <w:t>Preclinical</w:t>
      </w:r>
    </w:p>
    <w:p>
      <w:pPr>
        <w:spacing w:after="0" w:line="30" w:lineRule="exact"/>
        <w:rPr>
          <w:sz w:val="20"/>
          <w:szCs w:val="20"/>
          <w:color w:val="auto"/>
        </w:rPr>
      </w:pPr>
    </w:p>
    <w:p>
      <w:pPr>
        <w:ind w:right="80"/>
        <w:spacing w:after="0" w:line="259" w:lineRule="auto"/>
        <w:rPr>
          <w:sz w:val="20"/>
          <w:szCs w:val="20"/>
          <w:color w:val="auto"/>
        </w:rPr>
      </w:pPr>
      <w:r>
        <w:rPr>
          <w:rFonts w:ascii="Arial" w:cs="Arial" w:eastAsia="Arial" w:hAnsi="Arial"/>
          <w:sz w:val="15"/>
          <w:szCs w:val="15"/>
          <w:color w:val="1E1E1E"/>
        </w:rPr>
        <w:t>REC-4209 demonstrated potent activity in phenotypic reversal assays, with an EC</w:t>
      </w:r>
      <w:r>
        <w:rPr>
          <w:rFonts w:ascii="Arial" w:cs="Arial" w:eastAsia="Arial" w:hAnsi="Arial"/>
          <w:sz w:val="20"/>
          <w:szCs w:val="20"/>
          <w:color w:val="1E1E1E"/>
          <w:vertAlign w:val="subscript"/>
        </w:rPr>
        <w:t>50</w:t>
      </w:r>
      <w:r>
        <w:rPr>
          <w:rFonts w:ascii="Arial" w:cs="Arial" w:eastAsia="Arial" w:hAnsi="Arial"/>
          <w:sz w:val="15"/>
          <w:szCs w:val="15"/>
          <w:color w:val="1E1E1E"/>
        </w:rPr>
        <w:t xml:space="preserve"> of 0.40 µM in fibrocyte rescue and an IC</w:t>
      </w:r>
      <w:r>
        <w:rPr>
          <w:rFonts w:ascii="Arial" w:cs="Arial" w:eastAsia="Arial" w:hAnsi="Arial"/>
          <w:sz w:val="20"/>
          <w:szCs w:val="20"/>
          <w:color w:val="1E1E1E"/>
          <w:vertAlign w:val="subscript"/>
        </w:rPr>
        <w:t>50</w:t>
      </w:r>
      <w:r>
        <w:rPr>
          <w:rFonts w:ascii="Arial" w:cs="Arial" w:eastAsia="Arial" w:hAnsi="Arial"/>
          <w:sz w:val="15"/>
          <w:szCs w:val="15"/>
          <w:color w:val="1E1E1E"/>
        </w:rPr>
        <w:t xml:space="preserve"> of 12 nM to Target Epsilon. In digital tolerability studies, REC-4209 was well tolerated in C57BL/6 mice at doses up to 300 mg/kg/day (PO, 6 days), with no significant effects on body weight, breathing rate, motion, or body temperature. In a rodent fibrosis model, REC-4209 significantly reduced collagen deposition, a key histological marker of fibrosis. These findings support REC-4209’s potential to halt fibrotic progression, positioning it as a novel disease-modifying therapy for IPF.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125095</wp:posOffset>
            </wp:positionV>
            <wp:extent cx="3929380" cy="23742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92938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b w:val="1"/>
          <w:bCs w:val="1"/>
          <w:color w:val="6E6E6E"/>
        </w:rPr>
        <w:t xml:space="preserve">Figure 62. </w:t>
      </w:r>
      <w:r>
        <w:rPr>
          <w:rFonts w:ascii="Arial" w:cs="Arial" w:eastAsia="Arial" w:hAnsi="Arial"/>
          <w:sz w:val="14"/>
          <w:szCs w:val="14"/>
          <w:color w:val="6E6E6E"/>
        </w:rPr>
        <w:t>REC-4209 reduces collagen in a mouse model of fibrosis. REC-4209 at low doses reduces total lung collagen by 45% to 60% versus vehicle treated mice. Groups (n=10 per</w:t>
      </w:r>
      <w:r>
        <w:rPr>
          <w:rFonts w:ascii="Arial" w:cs="Arial" w:eastAsia="Arial" w:hAnsi="Arial"/>
          <w:sz w:val="14"/>
          <w:szCs w:val="14"/>
          <w:b w:val="1"/>
          <w:bCs w:val="1"/>
          <w:color w:val="6E6E6E"/>
        </w:rPr>
        <w:t xml:space="preserve"> </w:t>
      </w:r>
      <w:r>
        <w:rPr>
          <w:rFonts w:ascii="Arial" w:cs="Arial" w:eastAsia="Arial" w:hAnsi="Arial"/>
          <w:sz w:val="14"/>
          <w:szCs w:val="14"/>
          <w:color w:val="6E6E6E"/>
        </w:rPr>
        <w:t>group; n=6 in control) compared to vehicle. ****p&lt;0.0001; one-way ANOVA with Tukey’s multiple comparison test. Data reflects mean ± 95% CI.</w:t>
      </w:r>
      <w:r>
        <w:rPr>
          <w:rFonts w:ascii="Arial" w:cs="Arial" w:eastAsia="Arial" w:hAnsi="Arial"/>
          <w:sz w:val="17"/>
          <w:szCs w:val="17"/>
          <w:color w:val="6E6E6E"/>
          <w:vertAlign w:val="superscript"/>
        </w:rPr>
        <w:t>40</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Therapeutics Partnerships: Driving Innovation Across Multiple Diseases</w:t>
      </w:r>
    </w:p>
    <w:p>
      <w:pPr>
        <w:spacing w:after="0" w:line="61" w:lineRule="exact"/>
        <w:rPr>
          <w:sz w:val="20"/>
          <w:szCs w:val="20"/>
          <w:color w:val="auto"/>
        </w:rPr>
      </w:pPr>
    </w:p>
    <w:p>
      <w:pPr>
        <w:jc w:val="both"/>
        <w:ind w:right="180"/>
        <w:spacing w:after="0" w:line="282" w:lineRule="auto"/>
        <w:rPr>
          <w:sz w:val="20"/>
          <w:szCs w:val="20"/>
          <w:color w:val="auto"/>
        </w:rPr>
      </w:pPr>
      <w:r>
        <w:rPr>
          <w:rFonts w:ascii="Arial" w:cs="Arial" w:eastAsia="Arial" w:hAnsi="Arial"/>
          <w:sz w:val="15"/>
          <w:szCs w:val="15"/>
          <w:color w:val="1E1E1E"/>
        </w:rPr>
        <w:t>At the core of Recursion’s mission is the pursuit of breakthrough therapeutics for patients. Recursion collaborates with leading pharma partners to explore a wide range of disease areas—including fibrosis, neuroscience, oncology, immunology, and inflammation. Together, these partnerships aim to identify novel targets and therapeutic candidates spanning small molecules, large molecules, gene therapies, and cell therapies.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1E1E1E"/>
        </w:rPr>
        <w:t>Each partnership is designed to advance therapeutic development, with multiple pathways to success:</w:t>
      </w:r>
    </w:p>
    <w:p>
      <w:pPr>
        <w:spacing w:after="0" w:line="111" w:lineRule="exact"/>
        <w:rPr>
          <w:sz w:val="20"/>
          <w:szCs w:val="20"/>
          <w:color w:val="auto"/>
        </w:rPr>
      </w:pPr>
    </w:p>
    <w:p>
      <w:pPr>
        <w:ind w:left="620" w:right="260" w:hanging="307"/>
        <w:spacing w:after="0" w:line="271" w:lineRule="auto"/>
        <w:tabs>
          <w:tab w:leader="none" w:pos="609" w:val="left"/>
        </w:tabs>
        <w:numPr>
          <w:ilvl w:val="0"/>
          <w:numId w:val="84"/>
        </w:numPr>
        <w:rPr>
          <w:rFonts w:ascii="Arial" w:cs="Arial" w:eastAsia="Arial" w:hAnsi="Arial"/>
          <w:sz w:val="15"/>
          <w:szCs w:val="15"/>
          <w:color w:val="1E1E1E"/>
        </w:rPr>
      </w:pPr>
      <w:r>
        <w:rPr>
          <w:rFonts w:ascii="Arial" w:cs="Arial" w:eastAsia="Arial" w:hAnsi="Arial"/>
          <w:sz w:val="15"/>
          <w:szCs w:val="15"/>
          <w:color w:val="1E1E1E"/>
        </w:rPr>
        <w:t>Novel Therapeutics: By leveraging Recursion’s comprehensive maps of biology capabilities, large compound libraries are rapidly screened, uncovering differentiated therapeutics without preconceived target hypotheses. This approach allows Recursion to identify unique solutions that address significant medical needs. With our newly added precision chemistry capabilities, we can support our partners towards potential first-in-class and best-in-class therapies.</w:t>
      </w:r>
    </w:p>
    <w:p>
      <w:pPr>
        <w:spacing w:after="0" w:line="20" w:lineRule="exact"/>
        <w:rPr>
          <w:rFonts w:ascii="Arial" w:cs="Arial" w:eastAsia="Arial" w:hAnsi="Arial"/>
          <w:sz w:val="15"/>
          <w:szCs w:val="15"/>
          <w:color w:val="1E1E1E"/>
        </w:rPr>
      </w:pPr>
    </w:p>
    <w:p>
      <w:pPr>
        <w:ind w:left="620" w:hanging="307"/>
        <w:spacing w:after="0" w:line="294" w:lineRule="auto"/>
        <w:tabs>
          <w:tab w:leader="none" w:pos="609" w:val="left"/>
        </w:tabs>
        <w:numPr>
          <w:ilvl w:val="0"/>
          <w:numId w:val="84"/>
        </w:numPr>
        <w:rPr>
          <w:rFonts w:ascii="Arial" w:cs="Arial" w:eastAsia="Arial" w:hAnsi="Arial"/>
          <w:sz w:val="15"/>
          <w:szCs w:val="15"/>
          <w:color w:val="1E1E1E"/>
        </w:rPr>
      </w:pPr>
      <w:r>
        <w:rPr>
          <w:rFonts w:ascii="Arial" w:cs="Arial" w:eastAsia="Arial" w:hAnsi="Arial"/>
          <w:sz w:val="15"/>
          <w:szCs w:val="15"/>
          <w:color w:val="1E1E1E"/>
        </w:rPr>
        <w:t>Novel Targets: Recursion’s platform’s ability to profile diverse biological perturbations—including genetic factors—enables the discovery of novel druggable targets. Recursion then collaborates with partners to transform these insights into promising therapeutic candidates.</w:t>
      </w:r>
    </w:p>
    <w:p>
      <w:pPr>
        <w:spacing w:after="0" w:line="145"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color w:val="1E1E1E"/>
        </w:rPr>
        <w:t xml:space="preserve">Recursion’s strategic business combination with Exscientia has significantly expanded its partnership value, bringing leaders like Sanofi and Merck KGaA into the fold. </w:t>
      </w:r>
      <w:r>
        <w:rPr>
          <w:rFonts w:ascii="Arial" w:cs="Arial" w:eastAsia="Arial" w:hAnsi="Arial"/>
          <w:sz w:val="15"/>
          <w:szCs w:val="15"/>
          <w:b w:val="1"/>
          <w:bCs w:val="1"/>
          <w:color w:val="1E1E1E"/>
        </w:rPr>
        <w:t>To date, Recursion has secured $450 million in upfront milestone payments, with the potential to unlock over $20 billion in additional milestones</w:t>
      </w:r>
      <w:r>
        <w:rPr>
          <w:rFonts w:ascii="Arial" w:cs="Arial" w:eastAsia="Arial" w:hAnsi="Arial"/>
          <w:sz w:val="15"/>
          <w:szCs w:val="15"/>
          <w:color w:val="1E1E1E"/>
        </w:rPr>
        <w:t xml:space="preserve"> </w:t>
      </w:r>
      <w:r>
        <w:rPr>
          <w:rFonts w:ascii="Arial" w:cs="Arial" w:eastAsia="Arial" w:hAnsi="Arial"/>
          <w:sz w:val="15"/>
          <w:szCs w:val="15"/>
          <w:b w:val="1"/>
          <w:bCs w:val="1"/>
          <w:color w:val="1E1E1E"/>
        </w:rPr>
        <w:t xml:space="preserve">before royalties. </w:t>
      </w:r>
      <w:r>
        <w:rPr>
          <w:rFonts w:ascii="Arial" w:cs="Arial" w:eastAsia="Arial" w:hAnsi="Arial"/>
          <w:sz w:val="15"/>
          <w:szCs w:val="15"/>
          <w:color w:val="1E1E1E"/>
        </w:rPr>
        <w:t>These high-impact collaborations not only generate near-term financial value but also leverage Recursion’s combined capabilities in biology,</w:t>
      </w:r>
      <w:r>
        <w:rPr>
          <w:rFonts w:ascii="Arial" w:cs="Arial" w:eastAsia="Arial" w:hAnsi="Arial"/>
          <w:sz w:val="15"/>
          <w:szCs w:val="15"/>
          <w:b w:val="1"/>
          <w:bCs w:val="1"/>
          <w:color w:val="1E1E1E"/>
        </w:rPr>
        <w:t xml:space="preserve"> </w:t>
      </w:r>
      <w:r>
        <w:rPr>
          <w:rFonts w:ascii="Arial" w:cs="Arial" w:eastAsia="Arial" w:hAnsi="Arial"/>
          <w:sz w:val="15"/>
          <w:szCs w:val="15"/>
          <w:color w:val="1E1E1E"/>
        </w:rPr>
        <w:t>precision chemistry, and automated synthesis to accelerate the development of transformative therapies.</w:t>
      </w:r>
    </w:p>
    <w:p>
      <w:pPr>
        <w:spacing w:after="0" w:line="17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1E1E1E"/>
        </w:rPr>
        <w:t>By collaborating with top-tier biopharmaceutical companies, Recursion gains access to invaluable knowledge from some of the most experienced teams in the industry. Together, with Recursion’s AI-driven platforms, proprietary data, and deep scientific expertise we continuously drive innovation, expand patient impact, and revolutionize the treatment of complex diseases. Below are some of the latest milestones reflecting this exciting momentum.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6370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14" w:lineRule="exact"/>
        <w:rPr>
          <w:sz w:val="20"/>
          <w:szCs w:val="20"/>
          <w:color w:val="auto"/>
        </w:rPr>
      </w:pPr>
    </w:p>
    <w:p>
      <w:pPr>
        <w:ind w:left="260" w:hanging="257"/>
        <w:spacing w:after="0"/>
        <w:tabs>
          <w:tab w:leader="none" w:pos="260" w:val="left"/>
        </w:tabs>
        <w:numPr>
          <w:ilvl w:val="0"/>
          <w:numId w:val="85"/>
        </w:numPr>
        <w:rPr>
          <w:rFonts w:ascii="Arial" w:cs="Arial" w:eastAsia="Arial" w:hAnsi="Arial"/>
          <w:sz w:val="18"/>
          <w:szCs w:val="18"/>
          <w:i w:val="1"/>
          <w:iCs w:val="1"/>
          <w:color w:val="6E6E6E"/>
          <w:vertAlign w:val="superscript"/>
        </w:rPr>
      </w:pPr>
      <w:r>
        <w:rPr>
          <w:rFonts w:ascii="Arial" w:cs="Arial" w:eastAsia="Arial" w:hAnsi="Arial"/>
          <w:sz w:val="14"/>
          <w:szCs w:val="14"/>
          <w:i w:val="1"/>
          <w:iCs w:val="1"/>
          <w:color w:val="6E6E6E"/>
        </w:rPr>
        <w:t>Data on file.</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Key Highlights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339397"/>
        </w:rPr>
        <w:t>Roche and Genentech</w:t>
      </w:r>
    </w:p>
    <w:p>
      <w:pPr>
        <w:spacing w:after="0" w:line="29" w:lineRule="exact"/>
        <w:rPr>
          <w:sz w:val="20"/>
          <w:szCs w:val="20"/>
          <w:color w:val="auto"/>
        </w:rPr>
      </w:pPr>
    </w:p>
    <w:p>
      <w:pPr>
        <w:ind w:right="280"/>
        <w:spacing w:after="0" w:line="265" w:lineRule="auto"/>
        <w:rPr>
          <w:sz w:val="20"/>
          <w:szCs w:val="20"/>
          <w:color w:val="auto"/>
        </w:rPr>
      </w:pPr>
      <w:r>
        <w:rPr>
          <w:rFonts w:ascii="Arial" w:cs="Arial" w:eastAsia="Arial" w:hAnsi="Arial"/>
          <w:sz w:val="15"/>
          <w:szCs w:val="15"/>
          <w:color w:val="1E1E1E"/>
        </w:rPr>
        <w:t>In December 2021, we entered into a multi-year, strategic collaboration with Roche and Genentech in key areas of neuroscience and an oncology indication. Through the partnership, we are working with both Roche and Genentech's R&amp;D units to leverage our Recursion OS and Maps of Biology, along with extensive single-cell perturbation screening data from Roche and Genentech, to rapidly identify novel biological relationships to initiate and advance therapeutic programs. Together we may initiate up to 40 programs over a decade or longer.</w:t>
      </w:r>
    </w:p>
    <w:p>
      <w:pPr>
        <w:spacing w:after="0" w:line="62" w:lineRule="exact"/>
        <w:rPr>
          <w:sz w:val="20"/>
          <w:szCs w:val="20"/>
          <w:color w:val="auto"/>
        </w:rPr>
      </w:pPr>
    </w:p>
    <w:p>
      <w:pPr>
        <w:ind w:left="620" w:right="360" w:hanging="307"/>
        <w:spacing w:after="0" w:line="281" w:lineRule="auto"/>
        <w:tabs>
          <w:tab w:leader="none" w:pos="609" w:val="left"/>
        </w:tabs>
        <w:numPr>
          <w:ilvl w:val="0"/>
          <w:numId w:val="86"/>
        </w:numPr>
        <w:rPr>
          <w:rFonts w:ascii="Arial" w:cs="Arial" w:eastAsia="Arial" w:hAnsi="Arial"/>
          <w:sz w:val="15"/>
          <w:szCs w:val="15"/>
          <w:color w:val="1E1E1E"/>
        </w:rPr>
      </w:pPr>
      <w:r>
        <w:rPr>
          <w:rFonts w:ascii="Arial" w:cs="Arial" w:eastAsia="Arial" w:hAnsi="Arial"/>
          <w:sz w:val="15"/>
          <w:szCs w:val="15"/>
          <w:color w:val="1E1E1E"/>
        </w:rPr>
        <w:t>Gastrointestinal-Oncology Advancements: In partnership with Roche and Genentech, we generated multiple whole-genome phenomaps with chemical perturbations across various disease-relevant cell types, enabling deeper insights into how different cellular contexts respond to gene knockouts and chemicals.</w:t>
      </w:r>
    </w:p>
    <w:p>
      <w:pPr>
        <w:ind w:left="620" w:right="380" w:hanging="307"/>
        <w:spacing w:after="0" w:line="295" w:lineRule="auto"/>
        <w:tabs>
          <w:tab w:leader="none" w:pos="609" w:val="left"/>
        </w:tabs>
        <w:numPr>
          <w:ilvl w:val="0"/>
          <w:numId w:val="86"/>
        </w:numPr>
        <w:rPr>
          <w:rFonts w:ascii="Arial" w:cs="Arial" w:eastAsia="Arial" w:hAnsi="Arial"/>
          <w:sz w:val="15"/>
          <w:szCs w:val="15"/>
          <w:color w:val="1E1E1E"/>
        </w:rPr>
      </w:pPr>
      <w:r>
        <w:rPr>
          <w:rFonts w:ascii="Arial" w:cs="Arial" w:eastAsia="Arial" w:hAnsi="Arial"/>
          <w:sz w:val="15"/>
          <w:szCs w:val="15"/>
          <w:color w:val="1E1E1E"/>
        </w:rPr>
        <w:t>Neuro-specific CRISPR KO Phenomap: In partnership with Roche and Genentech, we’ve developed the first whole-genome CRISPR knockout map in neural iPSC cells, providing valuable data to identify potential new targets in neuroscience, an area with limited new discoveries.</w:t>
      </w:r>
    </w:p>
    <w:p>
      <w:pPr>
        <w:spacing w:after="0" w:line="1" w:lineRule="exact"/>
        <w:rPr>
          <w:rFonts w:ascii="Arial" w:cs="Arial" w:eastAsia="Arial" w:hAnsi="Arial"/>
          <w:sz w:val="15"/>
          <w:szCs w:val="15"/>
          <w:color w:val="1E1E1E"/>
        </w:rPr>
      </w:pPr>
    </w:p>
    <w:p>
      <w:pPr>
        <w:ind w:left="620" w:right="320" w:hanging="307"/>
        <w:spacing w:after="0" w:line="312" w:lineRule="auto"/>
        <w:tabs>
          <w:tab w:leader="none" w:pos="609" w:val="left"/>
        </w:tabs>
        <w:numPr>
          <w:ilvl w:val="0"/>
          <w:numId w:val="86"/>
        </w:numPr>
        <w:rPr>
          <w:rFonts w:ascii="Arial" w:cs="Arial" w:eastAsia="Arial" w:hAnsi="Arial"/>
          <w:sz w:val="15"/>
          <w:szCs w:val="15"/>
          <w:color w:val="1E1E1E"/>
        </w:rPr>
      </w:pPr>
      <w:r>
        <w:rPr>
          <w:rFonts w:ascii="Arial" w:cs="Arial" w:eastAsia="Arial" w:hAnsi="Arial"/>
          <w:sz w:val="15"/>
          <w:szCs w:val="15"/>
          <w:color w:val="1E1E1E"/>
        </w:rPr>
        <w:t>Milestones and Collaboration: The neuroscience phenomap work led to the exercise of a $30M option from Roche and Genentech in August 2024, and we’re moving forward with target validation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26035</wp:posOffset>
            </wp:positionV>
            <wp:extent cx="5599430" cy="1678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99430" cy="167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63. </w:t>
      </w:r>
      <w:r>
        <w:rPr>
          <w:rFonts w:ascii="Arial" w:cs="Arial" w:eastAsia="Arial" w:hAnsi="Arial"/>
          <w:sz w:val="14"/>
          <w:szCs w:val="14"/>
          <w:color w:val="6E6E6E"/>
        </w:rPr>
        <w:t>Under our collaboration with Roche &amp; Genentech, we are creating multimodal maps of cellular biology to elucidate novel targets and starting points.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1AA7DF"/>
        </w:rPr>
        <w:t>Sanofi</w:t>
      </w:r>
    </w:p>
    <w:p>
      <w:pPr>
        <w:spacing w:after="0" w:line="67"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1E1E1E"/>
        </w:rPr>
        <w:t>In January 2022, we entered into a strategic research collaboration with Sanofi to develop an AI-driven pipeline of precision-engineered, small molecule medicines. Through this collaboration, we are using our end-to-end integrated platform to discover and advance up to 15 novel targets in the oncology and immunology therapeutic areas. As part of this agreement, we received an upfront cash payment of $100 million, with the potential to receive up to $5.2 billion in total aggregate milestone payments plus tiered royalties.</w:t>
      </w:r>
    </w:p>
    <w:p>
      <w:pPr>
        <w:spacing w:after="0" w:line="158" w:lineRule="exact"/>
        <w:rPr>
          <w:sz w:val="20"/>
          <w:szCs w:val="20"/>
          <w:color w:val="auto"/>
        </w:rPr>
      </w:pPr>
    </w:p>
    <w:p>
      <w:pPr>
        <w:ind w:left="620" w:right="440" w:hanging="307"/>
        <w:spacing w:after="0" w:line="294" w:lineRule="auto"/>
        <w:tabs>
          <w:tab w:leader="none" w:pos="609" w:val="left"/>
        </w:tabs>
        <w:numPr>
          <w:ilvl w:val="0"/>
          <w:numId w:val="87"/>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Immunology &amp; Oncology Achievements: </w:t>
      </w:r>
      <w:r>
        <w:rPr>
          <w:rFonts w:ascii="Arial" w:cs="Arial" w:eastAsia="Arial" w:hAnsi="Arial"/>
          <w:sz w:val="15"/>
          <w:szCs w:val="15"/>
          <w:color w:val="1E1E1E"/>
        </w:rPr>
        <w:t>in 2024, we reached milestones in two programs, generating $15M in aggregate payments from Sanofi in</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2024.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1AA7DF"/>
        </w:rPr>
        <w:t>Bayer</w:t>
      </w:r>
    </w:p>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In November 2023, we announced an updated collaboration with our established partner, Bayer, for a select set of precision oncology programs. The collaboration will leverage our state-of-the-art capabilities to initiate and advance the identification of novel therapeutic targets for challenging oncology indications with high unmet need. Under the terms of the agreement, we may initiate up to seven oncology programs and Recursion is eligible to receive potential, success-based, future payments of up to $1.5 billion plus royalties on net sales.</w:t>
      </w:r>
    </w:p>
    <w:p>
      <w:pPr>
        <w:spacing w:after="0" w:line="162" w:lineRule="exact"/>
        <w:rPr>
          <w:sz w:val="20"/>
          <w:szCs w:val="20"/>
          <w:color w:val="auto"/>
        </w:rPr>
      </w:pPr>
    </w:p>
    <w:p>
      <w:pPr>
        <w:ind w:left="620" w:right="260" w:hanging="307"/>
        <w:spacing w:after="0" w:line="295" w:lineRule="auto"/>
        <w:tabs>
          <w:tab w:leader="none" w:pos="609" w:val="left"/>
        </w:tabs>
        <w:numPr>
          <w:ilvl w:val="0"/>
          <w:numId w:val="88"/>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Oncology Achievements: </w:t>
      </w:r>
      <w:r>
        <w:rPr>
          <w:rFonts w:ascii="Arial" w:cs="Arial" w:eastAsia="Arial" w:hAnsi="Arial"/>
          <w:sz w:val="15"/>
          <w:szCs w:val="15"/>
          <w:color w:val="1E1E1E"/>
        </w:rPr>
        <w:t>Completed 25 multimodal oncology data packages utilizing the Recursion OS platform, with programs rapidly progressing to</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Lead Series nomination.</w:t>
      </w:r>
    </w:p>
    <w:p>
      <w:pPr>
        <w:spacing w:after="0" w:line="1" w:lineRule="exact"/>
        <w:rPr>
          <w:rFonts w:ascii="Arial" w:cs="Arial" w:eastAsia="Arial" w:hAnsi="Arial"/>
          <w:sz w:val="15"/>
          <w:szCs w:val="15"/>
          <w:b w:val="1"/>
          <w:bCs w:val="1"/>
          <w:i w:val="1"/>
          <w:iCs w:val="1"/>
          <w:color w:val="1E1E1E"/>
        </w:rPr>
      </w:pPr>
    </w:p>
    <w:p>
      <w:pPr>
        <w:ind w:left="620" w:hanging="307"/>
        <w:spacing w:after="0"/>
        <w:tabs>
          <w:tab w:leader="none" w:pos="620" w:val="left"/>
        </w:tabs>
        <w:numPr>
          <w:ilvl w:val="0"/>
          <w:numId w:val="88"/>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LOWE: </w:t>
      </w:r>
      <w:r>
        <w:rPr>
          <w:rFonts w:ascii="Arial" w:cs="Arial" w:eastAsia="Arial" w:hAnsi="Arial"/>
          <w:sz w:val="15"/>
          <w:szCs w:val="15"/>
          <w:color w:val="1E1E1E"/>
        </w:rPr>
        <w:t>Additionally, Bayer has adopted our LOWE LLM-orchestrated workflow software to enhance their research capabilities.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1AA7DF"/>
        </w:rPr>
        <w:t>Merck KGaA (Darmstadt, Germany)</w:t>
      </w:r>
    </w:p>
    <w:p>
      <w:pPr>
        <w:spacing w:after="0" w:line="67" w:lineRule="exact"/>
        <w:rPr>
          <w:sz w:val="20"/>
          <w:szCs w:val="20"/>
          <w:color w:val="auto"/>
        </w:rPr>
      </w:pPr>
    </w:p>
    <w:p>
      <w:pPr>
        <w:spacing w:after="0" w:line="282" w:lineRule="auto"/>
        <w:rPr>
          <w:sz w:val="20"/>
          <w:szCs w:val="20"/>
          <w:color w:val="auto"/>
        </w:rPr>
      </w:pPr>
      <w:r>
        <w:rPr>
          <w:rFonts w:ascii="Arial" w:cs="Arial" w:eastAsia="Arial" w:hAnsi="Arial"/>
          <w:sz w:val="15"/>
          <w:szCs w:val="15"/>
          <w:color w:val="1E1E1E"/>
        </w:rPr>
        <w:t>In September 2023, we entered into a collaboration with Merck KGaA, Darmstadt, Germany. This multi-year collaboration utilizes our AI-driven precision drug design and discovery capabilities while leveraging Merck KGaA, Darmstadt, Germany’s disease expertise in oncology and immunology, clinical development capabilities, and global footprint.</w:t>
      </w:r>
    </w:p>
    <w:p>
      <w:pPr>
        <w:spacing w:after="0" w:line="153" w:lineRule="exact"/>
        <w:rPr>
          <w:sz w:val="20"/>
          <w:szCs w:val="20"/>
          <w:color w:val="auto"/>
        </w:rPr>
      </w:pPr>
    </w:p>
    <w:p>
      <w:pPr>
        <w:ind w:left="620" w:right="320" w:hanging="307"/>
        <w:spacing w:after="0" w:line="312" w:lineRule="auto"/>
        <w:tabs>
          <w:tab w:leader="none" w:pos="609" w:val="left"/>
        </w:tabs>
        <w:numPr>
          <w:ilvl w:val="0"/>
          <w:numId w:val="89"/>
        </w:numPr>
        <w:rPr>
          <w:rFonts w:ascii="Arial" w:cs="Arial" w:eastAsia="Arial" w:hAnsi="Arial"/>
          <w:sz w:val="15"/>
          <w:szCs w:val="15"/>
          <w:color w:val="1E1E1E"/>
        </w:rPr>
      </w:pPr>
      <w:r>
        <w:rPr>
          <w:rFonts w:ascii="Arial" w:cs="Arial" w:eastAsia="Arial" w:hAnsi="Arial"/>
          <w:sz w:val="15"/>
          <w:szCs w:val="15"/>
          <w:color w:val="1E1E1E"/>
        </w:rPr>
        <w:t>Recursion is continuing to focus on leveraging our discovery engine to identify first-in-class and best-in-class targets across oncology and immunology, driving innovation in these key therapeutic areas.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Case Study: Delivering the World’s First Neuromap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55245</wp:posOffset>
            </wp:positionV>
            <wp:extent cx="5337810" cy="32416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3781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Figure 64: Recursion launched a transformational collaboration with Roche-Genentech, delivering the world’s first whole-genome neuromap in 2024.</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1AA7DF"/>
        </w:rPr>
        <w:t>Overview</w:t>
      </w:r>
    </w:p>
    <w:p>
      <w:pPr>
        <w:spacing w:after="0" w:line="67"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1E1E1E"/>
        </w:rPr>
        <w:t>In 2021, Recursion launched a transformational collaboration with Roche-Genentech to create the world’s first Neuromap—a comprehensive and scalable neuronal data model powered by machine learning. This effort aimed to uncover novel insights into neurodegenerative diseases, a category of illnesses that has long been difficult to tackle using traditional drug discovery methods. With a dedicated team of 50 people, Recursion set out to overcome numerous technical and biological challenges, all with the goal of driving innovation in neuroscience.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1AA7DF"/>
        </w:rPr>
        <w:t>The Challenge</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1E1E1E"/>
        </w:rPr>
        <w:t>When the project began, the team faced significant uncertainty. The goal was ambitious: produce enough neurons, knock out genes, and generate a reliable signal from machine learning models to guide the development of potential drug programs. This challenge was particularly daunting given the complexity of neuronal cells, which do not divide or proliferate like other cell types. Unlike other cell types, such as human umbilical vein endothelial cells (HUVECs), which Recursion had previously worked with to create large-scale disease maps, neuronal cells posed a unique set of hurdles due to their limited ability to be produced at scale.</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1E1E1E"/>
        </w:rPr>
        <w:t>Neurodegenerative diseases had long been a difficult area for drug development. The traditional approaches has yielded limited breakthroughs, and the complexity of the biological system presented a higher bar for success. Recursion needed to develop new technologies and methodologies to produce and analyze neuronal data on a scale never before attempted in drug discovery.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color w:val="1E1E1E"/>
        </w:rPr>
        <w:t>Recursion had already proven its ability to create large-scale cell maps in other disease areas, notably in gastrointestinal oncology, as part of its partnership with Roche and Genentech. The success of this collaboration demonstrated the power of Recursion’s phenotypic screening platform, which uses high-throughput technologies to produce vast amounts of biological data. However, creating a Neuromap would require more than just expanding on previous work—it required adapting the process to handle the unique challenges posed by neuronal biology.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1AA7DF"/>
        </w:rPr>
        <w:t>Execution</w:t>
      </w:r>
    </w:p>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5"/>
          <w:szCs w:val="15"/>
          <w:color w:val="1E1E1E"/>
        </w:rPr>
        <w:t>To tackle this challenge, Recursion collaborated with Genentech to develop and refine a model using human-induced pluripotent stem cells (hiPSCs), which could be differentiated into neurons. This protocol enabled Recursion to produce large quantities of neurons, ultimately generating over 1 trillion hiPSC-derived neuronal cells. These neurons served as the foundation for the Neuromap, a data-rich resource that Recursion, Genentech and Roche could use to gain deeper insights into the genetic underpinnings of neurodegenerative diseases. In addition to the joint development of the neuronal cell context, Recursion’s machine learning team played a pivotal role in developing algorithms capable of processing the massive amounts of data generated by the Neuromap. The combination of scalable cell production and cutting-edge computational models allowed Recursion to generate the first whole-genome neuronal phenomap that can be utilized by the partnership to uncover new relationships between genes and the phenotypes associated with neurodegeneration.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1AA7DF"/>
        </w:rPr>
        <w:t>Outcome</w:t>
      </w:r>
    </w:p>
    <w:p>
      <w:pPr>
        <w:spacing w:after="0" w:line="67"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1E1E1E"/>
        </w:rPr>
        <w:t>Our work led to the exercise of a $30M option by Roche and Genentech in August 2024 with the Neuromap offering an unbiased view of the genetic relationships related to neurodegenerative diseases and providing insights that could pave the way for development of novel therapies in neuroscience. Unlike traditional approaches that are often guided by pre-existing hypotheses, researchers in the collaboration can now explore new biological pathways and identify potential therapeutic targets that may not have been considered before. Even as these avenues are being explored, the team is also pursuing the development of even more robust Neuromaps. This first map is a genetics-only map, with the whole genome knockout and many additional perturbations related to neurodegenerative diseases. Future maps could comprise additional cell types or large compound libraries.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Technology Partnerships</w:t>
      </w:r>
    </w:p>
    <w:p>
      <w:pPr>
        <w:spacing w:after="0" w:line="61"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As Recursion continues to generate and leverage highly relatable and reliable datasets to support our internal pipeline and therapeutic partnerships, we continue to invest in advanced compute capabilities and data-centric solutions to strengthen our drug discovery and development efforts. Expanding on our previous release of select datasets and models, we are exploring additional opportunities to make more datasets and foundational models available to the broader scientific community. Our collaborations with NVIDIA. Google Cloud, Helix, and Faro Health underline our commitment to implementing AI and technology-enabled solutions to support our efforts to bring better medicines to patients faster.</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NVIDIA</w:t>
      </w:r>
    </w:p>
    <w:p>
      <w:pPr>
        <w:spacing w:after="0" w:line="74"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1E1E1E"/>
        </w:rPr>
        <w:t>In July 2023, we entered a strategic collaboration with NVIDIA to accelerate the development of our groundbreaking AI foundation models for biology and chemistry using our supercomputer, BioHive-1, and priority access on NVIDIA DGX™ Cloud. In May 2024, we completed BioHive-2, Recursion’s new NVIDIA DGX SuperPOD AI supercomputer, powered by 63 DGX H100 systems with a total of 504 NVIDIA H100 Tensor Core GPUs increasing the computational capacity by over 4X. The BioHive-2 supercomputer is believed to be the most powerful supercomputer wholly owned and operated by any pharmaceutical company and was ranked as number 54 in the top supercomputers globally by the Top500 list in 2024.</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Helix</w:t>
      </w:r>
    </w:p>
    <w:p>
      <w:pPr>
        <w:spacing w:after="0" w:line="61" w:lineRule="exact"/>
        <w:rPr>
          <w:sz w:val="20"/>
          <w:szCs w:val="20"/>
          <w:color w:val="auto"/>
        </w:rPr>
      </w:pPr>
    </w:p>
    <w:p>
      <w:pPr>
        <w:spacing w:after="0" w:line="282" w:lineRule="auto"/>
        <w:rPr>
          <w:sz w:val="20"/>
          <w:szCs w:val="20"/>
          <w:color w:val="auto"/>
        </w:rPr>
      </w:pPr>
      <w:r>
        <w:rPr>
          <w:rFonts w:ascii="Arial" w:cs="Arial" w:eastAsia="Arial" w:hAnsi="Arial"/>
          <w:sz w:val="15"/>
          <w:szCs w:val="15"/>
          <w:color w:val="1E1E1E"/>
        </w:rPr>
        <w:t>In May 2024, we entered into a multi-year agreement with Helix to access hundreds of thousands of de-identified clinic-genomic records consisting of longitudinal clinical records paired with Helix’s Exome+® genomic data. The Helix dataset expands our efforts to use real-world patient data to train causal AI models and design biomarker and patient stratification strategies across broad disease areas.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Google Cloud</w:t>
      </w:r>
    </w:p>
    <w:p>
      <w:pPr>
        <w:spacing w:after="0" w:line="61"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E1E1E"/>
        </w:rPr>
        <w:t>In October 2024, we announced an expanded collaboration with Google Cloud leveraging their technologies to accelerate drug discovery research and further enhance our ability to bring new medicines to patients faster. Through this collaboration, we will explore generative AI capabilities, including Gemini models, to support the RecursionOS. We will improve data search and access from our proprietary dataset with BigQuery and facilitate the scaling of compute resources to run large inference workflows effectively. Additionally, in November 2024, we announced the release of OpenPhenom-S/16 in Google Cloud’s Vertex AI Model Garden. OpenPhenom, a non-commercial, publicly available foundation model built on microscopy data, sets a new “gold standard” for the industry, outperforming CellProfiler. This model offers the potential for researchers to replace their existing workflows with an off-the-shelf model that outperforms traditional microscopy analysis pipelines without requiring any additional tuning or training.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Faro Health</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In December 2024, we entered into an agreement with Faro Health to leverage their AI-powered platform for clinical protocol design to reduce clinical trial costs and complexity while minimizing burden to trial participants and sites. We plan to use the Faro platform to optimize the protocol design for upcoming clinical trials. We also anticipate utilizing the structured study definitions created through Faro’s software to automate traditionally labor-intensive and time-consuming historically downstream tasks, such as building the Electronic Data Capture system for each study.</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People and Culture</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5"/>
          <w:szCs w:val="15"/>
          <w:color w:val="1E1E1E"/>
        </w:rPr>
        <w:t>Essential to leading and defining TechBio is our team of over 800 Recursionauts, comprising life scientists such as chemists and biologists (approximately 43% of employees) and computational and technical experts such as data scientists and software engineers (approximately 36% of employees). This kind of functional balance intentionally stands in contrast to traditional biotechnology companies. Together our team creates an environment where empirical data, statistical rigor and creative thinking is brought to bear on the problems we address. While we are united in a common mission, Decoding Biology to Radically Improve Lives, our strength lies in our differences: expertise, gender, race, disciplines, experience and perspectives. Deliberately building and cultivating this culture is critical to achieving our audacious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111760</wp:posOffset>
            </wp:positionV>
            <wp:extent cx="5075555" cy="29800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75555" cy="298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65. </w:t>
      </w:r>
      <w:r>
        <w:rPr>
          <w:rFonts w:ascii="Arial" w:cs="Arial" w:eastAsia="Arial" w:hAnsi="Arial"/>
          <w:sz w:val="14"/>
          <w:szCs w:val="14"/>
          <w:color w:val="6E6E6E"/>
        </w:rPr>
        <w:t>Breakdown of Recursion’s over 800 employees across life sciences, technology and strategic operations.</w:t>
      </w:r>
    </w:p>
    <w:p>
      <w:pPr>
        <w:spacing w:after="0" w:line="159"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1E1E1E"/>
        </w:rPr>
        <w:t>One of the most critical elements supporting Recursion’s leadership in TechBio is what we call the Recursion Mindset – a deep belief and commitment to industrialization through automation, systems-thinking, algorithms and data to deliver our mission. This mindset fuels our creative energy focused on Recursion’s hardest problems. The Recursion Mindset is made manifest through our Founding Principles and supported by our culture and values. Our Founding Principles are the guideposts for our technical and scientific decision-making. Our values are the core standards and behaviors that define how we work together to achieve our mission. Combined they shape our culture and inspire us to reimagine how medicines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369570</wp:posOffset>
            </wp:positionV>
            <wp:extent cx="4322445" cy="23825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22445" cy="238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b w:val="1"/>
          <w:bCs w:val="1"/>
          <w:color w:val="6E6E6E"/>
        </w:rPr>
        <w:t xml:space="preserve">Figure 66. </w:t>
      </w:r>
      <w:r>
        <w:rPr>
          <w:rFonts w:ascii="Arial" w:cs="Arial" w:eastAsia="Arial" w:hAnsi="Arial"/>
          <w:sz w:val="14"/>
          <w:szCs w:val="14"/>
          <w:color w:val="6E6E6E"/>
        </w:rPr>
        <w:t>Recursion’s Founding Principles. These six founding principles differentiate our approach from nearly every other biopharma company, enable us to lead TechBio and form</w:t>
      </w:r>
      <w:r>
        <w:rPr>
          <w:rFonts w:ascii="Arial" w:cs="Arial" w:eastAsia="Arial" w:hAnsi="Arial"/>
          <w:sz w:val="14"/>
          <w:szCs w:val="14"/>
          <w:b w:val="1"/>
          <w:bCs w:val="1"/>
          <w:color w:val="6E6E6E"/>
        </w:rPr>
        <w:t xml:space="preserve"> </w:t>
      </w:r>
      <w:r>
        <w:rPr>
          <w:rFonts w:ascii="Arial" w:cs="Arial" w:eastAsia="Arial" w:hAnsi="Arial"/>
          <w:sz w:val="14"/>
          <w:szCs w:val="14"/>
          <w:color w:val="6E6E6E"/>
        </w:rPr>
        <w:t>the foundation for a mindset we teach and enrich for at Recursion.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-12065</wp:posOffset>
            </wp:positionV>
            <wp:extent cx="4715510" cy="36512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15510" cy="365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67. Recursion’s Values. </w:t>
      </w:r>
      <w:r>
        <w:rPr>
          <w:rFonts w:ascii="Arial" w:cs="Arial" w:eastAsia="Arial" w:hAnsi="Arial"/>
          <w:sz w:val="14"/>
          <w:szCs w:val="14"/>
          <w:color w:val="6E6E6E"/>
        </w:rPr>
        <w:t>These five values support our founding principles and guide our culture at Recursion.</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Maximizing Delivery through Diversity</w:t>
      </w:r>
    </w:p>
    <w:p>
      <w:pPr>
        <w:spacing w:after="0" w:line="61" w:lineRule="exact"/>
        <w:rPr>
          <w:sz w:val="20"/>
          <w:szCs w:val="20"/>
          <w:color w:val="auto"/>
        </w:rPr>
      </w:pPr>
    </w:p>
    <w:p>
      <w:pPr>
        <w:ind w:right="240"/>
        <w:spacing w:after="0" w:line="271" w:lineRule="auto"/>
        <w:rPr>
          <w:sz w:val="20"/>
          <w:szCs w:val="20"/>
          <w:color w:val="auto"/>
        </w:rPr>
      </w:pPr>
      <w:r>
        <w:rPr>
          <w:rFonts w:ascii="Arial" w:cs="Arial" w:eastAsia="Arial" w:hAnsi="Arial"/>
          <w:sz w:val="15"/>
          <w:szCs w:val="15"/>
          <w:color w:val="1E1E1E"/>
        </w:rPr>
        <w:t>At Recursion we believe a diversity of experiences, backgrounds, ideas and expertise will create high performing teams. Varied and diverse perspectives support better complex decision-making, foster greater innovation and ultimately result in greater company performance and success. We seek the best talent by maximizing diversity at the top of the recruiting funnel and then mitigating bias through objective decision-making throughout the hiring process. We foster an environment of inclusion for candidates and employees to unleash the strength of our differences.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Employee Recruitment, Development and Training</w:t>
      </w:r>
    </w:p>
    <w:p>
      <w:pPr>
        <w:spacing w:after="0" w:line="74"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1E1E1E"/>
        </w:rPr>
        <w:t>We are intentional about the employee experience at Recursion, with a fit-for-purpose system that finds, grows and retains top talent to deliver our mission. Our people are mission-driven, humble, bright, generous of spirit and constructively dissatisfied with the status quo. We employ a targeted approach to identify, attract and hire diverse employees across highly technical scientific disciplines including: biology, chemistry, data science, machine learning, engineering, robotics, clinical development and more. We seek people that are aligned with – and emboldened by - our commitment to industrialization as defined by our Recursion Mindset.</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We expect our employees to be constantly learning and adapting in order to evolve as quickly as Recursion. Learning and development happens through daily work and projects, as well as formal training and industry conferences and engagements. We offer a unique 2-day immersive experience to all employees called Decoding Recursion. It is an opportunity for close interaction with senior leaders who teach the Recursion Mindset through stories. Continual learning is reinforced throughout our performance system which creates accountability for our learning, delivery and impact on others.</w:t>
      </w:r>
    </w:p>
    <w:p>
      <w:pPr>
        <w:spacing w:after="0" w:line="175"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1E1E1E"/>
        </w:rPr>
        <w:t>People stay at Recursion because of the opportunity to impact the world and grow in a place where they feel challenged, supported and connected. Throughout the employee experience we create moments, rituals, programs and spaces that inspire ambition, reward contributions and growth and foster belonging.</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Employee Health and Safety</w:t>
      </w:r>
    </w:p>
    <w:p>
      <w:pPr>
        <w:spacing w:after="0" w:line="61"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1E1E1E"/>
        </w:rPr>
        <w:t>We have dedicated Standard Operating Procedures to manage occupational health and safety, safety training and injury and illness and incident reporting. Every employee is responsible to ensure these procedures and policies are followed. We offer extensive training to ensure understanding and compliance. Compliance is mandatory for all laboratory employees per requirements of the Occupational Safety and Health Administration standard on Hazardous Chemicals in Laboratories. Our Co-Founder and CEO is the Director of Public Safety at the company and has the ultimate responsibility for chemical hygiene within the organization. Our Chemical Hygiene Officer and Lab Manager oversees the day-to-day management of institutional chemical hygiene.</w:t>
      </w:r>
    </w:p>
    <w:p>
      <w:pPr>
        <w:spacing w:after="0" w:line="161"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1E1E1E"/>
        </w:rPr>
        <w:t>Read more about how we invest in and motivate our people to achieve our mission in Recursion’s latest Environmental, Social and Governance Report, available at our corporate website.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Facilities Headquarters</w:t>
      </w:r>
    </w:p>
    <w:p>
      <w:pPr>
        <w:spacing w:after="0" w:line="61"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1E1E1E"/>
        </w:rPr>
        <w:t>Our United States headquarters is in downtown Salt Lake City, Utah where we lease ~200,000 square feet of office and laboratory space. The lease for half of this space expires in May 2028 with the remainder expiring in May 2032. Our modern headquarters is a draw for local, national and international talent.</w:t>
      </w:r>
    </w:p>
    <w:p>
      <w:pPr>
        <w:spacing w:after="0" w:line="132"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1E1E1E"/>
        </w:rPr>
        <w:t>Our European headquarters is in London’s Kings Cross neighborhood, where we lease 6,792 square feet of office through January 2029. We also have laboratory space in Milton Park, Oxfordshire for our automation laboratory with approximately 20,151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91440</wp:posOffset>
            </wp:positionV>
            <wp:extent cx="5599430" cy="16452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99430" cy="164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0"/>
        <w:spacing w:after="0" w:line="301" w:lineRule="auto"/>
        <w:rPr>
          <w:sz w:val="20"/>
          <w:szCs w:val="20"/>
          <w:color w:val="auto"/>
        </w:rPr>
      </w:pPr>
      <w:r>
        <w:rPr>
          <w:rFonts w:ascii="Arial" w:cs="Arial" w:eastAsia="Arial" w:hAnsi="Arial"/>
          <w:sz w:val="13"/>
          <w:szCs w:val="13"/>
          <w:b w:val="1"/>
          <w:bCs w:val="1"/>
          <w:color w:val="6E6E6E"/>
        </w:rPr>
        <w:t xml:space="preserve">Figure 68. </w:t>
      </w:r>
      <w:r>
        <w:rPr>
          <w:rFonts w:ascii="Arial" w:cs="Arial" w:eastAsia="Arial" w:hAnsi="Arial"/>
          <w:sz w:val="13"/>
          <w:szCs w:val="13"/>
          <w:color w:val="6E6E6E"/>
        </w:rPr>
        <w:t>Our US headquarters is centrally located in downtown Salt Lake City, Utah and our EU headquarters in London with laboratory space in Milton Park, Oxfordshire. Working</w:t>
      </w:r>
      <w:r>
        <w:rPr>
          <w:rFonts w:ascii="Arial" w:cs="Arial" w:eastAsia="Arial" w:hAnsi="Arial"/>
          <w:sz w:val="13"/>
          <w:szCs w:val="13"/>
          <w:b w:val="1"/>
          <w:bCs w:val="1"/>
          <w:color w:val="6E6E6E"/>
        </w:rPr>
        <w:t xml:space="preserve"> </w:t>
      </w:r>
      <w:r>
        <w:rPr>
          <w:rFonts w:ascii="Arial" w:cs="Arial" w:eastAsia="Arial" w:hAnsi="Arial"/>
          <w:sz w:val="13"/>
          <w:szCs w:val="13"/>
          <w:color w:val="6E6E6E"/>
        </w:rPr>
        <w:t>with state and local government, we are helping to create a burgeoning life science ecosystem around a downtown cluster of companies centered around our headquarters.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Core Satellite Offices and Facilities</w:t>
      </w:r>
    </w:p>
    <w:p>
      <w:pPr>
        <w:spacing w:after="0" w:line="74" w:lineRule="exact"/>
        <w:rPr>
          <w:sz w:val="20"/>
          <w:szCs w:val="20"/>
          <w:color w:val="auto"/>
        </w:rPr>
      </w:pPr>
    </w:p>
    <w:p>
      <w:pPr>
        <w:ind w:right="340"/>
        <w:spacing w:after="0" w:line="294" w:lineRule="auto"/>
        <w:rPr>
          <w:sz w:val="20"/>
          <w:szCs w:val="20"/>
          <w:color w:val="auto"/>
        </w:rPr>
      </w:pPr>
      <w:r>
        <w:rPr>
          <w:rFonts w:ascii="Arial" w:cs="Arial" w:eastAsia="Arial" w:hAnsi="Arial"/>
          <w:sz w:val="15"/>
          <w:szCs w:val="15"/>
          <w:color w:val="1E1E1E"/>
        </w:rPr>
        <w:t>In addition to our two major headquarters in Salt Lake City, UT and London-Oxford, UK, we operate core satellite offices and a digital vivarium in key markets to attract top talent.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1AA7DF"/>
        </w:rPr>
        <w:t>Toronto and Montréal</w:t>
      </w:r>
    </w:p>
    <w:p>
      <w:pPr>
        <w:spacing w:after="0" w:line="67"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1E1E1E"/>
        </w:rPr>
        <w:t>In Toronto, we operate a 28,110 square foot space in Toronto’s Queen Street West Neighborhood. The lease for this space expires in November 2032. In addition to our Toronto office, we have a 8,367 square foot site in Montréal that houses our semi-autonomous artificial intelligence research engine, Valence Labs, which is located in the world-renowned artificial intelligence and machine learning hub MILA.</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1AA7DF"/>
        </w:rPr>
        <w:t>New York</w:t>
      </w:r>
    </w:p>
    <w:p>
      <w:pPr>
        <w:spacing w:after="0" w:line="67" w:lineRule="exact"/>
        <w:rPr>
          <w:sz w:val="20"/>
          <w:szCs w:val="20"/>
          <w:color w:val="auto"/>
        </w:rPr>
      </w:pPr>
    </w:p>
    <w:p>
      <w:pPr>
        <w:ind w:right="340"/>
        <w:spacing w:after="0" w:line="294" w:lineRule="auto"/>
        <w:rPr>
          <w:sz w:val="20"/>
          <w:szCs w:val="20"/>
          <w:color w:val="auto"/>
        </w:rPr>
      </w:pPr>
      <w:r>
        <w:rPr>
          <w:rFonts w:ascii="Arial" w:cs="Arial" w:eastAsia="Arial" w:hAnsi="Arial"/>
          <w:sz w:val="15"/>
          <w:szCs w:val="15"/>
          <w:color w:val="1E1E1E"/>
        </w:rPr>
        <w:t>In January 2025, we opened a new 11,655 square foot office in New York City’s Hudson Yards neighborhood. This office serves as a key location for our clinical development team and executive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99695</wp:posOffset>
            </wp:positionV>
            <wp:extent cx="5599430" cy="16452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99430" cy="164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6E6E6E"/>
        </w:rPr>
        <w:t xml:space="preserve">Figure 69. </w:t>
      </w:r>
      <w:r>
        <w:rPr>
          <w:rFonts w:ascii="Arial" w:cs="Arial" w:eastAsia="Arial" w:hAnsi="Arial"/>
          <w:sz w:val="14"/>
          <w:szCs w:val="14"/>
          <w:color w:val="6E6E6E"/>
        </w:rPr>
        <w:t>Recursion’s satellite offices and facilities in key markets to attract top talent.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1AA7DF"/>
        </w:rPr>
        <w:t>Digital Vivarium</w:t>
      </w:r>
    </w:p>
    <w:p>
      <w:pPr>
        <w:spacing w:after="0" w:line="67" w:lineRule="exact"/>
        <w:rPr>
          <w:sz w:val="20"/>
          <w:szCs w:val="20"/>
          <w:color w:val="auto"/>
        </w:rPr>
      </w:pPr>
    </w:p>
    <w:p>
      <w:pPr>
        <w:ind w:right="260"/>
        <w:spacing w:after="0" w:line="294" w:lineRule="auto"/>
        <w:rPr>
          <w:sz w:val="20"/>
          <w:szCs w:val="20"/>
          <w:color w:val="auto"/>
        </w:rPr>
      </w:pPr>
      <w:r>
        <w:rPr>
          <w:rFonts w:ascii="Arial" w:cs="Arial" w:eastAsia="Arial" w:hAnsi="Arial"/>
          <w:sz w:val="15"/>
          <w:szCs w:val="15"/>
          <w:color w:val="1E1E1E"/>
        </w:rPr>
        <w:t>We lease a 25,557 square foot property that serves as a rodent vivarium. This lease expires in May 2028. We use this facility to conduct drug-discovery enabling pharmacokinetic, pharmacodynamic and exploratory safety studies. The facility is equipped with proprietary, digitally enabled cage technology.</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Corporate Social Responsibility</w:t>
      </w:r>
    </w:p>
    <w:p>
      <w:pPr>
        <w:spacing w:after="0" w:line="61"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1E1E1E"/>
        </w:rPr>
        <w:t>We believe that to achieve our mission, we must act like the company we aim to be, which means we must be a good corporate citizen. In recognition of our commitment to excellence in environmental, social and governance stewardship, Recursion received a Prime Rating in 2024 for ESG performance from Institutional Shareholder Services (ISS). The ISS ESG Corporate Rating provides an assessment of a company's environmental, social and governance activity. A Prime Rating is awarded to companies with ESG performance above a sector-specific threshold and is defined by ISS as "absolute best in class." Additionally, as of January 2024, Recursion was ranked 6 out of 367 companies (approximately top 2%) in the Biotech category by Morningstar Sustainalytics.</w:t>
      </w:r>
    </w:p>
    <w:p>
      <w:pPr>
        <w:spacing w:after="0" w:line="161"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1E1E1E"/>
        </w:rPr>
        <w:t>To date, we have focused our community efforts in areas of impact that are aligned with our Values and our strengths, including: (i) diversity, equity and inclusion in technology and biotechnology (e.g., in 2020 the Recursion Foundation launched Altitude Lab, a life science incubator and accelerator for diverse health care entrepreneurs); (ii) the growth and sustainability of our local life science and technology ecosystems (e.g., Recursion is a founding member of BioHive, a Utah life science collective); and (iii) the promotion of sustainable environmental practices (e.g., Recursion aims to achieve net-zero greenhouse gas emissions across our operations by the year 2030). We believe that through these principles of community engagement, we can extend our mission of radically improving lives to those in our communities.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1E1E1E"/>
        </w:rPr>
        <w:t>Read more about how we are delivering on that belief in Recursion’s Environmental, Social and Governance Report.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Commercialization</w:t>
      </w:r>
    </w:p>
    <w:p>
      <w:pPr>
        <w:spacing w:after="0" w:line="74"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1E1E1E"/>
        </w:rPr>
        <w:t>We may retain significant development and commercial rights to some of our drug candidates. If marketing approval is obtained, we may commercialize our drug candidates on our own, or potentially with a partner, in the United States and other geographies. We currently have no sales, marketing, or commercial product distribution capabilities. Decisions to create this infrastructure and capability will be made following further advancement of our drug candidates and based on our assessment of our ability to build the necessary capabilities and infrastructure with competitive advantage. Clinical data, the size of the addressable patient population, the size of the commercial infrastructure, manufacturing needs and major trends as to how value is accrued in the industry may all influence or alter our commercialization plans.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Manufacturing</w:t>
      </w:r>
    </w:p>
    <w:p>
      <w:pPr>
        <w:spacing w:after="0" w:line="74" w:lineRule="exact"/>
        <w:rPr>
          <w:sz w:val="20"/>
          <w:szCs w:val="20"/>
          <w:color w:val="auto"/>
        </w:rPr>
      </w:pPr>
    </w:p>
    <w:p>
      <w:pPr>
        <w:jc w:val="both"/>
        <w:ind w:right="380"/>
        <w:spacing w:after="0" w:line="273" w:lineRule="auto"/>
        <w:rPr>
          <w:sz w:val="20"/>
          <w:szCs w:val="20"/>
          <w:color w:val="auto"/>
        </w:rPr>
      </w:pPr>
      <w:r>
        <w:rPr>
          <w:rFonts w:ascii="Arial" w:cs="Arial" w:eastAsia="Arial" w:hAnsi="Arial"/>
          <w:sz w:val="15"/>
          <w:szCs w:val="15"/>
          <w:color w:val="1E1E1E"/>
        </w:rPr>
        <w:t>We currently utilize contract development and manufacturing organizations to produce drug substance and investigational drug product in support of the assets within our pipeline. To date, we have obtained drug substance and drug product for our drug candidates from third party contract manufacturers. We are in the process of developing our supply chain for each of our drug candidates on a project-by-project basis based on our development needs.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Strategic Partnership and Collaboration Agreements</w:t>
      </w:r>
    </w:p>
    <w:p>
      <w:pPr>
        <w:spacing w:after="0" w:line="61"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1E1E1E"/>
        </w:rPr>
        <w:t>To achieve our mission, we may partner with leading biotechnology companies, pharmaceutical companies and academic research institutions to access datasets, molecules, or other intellectual property.</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Roche &amp; Genentech Collaboration and License Agreement</w:t>
      </w:r>
    </w:p>
    <w:p>
      <w:pPr>
        <w:spacing w:after="0" w:line="74"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1E1E1E"/>
        </w:rPr>
        <w:t>On December 5, 2021, we entered into a Collaboration and License Agreement with Genentech, Inc. and F. Hoffmann-La Roche Ltd, pursuant to which we will construct, using our imaging technology and proprietary machine learning algorithms, unique maps of the inferred relationships amongst perturbation phenotypes in a given cellular context (each a “Phenomap”) and together with Roche and Genentech will create multimodal models and maps to further expand and refine such inferred relationships, in both cases, with the goal to discover and develop therapeutic small molecule and target programs in a gastrointestinal cancer indication and neuroscience (each an “Exclusive Field”).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1E1E1E"/>
        </w:rPr>
        <w:t>Upfront Payment. In January 2022, Roche paid us an upfront cash payment of $150.0 million.</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5"/>
          <w:szCs w:val="15"/>
          <w:b w:val="1"/>
          <w:bCs w:val="1"/>
          <w:i w:val="1"/>
          <w:iCs w:val="1"/>
          <w:color w:val="1E1E1E"/>
        </w:rPr>
        <w:t xml:space="preserve">Phenomap Creation, Acceptance and Access. </w:t>
      </w:r>
      <w:r>
        <w:rPr>
          <w:rFonts w:ascii="Arial" w:cs="Arial" w:eastAsia="Arial" w:hAnsi="Arial"/>
          <w:sz w:val="15"/>
          <w:szCs w:val="15"/>
          <w:color w:val="1E1E1E"/>
        </w:rPr>
        <w:t>Under the Collaboration Agreement, we are responsible for creating a certain number of phenomaps in each of the</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Exclusive Fields. We will also provide Roche results to requested queries, at Recursion’s discretion, of our pre-existing human umbilical vein endothelial cells (HUVEC) phenomap. Roche will have specified rights to request queries or have direct access to the Phenomaps to generate novel inferences that may lead to the discovery or development of therapeutic products.</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5"/>
          <w:szCs w:val="15"/>
          <w:b w:val="1"/>
          <w:bCs w:val="1"/>
          <w:i w:val="1"/>
          <w:iCs w:val="1"/>
          <w:color w:val="1E1E1E"/>
        </w:rPr>
        <w:t xml:space="preserve">Phenomap-Related Options in neuroscience. </w:t>
      </w:r>
      <w:r>
        <w:rPr>
          <w:rFonts w:ascii="Arial" w:cs="Arial" w:eastAsia="Arial" w:hAnsi="Arial"/>
          <w:sz w:val="15"/>
          <w:szCs w:val="15"/>
          <w:color w:val="1E1E1E"/>
        </w:rPr>
        <w:t>Each of the neuroscience phenomaps requested by Roche and created by Recursion may be subject to either an</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initiation fee, acceptance fee or both. Such fees could exceed $250.0 million for sixteen (16) accepted phenomaps. In addition, for a period of time after Roche’s acceptance of certain phenomaps, Roche will have the option to obtain, subject to payment of an exercise fee, rights to use outside the collaboration the raw images generated in the course of creating those phenomaps. If Roche exercises its External Use Option for all twelve (12) eligible phenomaps, Roche’s associated exercise fee payments to Recursion could exceed $250.0 million.</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b w:val="1"/>
          <w:bCs w:val="1"/>
          <w:i w:val="1"/>
          <w:iCs w:val="1"/>
          <w:color w:val="1E1E1E"/>
        </w:rPr>
        <w:t xml:space="preserve">Collaboration Programs and Roche Options. </w:t>
      </w:r>
      <w:r>
        <w:rPr>
          <w:rFonts w:ascii="Arial" w:cs="Arial" w:eastAsia="Arial" w:hAnsi="Arial"/>
          <w:sz w:val="15"/>
          <w:szCs w:val="15"/>
          <w:color w:val="1E1E1E"/>
        </w:rPr>
        <w:t>Roche and Recursion will collaborate to select certain novel inferences with respect to small molecules or targets</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generated from the phenomaps for further validation and optimization as collaboration programs. There can be up to 40 programs initiated as part of this collaboration. Roche and Recursion may also combine sequencing datasets from Roche with Recursion’s phenomic imaging data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 In October 2023, Roche exercised its Small Molecule Validated Hit Option to further advance our first partnership program in GI-oncology. This program continues in the hit to lead series phase.</w:t>
      </w:r>
    </w:p>
    <w:p>
      <w:pPr>
        <w:spacing w:after="0" w:line="167"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b w:val="1"/>
          <w:bCs w:val="1"/>
          <w:i w:val="1"/>
          <w:iCs w:val="1"/>
          <w:color w:val="1E1E1E"/>
        </w:rPr>
        <w:t xml:space="preserve">Payments if Roche Exercises Option for a Collaboration Program. </w:t>
      </w:r>
      <w:r>
        <w:rPr>
          <w:rFonts w:ascii="Arial" w:cs="Arial" w:eastAsia="Arial" w:hAnsi="Arial"/>
          <w:sz w:val="15"/>
          <w:szCs w:val="15"/>
          <w:color w:val="1E1E1E"/>
        </w:rPr>
        <w:t>Under the collaboration, Roche may initiate up to forty (40) small molecule programs. Each</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small molecule collaboration program, if optioned and successfully developed and commercialized by Roche, could yield more than $300.0 million in research, development, commercialization and net sales milestones for Recursion, as well as mid- to high-single digit tiered royalties on net sales. Recursion is also eligible for research, development, commercialization and net sales milestones for target collaboration programs optioned by Roche.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b w:val="1"/>
          <w:bCs w:val="1"/>
          <w:i w:val="1"/>
          <w:iCs w:val="1"/>
          <w:color w:val="1E1E1E"/>
        </w:rPr>
        <w:t xml:space="preserve">Recursion Programs. </w:t>
      </w:r>
      <w:r>
        <w:rPr>
          <w:rFonts w:ascii="Arial" w:cs="Arial" w:eastAsia="Arial" w:hAnsi="Arial"/>
          <w:sz w:val="15"/>
          <w:szCs w:val="15"/>
          <w:color w:val="1E1E1E"/>
        </w:rPr>
        <w:t>If Roche does not exercise its options in the Collaboration Agreement for certain collaboration programs, we may, with Roche’s prior</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consent, choose to independently validate, develop and commercialize products in a limited number of such programs, subject to agreed milestones and royalties to Roche. Roche will have rights to obtain an exclusive license to exploit such products by providing notice and paying us an opt-in fee and economics exceeding those that would otherwise be applicable if Roche had exercised its option for such program.</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b w:val="1"/>
          <w:bCs w:val="1"/>
          <w:i w:val="1"/>
          <w:iCs w:val="1"/>
          <w:color w:val="1E1E1E"/>
        </w:rPr>
        <w:t xml:space="preserve">Exclusivity. </w:t>
      </w:r>
      <w:r>
        <w:rPr>
          <w:rFonts w:ascii="Arial" w:cs="Arial" w:eastAsia="Arial" w:hAnsi="Arial"/>
          <w:sz w:val="15"/>
          <w:szCs w:val="15"/>
          <w:color w:val="1E1E1E"/>
        </w:rPr>
        <w:t>During an agreed period of time after the Collaboration Agreement’s effective date, we are subject to certain exclusivities that limit our ability to conduct</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certain research and development activities with respect to compounds and targets in the Exclusive Fields, other than pursuant to the collaboration with Roche. However, we may continue pursuing products that we are researching and developing in the Exclusive Fields as of the effective date of the Collaboration Agreement.</w:t>
      </w:r>
    </w:p>
    <w:p>
      <w:pPr>
        <w:spacing w:after="0" w:line="348" w:lineRule="exact"/>
        <w:rPr>
          <w:sz w:val="20"/>
          <w:szCs w:val="20"/>
          <w:color w:val="auto"/>
        </w:rPr>
      </w:pPr>
    </w:p>
    <w:p>
      <w:pPr>
        <w:ind w:right="400"/>
        <w:spacing w:after="0" w:line="282" w:lineRule="auto"/>
        <w:rPr>
          <w:sz w:val="20"/>
          <w:szCs w:val="20"/>
          <w:color w:val="auto"/>
        </w:rPr>
      </w:pPr>
      <w:r>
        <w:rPr>
          <w:rFonts w:ascii="Arial" w:cs="Arial" w:eastAsia="Arial" w:hAnsi="Arial"/>
          <w:sz w:val="15"/>
          <w:szCs w:val="15"/>
          <w:b w:val="1"/>
          <w:bCs w:val="1"/>
          <w:i w:val="1"/>
          <w:iCs w:val="1"/>
          <w:color w:val="1E1E1E"/>
        </w:rPr>
        <w:t xml:space="preserve">Termination. </w:t>
      </w:r>
      <w:r>
        <w:rPr>
          <w:rFonts w:ascii="Arial" w:cs="Arial" w:eastAsia="Arial" w:hAnsi="Arial"/>
          <w:sz w:val="15"/>
          <w:szCs w:val="15"/>
          <w:color w:val="1E1E1E"/>
        </w:rPr>
        <w:t>The Collaboration Agreement includes standard termination provisions, including for material breach or insolvency and for Roche’s convenience.</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Certain of these termination rights can be exercised with respect to a particular Exclusive Field or exclusive license, as well as with respect to the entire Collaboration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Sanofi License Collaboration and License Agreement</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1E1E1E"/>
        </w:rPr>
        <w:t>In January 2022, we entered into a Collaboration and License Agreement, with Sanofi, or the CLA, and in July 2023 and December 2023, we amended the Collaboration and License Agreement, with such as amended CLA referred to as the Amended CLA. Pursuant to the Amended CLA, we will use our artificial intelligence-driven, end-to-end integrated platform to discover and validate novel targets in the oncology and immunology therapeutic areas. We will collaborate with Sanofi to advance certain of these targets into small molecule inhibitor drug research projects and accelerate the identification of certain small molecule development candidates.</w:t>
      </w:r>
    </w:p>
    <w:p>
      <w:pPr>
        <w:spacing w:after="0" w:line="364" w:lineRule="exact"/>
        <w:rPr>
          <w:sz w:val="20"/>
          <w:szCs w:val="20"/>
          <w:color w:val="auto"/>
        </w:rPr>
      </w:pPr>
    </w:p>
    <w:p>
      <w:pPr>
        <w:spacing w:after="0" w:line="267" w:lineRule="auto"/>
        <w:rPr>
          <w:sz w:val="20"/>
          <w:szCs w:val="20"/>
          <w:color w:val="auto"/>
        </w:rPr>
      </w:pPr>
      <w:r>
        <w:rPr>
          <w:rFonts w:ascii="Arial" w:cs="Arial" w:eastAsia="Arial" w:hAnsi="Arial"/>
          <w:sz w:val="15"/>
          <w:szCs w:val="15"/>
          <w:color w:val="1E1E1E"/>
        </w:rPr>
        <w:t>Sanofi made an upfront cash payment of $100 million to us on signing the CLA and made an additional payment of $4 million in connection with the expansion of the collaboration pursuant to the December 2023 amendment. Under the Amended CLA, Recursion and Sanofi may initiate up to 15 novel small molecule programs. Each program, if successfully researched, developed and/or commercialized, will yield research, clinical development, regulatory, and commercial milestone payments of up to approximately $343 million including up to $193 million in the aggregate for certain specified research, development and regulatory milestones, and up to $150 million in the aggregate for certain specified commercial milestones. The Amended CLA could potentially provide us with up to approximately $5.2 billion in aggregate milestone payments across all 15 potential programs.</w:t>
      </w:r>
    </w:p>
    <w:p>
      <w:pPr>
        <w:spacing w:after="0" w:line="164" w:lineRule="exact"/>
        <w:rPr>
          <w:sz w:val="20"/>
          <w:szCs w:val="20"/>
          <w:color w:val="auto"/>
        </w:rPr>
      </w:pPr>
    </w:p>
    <w:p>
      <w:pPr>
        <w:jc w:val="both"/>
        <w:ind w:right="280"/>
        <w:spacing w:after="0" w:line="282" w:lineRule="auto"/>
        <w:rPr>
          <w:sz w:val="20"/>
          <w:szCs w:val="20"/>
          <w:color w:val="auto"/>
        </w:rPr>
      </w:pPr>
      <w:r>
        <w:rPr>
          <w:rFonts w:ascii="Arial" w:cs="Arial" w:eastAsia="Arial" w:hAnsi="Arial"/>
          <w:sz w:val="15"/>
          <w:szCs w:val="15"/>
          <w:color w:val="1E1E1E"/>
        </w:rPr>
        <w:t>In the case that a therapeutic product resulting from the research collaboration is commercialized, we will also be eligible to receive tiered royalties on net sales ranging from high-single-digits to mid-teens. We also have an option for clinical co-investment which, if exercised, would increase the tiered royalty rates to up to 21% on net sales of co-funded products.</w:t>
      </w:r>
    </w:p>
    <w:p>
      <w:pPr>
        <w:spacing w:after="0" w:line="153"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1E1E1E"/>
        </w:rPr>
        <w:t>The collaboration may utilize Recursion’s AI-based capabilities and precision medicine platform from target identification through patient selection. Once a target is identified, Recursion will be responsible for leading the design, translational and early preclinical studies to determine development candidates. Upon Sanofi’s selection of a compound as a development candidate, Sanofi will be solely responsible for the IND-enabling studies and clinical development, manufacturing and commercialization of such development candidate at its own cost and expense. Under the Amended CLA, Sanofi has agreed to use commercially reasonable efforts to obtain regulatory approval for at least one qualifying small molecule product in at least one agreed upon major market.</w:t>
      </w:r>
    </w:p>
    <w:p>
      <w:pPr>
        <w:spacing w:after="0" w:line="161"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1E1E1E"/>
        </w:rPr>
        <w:t>The research component of the collaboration will be overseen by a joint steering committee comprised of an equal number of representatives from each of Recursion and Sanofi. Recursion and Sanofi may agree to utilize our precision medicine platform for patient enrichment in Sanofi’s non-small molecule programs.</w:t>
      </w:r>
    </w:p>
    <w:p>
      <w:pPr>
        <w:spacing w:after="0" w:line="132"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1E1E1E"/>
        </w:rPr>
        <w:t>Pursuant to the Amended CLA, Recursion granted to Sanofi an exclusive license (with the right to grant sublicences through multiple tiers) to the intellectual property that is the subject of each small molecule research program for all purposes, throughout the world. Sanofi has the right to control the prosecution and maintenance of any patent rights related to intellectual property that is the subject of each small molecule research program.</w:t>
      </w:r>
    </w:p>
    <w:p>
      <w:pPr>
        <w:spacing w:after="0" w:line="153"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1E1E1E"/>
        </w:rPr>
        <w:t>After the CLA’s effective date, we are subject to varying exclusivity arrangements for specified periods of time which limit our ability to conduct research and development, manufacturing or commercialization activities (whether ourselves or in conjunction with a third party) with respect to compounds and targets which are within the scope of the Amended CLA and with respect to certain agreed pathways of interest.</w:t>
      </w:r>
    </w:p>
    <w:p>
      <w:pPr>
        <w:spacing w:after="0" w:line="153" w:lineRule="exact"/>
        <w:rPr>
          <w:sz w:val="20"/>
          <w:szCs w:val="20"/>
          <w:color w:val="auto"/>
        </w:rPr>
      </w:pPr>
    </w:p>
    <w:p>
      <w:pPr>
        <w:jc w:val="both"/>
        <w:ind w:right="120"/>
        <w:spacing w:after="0" w:line="282" w:lineRule="auto"/>
        <w:rPr>
          <w:sz w:val="20"/>
          <w:szCs w:val="20"/>
          <w:color w:val="auto"/>
        </w:rPr>
      </w:pPr>
      <w:r>
        <w:rPr>
          <w:rFonts w:ascii="Arial" w:cs="Arial" w:eastAsia="Arial" w:hAnsi="Arial"/>
          <w:sz w:val="15"/>
          <w:szCs w:val="15"/>
          <w:color w:val="1E1E1E"/>
        </w:rPr>
        <w:t>The Amended CLA contains standard termination provisions, including for material breach or insolvency and for Sanofi’s convenience. Certain of these termination rights can be exercised in respect of a given target, or in respect of the CLA as a whole. In certain circumstances, upon termination, we have the right to terminate the licenses granted to Sanofi and to pursue the development, manufacture and commercialization of the product candidates.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Bayer AG Amended and Restated Research Collaboration and Option Agreement</w:t>
      </w:r>
    </w:p>
    <w:p>
      <w:pPr>
        <w:spacing w:after="0" w:line="74"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On August 28, 2020, Recursion and Bayer entered into a Research Collaboration and Option Agreement, which was subsequently expanded on December 1, 2021, for research and collaboration on a certain number of projects related to fibrosis. On November 8, 2023, the parties amended and restated the original Bayer Agreement to re-align the collaboration with Bayer’s strategic shift in focus to oncology. As a result, the parties wound down their joint work in fibrosis and the exclusivities with respect to the field of fibrosis were terminated.</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Under the Restated Agreement, Recursion will collaborate with Bayer for the remainder of the five-year period under the original Agreement (extendable by up to 2 years to enable completion of certain research activities), to initiate up to seven programs in oncology. During certain agreed time periods within the collaboration term, Recursion is prohibited from conducting certain research and development activities with respect to certain identified genes of relevance in oncology outside of the collaboration, either by itself or together with third parties. However, Recursion may continue research and development activities for any such identified genes that it has initiated prior to the date of identification of such gene.</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5"/>
          <w:szCs w:val="15"/>
          <w:color w:val="1E1E1E"/>
        </w:rPr>
        <w:t>Under each oncology project, Recursion will work with Bayer to identify potential lead candidates for development. Under the Restated Agreement, Bayer has the first option to license potential candidates; each such license could potentially result in option exercise fees and development and commercial milestones paid to Recursion with an aggregate value of up to approximately $210.0 million for one license and up to approximately $1.5 billion if each program is licensed, as well as tiered royalties for each such license, ranging from low- to mid-single digit percentages of sales, depending on commercial success. Royalty periods for each license are on a country-by-country basis, and the duration of each such period is tied to the duration of patent or regulatory exclusivity in each country (with a minimum term of 10 years each).</w:t>
      </w:r>
    </w:p>
    <w:p>
      <w:pPr>
        <w:spacing w:after="0" w:line="352" w:lineRule="exact"/>
        <w:rPr>
          <w:sz w:val="20"/>
          <w:szCs w:val="20"/>
          <w:color w:val="auto"/>
        </w:rPr>
      </w:pPr>
    </w:p>
    <w:p>
      <w:pPr>
        <w:ind w:right="140"/>
        <w:spacing w:after="0" w:line="277" w:lineRule="auto"/>
        <w:rPr>
          <w:sz w:val="20"/>
          <w:szCs w:val="20"/>
          <w:color w:val="auto"/>
        </w:rPr>
      </w:pPr>
      <w:r>
        <w:rPr>
          <w:rFonts w:ascii="Arial" w:cs="Arial" w:eastAsia="Arial" w:hAnsi="Arial"/>
          <w:sz w:val="15"/>
          <w:szCs w:val="15"/>
          <w:color w:val="1E1E1E"/>
        </w:rPr>
        <w:t>If Bayer does not exercise its option with respect to a lead candidate or otherwise discontinues a project prior to completion, within a specified period of time, Recursion may exercise an option to negotiate with Bayer in good faith to obtain an exclusive license under Bayer’s interest in any lead series developed pursuant to the project and backup compounds related thereto, as well as a non-exclusive license under Bayer’s background intellectual property necessary for Recursion’s use of the project results related to such compounds.</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1E1E1E"/>
        </w:rPr>
        <w:t>Bayer may terminate the collaboration at any time without cause. Either party may terminate the agreement for a material breach by the other party. The term of each license agreement continues on a product-by-product and country-by-country basis until the later of (a) the expiration of the last to expire valid claim of the licensed patents covering such product in such country, (b) the expiration of any applicable regulatory exclusivity period for such product in such country and (c) ten years after the first commercial sale of such product in such country. Bayer may terminate each such license agreement at any time without cause. Either party may terminate each such license agreement for the other party’s uncured material breach.</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Merck KGaA, Darmstadt, Germany Research Collaboration Agreement</w:t>
      </w:r>
    </w:p>
    <w:p>
      <w:pPr>
        <w:spacing w:after="0" w:line="74"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1E1E1E"/>
        </w:rPr>
        <w:t>In September 2023, we entered into a Research Collaboration Agreement, or the RCA, with the Healthcare Business of Merck KGaA, Darmstadt, Germany, referred to as Merck KGaA, Darmstadt, Germany, pursuant to which we will be responsible for the design process, as well as translational and early non-clinical studies to discover development candidates based on the initial agreed targets. Upon Merck KGaA, Darmstadt, Germany’s selection of a compound as a development candidate, Merck KGaA, Darmstadt, Germany will be solely responsible for the non-clinical studies and clinical development, manufacturing and commercialization of such development candidate at its own cost and expense. Under the RCA, Merck KGaA, Darmstadt, Germany has agreed to use commercially reasonable efforts to obtain regulatory approval for at least one product candidate in certain major markets and to commercialize such product if it receives any such regulatory approval.</w:t>
      </w:r>
    </w:p>
    <w:p>
      <w:pPr>
        <w:spacing w:after="0" w:line="353"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1E1E1E"/>
        </w:rPr>
        <w:t>The research component of the collaboration will be overseen by a joint steering committee comprised of an equal number of representatives from us and from Merck KGaA, Darmstadt, Germany. The collaboration will also have an IP sub-committee comprised of an equal number of patent attorneys from each party that will be the liaison for intellectual property matters that arise in connection with the collaboration.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1E1E1E"/>
        </w:rPr>
        <w:t>The RCA allows Merck KGaA, Darmstadt, Germany and us to identify additional targets in oncology and immunology or other mutually agreed disease areas.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1E1E1E"/>
        </w:rPr>
        <w:t>Should we identify additional targets for the collaboration, we would be responsible for target validation in addition to drug design.</w:t>
      </w:r>
    </w:p>
    <w:p>
      <w:pPr>
        <w:spacing w:after="0" w:line="204" w:lineRule="exact"/>
        <w:rPr>
          <w:sz w:val="20"/>
          <w:szCs w:val="20"/>
          <w:color w:val="auto"/>
        </w:rPr>
      </w:pPr>
    </w:p>
    <w:p>
      <w:pPr>
        <w:spacing w:after="0" w:line="265" w:lineRule="auto"/>
        <w:rPr>
          <w:sz w:val="20"/>
          <w:szCs w:val="20"/>
          <w:color w:val="auto"/>
        </w:rPr>
      </w:pPr>
      <w:r>
        <w:rPr>
          <w:rFonts w:ascii="Arial" w:cs="Arial" w:eastAsia="Arial" w:hAnsi="Arial"/>
          <w:sz w:val="15"/>
          <w:szCs w:val="15"/>
          <w:color w:val="1E1E1E"/>
        </w:rPr>
        <w:t>Merck KGaA, Darmstadt, Germany made an upfront cash payment of $20 million to us on signing the RCA, and we remain eligible to receive up to $674 million in discovery, development, regulatory and sales-based milestones, if all milestones for all three initial programs are achieved. Of this amount, up to $113 million is potentially payable on milestones achieved in the discovery phase of development. In addition, we will receive royalty payments ranging from mid-single-digits to low-double-digits on net sales of any products resulting from the initial three targets that are commercialized. If any additional target is identified for the collaboration, we would be eligible to receive additional milestone payments on such target. Pursuant to the RCA, we granted to Merck KGaA, Darmstadt, Germany a worldwide, exclusive, transferable license (with the right to grant sublicenses through multiple tiers) to the intellectual property that is necessary or reasonably useful for development or commercialization of the target compounds and resulting products, if any, in order to develop, manufacture, commercialize and sell the target compounds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ind w:left="100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1E1E1E"/>
        </w:rPr>
        <w:t>and resulting products, if any. Merck KGaA, Darmstadt, Germany has the right to control the prosecution and maintenance of any patent rights related to intellectual property that is the subject of each program.</w:t>
      </w:r>
    </w:p>
    <w:p>
      <w:pPr>
        <w:spacing w:after="0" w:line="158"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1E1E1E"/>
        </w:rPr>
        <w:t>The RCA will remain in effect from September 20, 2023 until such date that no milestone payments or royalties are, or may become, payable under the RCA, unless the RCA is terminated earlier in accordance with its terms. The RCA contains standard termination provisions, including termination by either party for material uncured breach or insolvency of the other party, by us if Merck KGaA, Darmstadt, Germany breaches certain obligations with respect to regulatory and commercialization activities, and by Merck KGaA, Darmstadt, Germany for convenience. Certain of these termination rights can be exercised in respect of a given target, or in respect of the RCA as a whole. In certain circumstances, upon termination, we have the right to terminate the licenses granted to Merck KGaA, Darmstadt, Germany and to pursue the development and commercialization of the target compounds and resulting products, if any.</w:t>
      </w:r>
    </w:p>
    <w:p>
      <w:pPr>
        <w:spacing w:after="0" w:line="164" w:lineRule="exact"/>
        <w:rPr>
          <w:sz w:val="20"/>
          <w:szCs w:val="20"/>
          <w:color w:val="auto"/>
        </w:rPr>
      </w:pPr>
    </w:p>
    <w:p>
      <w:pPr>
        <w:ind w:right="540"/>
        <w:spacing w:after="0" w:line="312" w:lineRule="auto"/>
        <w:rPr>
          <w:sz w:val="20"/>
          <w:szCs w:val="20"/>
          <w:color w:val="auto"/>
        </w:rPr>
      </w:pPr>
      <w:r>
        <w:rPr>
          <w:rFonts w:ascii="Arial" w:cs="Arial" w:eastAsia="Arial" w:hAnsi="Arial"/>
          <w:sz w:val="15"/>
          <w:szCs w:val="15"/>
          <w:color w:val="1E1E1E"/>
        </w:rPr>
        <w:t>During the term of the RCA, we are subject to exclusivity obligations that limit our ability to conduct research and development or commercialization activities (whether ourselves or in conjunction with a third party) with respect to the compounds and targets which are within the scope of the RCA.</w:t>
      </w:r>
    </w:p>
    <w:p>
      <w:pPr>
        <w:spacing w:after="0" w:line="132" w:lineRule="exact"/>
        <w:rPr>
          <w:sz w:val="20"/>
          <w:szCs w:val="20"/>
          <w:color w:val="auto"/>
        </w:rPr>
      </w:pPr>
    </w:p>
    <w:p>
      <w:pPr>
        <w:ind w:right="300"/>
        <w:spacing w:after="0" w:line="294" w:lineRule="auto"/>
        <w:rPr>
          <w:sz w:val="20"/>
          <w:szCs w:val="20"/>
          <w:color w:val="auto"/>
        </w:rPr>
      </w:pPr>
      <w:r>
        <w:rPr>
          <w:rFonts w:ascii="Arial" w:cs="Arial" w:eastAsia="Arial" w:hAnsi="Arial"/>
          <w:sz w:val="15"/>
          <w:szCs w:val="15"/>
          <w:color w:val="1E1E1E"/>
        </w:rPr>
        <w:t>The RCA contains standard confidentiality provisions and representations and warranties made by each party to the agreement. The parties also provide mutual indemnification under the agreement and the RCA excludes liability of either party for consequential or similar damages, except to the extent prohibited by law.</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Tempus Master Agreement</w:t>
      </w:r>
    </w:p>
    <w:p>
      <w:pPr>
        <w:spacing w:after="0" w:line="61"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1E1E1E"/>
        </w:rPr>
        <w:t>On November 3, 2023, Recursion Pharmaceuticals, Inc., or the Company, and Tempus Labs, Inc., or Tempus entered into a Master Agreement, or the Tempus Agreement pursuant to which Tempus may provide certain services and deliverables to the Company and/or license certain data to the Company. The term of the Tempus Agreement is five years from the effective date of the Tempus Agreement, or the Term.</w:t>
      </w:r>
    </w:p>
    <w:p>
      <w:pPr>
        <w:spacing w:after="0" w:line="153"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1E1E1E"/>
        </w:rPr>
        <w:t>Under the terms of the Tempus Agreement, the Company is granted a limited right to access Tempus’s proprietary database of de-identified clinical and molecular data for certain therapeutic product development purposes, including to develop, train, improve, modify, and create derivative works of the Company’s machine learning/artificial intelligence models for the purposes of therapeutic product development. The Company is permitted to download a maximum number of de-identified records at any one time, subject to an aggregate cap in the total unique records that can be downloaded over the course of the Term, and to retain each downloaded record for a period of 180 days from the date of download. After such 180-day period, The Company may elect to license such downloaded records for a longer period subject to additional terms and the payment of additional fees.</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1E1E1E"/>
        </w:rPr>
        <w:t>In exchange for these rights, the Company will pay Tempus an initial license fee in an amount equal to $22.0 million, or the Initial License Fee and annual license fees during the Term ranging between $22.0 million and $42.0 million, which, together with the Initial License Fee, totals up to $160.0 million over the Term, subject to the Company’s early termination, which may be triggered only following the third anniversary of the Master Agreement’s effective date, and payment by the Company of an early termination fee (as further discussed below). The Initial License Fee and each annual license fee shall be payable at the Company’s option either in the form of (x) cash, (y) shares of Class A Common Stock of the Company or (z) a combination of cash and shares of Class A Common Stock in such proportion as is determined by the Company in its sole discretion; provided that (a) the aggregate number of shares of Class A Common Stock that the Company may issue in connection with all payments under this Agreement shall not exceed 19.9% of the aggregate total of shares of Class A Common Stock and the Company’s Class B Common Stock outstanding on November 2, 2023 or the date immediately preceding the date of any shares of Class A Common Stock issued pursuant to the Tempus Agreement, whichever is less (the “Share Maximum”).</w:t>
      </w:r>
    </w:p>
    <w:p>
      <w:pPr>
        <w:spacing w:after="0" w:line="168"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In the event that all or any portion of the Initial License Fee or any annual license fee is payable in the form of shares of Class A Common Stock, the Company shall, subject to the Share Maximum, issue to Tempus a number of shares of Class A Common Stock equal to (1) the amount of such fee divided by (2) the volume weighted average price of Class A Common Stock for the seven trading day period ending on the trading day immediately preceding (and including) the date that is five business days before the date on which such fee is paid (any shares so issued, the “Tempus Shares”).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5"/>
          <w:szCs w:val="15"/>
          <w:color w:val="1E1E1E"/>
        </w:rPr>
        <w:t>The Company has agreed to use commercially reasonable efforts to prepare and file a registration statement (or a prospectus supplement to an effective registration statement on Form S-3ASR that will become automatically effective upon filing with the SEC pursuant to Rule 462(e)) with the Securities and Exchange Commission as soon as practicable but in no event later than 30 days after each issuance of Tempus Shares under the Tempus Agreement, and to use its commercially reasonable efforts to have the registration statement declared effective as promptly as possible but in any event within 30 days following initially filing (or up to 90 days in the event of full SEC review). After such registration, the Company has agreed to use commercially reasonable efforts to keep such registration statement effective until such date that all Tempus Shares covered by such registration statement have been sold thereunder or may be sold without restriction or volume limitation under Rule 144 as promulgated by the SEC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color w:val="1E1E1E"/>
        </w:rPr>
        <w:t>The Tempus Agreement also grants the Company the right to access and use Tempus’ LENS software that permits the viewing and analysis of clinical, molecular, and other health data maintained by Tempus. Company will pay Tempus a six-figure annual license fee for the duration of the Term for the use of such software.</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In addition to mutual rights to terminate for an uncured breach of the Tempus Agreement, the Company may terminate the Tempus Agreement for convenience after three years upon 90 days prior notice, subject to payment by the Company of an early termination fee equal to (a) an amount per unique record that Company has downloaded prior to termination less (b) the sum of any annual license fees paid prior to termination, which could result in early payment of the aggregate annual license fees contemplated by the Tempus Agreement to the extent all records made available under the Tempus Agreement have been downloaded.</w:t>
      </w:r>
    </w:p>
    <w:p>
      <w:pPr>
        <w:spacing w:after="0" w:line="162" w:lineRule="exact"/>
        <w:rPr>
          <w:sz w:val="20"/>
          <w:szCs w:val="20"/>
          <w:color w:val="auto"/>
        </w:rPr>
      </w:pPr>
    </w:p>
    <w:p>
      <w:pPr>
        <w:ind w:right="420"/>
        <w:spacing w:after="0" w:line="312" w:lineRule="auto"/>
        <w:rPr>
          <w:sz w:val="20"/>
          <w:szCs w:val="20"/>
          <w:color w:val="auto"/>
        </w:rPr>
      </w:pPr>
      <w:r>
        <w:rPr>
          <w:rFonts w:ascii="Arial" w:cs="Arial" w:eastAsia="Arial" w:hAnsi="Arial"/>
          <w:sz w:val="15"/>
          <w:szCs w:val="15"/>
          <w:color w:val="1E1E1E"/>
        </w:rPr>
        <w:t>Either party may assign its rights under the Tempus Agreement subject to limited restrictions, but the Company may not assign the Tempus Agreement without Tempus’s consent if the proposed assignee is a large pharmaceutical company.</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REC-994: University of Utah Research Foundation Agreements</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1E1E1E"/>
        </w:rPr>
        <w:t>In February 2016, we entered into an Amended and Restated License Agreement with the University of Utah Research Foundation, or UURF, pursuant to which we obtained an exclusive license under certain patents and a non-exclusive license under certain know-how, in each case controlled by UURF and related to the drug tempol, or REC-994, to make, have made, use, offer to sell, sell, import and distribute products incorporating REC-994 worldwide for the treatment of cerebral cavernous malformation, or CCM. In partial consideration for the license rights, we issued UURF equity in our company. In addition, we agreed to reimburse UURF for a specified portion of costs associated with the filing, maintenance and prosecution of the licensed patent rights. The Amended and Restated License Agreement will expire on a country-by-country basis upon the expiration of the last-to-expire patent within the patent rights in the applicable country. UURF may terminate the agreement for an uncured material breach, if we cease commercially diligent efforts to develop or commercialize a licensed product or service, or our bankruptcy or insolvency.</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REC-2282: Ohio State Innovation Foundation In-License</w:t>
      </w:r>
    </w:p>
    <w:p>
      <w:pPr>
        <w:spacing w:after="0" w:line="61"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1E1E1E"/>
        </w:rPr>
        <w:t>In December 2018, we entered into an Exclusive License Agreement with the Ohio State Innovation Foundation, or OSIF, pursuant to which we obtained an exclusive, sublicensable, non-transferable, royalty-bearing license under certain patents and fully-paid up, royalty-free, nonexclusive license under certain know-how, in each case controlled by OSIF and related to the pan-histone deacetylase inhibitor, OSU-HDAC42, or REC-2282, to develop, make, have made, use, sell, offer for sale and import products incorporating OSU-HDAC42 worldwide. OSIF also assigned certain assets to us, relating to the pharmaceutical composition known as AR-42. OSIF retains the right to use and allow other academic, nonprofit and government institutions to use the licensed intellectual property for research, non-commercial and educational purposes. OSIF shall not practice, have practiced, or transfer such reserved rights for any clinical purpose other than completion of the existing clinical trials at the time of the license agreement without our prior written consent. We are developing REC-2282 for the treatment of NF2 and are evaluating the utility of the compound in additional disease states using our platform.</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1E1E1E"/>
        </w:rPr>
        <w:t>Pursuant to the agreement, we must use commercially reasonable efforts to commercialize licensed products and are required to meet certain diligence milestones within two years following the execution of the agreement, including the initiation of clinical trials. The license agreement is also limited by and made subject to certain rights and regulations of the government, including the Bayh-Dole Act.</w:t>
      </w:r>
    </w:p>
    <w:p>
      <w:pPr>
        <w:spacing w:after="0" w:line="172"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1E1E1E"/>
        </w:rPr>
        <w:t>In consideration for the license, we paid OSIF, an upfront payment of $2.0 million dollars and are obligated to pay OSIF certain milestones, totaling up to $20.0 million dollars, as well as mid-single digit royalties on net sales of the licensed products. In addition, we owe 25% of any non-royalty sublicensing consideration prior to a Phase II clinical trial or 15% of such sublicensing consideration after initiation of a Phase II clinical trial, provided that milestone payments are creditable against these sublicensing fees. In 2022, we paid OSIF $1.0 million dollars upon dosing of the first patient in the Phase 2 study of REC-2282 for the treatment of NF2.</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1E1E1E"/>
        </w:rPr>
        <w:t>The agreement expires on the expiration of the last valid claim within the licensed patents. We may terminate this agreement on 90 days prior written notice to OSIF. Either party may terminate the agreement on 60 days prior written notice for an uncured, material breach by the other party, or bankruptcy or insolvency of the other party.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REC-4881: Takeda License Agreement</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5"/>
          <w:szCs w:val="15"/>
          <w:color w:val="1E1E1E"/>
        </w:rPr>
        <w:t>In May 2020, we entered into a License Agreement, or the Takeda In-License, with Takeda Pharmaceutical Company Limited, or Takeda, pursuant to which we obtained an exclusive (even as to Takeda and its affiliates), worldwide, sublicensable under certain conditions, transferable, royalty-bearing license to certain Takeda patents, know-how and materials related to develop, manufacture and commercialize Takeda’s clinical-stage compound known as TAK-733, a non-ATP-competitive allosteric inhibitor of MEK1 and MEK2, subject to a non-exclusive, royalty-free, irrevocable, fully paid up, license back to Takeda to use the licensed compounds for non-clinical research purposes. We are currently developing the compound REC-4881 for the treatment of FAP, and patients with spontaneous APC-mutant tumors. We are also evaluating the utility of the compound in additional disease states using our platform.</w:t>
      </w:r>
    </w:p>
    <w:p>
      <w:pPr>
        <w:spacing w:after="0" w:line="164" w:lineRule="exact"/>
        <w:rPr>
          <w:sz w:val="20"/>
          <w:szCs w:val="20"/>
          <w:color w:val="auto"/>
        </w:rPr>
      </w:pPr>
    </w:p>
    <w:p>
      <w:pPr>
        <w:ind w:right="240"/>
        <w:spacing w:after="0" w:line="294" w:lineRule="auto"/>
        <w:rPr>
          <w:sz w:val="20"/>
          <w:szCs w:val="20"/>
          <w:color w:val="auto"/>
        </w:rPr>
      </w:pPr>
      <w:r>
        <w:rPr>
          <w:rFonts w:ascii="Arial" w:cs="Arial" w:eastAsia="Arial" w:hAnsi="Arial"/>
          <w:sz w:val="15"/>
          <w:szCs w:val="15"/>
          <w:color w:val="1E1E1E"/>
        </w:rPr>
        <w:t>We are required to use commercially reasonable efforts to develop and commercialize at least one licensed product in each of (a) the US, (b) at least three of the following European countries: the United Kingdom, France, Germany, Italy and Spain and (c) Japan.</w:t>
      </w:r>
    </w:p>
    <w:p>
      <w:pPr>
        <w:spacing w:after="0" w:line="158"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1E1E1E"/>
        </w:rPr>
        <w:t>Upon execution of the agreement, we paid an upfront fee of $1.5 million to Takeda. Under the Takeda In-License, we are obligated to pay Takeda milestones amounts totaling up to $39.5 million upon achievement of specified development and regulatory milestone events. In addition, we are obligated to pay Takeda low-to-mid single-digit royalties based on net sales of products containing the licensed compounds by us, our affiliates or sublicensees, subject to specified reductions. Our obligation to pay royalties continues on a country-by-country basis until the latest of expiration of the last to expire patent licensed by Takeda that covers the product, expiration of any regulatory exclusivity period for the product and ten years after the first commercial sale of the product, in such country. As of the date of this filing, we have not made any milestone or royalty payments to Takeda.</w:t>
      </w:r>
    </w:p>
    <w:p>
      <w:pPr>
        <w:spacing w:after="0" w:line="164"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1E1E1E"/>
        </w:rPr>
        <w:t>Each party has the right to terminate the license agreement for the other party’s material uncured breach, insolvency or bankruptcy. In addition, we may terminate the agreement without cause any time after May 2023, and Takeda may terminate the agreement if we have not conducted any material activities in support of the development or commercialization of the licensed compounds or any product containing a licensed compound and have not demonstrated that we used commercially reasonable efforts towards the development of such compounds or products for a period of 12 consecutive months and such failure is not due to events beyond our reasonable control. Further, Takeda may terminate the license agreement if we challenge the validity or enforceability of a licensed patent. Upon termination for any reason other than for Takeda’s breach of the license agreement, upon Takeda’s request we are obligated to negotiate in good faith, for a period of 120 days, terms and conditions of a license to Takeda under certain technology developed by us during the term of the agreement for the purpose of developing, commercializing and otherwise exploiting the licensed compounds and products containing the licensed compounds.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Target Epsilon: Bayer License Agreement</w:t>
      </w:r>
    </w:p>
    <w:p>
      <w:pPr>
        <w:spacing w:after="0" w:line="74"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1E1E1E"/>
        </w:rPr>
        <w:t>In December 2023, we entered into a License Agreement with Bayer, the Bayer License Agreement, pursuant to which we obtained (a) an assignment of certain compounds, know-how and inventions related primarily to fibrosis, and (b) an exclusive, sublicensable and royalty-bearing license under certain project know-how related to fibrosis to research, develop, manufacture and commercialize products as independent research tools in all fields worldwide, subject to a non-exclusive, royalty-free license back to Bayer to use such licensed project know-how solely for internal research and development purposes.</w:t>
      </w:r>
    </w:p>
    <w:p>
      <w:pPr>
        <w:spacing w:after="0" w:line="162"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1E1E1E"/>
        </w:rPr>
        <w:t>We are required to use commercially reasonable efforts to develop and commercialize at least one product in one of the following countries: (a) the US, (b) Japan, or (c) a country of the European Union.</w:t>
      </w:r>
    </w:p>
    <w:p>
      <w:pPr>
        <w:spacing w:after="0" w:line="132"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1E1E1E"/>
        </w:rPr>
        <w:t>Under the Bayer License Agreement, we are obligated to pay Bayer milestone amounts totaling up to approximately $34 million upon achievement of specified development, regulatory and sales milestones. In addition, we are obligated to pay Bayer low single-digit royalties based on net sales of products containing certain compounds by us, our affiliates, or sublicensees, subject to specified reductions. Our obligation to pay royalties continues on a product-by-product and country-by-country basis until the latest of: (a) expiration of the last to expire patent filed by us, our affiliates or sublicensees that covers the product, and (b) ten years after the first commercial sale of the product in such country. As of the date of this filing, we have not made any milestone or royalty payments to Bayer.</w:t>
      </w:r>
    </w:p>
    <w:p>
      <w:pPr>
        <w:spacing w:after="0" w:line="161" w:lineRule="exact"/>
        <w:rPr>
          <w:sz w:val="20"/>
          <w:szCs w:val="20"/>
          <w:color w:val="auto"/>
        </w:rPr>
      </w:pPr>
    </w:p>
    <w:p>
      <w:pPr>
        <w:jc w:val="both"/>
        <w:ind w:right="420"/>
        <w:spacing w:after="0" w:line="282" w:lineRule="auto"/>
        <w:rPr>
          <w:sz w:val="20"/>
          <w:szCs w:val="20"/>
          <w:color w:val="auto"/>
        </w:rPr>
      </w:pPr>
      <w:r>
        <w:rPr>
          <w:rFonts w:ascii="Arial" w:cs="Arial" w:eastAsia="Arial" w:hAnsi="Arial"/>
          <w:sz w:val="15"/>
          <w:szCs w:val="15"/>
          <w:color w:val="1E1E1E"/>
        </w:rPr>
        <w:t>Each party has the right to terminate the license agreement for the other party’s material uncured breach. In addition, we may terminate the agreement without cause. Upon termination by us without cause or by Bayer for our breach, Bayer would have the right to use, practice, develop and exploit (including the right to sublicense) certain assigned know-how solely for Bayer’s internal research and development purposes.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Competition</w:t>
      </w:r>
    </w:p>
    <w:p>
      <w:pPr>
        <w:spacing w:after="0" w:line="74"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1E1E1E"/>
        </w:rPr>
        <w:t>Our efforts to date have resulted in several clinical-stage programs, an expansive pipeline of differentiated programs in early discovery and preclinical development, several partnerships with large pharma and technology companies, as well as an intellectual property portfolio comprising patents, trademarks, software and trade secrets. We believe that our differentiated approach provides us with a significant competitive advantage. We are a hybrid company, competing within multiple categories of the pharmaceutical, biotechnology, and technology industries where companies are similarly working to integrate rapidly advancing technologies into their drug discovery and development activities and/or are creating scalable scientific platforms. Notable competitors include:</w:t>
      </w:r>
    </w:p>
    <w:p>
      <w:pPr>
        <w:spacing w:after="0" w:line="76" w:lineRule="exact"/>
        <w:rPr>
          <w:sz w:val="20"/>
          <w:szCs w:val="20"/>
          <w:color w:val="auto"/>
        </w:rPr>
      </w:pPr>
    </w:p>
    <w:p>
      <w:pPr>
        <w:ind w:left="620" w:right="160" w:hanging="307"/>
        <w:spacing w:after="0" w:line="287" w:lineRule="auto"/>
        <w:tabs>
          <w:tab w:leader="none" w:pos="609" w:val="left"/>
        </w:tabs>
        <w:numPr>
          <w:ilvl w:val="0"/>
          <w:numId w:val="9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TechBio Companies. </w:t>
      </w:r>
      <w:r>
        <w:rPr>
          <w:rFonts w:ascii="Arial" w:cs="Arial" w:eastAsia="Arial" w:hAnsi="Arial"/>
          <w:sz w:val="15"/>
          <w:szCs w:val="15"/>
          <w:color w:val="1E1E1E"/>
        </w:rPr>
        <w:t>Such companies apply computational tools to unlock novel insights or accelerate drug discovery and development across different</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points in the value chain. Representative examples include Relay Therapeutics, Isomorphic Labs, Schrodinger, and AbCellera.</w:t>
      </w:r>
    </w:p>
    <w:p>
      <w:pPr>
        <w:ind w:left="620" w:right="40" w:hanging="307"/>
        <w:spacing w:after="0" w:line="282" w:lineRule="auto"/>
        <w:tabs>
          <w:tab w:leader="none" w:pos="609" w:val="left"/>
        </w:tabs>
        <w:numPr>
          <w:ilvl w:val="0"/>
          <w:numId w:val="9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Scalable Platform Companies. </w:t>
      </w:r>
      <w:r>
        <w:rPr>
          <w:rFonts w:ascii="Arial" w:cs="Arial" w:eastAsia="Arial" w:hAnsi="Arial"/>
          <w:sz w:val="15"/>
          <w:szCs w:val="15"/>
          <w:color w:val="1E1E1E"/>
        </w:rPr>
        <w:t>Such companies are applying novel scientific approaches or engineering novel therapeutic modalities with the potential to</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seed large numbers of therapeutic candidates. These companies may compete directly with our pipeline of predominantly small molecule therapeutics. Representative companies include Moderna, BioNTech, and Roivant Sciences.</w:t>
      </w:r>
    </w:p>
    <w:p>
      <w:pPr>
        <w:spacing w:after="0" w:line="10" w:lineRule="exact"/>
        <w:rPr>
          <w:rFonts w:ascii="Arial" w:cs="Arial" w:eastAsia="Arial" w:hAnsi="Arial"/>
          <w:sz w:val="15"/>
          <w:szCs w:val="15"/>
          <w:b w:val="1"/>
          <w:bCs w:val="1"/>
          <w:i w:val="1"/>
          <w:iCs w:val="1"/>
          <w:color w:val="1E1E1E"/>
        </w:rPr>
      </w:pPr>
    </w:p>
    <w:p>
      <w:pPr>
        <w:ind w:left="620" w:right="160" w:hanging="307"/>
        <w:spacing w:after="0" w:line="271" w:lineRule="auto"/>
        <w:tabs>
          <w:tab w:leader="none" w:pos="609" w:val="left"/>
        </w:tabs>
        <w:numPr>
          <w:ilvl w:val="0"/>
          <w:numId w:val="9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Traditional Biopharma Companies. </w:t>
      </w:r>
      <w:r>
        <w:rPr>
          <w:rFonts w:ascii="Arial" w:cs="Arial" w:eastAsia="Arial" w:hAnsi="Arial"/>
          <w:sz w:val="15"/>
          <w:szCs w:val="15"/>
          <w:color w:val="1E1E1E"/>
        </w:rPr>
        <w:t>Such companies, while primarily engaged in late-stage clinical development and product commercialization, are</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increasingly making their own investments in the application of ML and advanced computational tools across the drug discovery and development value chain. Such investments may include partnerships with other biotechnology companies (including Recursion) from which we may benefit. Representative companies include Janssen (a subsidiary of Johnson &amp; Johnson), Merck, and Pfizer.</w:t>
      </w:r>
    </w:p>
    <w:p>
      <w:pPr>
        <w:spacing w:after="0" w:line="7" w:lineRule="exact"/>
        <w:rPr>
          <w:rFonts w:ascii="Arial" w:cs="Arial" w:eastAsia="Arial" w:hAnsi="Arial"/>
          <w:sz w:val="15"/>
          <w:szCs w:val="15"/>
          <w:b w:val="1"/>
          <w:bCs w:val="1"/>
          <w:i w:val="1"/>
          <w:iCs w:val="1"/>
          <w:color w:val="1E1E1E"/>
        </w:rPr>
      </w:pPr>
    </w:p>
    <w:p>
      <w:pPr>
        <w:ind w:left="620" w:right="120" w:hanging="307"/>
        <w:spacing w:after="0" w:line="282" w:lineRule="auto"/>
        <w:tabs>
          <w:tab w:leader="none" w:pos="609" w:val="left"/>
        </w:tabs>
        <w:numPr>
          <w:ilvl w:val="0"/>
          <w:numId w:val="90"/>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Large Technology Companies. </w:t>
      </w:r>
      <w:r>
        <w:rPr>
          <w:rFonts w:ascii="Arial" w:cs="Arial" w:eastAsia="Arial" w:hAnsi="Arial"/>
          <w:sz w:val="15"/>
          <w:szCs w:val="15"/>
          <w:color w:val="1E1E1E"/>
        </w:rPr>
        <w:t>Large technology companies constantly seek growth opportunities. Technology-enabled drug discovery may represent a</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compelling opportunity for these companies, some of which have research groups or subsidiaries focused on drug discovery and others of which have signed large technology partnerships with biopharma companies. Representative companies include Alphabet, Microsoft, and Amazon.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Intellectual Property</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Patents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5"/>
          <w:szCs w:val="15"/>
          <w:color w:val="1E1E1E"/>
        </w:rPr>
        <w:t>As of February 2025, the Recursion patent portfolio is balanced between Platform IP and Program IP.</w:t>
      </w:r>
    </w:p>
    <w:p>
      <w:pPr>
        <w:spacing w:after="0" w:line="60" w:lineRule="exact"/>
        <w:rPr>
          <w:sz w:val="20"/>
          <w:szCs w:val="20"/>
          <w:color w:val="auto"/>
        </w:rPr>
      </w:pPr>
    </w:p>
    <w:p>
      <w:pPr>
        <w:ind w:left="620" w:right="40" w:hanging="307"/>
        <w:spacing w:after="0" w:line="271" w:lineRule="auto"/>
        <w:tabs>
          <w:tab w:leader="none" w:pos="609" w:val="left"/>
        </w:tabs>
        <w:numPr>
          <w:ilvl w:val="0"/>
          <w:numId w:val="91"/>
        </w:numPr>
        <w:rPr>
          <w:rFonts w:ascii="Arial" w:cs="Arial" w:eastAsia="Arial" w:hAnsi="Arial"/>
          <w:sz w:val="15"/>
          <w:szCs w:val="15"/>
          <w:color w:val="1E1E1E"/>
        </w:rPr>
      </w:pPr>
      <w:r>
        <w:rPr>
          <w:rFonts w:ascii="Arial" w:cs="Arial" w:eastAsia="Arial" w:hAnsi="Arial"/>
          <w:sz w:val="15"/>
          <w:szCs w:val="15"/>
          <w:b w:val="1"/>
          <w:bCs w:val="1"/>
          <w:i w:val="1"/>
          <w:iCs w:val="1"/>
          <w:color w:val="1E1E1E"/>
        </w:rPr>
        <w:t xml:space="preserve">Platform IP: </w:t>
      </w:r>
      <w:r>
        <w:rPr>
          <w:rFonts w:ascii="Arial" w:cs="Arial" w:eastAsia="Arial" w:hAnsi="Arial"/>
          <w:sz w:val="15"/>
          <w:szCs w:val="15"/>
          <w:color w:val="1E1E1E"/>
        </w:rPr>
        <w:t>Approximately one-half of the patents and patent applications that we own or license worldwide relate to the Recursion platform, including</w:t>
      </w:r>
      <w:r>
        <w:rPr>
          <w:rFonts w:ascii="Arial" w:cs="Arial" w:eastAsia="Arial" w:hAnsi="Arial"/>
          <w:sz w:val="15"/>
          <w:szCs w:val="15"/>
          <w:b w:val="1"/>
          <w:bCs w:val="1"/>
          <w:i w:val="1"/>
          <w:iCs w:val="1"/>
          <w:color w:val="1E1E1E"/>
        </w:rPr>
        <w:t xml:space="preserve"> </w:t>
      </w:r>
      <w:r>
        <w:rPr>
          <w:rFonts w:ascii="Arial" w:cs="Arial" w:eastAsia="Arial" w:hAnsi="Arial"/>
          <w:sz w:val="15"/>
          <w:szCs w:val="15"/>
          <w:color w:val="1E1E1E"/>
        </w:rPr>
        <w:t>patents and applications related to the Recursion OS IP, as well as many other inventions related to Recursion’s machine learning and artificial intelligence capabilities, cell perturbations, gene editing, drug discovery, drug development and hardware solutions. We also pursue a strategy of seeking patent protection on smaller discrete inventions throughout the breadth of our pipeline, ranging from experiment design, operations within our labs, data collection and analysis (including deep learning insights).</w:t>
      </w:r>
    </w:p>
    <w:p>
      <w:pPr>
        <w:spacing w:after="0" w:line="5" w:lineRule="exact"/>
        <w:rPr>
          <w:rFonts w:ascii="Arial" w:cs="Arial" w:eastAsia="Arial" w:hAnsi="Arial"/>
          <w:sz w:val="15"/>
          <w:szCs w:val="15"/>
          <w:color w:val="1E1E1E"/>
        </w:rPr>
      </w:pPr>
    </w:p>
    <w:p>
      <w:pPr>
        <w:ind w:left="620" w:hanging="307"/>
        <w:spacing w:after="0"/>
        <w:tabs>
          <w:tab w:leader="none" w:pos="620" w:val="left"/>
        </w:tabs>
        <w:numPr>
          <w:ilvl w:val="0"/>
          <w:numId w:val="91"/>
        </w:numPr>
        <w:rPr>
          <w:rFonts w:ascii="Arial" w:cs="Arial" w:eastAsia="Arial" w:hAnsi="Arial"/>
          <w:sz w:val="15"/>
          <w:szCs w:val="15"/>
          <w:b w:val="1"/>
          <w:bCs w:val="1"/>
          <w:i w:val="1"/>
          <w:iCs w:val="1"/>
          <w:color w:val="1E1E1E"/>
        </w:rPr>
      </w:pPr>
      <w:r>
        <w:rPr>
          <w:rFonts w:ascii="Arial" w:cs="Arial" w:eastAsia="Arial" w:hAnsi="Arial"/>
          <w:sz w:val="15"/>
          <w:szCs w:val="15"/>
          <w:b w:val="1"/>
          <w:bCs w:val="1"/>
          <w:i w:val="1"/>
          <w:iCs w:val="1"/>
          <w:color w:val="1E1E1E"/>
        </w:rPr>
        <w:t xml:space="preserve">Recursion Program IP: </w:t>
      </w:r>
      <w:r>
        <w:rPr>
          <w:rFonts w:ascii="Arial" w:cs="Arial" w:eastAsia="Arial" w:hAnsi="Arial"/>
          <w:sz w:val="15"/>
          <w:szCs w:val="15"/>
          <w:color w:val="1E1E1E"/>
        </w:rPr>
        <w:t>A breakdown of our Program IP portfolio is below:</w:t>
      </w:r>
    </w:p>
    <w:p>
      <w:pPr>
        <w:spacing w:after="0" w:line="72" w:lineRule="exact"/>
        <w:rPr>
          <w:rFonts w:ascii="Arial" w:cs="Arial" w:eastAsia="Arial" w:hAnsi="Arial"/>
          <w:sz w:val="15"/>
          <w:szCs w:val="15"/>
          <w:b w:val="1"/>
          <w:bCs w:val="1"/>
          <w:i w:val="1"/>
          <w:iCs w:val="1"/>
          <w:color w:val="1E1E1E"/>
        </w:rPr>
      </w:pPr>
    </w:p>
    <w:p>
      <w:pPr>
        <w:ind w:left="1240" w:right="60" w:hanging="309"/>
        <w:spacing w:after="0" w:line="266" w:lineRule="auto"/>
        <w:tabs>
          <w:tab w:leader="none" w:pos="1230" w:val="left"/>
        </w:tabs>
        <w:numPr>
          <w:ilvl w:val="1"/>
          <w:numId w:val="91"/>
        </w:numPr>
        <w:rPr>
          <w:rFonts w:ascii="Arial" w:cs="Arial" w:eastAsia="Arial" w:hAnsi="Arial"/>
          <w:sz w:val="15"/>
          <w:szCs w:val="15"/>
          <w:color w:val="1E1E1E"/>
        </w:rPr>
      </w:pPr>
      <w:r>
        <w:rPr>
          <w:rFonts w:ascii="Arial" w:cs="Arial" w:eastAsia="Arial" w:hAnsi="Arial"/>
          <w:sz w:val="15"/>
          <w:szCs w:val="15"/>
          <w:color w:val="1E1E1E"/>
        </w:rPr>
        <w:t>REC-2282: We exclusively license OSIF’s interest in patents and patent applications related to REC-2282 from OSIF; these patents and patent applications relate to composition of matter and methods of use treating cancer cachexia for REC-2282. Currently, we expect our licensed issued patents related to REC-2282 to generally expire between 2030 and 2035, excluding any patent term extension, or other mechanisms for effecting patent term, and assuming payment of all appropriate maintenance, renewal, annuity or other governmental fee. With respect to NF-2, orphan drug exclusivity in the U.S. would run seven years from marketing authorization.</w:t>
      </w:r>
    </w:p>
    <w:p>
      <w:pPr>
        <w:spacing w:after="0" w:line="23" w:lineRule="exact"/>
        <w:rPr>
          <w:rFonts w:ascii="Arial" w:cs="Arial" w:eastAsia="Arial" w:hAnsi="Arial"/>
          <w:sz w:val="15"/>
          <w:szCs w:val="15"/>
          <w:color w:val="1E1E1E"/>
        </w:rPr>
      </w:pPr>
    </w:p>
    <w:p>
      <w:pPr>
        <w:ind w:left="1240" w:right="340" w:hanging="309"/>
        <w:spacing w:after="0" w:line="271" w:lineRule="auto"/>
        <w:tabs>
          <w:tab w:leader="none" w:pos="1230" w:val="left"/>
        </w:tabs>
        <w:numPr>
          <w:ilvl w:val="1"/>
          <w:numId w:val="91"/>
        </w:numPr>
        <w:rPr>
          <w:rFonts w:ascii="Arial" w:cs="Arial" w:eastAsia="Arial" w:hAnsi="Arial"/>
          <w:sz w:val="15"/>
          <w:szCs w:val="15"/>
          <w:color w:val="1E1E1E"/>
        </w:rPr>
      </w:pPr>
      <w:r>
        <w:rPr>
          <w:rFonts w:ascii="Arial" w:cs="Arial" w:eastAsia="Arial" w:hAnsi="Arial"/>
          <w:sz w:val="15"/>
          <w:szCs w:val="15"/>
          <w:color w:val="1E1E1E"/>
        </w:rPr>
        <w:t>REC-994: We exclusively license UURF’s interest in patents and patent applications related to use of REC-994 for treatment or prevention of CCM from UURF. Currently, we expect our licensed issued patents related to REC-994 to generally expire in 2035, excluding any patent term extension, or other mechanisms for effecting patent term, and assuming payment of all appropriate maintenance, renewal, annuity or other governmental fee. With respect to CCM, orphan drug exclusivity in the U.S. would run seven years from marketing authorization.</w:t>
      </w:r>
    </w:p>
    <w:p>
      <w:pPr>
        <w:spacing w:after="0" w:line="7" w:lineRule="exact"/>
        <w:rPr>
          <w:rFonts w:ascii="Arial" w:cs="Arial" w:eastAsia="Arial" w:hAnsi="Arial"/>
          <w:sz w:val="15"/>
          <w:szCs w:val="15"/>
          <w:color w:val="1E1E1E"/>
        </w:rPr>
      </w:pPr>
    </w:p>
    <w:p>
      <w:pPr>
        <w:ind w:left="1240" w:hanging="309"/>
        <w:spacing w:after="0" w:line="271" w:lineRule="auto"/>
        <w:tabs>
          <w:tab w:leader="none" w:pos="1230" w:val="left"/>
        </w:tabs>
        <w:numPr>
          <w:ilvl w:val="1"/>
          <w:numId w:val="91"/>
        </w:numPr>
        <w:rPr>
          <w:rFonts w:ascii="Arial" w:cs="Arial" w:eastAsia="Arial" w:hAnsi="Arial"/>
          <w:sz w:val="15"/>
          <w:szCs w:val="15"/>
          <w:color w:val="1E1E1E"/>
        </w:rPr>
      </w:pPr>
      <w:r>
        <w:rPr>
          <w:rFonts w:ascii="Arial" w:cs="Arial" w:eastAsia="Arial" w:hAnsi="Arial"/>
          <w:sz w:val="15"/>
          <w:szCs w:val="15"/>
          <w:color w:val="1E1E1E"/>
        </w:rPr>
        <w:t>REC-4881: We own patent applications, or exclusively license Takeda’s interest in patents and patent applications from Takeda, related to composition of matter and methods of reducing polyp burden in people living with FAP using REC-4881. Currently, we expect our licensed issued patents related to REC-4881 to generally expire in 2029, excluding any patent term extension, or other mechanisms for effecting patent term, and assuming payment of all appropriate maintenance, renewal, annuity or other governmental fee. With respect to FAP, orphan drug exclusivity in the U.S. would run seven years from marketing authorization.</w:t>
      </w:r>
    </w:p>
    <w:p>
      <w:pPr>
        <w:spacing w:after="0" w:line="5" w:lineRule="exact"/>
        <w:rPr>
          <w:rFonts w:ascii="Arial" w:cs="Arial" w:eastAsia="Arial" w:hAnsi="Arial"/>
          <w:sz w:val="15"/>
          <w:szCs w:val="15"/>
          <w:color w:val="1E1E1E"/>
        </w:rPr>
      </w:pPr>
    </w:p>
    <w:p>
      <w:pPr>
        <w:ind w:left="1240" w:right="20" w:hanging="309"/>
        <w:spacing w:after="0" w:line="271" w:lineRule="auto"/>
        <w:tabs>
          <w:tab w:leader="none" w:pos="1230" w:val="left"/>
        </w:tabs>
        <w:numPr>
          <w:ilvl w:val="1"/>
          <w:numId w:val="91"/>
        </w:numPr>
        <w:rPr>
          <w:rFonts w:ascii="Arial" w:cs="Arial" w:eastAsia="Arial" w:hAnsi="Arial"/>
          <w:sz w:val="15"/>
          <w:szCs w:val="15"/>
          <w:color w:val="1E1E1E"/>
        </w:rPr>
      </w:pPr>
      <w:r>
        <w:rPr>
          <w:rFonts w:ascii="Arial" w:cs="Arial" w:eastAsia="Arial" w:hAnsi="Arial"/>
          <w:sz w:val="15"/>
          <w:szCs w:val="15"/>
          <w:color w:val="1E1E1E"/>
        </w:rPr>
        <w:t>REC-3964: We own a patent and patent applications related to the composition of matter and methods of inhibiting the toxin produced by Clostridioides difficile in the gastrointestinal tract using REC-3964. Currently, we expect our issued patent related to REC-3964 to expire no earlier than 2042, excluding any patent term adjustment or patent term extension, or other mechanisms for effecting patent term, and assuming payment of all appropriate maintenance, renewal, annuity or other governmental fee.</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1240" w:right="120" w:hanging="309"/>
        <w:spacing w:after="0" w:line="271" w:lineRule="auto"/>
        <w:tabs>
          <w:tab w:leader="none" w:pos="1230" w:val="left"/>
        </w:tabs>
        <w:numPr>
          <w:ilvl w:val="0"/>
          <w:numId w:val="92"/>
        </w:numPr>
        <w:rPr>
          <w:rFonts w:ascii="Arial" w:cs="Arial" w:eastAsia="Arial" w:hAnsi="Arial"/>
          <w:sz w:val="15"/>
          <w:szCs w:val="15"/>
          <w:color w:val="1E1E1E"/>
        </w:rPr>
      </w:pPr>
      <w:r>
        <w:rPr>
          <w:rFonts w:ascii="Arial" w:cs="Arial" w:eastAsia="Arial" w:hAnsi="Arial"/>
          <w:sz w:val="15"/>
          <w:szCs w:val="15"/>
          <w:color w:val="1E1E1E"/>
        </w:rPr>
        <w:t>REC-617: We own patent applications related to REC-617; these patent applications relate to composition of matter and methods of treatment of multiple advanced solid tumor indications for REC-617. Upon issuance, we expect our patents resulting from these patent applications will expire no earlier than 2041, excluding any patent term extension, or other mechanisms for effecting patent term, and assuming payment of all appropriate maintenance, renewal, annuity or other governmental fee.</w:t>
      </w:r>
    </w:p>
    <w:p>
      <w:pPr>
        <w:spacing w:after="0" w:line="20" w:lineRule="exact"/>
        <w:rPr>
          <w:rFonts w:ascii="Arial" w:cs="Arial" w:eastAsia="Arial" w:hAnsi="Arial"/>
          <w:sz w:val="15"/>
          <w:szCs w:val="15"/>
          <w:color w:val="1E1E1E"/>
        </w:rPr>
      </w:pPr>
    </w:p>
    <w:p>
      <w:pPr>
        <w:ind w:left="1240" w:right="460" w:hanging="309"/>
        <w:spacing w:after="0" w:line="271" w:lineRule="auto"/>
        <w:tabs>
          <w:tab w:leader="none" w:pos="1230" w:val="left"/>
        </w:tabs>
        <w:numPr>
          <w:ilvl w:val="0"/>
          <w:numId w:val="92"/>
        </w:numPr>
        <w:rPr>
          <w:rFonts w:ascii="Arial" w:cs="Arial" w:eastAsia="Arial" w:hAnsi="Arial"/>
          <w:sz w:val="15"/>
          <w:szCs w:val="15"/>
          <w:color w:val="1E1E1E"/>
        </w:rPr>
      </w:pPr>
      <w:r>
        <w:rPr>
          <w:rFonts w:ascii="Arial" w:cs="Arial" w:eastAsia="Arial" w:hAnsi="Arial"/>
          <w:sz w:val="15"/>
          <w:szCs w:val="15"/>
          <w:color w:val="1E1E1E"/>
        </w:rPr>
        <w:t>REC-1245: We own patent applications related to the composition of matter and methods of treating biomarker-enriched solid tumors and lymphoma using REC-1245. Upon issuance, we expect our patents resulting from these patent applications will expire no earlier than 2043, excluding any patent term adjustment or patent term extension, or other mechanisms for effecting patent term, and assuming payment of all appropriate maintenance, renewal, annuity or other governmental fee.</w:t>
      </w:r>
    </w:p>
    <w:p>
      <w:pPr>
        <w:spacing w:after="0" w:line="7" w:lineRule="exact"/>
        <w:rPr>
          <w:rFonts w:ascii="Arial" w:cs="Arial" w:eastAsia="Arial" w:hAnsi="Arial"/>
          <w:sz w:val="15"/>
          <w:szCs w:val="15"/>
          <w:color w:val="1E1E1E"/>
        </w:rPr>
      </w:pPr>
    </w:p>
    <w:p>
      <w:pPr>
        <w:ind w:left="1240" w:right="140" w:hanging="309"/>
        <w:spacing w:after="0" w:line="271" w:lineRule="auto"/>
        <w:tabs>
          <w:tab w:leader="none" w:pos="1230" w:val="left"/>
        </w:tabs>
        <w:numPr>
          <w:ilvl w:val="0"/>
          <w:numId w:val="92"/>
        </w:numPr>
        <w:rPr>
          <w:rFonts w:ascii="Arial" w:cs="Arial" w:eastAsia="Arial" w:hAnsi="Arial"/>
          <w:sz w:val="15"/>
          <w:szCs w:val="15"/>
          <w:color w:val="1E1E1E"/>
        </w:rPr>
      </w:pPr>
      <w:r>
        <w:rPr>
          <w:rFonts w:ascii="Arial" w:cs="Arial" w:eastAsia="Arial" w:hAnsi="Arial"/>
          <w:sz w:val="15"/>
          <w:szCs w:val="15"/>
          <w:color w:val="1E1E1E"/>
        </w:rPr>
        <w:t>REC-3565: We own patent applications related to the composition of matter and methods of treating multiple hematology indications using REC-3565. Upon issuance, we expect our patents resulting from these patent applications will expire no earlier than 2041, excluding any patent term adjustment or patent term extension, or other mechanisms for effecting patent term, and assuming payment of all appropriate maintenance, renewal, annuity or other governmental fee.</w:t>
      </w:r>
    </w:p>
    <w:p>
      <w:pPr>
        <w:spacing w:after="0" w:line="20" w:lineRule="exact"/>
        <w:rPr>
          <w:rFonts w:ascii="Arial" w:cs="Arial" w:eastAsia="Arial" w:hAnsi="Arial"/>
          <w:sz w:val="15"/>
          <w:szCs w:val="15"/>
          <w:color w:val="1E1E1E"/>
        </w:rPr>
      </w:pPr>
    </w:p>
    <w:p>
      <w:pPr>
        <w:ind w:left="1240" w:right="60" w:hanging="309"/>
        <w:spacing w:after="0" w:line="271" w:lineRule="auto"/>
        <w:tabs>
          <w:tab w:leader="none" w:pos="1230" w:val="left"/>
        </w:tabs>
        <w:numPr>
          <w:ilvl w:val="0"/>
          <w:numId w:val="92"/>
        </w:numPr>
        <w:rPr>
          <w:rFonts w:ascii="Arial" w:cs="Arial" w:eastAsia="Arial" w:hAnsi="Arial"/>
          <w:sz w:val="15"/>
          <w:szCs w:val="15"/>
          <w:color w:val="1E1E1E"/>
        </w:rPr>
      </w:pPr>
      <w:r>
        <w:rPr>
          <w:rFonts w:ascii="Arial" w:cs="Arial" w:eastAsia="Arial" w:hAnsi="Arial"/>
          <w:sz w:val="15"/>
          <w:szCs w:val="15"/>
          <w:color w:val="1E1E1E"/>
        </w:rPr>
        <w:t>REC-4539: We own a Patent Cooperation Treaty (PCT) application related to the composition of matter and methods of treating multiple hematology and solid tumor indications using REC-4539. Upon issuance of a national phase patent from our PCT application, we expect the resulting patents to expire no earlier than 2043, excluding any patent term adjustment or patent term extension, or other mechanisms for effecting patent term, and assuming payment of all appropriate maintenance, renewal, annuity or other governmental fee.</w:t>
      </w:r>
    </w:p>
    <w:p>
      <w:pPr>
        <w:spacing w:after="0" w:line="162"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1E1E1E"/>
        </w:rPr>
        <w:t>The patent positions of companies like ours are generally uncertain and involve complex legal and factual questions. No consistent policy regarding the scope of claims allowable in patents in the field of biotechnology has emerged in the United States and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platform and drug candidates and the methods used to manufacture them. Moreover, our issued patents and those that may issue in the future may not guarantee us the right to practice our technology in relation to the commercialization of our drug product candidates. The area of patent and other intellectual property rights in biotechnology is an evolving one with many risks and uncertainties, which may prevent us from commercializing our drug candidates and future drug candidates and practicing our proprietary technology.</w:t>
      </w:r>
    </w:p>
    <w:p>
      <w:pPr>
        <w:spacing w:after="0" w:line="168"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1E1E1E"/>
        </w:rPr>
        <w:t>Our issued patents and those that may issue in the future may be challenged, narrowed, circumvented, or invalidated, which could limit our ability to stop competitors from marketing related platforms or drug candidates or limit the length of the term of patent protection that we may have for our drug candidates, future drug candidates and platforms. In addition, the rights granted under any issued patents may not provide us with complete protection or competitive advantages against competitors with similar technology. Furthermore, our competitors may independently develop similar technologies that achieve similar outcomes but with different approaches. For these reasons, we may have competition for our drug candidates. Moreover, the time required for the development, testing and regulatory review of our candidate products may shorten the length of effective patent protection following commercialization. For this and other risks related to our proprietary technology, inventions, improvements, platforms and drug candidates, please see the section titled “Risk Factors—Risks Related to Our Intellectual Property.”</w:t>
      </w:r>
    </w:p>
    <w:p>
      <w:pPr>
        <w:spacing w:after="0" w:line="180"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1E1E1E"/>
        </w:rPr>
        <w:t>Our commercial success will also depend in part on not infringing upon the intellectual property and proprietary rights of third parties. It is uncertain whether the issuance of any third-party patent would require us to alter our development or commercial strategies for our products or processes or to obtain licenses or cease certain activities. Our breach of any license agreements or failure to obtain a license to proprietary rights that we may require to develop or commercialize our future products may have an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“Risk Factors—Risks Related to Our Intellectual Property.”</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1E1E1E"/>
        </w:rPr>
        <w:t>Some of our pending patent applications in the United States are provisional patent applications. Provisional patent applications are not eligible to become issued patents until, among other things, we file a non-provisional patent application within 12 months of filing of one or more of our related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line="261" w:lineRule="auto"/>
        <w:rPr>
          <w:sz w:val="20"/>
          <w:szCs w:val="20"/>
          <w:color w:val="auto"/>
        </w:rPr>
      </w:pPr>
      <w:r>
        <w:rPr>
          <w:rFonts w:ascii="Arial" w:cs="Arial" w:eastAsia="Arial" w:hAnsi="Arial"/>
          <w:sz w:val="15"/>
          <w:szCs w:val="15"/>
          <w:color w:val="1E1E1E"/>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A U.S. patent also may be accorded patent term adjustment, or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(PTE), which permits patent term restoration as compensation for the patent term lost during the FDA regulatory review process. However, with respect to patent term extensions granted as a result of the FDA regulatory review period, the restoration period cannot be longer than five years, the total patent term including the restoration period must not exceed 14 years following FDA approval, only one patent applicable to each regulatory review period may be extended and only those issued claims covering the approved drug or a method for using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w:t>
      </w:r>
    </w:p>
    <w:p>
      <w:pPr>
        <w:spacing w:after="0" w:line="359" w:lineRule="exact"/>
        <w:rPr>
          <w:sz w:val="20"/>
          <w:szCs w:val="20"/>
          <w:color w:val="auto"/>
        </w:rPr>
      </w:pPr>
    </w:p>
    <w:p>
      <w:pPr>
        <w:ind w:right="200"/>
        <w:spacing w:after="0" w:line="277" w:lineRule="auto"/>
        <w:rPr>
          <w:sz w:val="20"/>
          <w:szCs w:val="20"/>
          <w:color w:val="auto"/>
        </w:rPr>
      </w:pPr>
      <w:r>
        <w:rPr>
          <w:rFonts w:ascii="Arial" w:cs="Arial" w:eastAsia="Arial" w:hAnsi="Arial"/>
          <w:sz w:val="15"/>
          <w:szCs w:val="15"/>
          <w:color w:val="1E1E1E"/>
        </w:rPr>
        <w:t>Rapidly evolving patent laws in the United States and elsewhere make it difficult to predict the breadth of claims that may be allowed or enforced in our patents. Moreover, patent offices in general can require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are able to obtain patents, the patents may be substantially narrower than anticipated.</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1E1E1E"/>
        </w:rPr>
        <w:t>Our ability to maintain and defend our intellectual property and proprietary position for our drug product candidates, methods of their use, and other proprietary technologies will depend on our success in obtaining effective claims and enforcing those claims once granted. We do not know whether any of the patent applications that we may file or license from third parties will result in the issuance of any patents. The issued patents that we own, may receive in the future, or license from third parties may be challenged, invalidated, held unenforceable, narrowed or circumvented, and the rights granted under any issued patents may not provide us with proprietary protection or competitive advantages against third parties, including our competitors, with similar technology. Furthermore, third parties, including our competitors, may be able to independently develop and commercialize similar drugs or products, or duplicate our technology, business model or strategy without infringing our patents.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Trademarks</w:t>
      </w:r>
    </w:p>
    <w:p>
      <w:pPr>
        <w:spacing w:after="0" w:line="61" w:lineRule="exact"/>
        <w:rPr>
          <w:sz w:val="20"/>
          <w:szCs w:val="20"/>
          <w:color w:val="auto"/>
        </w:rPr>
      </w:pPr>
    </w:p>
    <w:p>
      <w:pPr>
        <w:ind w:right="360"/>
        <w:spacing w:after="0" w:line="312" w:lineRule="auto"/>
        <w:rPr>
          <w:sz w:val="20"/>
          <w:szCs w:val="20"/>
          <w:color w:val="auto"/>
        </w:rPr>
      </w:pPr>
      <w:r>
        <w:rPr>
          <w:rFonts w:ascii="Arial" w:cs="Arial" w:eastAsia="Arial" w:hAnsi="Arial"/>
          <w:sz w:val="15"/>
          <w:szCs w:val="15"/>
          <w:color w:val="1E1E1E"/>
        </w:rPr>
        <w:t>As of February 2025, our trademark portfolio comprises more than 70 registered trademarks or active trademark applications worldwide, among which we have issued trademarks in the U.S. for “Recursion” and “Recursion Pharmaceuticals.”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Trade Secrets</w:t>
      </w:r>
    </w:p>
    <w:p>
      <w:pPr>
        <w:spacing w:after="0" w:line="74"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1E1E1E"/>
        </w:rPr>
        <w:t>In addition to our reliance on patent protection for our inventions, drug candidates and programs, we also rely on trade secrets, know-how, confidentiality agreements and continuing technological innovation to develop and maintain our competitive position. For example, some elements of manufacturing processes, proprietary assays, analytics techniques and processes, knowledge gained through clinical experience such as approaches to dosing and administration and management of patients,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or being used in our current or planned business or research and development are our exclusive property. In addition, we take other appropriate precautions, such as physical and technological security measures, to guard against the misappropriation of our proprietary technology by third parties. However, such agreements and policies may be breached, and we may not have adequate remedies for such breaches. For more information regarding the risks related to our intellectual property, see “Risk Factors—Risks Related to Our Intellectual Property.”</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Government Regulation</w:t>
      </w:r>
    </w:p>
    <w:p>
      <w:pPr>
        <w:spacing w:after="0" w:line="74" w:lineRule="exact"/>
        <w:rPr>
          <w:sz w:val="20"/>
          <w:szCs w:val="20"/>
          <w:color w:val="auto"/>
        </w:rPr>
      </w:pPr>
    </w:p>
    <w:p>
      <w:pPr>
        <w:ind w:right="340"/>
        <w:spacing w:after="0" w:line="273" w:lineRule="auto"/>
        <w:rPr>
          <w:sz w:val="20"/>
          <w:szCs w:val="20"/>
          <w:color w:val="auto"/>
        </w:rPr>
      </w:pPr>
      <w:r>
        <w:rPr>
          <w:rFonts w:ascii="Arial" w:cs="Arial" w:eastAsia="Arial" w:hAnsi="Arial"/>
          <w:sz w:val="15"/>
          <w:szCs w:val="15"/>
          <w:color w:val="1E1E1E"/>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1E1E1E"/>
        </w:rPr>
        <w:t>biological products. Generally, before a new drug can be marketed, considerable data demonstrating its quality, safety and efficacy must be obtained, organized into a format specific for each regulatory authority, submitted for review and approved by the relevant regulatory authority.</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U.S. Drug Development</w:t>
      </w:r>
    </w:p>
    <w:p>
      <w:pPr>
        <w:spacing w:after="0" w:line="61"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1E1E1E"/>
        </w:rPr>
        <w:t>In the United States, the FDA regulates drugs under the Federal Food, Drug, and Cosmetic Act, or FDCA.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62" w:lineRule="exact"/>
        <w:rPr>
          <w:sz w:val="20"/>
          <w:szCs w:val="20"/>
          <w:color w:val="auto"/>
        </w:rPr>
      </w:pPr>
    </w:p>
    <w:p>
      <w:pPr>
        <w:ind w:left="620" w:right="120" w:hanging="307"/>
        <w:spacing w:after="0" w:line="281" w:lineRule="auto"/>
        <w:tabs>
          <w:tab w:leader="none" w:pos="609"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Our drug candidates are considered small molecule drugs and must be approved by the FDA through the new drug application, or NDA, process before they may be legally marketed in the United States. The process generally involves the following: completion of extensive preclinical studies in accordance with applicable regulations, including studies conducted in accordance with good laboratory practice, or GLP;</w:t>
      </w:r>
    </w:p>
    <w:p>
      <w:pPr>
        <w:ind w:left="620" w:hanging="307"/>
        <w:spacing w:after="0"/>
        <w:tabs>
          <w:tab w:leader="none" w:pos="620"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submission to the FDA of an investigational new drug, or IND, application, which must become effective before human clinical trials in the U.S. may begin;</w:t>
      </w:r>
    </w:p>
    <w:p>
      <w:pPr>
        <w:spacing w:after="0" w:line="72" w:lineRule="exact"/>
        <w:rPr>
          <w:rFonts w:ascii="Arial" w:cs="Arial" w:eastAsia="Arial" w:hAnsi="Arial"/>
          <w:sz w:val="15"/>
          <w:szCs w:val="15"/>
          <w:color w:val="1E1E1E"/>
        </w:rPr>
      </w:pPr>
    </w:p>
    <w:p>
      <w:pPr>
        <w:ind w:left="620" w:hanging="307"/>
        <w:spacing w:after="0"/>
        <w:tabs>
          <w:tab w:leader="none" w:pos="620"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approval by an independent institutional review board, or IRB, or ethics committee at each clinical trial site before each trial may be initiated;</w:t>
      </w:r>
    </w:p>
    <w:p>
      <w:pPr>
        <w:spacing w:after="0" w:line="59" w:lineRule="exact"/>
        <w:rPr>
          <w:rFonts w:ascii="Arial" w:cs="Arial" w:eastAsia="Arial" w:hAnsi="Arial"/>
          <w:sz w:val="15"/>
          <w:szCs w:val="15"/>
          <w:color w:val="1E1E1E"/>
        </w:rPr>
      </w:pPr>
    </w:p>
    <w:p>
      <w:pPr>
        <w:ind w:left="620" w:right="260" w:hanging="307"/>
        <w:spacing w:after="0" w:line="281" w:lineRule="auto"/>
        <w:tabs>
          <w:tab w:leader="none" w:pos="609"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performance of adequate and well-controlled human clinical trials in accordance with applicable IND regulations, good clinical practice, or GCP, requirements and other clinical trial-related regulations to establish substantial evidence of the safety and efficacy of the investigational product for each proposed indication;</w:t>
      </w:r>
    </w:p>
    <w:p>
      <w:pPr>
        <w:ind w:left="620" w:hanging="307"/>
        <w:spacing w:after="0"/>
        <w:tabs>
          <w:tab w:leader="none" w:pos="620"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submission to the FDA of an NDA;</w:t>
      </w:r>
    </w:p>
    <w:p>
      <w:pPr>
        <w:spacing w:after="0" w:line="72" w:lineRule="exact"/>
        <w:rPr>
          <w:rFonts w:ascii="Arial" w:cs="Arial" w:eastAsia="Arial" w:hAnsi="Arial"/>
          <w:sz w:val="15"/>
          <w:szCs w:val="15"/>
          <w:color w:val="1E1E1E"/>
        </w:rPr>
      </w:pPr>
    </w:p>
    <w:p>
      <w:pPr>
        <w:ind w:left="620" w:hanging="307"/>
        <w:spacing w:after="0"/>
        <w:tabs>
          <w:tab w:leader="none" w:pos="620"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a determination by the FDA within 60 days of its receipt of an NDA to accept the filing for review;</w:t>
      </w:r>
    </w:p>
    <w:p>
      <w:pPr>
        <w:spacing w:after="0" w:line="59" w:lineRule="exact"/>
        <w:rPr>
          <w:rFonts w:ascii="Arial" w:cs="Arial" w:eastAsia="Arial" w:hAnsi="Arial"/>
          <w:sz w:val="15"/>
          <w:szCs w:val="15"/>
          <w:color w:val="1E1E1E"/>
        </w:rPr>
      </w:pPr>
    </w:p>
    <w:p>
      <w:pPr>
        <w:ind w:left="620" w:right="200" w:hanging="307"/>
        <w:spacing w:after="0" w:line="294" w:lineRule="auto"/>
        <w:tabs>
          <w:tab w:leader="none" w:pos="609"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satisfactory completion of an FDA pre-approval inspection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2" w:lineRule="exact"/>
        <w:rPr>
          <w:rFonts w:ascii="Arial" w:cs="Arial" w:eastAsia="Arial" w:hAnsi="Arial"/>
          <w:sz w:val="15"/>
          <w:szCs w:val="15"/>
          <w:color w:val="1E1E1E"/>
        </w:rPr>
      </w:pPr>
    </w:p>
    <w:p>
      <w:pPr>
        <w:ind w:left="620" w:hanging="307"/>
        <w:spacing w:after="0"/>
        <w:tabs>
          <w:tab w:leader="none" w:pos="620"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potential FDA audit of the preclinical study and/or clinical trial sites that generated the data in support of the NDA filing;</w:t>
      </w:r>
    </w:p>
    <w:p>
      <w:pPr>
        <w:spacing w:after="0" w:line="59" w:lineRule="exact"/>
        <w:rPr>
          <w:rFonts w:ascii="Arial" w:cs="Arial" w:eastAsia="Arial" w:hAnsi="Arial"/>
          <w:sz w:val="15"/>
          <w:szCs w:val="15"/>
          <w:color w:val="1E1E1E"/>
        </w:rPr>
      </w:pPr>
    </w:p>
    <w:p>
      <w:pPr>
        <w:ind w:left="620" w:hanging="307"/>
        <w:spacing w:after="0"/>
        <w:tabs>
          <w:tab w:leader="none" w:pos="620"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payment of user fees for FDA review of the NDA;</w:t>
      </w:r>
    </w:p>
    <w:p>
      <w:pPr>
        <w:spacing w:after="0" w:line="72" w:lineRule="exact"/>
        <w:rPr>
          <w:rFonts w:ascii="Arial" w:cs="Arial" w:eastAsia="Arial" w:hAnsi="Arial"/>
          <w:sz w:val="15"/>
          <w:szCs w:val="15"/>
          <w:color w:val="1E1E1E"/>
        </w:rPr>
      </w:pPr>
    </w:p>
    <w:p>
      <w:pPr>
        <w:ind w:left="620" w:right="20" w:hanging="307"/>
        <w:spacing w:after="0" w:line="287" w:lineRule="auto"/>
        <w:tabs>
          <w:tab w:leader="none" w:pos="609"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FDA review and approval of the NDA, including consideration of the views of any FDA advisory committee, prior to any commercial marketing or sale of the drug in the United States; and</w:t>
      </w:r>
    </w:p>
    <w:p>
      <w:pPr>
        <w:ind w:left="620" w:right="20" w:hanging="307"/>
        <w:spacing w:after="0" w:line="312" w:lineRule="auto"/>
        <w:tabs>
          <w:tab w:leader="none" w:pos="609" w:val="left"/>
        </w:tabs>
        <w:numPr>
          <w:ilvl w:val="0"/>
          <w:numId w:val="93"/>
        </w:numPr>
        <w:rPr>
          <w:rFonts w:ascii="Arial" w:cs="Arial" w:eastAsia="Arial" w:hAnsi="Arial"/>
          <w:sz w:val="15"/>
          <w:szCs w:val="15"/>
          <w:color w:val="1E1E1E"/>
        </w:rPr>
      </w:pPr>
      <w:r>
        <w:rPr>
          <w:rFonts w:ascii="Arial" w:cs="Arial" w:eastAsia="Arial" w:hAnsi="Arial"/>
          <w:sz w:val="15"/>
          <w:szCs w:val="15"/>
          <w:color w:val="1E1E1E"/>
        </w:rPr>
        <w:t>compliance with any post-approval requirements, including the potential requirement to implement a Risk Evaluation and Mitigation Strategy, or REMS, and the potential requirement to conduct post-approval studies.</w:t>
      </w:r>
    </w:p>
    <w:p>
      <w:pPr>
        <w:spacing w:after="0" w:line="132" w:lineRule="exact"/>
        <w:rPr>
          <w:sz w:val="20"/>
          <w:szCs w:val="20"/>
          <w:color w:val="auto"/>
        </w:rPr>
      </w:pPr>
    </w:p>
    <w:p>
      <w:pPr>
        <w:jc w:val="both"/>
        <w:ind w:right="380"/>
        <w:spacing w:after="0" w:line="282" w:lineRule="auto"/>
        <w:rPr>
          <w:sz w:val="20"/>
          <w:szCs w:val="20"/>
          <w:color w:val="auto"/>
        </w:rPr>
      </w:pPr>
      <w:r>
        <w:rPr>
          <w:rFonts w:ascii="Arial" w:cs="Arial" w:eastAsia="Arial" w:hAnsi="Arial"/>
          <w:sz w:val="15"/>
          <w:szCs w:val="15"/>
          <w:color w:val="1E1E1E"/>
        </w:rPr>
        <w:t>The data required to support an NDA is generated in two distinct developmental stages: preclinical and clinical. The preclinical and clinical testing and approval process requires substantial time, effort and financial resources, and we cannot be certain that any approvals for any current and future drug candidates will be granted on a timely basis, or at all.</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Preclinical Studies and IND</w:t>
      </w:r>
    </w:p>
    <w:p>
      <w:pPr>
        <w:spacing w:after="0" w:line="74"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1E1E1E"/>
        </w:rPr>
        <w:t>Before testing any drug product candidate in humans, the product candidate must undergo rigorous preclinical testing. The conduct of preclinical studies is subject to federal regulations and requirements, including GLP and ICH regulations for safety/toxicology studies. 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164"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1E1E1E"/>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which are generally required for FDA approval of an NDA, to commence. 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1E1E1E"/>
        </w:rPr>
        <w:t>separate submission to an existing IND must also be made for each successive clinical trial conducted during product development along with any subsequent changes to the investigational plan. Some long-term nonclinical testing, such as animal tests of reproductive adverse events and carcinogenicity, may continue after the IND is submitted.</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Clinical Trials</w:t>
      </w:r>
    </w:p>
    <w:p>
      <w:pPr>
        <w:spacing w:after="0" w:line="74" w:lineRule="exact"/>
        <w:rPr>
          <w:sz w:val="20"/>
          <w:szCs w:val="20"/>
          <w:color w:val="auto"/>
        </w:rPr>
      </w:pPr>
    </w:p>
    <w:p>
      <w:pPr>
        <w:spacing w:after="0" w:line="263" w:lineRule="auto"/>
        <w:rPr>
          <w:sz w:val="20"/>
          <w:szCs w:val="20"/>
          <w:color w:val="auto"/>
        </w:rPr>
      </w:pPr>
      <w:r>
        <w:rPr>
          <w:rFonts w:ascii="Arial" w:cs="Arial" w:eastAsia="Arial" w:hAnsi="Arial"/>
          <w:sz w:val="15"/>
          <w:szCs w:val="15"/>
          <w:color w:val="1E1E1E"/>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must also approve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68"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1E1E1E"/>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generally accept a well-designed and well-conducted foreign clinical trial not conducted under an IND if the trial was conducted in accordance with GCP and GMP requirements, and the FDA is able to validate the data through an onsite inspection, if deemed necessary, and the practice of medicine in the foreign country is consistent with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1E1E1E"/>
        </w:rPr>
        <w:t>Clinical trials in the United States generally are conducted in three sequential phases, known as Phase 1, Phase 2 and Phase 3, and may overlap.</w:t>
      </w:r>
    </w:p>
    <w:p>
      <w:pPr>
        <w:spacing w:after="0" w:line="124" w:lineRule="exact"/>
        <w:rPr>
          <w:sz w:val="20"/>
          <w:szCs w:val="20"/>
          <w:color w:val="auto"/>
        </w:rPr>
      </w:pPr>
    </w:p>
    <w:p>
      <w:pPr>
        <w:ind w:left="620" w:right="240" w:hanging="307"/>
        <w:spacing w:after="0" w:line="273" w:lineRule="auto"/>
        <w:tabs>
          <w:tab w:leader="none" w:pos="609" w:val="left"/>
        </w:tabs>
        <w:numPr>
          <w:ilvl w:val="0"/>
          <w:numId w:val="94"/>
        </w:numPr>
        <w:rPr>
          <w:rFonts w:ascii="Arial" w:cs="Arial" w:eastAsia="Arial" w:hAnsi="Arial"/>
          <w:sz w:val="15"/>
          <w:szCs w:val="15"/>
          <w:color w:val="1E1E1E"/>
        </w:rPr>
      </w:pPr>
      <w:r>
        <w:rPr>
          <w:rFonts w:ascii="Arial" w:cs="Arial" w:eastAsia="Arial" w:hAnsi="Arial"/>
          <w:sz w:val="15"/>
          <w:szCs w:val="15"/>
          <w:color w:val="1E1E1E"/>
        </w:rPr>
        <w:t>Phase 1 clinical trials generally involve a small number of healthy volunteers or disease-affected patients who are initially exposed to a single dose and then multiple doses of the drug candidate. The primary purpose of these clinical trials is to assess the metabolism, pharmacologic action, tolerability and safety of the drug, the side effects associated with increasing doses, and if possible to gain early evidence on effectiveness.</w:t>
      </w:r>
    </w:p>
    <w:p>
      <w:pPr>
        <w:spacing w:after="0" w:line="17" w:lineRule="exact"/>
        <w:rPr>
          <w:rFonts w:ascii="Arial" w:cs="Arial" w:eastAsia="Arial" w:hAnsi="Arial"/>
          <w:sz w:val="15"/>
          <w:szCs w:val="15"/>
          <w:color w:val="1E1E1E"/>
        </w:rPr>
      </w:pPr>
    </w:p>
    <w:p>
      <w:pPr>
        <w:ind w:left="620" w:right="20" w:hanging="307"/>
        <w:spacing w:after="0" w:line="281" w:lineRule="auto"/>
        <w:tabs>
          <w:tab w:leader="none" w:pos="609" w:val="left"/>
        </w:tabs>
        <w:numPr>
          <w:ilvl w:val="0"/>
          <w:numId w:val="94"/>
        </w:numPr>
        <w:rPr>
          <w:rFonts w:ascii="Arial" w:cs="Arial" w:eastAsia="Arial" w:hAnsi="Arial"/>
          <w:sz w:val="15"/>
          <w:szCs w:val="15"/>
          <w:color w:val="1E1E1E"/>
        </w:rPr>
      </w:pPr>
      <w:r>
        <w:rPr>
          <w:rFonts w:ascii="Arial" w:cs="Arial" w:eastAsia="Arial" w:hAnsi="Arial"/>
          <w:sz w:val="15"/>
          <w:szCs w:val="15"/>
          <w:color w:val="1E1E1E"/>
        </w:rPr>
        <w:t>Phase 2 clinical trials involve studies in disease-affected patients to determine the dose and dosing schedule required to produce the desired benefits. At the same time, safety and further pharmacokinetic and pharmacodynamic information are collected, possible adverse effects and safety risks are identified, and a preliminary evaluation of efficacy is conducted.</w:t>
      </w:r>
    </w:p>
    <w:p>
      <w:pPr>
        <w:ind w:left="620" w:right="120" w:hanging="307"/>
        <w:spacing w:after="0" w:line="271" w:lineRule="auto"/>
        <w:tabs>
          <w:tab w:leader="none" w:pos="609" w:val="left"/>
        </w:tabs>
        <w:numPr>
          <w:ilvl w:val="0"/>
          <w:numId w:val="94"/>
        </w:numPr>
        <w:rPr>
          <w:rFonts w:ascii="Arial" w:cs="Arial" w:eastAsia="Arial" w:hAnsi="Arial"/>
          <w:sz w:val="15"/>
          <w:szCs w:val="15"/>
          <w:color w:val="1E1E1E"/>
        </w:rPr>
      </w:pPr>
      <w:r>
        <w:rPr>
          <w:rFonts w:ascii="Arial" w:cs="Arial" w:eastAsia="Arial" w:hAnsi="Arial"/>
          <w:sz w:val="15"/>
          <w:szCs w:val="15"/>
          <w:color w:val="1E1E1E"/>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75" w:lineRule="exact"/>
        <w:rPr>
          <w:sz w:val="20"/>
          <w:szCs w:val="20"/>
          <w:color w:val="auto"/>
        </w:rPr>
      </w:pPr>
    </w:p>
    <w:p>
      <w:pPr>
        <w:ind w:right="340"/>
        <w:spacing w:after="0" w:line="273" w:lineRule="auto"/>
        <w:rPr>
          <w:sz w:val="20"/>
          <w:szCs w:val="20"/>
          <w:color w:val="auto"/>
        </w:rPr>
      </w:pPr>
      <w:r>
        <w:rPr>
          <w:rFonts w:ascii="Arial" w:cs="Arial" w:eastAsia="Arial" w:hAnsi="Arial"/>
          <w:sz w:val="15"/>
          <w:szCs w:val="15"/>
          <w:color w:val="1E1E1E"/>
        </w:rPr>
        <w:t>Post-approval trials, sometimes referred to as Phase 4 clinical trials, are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72"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1E1E1E"/>
        </w:rPr>
        <w:t>Progress reports detailing the results of the clinical trials, among other information, must be submitted at least annually to the FDA. The sponsor is also responsible for submitting written IND safety reports, including reports of serious and unexpected suspected adverse events, findings from other studies suggesting a significant risk to humans exposed to the drug, findings from animal or in vitro testing that suggest a significant risk for human subjects, and any clinically significant increase in the rate of a serious suspected adverse reaction over that listed in the protocol or investigator brochure.</w:t>
      </w:r>
    </w:p>
    <w:p>
      <w:pPr>
        <w:spacing w:after="0" w:line="162"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1E1E1E"/>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77"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1E1E1E"/>
        </w:rPr>
        <w:t>Concurrent with clinical trials, companies usually complete additional animal safety studies and also must develop additional information about the chemistry and physical characteristics of the drug as well as finalize a process for manufacturing the product in commercial quantities in accordance with cGMP requirements. The manufacturing process, as performed by the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180"/>
        <w:spacing w:after="0" w:line="294" w:lineRule="auto"/>
        <w:rPr>
          <w:sz w:val="20"/>
          <w:szCs w:val="20"/>
          <w:color w:val="auto"/>
        </w:rPr>
      </w:pPr>
      <w:r>
        <w:rPr>
          <w:rFonts w:ascii="Arial" w:cs="Arial" w:eastAsia="Arial" w:hAnsi="Arial"/>
          <w:sz w:val="15"/>
          <w:szCs w:val="15"/>
          <w:color w:val="1E1E1E"/>
        </w:rPr>
        <w:t>manufacturing facility, must be capable of consistently producing quality batches of our drug candidates. Additionally, appropriate packaging must be selected and tested, and stability studies must be conducted to demonstrate that our drug candidates do not undergo unacceptable deterioration over their labeled shelf life.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NDA Review Process</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1E1E1E"/>
        </w:rPr>
        <w:t>Following completion of the clinical trials, data is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to ensure product quality and other relevant data. In short, the NDA is a request for approval to market the drug in the United States for one or more specified indications and must contain proof of safety and efficacy for a drug.</w:t>
      </w:r>
    </w:p>
    <w:p>
      <w:pPr>
        <w:spacing w:after="0" w:line="158" w:lineRule="exact"/>
        <w:rPr>
          <w:sz w:val="20"/>
          <w:szCs w:val="20"/>
          <w:color w:val="auto"/>
        </w:rPr>
      </w:pPr>
    </w:p>
    <w:p>
      <w:pPr>
        <w:ind w:right="200"/>
        <w:spacing w:after="0" w:line="271" w:lineRule="auto"/>
        <w:rPr>
          <w:sz w:val="20"/>
          <w:szCs w:val="20"/>
          <w:color w:val="auto"/>
        </w:rPr>
      </w:pPr>
      <w:r>
        <w:rPr>
          <w:rFonts w:ascii="Arial" w:cs="Arial" w:eastAsia="Arial" w:hAnsi="Arial"/>
          <w:sz w:val="15"/>
          <w:szCs w:val="15"/>
          <w:color w:val="1E1E1E"/>
        </w:rPr>
        <w:t>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legally marketed in the United States.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Under the Prescription Drug User Fee Act, or PDUFA, as amended, each NDA must be accompanied by a user fee. FDA adjusts the PDUFA user fees on an annual basis. PDUFA also imposes an annual program fee for each marketed human drug.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62"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1E1E1E"/>
        </w:rPr>
        <w:t>The FDA reviews all submitted NDAs before it accepts them for filing and may request additional information rather than accepting the NDA for filing. The FDA must make a decision on accepting an NDA for filing within 60 days of receipt. Once the submission is accepted for filing, the FDA begins an in-depth review of the NDA. Under the goals and policies agreed to by the FDA under PDUFA, the FDA has ten months, from the filing date, in which to complete its initial review of a new molecular-entity NDA and respond to the applicant, and six months from the filing date of a new molecular-entity NDA designated for priority review. The FDA does not always meet its PDUFA goal dates for standard and priority NDAs, and the review process is often extended by FDA requests for additional information or clarification.</w:t>
      </w:r>
    </w:p>
    <w:p>
      <w:pPr>
        <w:spacing w:after="0" w:line="352"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1E1E1E"/>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additional pivotal Phase 3 clinical trial(s) and/or other significant and time-consuming requirements related to clinical trials, preclinical studies and/or manufacturing.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1E1E1E"/>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w:t>
      </w:r>
    </w:p>
    <w:p>
      <w:pPr>
        <w:spacing w:after="0" w:line="153" w:lineRule="exact"/>
        <w:rPr>
          <w:sz w:val="20"/>
          <w:szCs w:val="20"/>
          <w:color w:val="auto"/>
        </w:rPr>
      </w:pPr>
    </w:p>
    <w:p>
      <w:pPr>
        <w:ind w:right="200"/>
        <w:spacing w:after="0" w:line="277" w:lineRule="auto"/>
        <w:rPr>
          <w:sz w:val="20"/>
          <w:szCs w:val="20"/>
          <w:color w:val="auto"/>
        </w:rPr>
      </w:pPr>
      <w:r>
        <w:rPr>
          <w:rFonts w:ascii="Arial" w:cs="Arial" w:eastAsia="Arial" w:hAnsi="Arial"/>
          <w:sz w:val="15"/>
          <w:szCs w:val="15"/>
          <w:color w:val="1E1E1E"/>
        </w:rPr>
        <w:t>The Best Pharmaceuticals for Children Act, or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Orphan Drugs</w:t>
      </w:r>
    </w:p>
    <w:p>
      <w:pPr>
        <w:spacing w:after="0" w:line="74"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1E1E1E"/>
        </w:rPr>
        <w:t>Under the Orphan Drug Act, the FDA may grant an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1E1E1E"/>
        </w:rPr>
        <w:t>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53"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1E1E1E"/>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drug candidate is determined to be contained within the scope of the competitor’s product for the same indication. If one of our products designated as an orphan drug receives marketing approval for an indication broader than that which is designated, it may not be entitled to orphan drug exclusivity. Orphan drug status in the European Union has similar, but not identical, requirements and benefits.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Expedited Development and Review Programs</w:t>
      </w:r>
    </w:p>
    <w:p>
      <w:pPr>
        <w:spacing w:after="0" w:line="61"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1E1E1E"/>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approval, but ideally no later than the pre-NDA meeting with the FDA.</w:t>
      </w:r>
    </w:p>
    <w:p>
      <w:pPr>
        <w:spacing w:after="0" w:line="350"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1E1E1E"/>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5"/>
          <w:szCs w:val="15"/>
          <w:color w:val="1E1E1E"/>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which is reasonably likely to predict an effect on IMM or other clinical benefit. As a condition of approval, the FDA may require that a sponsor of a drug receiving accelerated approval perform adequate and well-controlled post-marketing clinical trials. FDA may withdraw drug approval or require changes to the labeled indication of the drug if confirmatory post-market trials fail to verify clinical benefit or do not demonstrate sufficient clinical benefit to justify the risks associated with the drug. If the FDA concludes that a drug shown to be effective can be safely used only if distribution or use is restricted, it may require such post-marketing restrictions as it deems necessary to assure safe use of the product.</w:t>
      </w:r>
    </w:p>
    <w:p>
      <w:pPr>
        <w:spacing w:after="0" w:line="167"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1E1E1E"/>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designations do not change the standards for approval, but may expedite the development or approval process.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Post-approval Requirements</w:t>
      </w:r>
    </w:p>
    <w:p>
      <w:pPr>
        <w:spacing w:after="0" w:line="74" w:lineRule="exact"/>
        <w:rPr>
          <w:sz w:val="20"/>
          <w:szCs w:val="20"/>
          <w:color w:val="auto"/>
        </w:rPr>
      </w:pPr>
    </w:p>
    <w:p>
      <w:pPr>
        <w:ind w:right="260"/>
        <w:spacing w:after="0" w:line="266" w:lineRule="auto"/>
        <w:rPr>
          <w:sz w:val="20"/>
          <w:szCs w:val="20"/>
          <w:color w:val="auto"/>
        </w:rPr>
      </w:pPr>
      <w:r>
        <w:rPr>
          <w:rFonts w:ascii="Arial" w:cs="Arial" w:eastAsia="Arial" w:hAnsi="Arial"/>
          <w:sz w:val="15"/>
          <w:szCs w:val="15"/>
          <w:color w:val="1E1E1E"/>
        </w:rPr>
        <w:t>Following approval of a new product, the manufacturer and the approved product are subject to continuing regulation by the FDA, including, among other things, monitoring and record-keeping requirements, requirements to report adverse events and comply with promotion and advertising requirements, which include restrictions on promoting drugs for unapproved uses or patient populations, known as “off-label promotion,”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1E1E1E"/>
        </w:rPr>
        <w:t>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58" w:lineRule="exact"/>
        <w:rPr>
          <w:sz w:val="20"/>
          <w:szCs w:val="20"/>
          <w:color w:val="auto"/>
        </w:rPr>
      </w:pPr>
    </w:p>
    <w:p>
      <w:pPr>
        <w:ind w:right="300"/>
        <w:spacing w:after="0" w:line="271" w:lineRule="auto"/>
        <w:rPr>
          <w:sz w:val="20"/>
          <w:szCs w:val="20"/>
          <w:color w:val="auto"/>
        </w:rPr>
      </w:pPr>
      <w:r>
        <w:rPr>
          <w:rFonts w:ascii="Arial" w:cs="Arial" w:eastAsia="Arial" w:hAnsi="Arial"/>
          <w:sz w:val="15"/>
          <w:szCs w:val="15"/>
          <w:color w:val="1E1E1E"/>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62" w:lineRule="exact"/>
        <w:rPr>
          <w:sz w:val="20"/>
          <w:szCs w:val="20"/>
          <w:color w:val="auto"/>
        </w:rPr>
      </w:pPr>
    </w:p>
    <w:p>
      <w:pPr>
        <w:ind w:right="160"/>
        <w:spacing w:after="0" w:line="267" w:lineRule="auto"/>
        <w:rPr>
          <w:sz w:val="20"/>
          <w:szCs w:val="20"/>
          <w:color w:val="auto"/>
        </w:rPr>
      </w:pPr>
      <w:r>
        <w:rPr>
          <w:rFonts w:ascii="Arial" w:cs="Arial" w:eastAsia="Arial" w:hAnsi="Arial"/>
          <w:sz w:val="15"/>
          <w:szCs w:val="15"/>
          <w:color w:val="1E1E1E"/>
        </w:rPr>
        <w:t>FDA regulations require that products be manufactured in specific approved facilities and in accordance with cGMP regulations.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165" w:lineRule="exact"/>
        <w:rPr>
          <w:sz w:val="20"/>
          <w:szCs w:val="20"/>
          <w:color w:val="auto"/>
        </w:rPr>
      </w:pPr>
    </w:p>
    <w:p>
      <w:pPr>
        <w:jc w:val="both"/>
        <w:ind w:right="360"/>
        <w:spacing w:after="0" w:line="271" w:lineRule="auto"/>
        <w:rPr>
          <w:sz w:val="20"/>
          <w:szCs w:val="20"/>
          <w:color w:val="auto"/>
        </w:rPr>
      </w:pPr>
      <w:r>
        <w:rPr>
          <w:rFonts w:ascii="Arial" w:cs="Arial" w:eastAsia="Arial" w:hAnsi="Arial"/>
          <w:sz w:val="15"/>
          <w:szCs w:val="15"/>
          <w:color w:val="1E1E1E"/>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58" w:lineRule="exact"/>
        <w:rPr>
          <w:sz w:val="20"/>
          <w:szCs w:val="20"/>
          <w:color w:val="auto"/>
        </w:rPr>
      </w:pPr>
    </w:p>
    <w:p>
      <w:pPr>
        <w:ind w:left="620" w:hanging="307"/>
        <w:spacing w:after="0"/>
        <w:tabs>
          <w:tab w:leader="none" w:pos="620" w:val="left"/>
        </w:tabs>
        <w:numPr>
          <w:ilvl w:val="0"/>
          <w:numId w:val="95"/>
        </w:numPr>
        <w:rPr>
          <w:rFonts w:ascii="Arial" w:cs="Arial" w:eastAsia="Arial" w:hAnsi="Arial"/>
          <w:sz w:val="15"/>
          <w:szCs w:val="15"/>
          <w:color w:val="1E1E1E"/>
        </w:rPr>
      </w:pPr>
      <w:r>
        <w:rPr>
          <w:rFonts w:ascii="Arial" w:cs="Arial" w:eastAsia="Arial" w:hAnsi="Arial"/>
          <w:sz w:val="15"/>
          <w:szCs w:val="15"/>
          <w:color w:val="1E1E1E"/>
        </w:rPr>
        <w:t>restrictions on the marketing or manufacturing of the product, complete withdrawal of the product from the market, or product recalls;</w:t>
      </w:r>
    </w:p>
    <w:p>
      <w:pPr>
        <w:spacing w:after="0" w:line="59" w:lineRule="exact"/>
        <w:rPr>
          <w:rFonts w:ascii="Arial" w:cs="Arial" w:eastAsia="Arial" w:hAnsi="Arial"/>
          <w:sz w:val="15"/>
          <w:szCs w:val="15"/>
          <w:color w:val="1E1E1E"/>
        </w:rPr>
      </w:pPr>
    </w:p>
    <w:p>
      <w:pPr>
        <w:ind w:left="620" w:hanging="307"/>
        <w:spacing w:after="0"/>
        <w:tabs>
          <w:tab w:leader="none" w:pos="620" w:val="left"/>
        </w:tabs>
        <w:numPr>
          <w:ilvl w:val="0"/>
          <w:numId w:val="95"/>
        </w:numPr>
        <w:rPr>
          <w:rFonts w:ascii="Arial" w:cs="Arial" w:eastAsia="Arial" w:hAnsi="Arial"/>
          <w:sz w:val="15"/>
          <w:szCs w:val="15"/>
          <w:color w:val="1E1E1E"/>
        </w:rPr>
      </w:pPr>
      <w:r>
        <w:rPr>
          <w:rFonts w:ascii="Arial" w:cs="Arial" w:eastAsia="Arial" w:hAnsi="Arial"/>
          <w:sz w:val="15"/>
          <w:szCs w:val="15"/>
          <w:color w:val="1E1E1E"/>
        </w:rPr>
        <w:t>fines, warning letters, or holds on post-approval clinical studies;</w:t>
      </w:r>
    </w:p>
    <w:p>
      <w:pPr>
        <w:spacing w:after="0" w:line="72" w:lineRule="exact"/>
        <w:rPr>
          <w:rFonts w:ascii="Arial" w:cs="Arial" w:eastAsia="Arial" w:hAnsi="Arial"/>
          <w:sz w:val="15"/>
          <w:szCs w:val="15"/>
          <w:color w:val="1E1E1E"/>
        </w:rPr>
      </w:pPr>
    </w:p>
    <w:p>
      <w:pPr>
        <w:ind w:left="620" w:hanging="307"/>
        <w:spacing w:after="0"/>
        <w:tabs>
          <w:tab w:leader="none" w:pos="620" w:val="left"/>
        </w:tabs>
        <w:numPr>
          <w:ilvl w:val="0"/>
          <w:numId w:val="95"/>
        </w:numPr>
        <w:rPr>
          <w:rFonts w:ascii="Arial" w:cs="Arial" w:eastAsia="Arial" w:hAnsi="Arial"/>
          <w:sz w:val="15"/>
          <w:szCs w:val="15"/>
          <w:color w:val="1E1E1E"/>
        </w:rPr>
      </w:pPr>
      <w:r>
        <w:rPr>
          <w:rFonts w:ascii="Arial" w:cs="Arial" w:eastAsia="Arial" w:hAnsi="Arial"/>
          <w:sz w:val="15"/>
          <w:szCs w:val="15"/>
          <w:color w:val="1E1E1E"/>
        </w:rPr>
        <w:t>refusal of the FDA to approve pending applications or supplements to approved applications;</w:t>
      </w:r>
    </w:p>
    <w:p>
      <w:pPr>
        <w:spacing w:after="0" w:line="59" w:lineRule="exact"/>
        <w:rPr>
          <w:rFonts w:ascii="Arial" w:cs="Arial" w:eastAsia="Arial" w:hAnsi="Arial"/>
          <w:sz w:val="15"/>
          <w:szCs w:val="15"/>
          <w:color w:val="1E1E1E"/>
        </w:rPr>
      </w:pPr>
    </w:p>
    <w:p>
      <w:pPr>
        <w:ind w:left="620" w:hanging="307"/>
        <w:spacing w:after="0"/>
        <w:tabs>
          <w:tab w:leader="none" w:pos="620" w:val="left"/>
        </w:tabs>
        <w:numPr>
          <w:ilvl w:val="0"/>
          <w:numId w:val="95"/>
        </w:numPr>
        <w:rPr>
          <w:rFonts w:ascii="Arial" w:cs="Arial" w:eastAsia="Arial" w:hAnsi="Arial"/>
          <w:sz w:val="15"/>
          <w:szCs w:val="15"/>
          <w:color w:val="1E1E1E"/>
        </w:rPr>
      </w:pPr>
      <w:r>
        <w:rPr>
          <w:rFonts w:ascii="Arial" w:cs="Arial" w:eastAsia="Arial" w:hAnsi="Arial"/>
          <w:sz w:val="15"/>
          <w:szCs w:val="15"/>
          <w:color w:val="1E1E1E"/>
        </w:rPr>
        <w:t>suspension or revocation of product approvals;</w:t>
      </w:r>
    </w:p>
    <w:p>
      <w:pPr>
        <w:spacing w:after="0" w:line="72" w:lineRule="exact"/>
        <w:rPr>
          <w:rFonts w:ascii="Arial" w:cs="Arial" w:eastAsia="Arial" w:hAnsi="Arial"/>
          <w:sz w:val="15"/>
          <w:szCs w:val="15"/>
          <w:color w:val="1E1E1E"/>
        </w:rPr>
      </w:pPr>
    </w:p>
    <w:p>
      <w:pPr>
        <w:ind w:left="620" w:hanging="307"/>
        <w:spacing w:after="0"/>
        <w:tabs>
          <w:tab w:leader="none" w:pos="620" w:val="left"/>
        </w:tabs>
        <w:numPr>
          <w:ilvl w:val="0"/>
          <w:numId w:val="95"/>
        </w:numPr>
        <w:rPr>
          <w:rFonts w:ascii="Arial" w:cs="Arial" w:eastAsia="Arial" w:hAnsi="Arial"/>
          <w:sz w:val="15"/>
          <w:szCs w:val="15"/>
          <w:color w:val="1E1E1E"/>
        </w:rPr>
      </w:pPr>
      <w:r>
        <w:rPr>
          <w:rFonts w:ascii="Arial" w:cs="Arial" w:eastAsia="Arial" w:hAnsi="Arial"/>
          <w:sz w:val="15"/>
          <w:szCs w:val="15"/>
          <w:color w:val="1E1E1E"/>
        </w:rPr>
        <w:t>product seizure or detention;</w:t>
      </w:r>
    </w:p>
    <w:p>
      <w:pPr>
        <w:spacing w:after="0" w:line="59" w:lineRule="exact"/>
        <w:rPr>
          <w:rFonts w:ascii="Arial" w:cs="Arial" w:eastAsia="Arial" w:hAnsi="Arial"/>
          <w:sz w:val="15"/>
          <w:szCs w:val="15"/>
          <w:color w:val="1E1E1E"/>
        </w:rPr>
      </w:pPr>
    </w:p>
    <w:p>
      <w:pPr>
        <w:ind w:left="620" w:hanging="307"/>
        <w:spacing w:after="0"/>
        <w:tabs>
          <w:tab w:leader="none" w:pos="620" w:val="left"/>
        </w:tabs>
        <w:numPr>
          <w:ilvl w:val="0"/>
          <w:numId w:val="95"/>
        </w:numPr>
        <w:rPr>
          <w:rFonts w:ascii="Arial" w:cs="Arial" w:eastAsia="Arial" w:hAnsi="Arial"/>
          <w:sz w:val="15"/>
          <w:szCs w:val="15"/>
          <w:color w:val="1E1E1E"/>
        </w:rPr>
      </w:pPr>
      <w:r>
        <w:rPr>
          <w:rFonts w:ascii="Arial" w:cs="Arial" w:eastAsia="Arial" w:hAnsi="Arial"/>
          <w:sz w:val="15"/>
          <w:szCs w:val="15"/>
          <w:color w:val="1E1E1E"/>
        </w:rPr>
        <w:t>refusal to permit the import or export of products; or</w:t>
      </w:r>
    </w:p>
    <w:p>
      <w:pPr>
        <w:spacing w:after="0" w:line="59" w:lineRule="exact"/>
        <w:rPr>
          <w:rFonts w:ascii="Arial" w:cs="Arial" w:eastAsia="Arial" w:hAnsi="Arial"/>
          <w:sz w:val="15"/>
          <w:szCs w:val="15"/>
          <w:color w:val="1E1E1E"/>
        </w:rPr>
      </w:pPr>
    </w:p>
    <w:p>
      <w:pPr>
        <w:ind w:left="620" w:hanging="307"/>
        <w:spacing w:after="0"/>
        <w:tabs>
          <w:tab w:leader="none" w:pos="620" w:val="left"/>
        </w:tabs>
        <w:numPr>
          <w:ilvl w:val="0"/>
          <w:numId w:val="95"/>
        </w:numPr>
        <w:rPr>
          <w:rFonts w:ascii="Arial" w:cs="Arial" w:eastAsia="Arial" w:hAnsi="Arial"/>
          <w:sz w:val="15"/>
          <w:szCs w:val="15"/>
          <w:color w:val="1E1E1E"/>
        </w:rPr>
      </w:pPr>
      <w:r>
        <w:rPr>
          <w:rFonts w:ascii="Arial" w:cs="Arial" w:eastAsia="Arial" w:hAnsi="Arial"/>
          <w:sz w:val="15"/>
          <w:szCs w:val="15"/>
          <w:color w:val="1E1E1E"/>
        </w:rPr>
        <w:t>injunctions or the imposition of civil or criminal penalties.</w:t>
      </w:r>
    </w:p>
    <w:p>
      <w:pPr>
        <w:spacing w:after="0" w:line="227"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1E1E1E"/>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FDA Regulation of Companion Diagnostics</w:t>
      </w:r>
    </w:p>
    <w:p>
      <w:pPr>
        <w:spacing w:after="0" w:line="74"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color w:val="1E1E1E"/>
        </w:rPr>
        <w:t>Safe and effective use of a therapeutic product may rely upon an in vitro companion diagnostic for use in selecting the patients that will be more likely to respond to that therapy. If an in vitro diagnostic is essential to the safe and effective use of the therapeutic product and if the manufacturer wishes to market or distribute such diagnostic for use as a companion diagnostic, then the FDA will require separate approval or clearance of the diagnostic as a companion diagnostic to the therapeutic product. According to FDA guidance, an unapproved or uncleared companion diagnostic device used to make treatment decisions in clinical trials of a drug generally will be considered an investigational medical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The sponsor of the diagnostic device will be required to comply with the IDE regulations for clinical studies involving the investigational diagnostic device. According to the guidance, if a diagnostic device and a drug are to be studied together to support their respective approvals, both products can be studied in the same clinical trial, if the trial meets both the requirements of the IDE regulations and the IND regulations. The guidance provides that depending on the details of the clinical trial protocol, the investigational product(s), and subjects involved, a sponsor may seek to submit an IDE alone (e.g., if the drug has already been approved by FDA and is used consistent with its approved labeling), or both an IND and an IDE.</w:t>
      </w:r>
    </w:p>
    <w:p>
      <w:pPr>
        <w:spacing w:after="0" w:line="18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1E1E1E"/>
        </w:rPr>
        <w:t>Pursuing FDA approval/clearance of an in vitro companion diagnostic would require either a pre-market notification, also called 510(k) clearance, or a pre-market approval, or PMA, or a de novo classification for that diagnostic. The review of companion diagnostics involves coordination of review with the FDA’s Center for Devices and Radiological Health.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510(k) Clearance Process</w:t>
      </w:r>
    </w:p>
    <w:p>
      <w:pPr>
        <w:spacing w:after="0" w:line="74"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1E1E1E"/>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64"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1E1E1E"/>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De Novo Classification Process</w:t>
      </w:r>
    </w:p>
    <w:p>
      <w:pPr>
        <w:spacing w:after="0" w:line="74" w:lineRule="exact"/>
        <w:rPr>
          <w:sz w:val="20"/>
          <w:szCs w:val="20"/>
          <w:color w:val="auto"/>
        </w:rPr>
      </w:pPr>
    </w:p>
    <w:p>
      <w:pPr>
        <w:spacing w:after="0" w:line="260" w:lineRule="auto"/>
        <w:rPr>
          <w:sz w:val="20"/>
          <w:szCs w:val="20"/>
          <w:color w:val="auto"/>
        </w:rPr>
      </w:pPr>
      <w:r>
        <w:rPr>
          <w:rFonts w:ascii="Arial" w:cs="Arial" w:eastAsia="Arial" w:hAnsi="Arial"/>
          <w:sz w:val="15"/>
          <w:szCs w:val="15"/>
          <w:color w:val="1E1E1E"/>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w:t>
      </w:r>
    </w:p>
    <w:p>
      <w:pPr>
        <w:spacing w:after="0" w:line="1" w:lineRule="exact"/>
        <w:rPr>
          <w:sz w:val="20"/>
          <w:szCs w:val="20"/>
          <w:color w:val="auto"/>
        </w:rPr>
      </w:pPr>
    </w:p>
    <w:p>
      <w:pPr>
        <w:ind w:firstLine="3"/>
        <w:spacing w:after="0" w:line="266" w:lineRule="auto"/>
        <w:tabs>
          <w:tab w:leader="none" w:pos="172" w:val="left"/>
        </w:tabs>
        <w:numPr>
          <w:ilvl w:val="0"/>
          <w:numId w:val="96"/>
        </w:numPr>
        <w:rPr>
          <w:rFonts w:ascii="Arial" w:cs="Arial" w:eastAsia="Arial" w:hAnsi="Arial"/>
          <w:sz w:val="15"/>
          <w:szCs w:val="15"/>
          <w:color w:val="1E1E1E"/>
        </w:rPr>
      </w:pPr>
      <w:r>
        <w:rPr>
          <w:rFonts w:ascii="Arial" w:cs="Arial" w:eastAsia="Arial" w:hAnsi="Arial"/>
          <w:sz w:val="15"/>
          <w:szCs w:val="15"/>
          <w:color w:val="1E1E1E"/>
        </w:rPr>
        <w:t>to request down-classification of its medical device into Class I or Class II on the basis that the device presents a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65" w:lineRule="exact"/>
        <w:rPr>
          <w:sz w:val="20"/>
          <w:szCs w:val="20"/>
          <w:color w:val="auto"/>
        </w:rPr>
      </w:pPr>
    </w:p>
    <w:p>
      <w:pPr>
        <w:ind w:right="520"/>
        <w:spacing w:after="0" w:line="312" w:lineRule="auto"/>
        <w:rPr>
          <w:sz w:val="20"/>
          <w:szCs w:val="20"/>
          <w:color w:val="auto"/>
        </w:rPr>
      </w:pPr>
      <w:r>
        <w:rPr>
          <w:rFonts w:ascii="Arial" w:cs="Arial" w:eastAsia="Arial" w:hAnsi="Arial"/>
          <w:sz w:val="15"/>
          <w:szCs w:val="15"/>
          <w:color w:val="1E1E1E"/>
        </w:rPr>
        <w:t>Obtaining FDA marketing authorization, de novo down-classification, or approval for medical devices is expensive and uncertain, may take several years and generally requires significant scientific and clinical data.</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PMA Process</w:t>
      </w:r>
    </w:p>
    <w:p>
      <w:pPr>
        <w:spacing w:after="0" w:line="74"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E1E1E"/>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As part of the PMA review, the FDA will typically inspect the manufacturer’s facilities for compliance with the Quality System Regulation, or QSR, which imposes extensive testing, control, documentation and other quality assurance and GMP requirements.</w:t>
      </w:r>
    </w:p>
    <w:p>
      <w:pPr>
        <w:spacing w:after="0" w:line="167"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1E1E1E"/>
        </w:rPr>
        <w:t>After a device is placed on the market, it remains subject to significant regulatory requirements. Among other requirements, medical devices may be marketed only for the uses and indications for which they are cleared or approved, device manufacturers must establish registration and device listings with the FDA and a medical device manufacturer’s manufacturing processes and those of its suppliers are required to comply with the applicable portions of the Quality System Regulation, or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and the FDA also may inspect foreign facilities that export products to the U.S.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1E1E1E"/>
        </w:rPr>
        <w:t>Other U.S. Regulatory Matters</w:t>
      </w:r>
    </w:p>
    <w:p>
      <w:pPr>
        <w:spacing w:after="0" w:line="60" w:lineRule="exact"/>
        <w:rPr>
          <w:sz w:val="20"/>
          <w:szCs w:val="20"/>
          <w:color w:val="auto"/>
        </w:rPr>
      </w:pPr>
    </w:p>
    <w:p>
      <w:pPr>
        <w:ind w:left="620" w:right="120" w:hanging="307"/>
        <w:spacing w:after="0" w:line="263" w:lineRule="auto"/>
        <w:tabs>
          <w:tab w:leader="none" w:pos="609" w:val="left"/>
        </w:tabs>
        <w:numPr>
          <w:ilvl w:val="0"/>
          <w:numId w:val="97"/>
        </w:numPr>
        <w:rPr>
          <w:rFonts w:ascii="Arial" w:cs="Arial" w:eastAsia="Arial" w:hAnsi="Arial"/>
          <w:sz w:val="15"/>
          <w:szCs w:val="15"/>
          <w:color w:val="1E1E1E"/>
        </w:rPr>
      </w:pPr>
      <w:r>
        <w:rPr>
          <w:rFonts w:ascii="Arial" w:cs="Arial" w:eastAsia="Arial" w:hAnsi="Arial"/>
          <w:sz w:val="15"/>
          <w:szCs w:val="15"/>
          <w:color w:val="1E1E1E"/>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 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ACA (as defined below) provides that the government may assert that a claim including items or services resulting from a violation of the federal Anti-Kickback Statute constitutes a false or fraudulent claim for purposes of the civil False Claims Act;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620" w:right="60" w:hanging="307"/>
        <w:spacing w:after="0" w:line="271" w:lineRule="auto"/>
        <w:tabs>
          <w:tab w:leader="none" w:pos="609" w:val="left"/>
        </w:tabs>
        <w:numPr>
          <w:ilvl w:val="0"/>
          <w:numId w:val="98"/>
        </w:numPr>
        <w:rPr>
          <w:rFonts w:ascii="Arial" w:cs="Arial" w:eastAsia="Arial" w:hAnsi="Arial"/>
          <w:sz w:val="15"/>
          <w:szCs w:val="15"/>
          <w:color w:val="1E1E1E"/>
        </w:rPr>
      </w:pPr>
      <w:r>
        <w:rPr>
          <w:rFonts w:ascii="Arial" w:cs="Arial" w:eastAsia="Arial" w:hAnsi="Arial"/>
          <w:sz w:val="15"/>
          <w:szCs w:val="15"/>
          <w:color w:val="1E1E1E"/>
        </w:rPr>
        <w:t>The federal criminal False Claims Act and Civil Monetary Penalties Laws, and the civil False Claims Act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20" w:lineRule="exact"/>
        <w:rPr>
          <w:rFonts w:ascii="Arial" w:cs="Arial" w:eastAsia="Arial" w:hAnsi="Arial"/>
          <w:sz w:val="15"/>
          <w:szCs w:val="15"/>
          <w:color w:val="1E1E1E"/>
        </w:rPr>
      </w:pPr>
    </w:p>
    <w:p>
      <w:pPr>
        <w:ind w:left="620" w:right="360" w:hanging="307"/>
        <w:spacing w:after="0" w:line="287" w:lineRule="auto"/>
        <w:tabs>
          <w:tab w:leader="none" w:pos="609" w:val="left"/>
        </w:tabs>
        <w:numPr>
          <w:ilvl w:val="0"/>
          <w:numId w:val="98"/>
        </w:numPr>
        <w:rPr>
          <w:rFonts w:ascii="Arial" w:cs="Arial" w:eastAsia="Arial" w:hAnsi="Arial"/>
          <w:sz w:val="15"/>
          <w:szCs w:val="15"/>
          <w:color w:val="1E1E1E"/>
        </w:rPr>
      </w:pPr>
      <w:r>
        <w:rPr>
          <w:rFonts w:ascii="Arial" w:cs="Arial" w:eastAsia="Arial" w:hAnsi="Arial"/>
          <w:sz w:val="15"/>
          <w:szCs w:val="15"/>
          <w:color w:val="1E1E1E"/>
        </w:rPr>
        <w:t>The Federal Health Insurance Portability and Accountability Act of 1996, or HIPAA, prohibits, among other things, executing or attempting to execute a scheme to defraud any healthcare benefit program or making false statements relating to healthcare matters;</w:t>
      </w:r>
    </w:p>
    <w:p>
      <w:pPr>
        <w:ind w:left="620" w:right="140" w:hanging="307"/>
        <w:spacing w:after="0" w:line="282" w:lineRule="auto"/>
        <w:tabs>
          <w:tab w:leader="none" w:pos="609" w:val="left"/>
        </w:tabs>
        <w:numPr>
          <w:ilvl w:val="0"/>
          <w:numId w:val="98"/>
        </w:numPr>
        <w:rPr>
          <w:rFonts w:ascii="Arial" w:cs="Arial" w:eastAsia="Arial" w:hAnsi="Arial"/>
          <w:sz w:val="15"/>
          <w:szCs w:val="15"/>
          <w:color w:val="1E1E1E"/>
        </w:rPr>
      </w:pPr>
      <w:r>
        <w:rPr>
          <w:rFonts w:ascii="Arial" w:cs="Arial" w:eastAsia="Arial" w:hAnsi="Arial"/>
          <w:sz w:val="15"/>
          <w:szCs w:val="15"/>
          <w:color w:val="1E1E1E"/>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including mandatory contractual terms, with respect to safeguarding the privacy, security and transmission of individually identifiable health information;</w:t>
      </w:r>
    </w:p>
    <w:p>
      <w:pPr>
        <w:spacing w:after="0" w:line="191" w:lineRule="exact"/>
        <w:rPr>
          <w:rFonts w:ascii="Arial" w:cs="Arial" w:eastAsia="Arial" w:hAnsi="Arial"/>
          <w:sz w:val="15"/>
          <w:szCs w:val="15"/>
          <w:color w:val="1E1E1E"/>
        </w:rPr>
      </w:pPr>
    </w:p>
    <w:p>
      <w:pPr>
        <w:ind w:left="620" w:hanging="307"/>
        <w:spacing w:after="0"/>
        <w:tabs>
          <w:tab w:leader="none" w:pos="620" w:val="left"/>
        </w:tabs>
        <w:numPr>
          <w:ilvl w:val="0"/>
          <w:numId w:val="98"/>
        </w:numPr>
        <w:rPr>
          <w:rFonts w:ascii="Arial" w:cs="Arial" w:eastAsia="Arial" w:hAnsi="Arial"/>
          <w:sz w:val="15"/>
          <w:szCs w:val="15"/>
          <w:color w:val="1E1E1E"/>
        </w:rPr>
      </w:pPr>
      <w:r>
        <w:rPr>
          <w:rFonts w:ascii="Arial" w:cs="Arial" w:eastAsia="Arial" w:hAnsi="Arial"/>
          <w:sz w:val="15"/>
          <w:szCs w:val="15"/>
          <w:color w:val="1E1E1E"/>
        </w:rPr>
        <w:t>federal consumer protection and unfair competition laws, which broadly regulate marketplace activities and activities that potentially harm consumers;</w:t>
      </w:r>
    </w:p>
    <w:p>
      <w:pPr>
        <w:spacing w:after="0" w:line="59" w:lineRule="exact"/>
        <w:rPr>
          <w:rFonts w:ascii="Arial" w:cs="Arial" w:eastAsia="Arial" w:hAnsi="Arial"/>
          <w:sz w:val="15"/>
          <w:szCs w:val="15"/>
          <w:color w:val="1E1E1E"/>
        </w:rPr>
      </w:pPr>
    </w:p>
    <w:p>
      <w:pPr>
        <w:ind w:left="620" w:hanging="307"/>
        <w:spacing w:after="0"/>
        <w:tabs>
          <w:tab w:leader="none" w:pos="620" w:val="left"/>
        </w:tabs>
        <w:numPr>
          <w:ilvl w:val="0"/>
          <w:numId w:val="98"/>
        </w:numPr>
        <w:rPr>
          <w:rFonts w:ascii="Arial" w:cs="Arial" w:eastAsia="Arial" w:hAnsi="Arial"/>
          <w:sz w:val="15"/>
          <w:szCs w:val="15"/>
          <w:color w:val="1E1E1E"/>
        </w:rPr>
      </w:pPr>
      <w:r>
        <w:rPr>
          <w:rFonts w:ascii="Arial" w:cs="Arial" w:eastAsia="Arial" w:hAnsi="Arial"/>
          <w:sz w:val="15"/>
          <w:szCs w:val="15"/>
          <w:color w:val="1E1E1E"/>
        </w:rPr>
        <w:t>the FD&amp;C Act, which prohibits, among other things, the adulteration or misbranding of drugs, biologics and medical devices;</w:t>
      </w:r>
    </w:p>
    <w:p>
      <w:pPr>
        <w:spacing w:after="0" w:line="72" w:lineRule="exact"/>
        <w:rPr>
          <w:rFonts w:ascii="Arial" w:cs="Arial" w:eastAsia="Arial" w:hAnsi="Arial"/>
          <w:sz w:val="15"/>
          <w:szCs w:val="15"/>
          <w:color w:val="1E1E1E"/>
        </w:rPr>
      </w:pPr>
    </w:p>
    <w:p>
      <w:pPr>
        <w:ind w:left="620" w:right="200" w:hanging="307"/>
        <w:spacing w:after="0" w:line="271" w:lineRule="auto"/>
        <w:tabs>
          <w:tab w:leader="none" w:pos="609" w:val="left"/>
        </w:tabs>
        <w:numPr>
          <w:ilvl w:val="0"/>
          <w:numId w:val="98"/>
        </w:numPr>
        <w:rPr>
          <w:rFonts w:ascii="Arial" w:cs="Arial" w:eastAsia="Arial" w:hAnsi="Arial"/>
          <w:sz w:val="15"/>
          <w:szCs w:val="15"/>
          <w:color w:val="1E1E1E"/>
        </w:rPr>
      </w:pPr>
      <w:r>
        <w:rPr>
          <w:rFonts w:ascii="Arial" w:cs="Arial" w:eastAsia="Arial" w:hAnsi="Arial"/>
          <w:sz w:val="15"/>
          <w:szCs w:val="15"/>
          <w:color w:val="1E1E1E"/>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Centers for Medicare &amp; Medicaid Services, or CMS, information regarding certain payments and other transfers of value to physicians and teaching hospitals as well as information regarding ownership and investment interests held by physicians and their immediate family members; and</w:t>
      </w:r>
    </w:p>
    <w:p>
      <w:pPr>
        <w:spacing w:after="0" w:line="7" w:lineRule="exact"/>
        <w:rPr>
          <w:rFonts w:ascii="Arial" w:cs="Arial" w:eastAsia="Arial" w:hAnsi="Arial"/>
          <w:sz w:val="15"/>
          <w:szCs w:val="15"/>
          <w:color w:val="1E1E1E"/>
        </w:rPr>
      </w:pPr>
    </w:p>
    <w:p>
      <w:pPr>
        <w:ind w:left="620" w:right="120" w:hanging="307"/>
        <w:spacing w:after="0" w:line="265" w:lineRule="auto"/>
        <w:tabs>
          <w:tab w:leader="none" w:pos="609" w:val="left"/>
        </w:tabs>
        <w:numPr>
          <w:ilvl w:val="0"/>
          <w:numId w:val="98"/>
        </w:numPr>
        <w:rPr>
          <w:rFonts w:ascii="Arial" w:cs="Arial" w:eastAsia="Arial" w:hAnsi="Arial"/>
          <w:sz w:val="15"/>
          <w:szCs w:val="15"/>
          <w:color w:val="1E1E1E"/>
        </w:rPr>
      </w:pPr>
      <w:r>
        <w:rPr>
          <w:rFonts w:ascii="Arial" w:cs="Arial" w:eastAsia="Arial" w:hAnsi="Arial"/>
          <w:sz w:val="15"/>
          <w:szCs w:val="15"/>
          <w:color w:val="1E1E1E"/>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state laws that require biotechnology companies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1E1E1E"/>
        </w:rPr>
        <w:t>Pricing and rebate programs must also comply with the Medicaid rebate requirements of the U.S. Omnibus Budget Reconciliation Act of 1990 and more recent requirements in the Affordable Care Act of 2010, as amended by the Health Care and Education Reconciliation Act of 2010 (collectively,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and/or medical device products is subject to additional requirements and regulations, including extensive record-keeping, licensing, storage and security requirements intended to prevent the unauthorized sale of pharmaceutical and/or medical device products. Products must meet applicable child-resistant packaging requirements under the U.S. Poison Prevention Packaging Act as well as other applicable consumer safety requirements.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5"/>
          <w:szCs w:val="15"/>
          <w:color w:val="1E1E1E"/>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U.S. Patent-Term Restoration and Marketing Exclusivity</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5"/>
          <w:szCs w:val="15"/>
          <w:color w:val="1E1E1E"/>
        </w:rPr>
        <w:t>Depending upon the timing, duration and specifics of FDA approval of any future drug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a method for using it, or a method of manufacturing it, is eligible for the extension and the application for the extension must be submitted prior to the expiration of the patent. The USPTO, in consultation with the FDA, reviews and approves the application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420"/>
        <w:spacing w:after="0" w:line="267" w:lineRule="auto"/>
        <w:rPr>
          <w:sz w:val="20"/>
          <w:szCs w:val="20"/>
          <w:color w:val="auto"/>
        </w:rPr>
      </w:pPr>
      <w:r>
        <w:rPr>
          <w:rFonts w:ascii="Arial" w:cs="Arial" w:eastAsia="Arial" w:hAnsi="Arial"/>
          <w:sz w:val="15"/>
          <w:szCs w:val="15"/>
          <w:color w:val="1E1E1E"/>
        </w:rPr>
        <w:t>for any patent term extension or restoration. In the future, if and when our products receive FDA approval, we may apply for restoration of patent term for our currently owned or licensed patents covering products eligible for patent term extension to add patent life beyond its current expiration date, depending on the expected length of the clinical trials and other factors involved in the filing of the relevant NDA. Similar provisions are available in Europe and certain other jurisdictions to extend the term of a patent that covers an approved drug. We may seek patent term extension for any of our issued or licensed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1E1E1E"/>
        </w:rPr>
        <w:t>Market exclusivity provisions under the FDCA also can delay the submission or the approval of certain applications. The FDCA provides a five-year period of non-patent marketing exclusivity within the United States to the first applicant to gain approval of an NDA for an NCE. A drug is an NCE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w:t>
      </w:r>
    </w:p>
    <w:p>
      <w:pPr>
        <w:spacing w:after="0" w:line="2" w:lineRule="exact"/>
        <w:rPr>
          <w:sz w:val="20"/>
          <w:szCs w:val="20"/>
          <w:color w:val="auto"/>
        </w:rPr>
      </w:pPr>
    </w:p>
    <w:p>
      <w:pPr>
        <w:ind w:right="100" w:firstLine="3"/>
        <w:spacing w:after="0" w:line="264" w:lineRule="auto"/>
        <w:tabs>
          <w:tab w:leader="none" w:pos="232" w:val="left"/>
        </w:tabs>
        <w:numPr>
          <w:ilvl w:val="0"/>
          <w:numId w:val="99"/>
        </w:numPr>
        <w:rPr>
          <w:rFonts w:ascii="Arial" w:cs="Arial" w:eastAsia="Arial" w:hAnsi="Arial"/>
          <w:sz w:val="15"/>
          <w:szCs w:val="15"/>
          <w:color w:val="1E1E1E"/>
        </w:rPr>
      </w:pPr>
      <w:r>
        <w:rPr>
          <w:rFonts w:ascii="Arial" w:cs="Arial" w:eastAsia="Arial" w:hAnsi="Arial"/>
          <w:sz w:val="15"/>
          <w:szCs w:val="15"/>
          <w:color w:val="1E1E1E"/>
        </w:rPr>
        <w:t>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European Union Drug Development</w:t>
      </w:r>
    </w:p>
    <w:p>
      <w:pPr>
        <w:spacing w:after="0" w:line="74"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1E1E1E"/>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1E1E1E"/>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European Union Drug Review and Approval</w:t>
      </w:r>
    </w:p>
    <w:p>
      <w:pPr>
        <w:spacing w:after="0" w:line="74" w:lineRule="exact"/>
        <w:rPr>
          <w:sz w:val="20"/>
          <w:szCs w:val="20"/>
          <w:color w:val="auto"/>
        </w:rPr>
      </w:pPr>
    </w:p>
    <w:p>
      <w:pPr>
        <w:ind w:right="220"/>
        <w:spacing w:after="0" w:line="273" w:lineRule="auto"/>
        <w:rPr>
          <w:sz w:val="20"/>
          <w:szCs w:val="20"/>
          <w:color w:val="auto"/>
        </w:rPr>
      </w:pPr>
      <w:r>
        <w:rPr>
          <w:rFonts w:ascii="Arial" w:cs="Arial" w:eastAsia="Arial" w:hAnsi="Arial"/>
          <w:sz w:val="15"/>
          <w:szCs w:val="15"/>
          <w:color w:val="1E1E1E"/>
        </w:rPr>
        <w:t>In the European Economic Area, or EEA, which is composed of the 28 Member States of the European Union and three European Free Trade Association States (Norway, Iceland and Liechtenstein), medicinal products can only be commercialized after obtaining a Marketing Authorization, or MA. There are two types of marketing authorizations.</w:t>
      </w:r>
    </w:p>
    <w:p>
      <w:pPr>
        <w:spacing w:after="0" w:line="69" w:lineRule="exact"/>
        <w:rPr>
          <w:sz w:val="20"/>
          <w:szCs w:val="20"/>
          <w:color w:val="auto"/>
        </w:rPr>
      </w:pPr>
    </w:p>
    <w:p>
      <w:pPr>
        <w:ind w:left="620" w:right="60" w:hanging="307"/>
        <w:spacing w:after="0" w:line="264" w:lineRule="auto"/>
        <w:tabs>
          <w:tab w:leader="none" w:pos="609" w:val="left"/>
        </w:tabs>
        <w:numPr>
          <w:ilvl w:val="0"/>
          <w:numId w:val="100"/>
        </w:numPr>
        <w:rPr>
          <w:rFonts w:ascii="Arial" w:cs="Arial" w:eastAsia="Arial" w:hAnsi="Arial"/>
          <w:sz w:val="15"/>
          <w:szCs w:val="15"/>
          <w:color w:val="1E1E1E"/>
        </w:rPr>
      </w:pPr>
      <w:r>
        <w:rPr>
          <w:rFonts w:ascii="Arial" w:cs="Arial" w:eastAsia="Arial" w:hAnsi="Arial"/>
          <w:sz w:val="15"/>
          <w:szCs w:val="15"/>
          <w:color w:val="1E1E1E"/>
        </w:rPr>
        <w:t>The Community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2" w:lineRule="exact"/>
        <w:rPr>
          <w:rFonts w:ascii="Arial" w:cs="Arial" w:eastAsia="Arial" w:hAnsi="Arial"/>
          <w:sz w:val="15"/>
          <w:szCs w:val="15"/>
          <w:color w:val="1E1E1E"/>
        </w:rPr>
      </w:pPr>
    </w:p>
    <w:p>
      <w:pPr>
        <w:ind w:left="620" w:hanging="307"/>
        <w:spacing w:after="0" w:line="268" w:lineRule="auto"/>
        <w:tabs>
          <w:tab w:leader="none" w:pos="609" w:val="left"/>
        </w:tabs>
        <w:numPr>
          <w:ilvl w:val="0"/>
          <w:numId w:val="100"/>
        </w:numPr>
        <w:rPr>
          <w:rFonts w:ascii="Arial" w:cs="Arial" w:eastAsia="Arial" w:hAnsi="Arial"/>
          <w:sz w:val="15"/>
          <w:szCs w:val="15"/>
          <w:color w:val="1E1E1E"/>
        </w:rPr>
      </w:pPr>
      <w:r>
        <w:rPr>
          <w:rFonts w:ascii="Arial" w:cs="Arial" w:eastAsia="Arial" w:hAnsi="Arial"/>
          <w:sz w:val="15"/>
          <w:szCs w:val="15"/>
          <w:color w:val="1E1E1E"/>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620"/>
        <w:spacing w:after="0" w:line="271" w:lineRule="auto"/>
        <w:rPr>
          <w:sz w:val="20"/>
          <w:szCs w:val="20"/>
          <w:color w:val="auto"/>
        </w:rPr>
      </w:pPr>
      <w:r>
        <w:rPr>
          <w:rFonts w:ascii="Arial" w:cs="Arial" w:eastAsia="Arial" w:hAnsi="Arial"/>
          <w:sz w:val="15"/>
          <w:szCs w:val="15"/>
          <w:color w:val="1E1E1E"/>
        </w:rPr>
        <w:t>draft summary of the product characteristics, or SOPC, and a draft of the labeling and package leaflet, which are sent to the other Member States (referred to as the Member States Concerned) for their approval. If the Member States Concerned raise no objections, based on a potential serious risk to public health, to the assessment, SOPC, labeling or packaging proposed by the RMS, the product is subsequently granted a national MA in all the Member States (i.e., in the RMS and the Member States Concerned).</w:t>
      </w:r>
    </w:p>
    <w:p>
      <w:pPr>
        <w:spacing w:after="0" w:line="175" w:lineRule="exact"/>
        <w:rPr>
          <w:sz w:val="20"/>
          <w:szCs w:val="20"/>
          <w:color w:val="auto"/>
        </w:rPr>
      </w:pPr>
    </w:p>
    <w:p>
      <w:pPr>
        <w:ind w:right="260"/>
        <w:spacing w:after="0" w:line="271" w:lineRule="auto"/>
        <w:rPr>
          <w:sz w:val="20"/>
          <w:szCs w:val="20"/>
          <w:color w:val="auto"/>
        </w:rPr>
      </w:pPr>
      <w:r>
        <w:rPr>
          <w:rFonts w:ascii="Arial" w:cs="Arial" w:eastAsia="Arial" w:hAnsi="Arial"/>
          <w:sz w:val="15"/>
          <w:szCs w:val="15"/>
          <w:color w:val="1E1E1E"/>
        </w:rPr>
        <w:t>Under the above described procedures, before granting the MA, EMA or the competent authorities of the Member States of the EEA make an assessment of the risk-benefit balance of the product on the basis of scientific criteria concerning its quality, safety and efficacy. Similar to the U.S. patent term-restoration, Supplementary Protection Certificates, or SPCs, serve as an extension to a patent right in Europe for up to five years. SPCs apply to specific pharmaceutical products to offset the loss of patent protection due to the lengthy testing and clinical trials these products require prior to obtaining regulatory marketing approval.</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Coverage and Reimbursement</w:t>
      </w:r>
    </w:p>
    <w:p>
      <w:pPr>
        <w:spacing w:after="0" w:line="74"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1E1E1E"/>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CMS decides whether and to what extent a new product will be covered and reimbursed under Medicare, and private third-party payors often follow CMS’s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64"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E1E1E"/>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candidates. There may be especially significant delays in obtaining coverage and reimbursement for newly approved drugs. Third-party payors may limit coverage to specific drug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5"/>
          <w:szCs w:val="15"/>
          <w:color w:val="1E1E1E"/>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53"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1E1E1E"/>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the price structures of the United States and generally prices tend to be significantly lower.</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Healthcare Reform</w:t>
      </w:r>
    </w:p>
    <w:p>
      <w:pPr>
        <w:spacing w:after="0" w:line="61"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1E1E1E"/>
        </w:rPr>
        <w:t>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1E1E1E"/>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Patient Protection and Affordable Care Act of 2010, as amended by the Health Care and Education Reconciliation Act of 2010, or collectively, the ACA, was passed which substantially changed the way healthcare is financed by both the government and private insurers, and significantly impacts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or HHS, Secretary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or AMP, to 23.1% of AMP and adding a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Additionally, 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375" w:lineRule="exact"/>
        <w:rPr>
          <w:sz w:val="20"/>
          <w:szCs w:val="20"/>
          <w:color w:val="auto"/>
        </w:rPr>
      </w:pPr>
    </w:p>
    <w:p>
      <w:pPr>
        <w:ind w:right="720"/>
        <w:spacing w:after="0" w:line="294" w:lineRule="auto"/>
        <w:rPr>
          <w:sz w:val="20"/>
          <w:szCs w:val="20"/>
          <w:color w:val="auto"/>
        </w:rPr>
      </w:pPr>
      <w:r>
        <w:rPr>
          <w:rFonts w:ascii="Arial" w:cs="Arial" w:eastAsia="Arial" w:hAnsi="Arial"/>
          <w:sz w:val="15"/>
          <w:szCs w:val="15"/>
          <w:color w:val="1E1E1E"/>
        </w:rPr>
        <w:t>Congress has considered legislation that would repeal or repeal and replace all or part of the ACA. While Congress has not passed comprehensive repeal legislation, two bills affecting the implementation of certain taxes under the ACA have passed.</w:t>
      </w:r>
    </w:p>
    <w:p>
      <w:pPr>
        <w:spacing w:after="0" w:line="145" w:lineRule="exact"/>
        <w:rPr>
          <w:sz w:val="20"/>
          <w:szCs w:val="20"/>
          <w:color w:val="auto"/>
        </w:rPr>
      </w:pPr>
    </w:p>
    <w:p>
      <w:pPr>
        <w:spacing w:after="0" w:line="267" w:lineRule="auto"/>
        <w:rPr>
          <w:sz w:val="20"/>
          <w:szCs w:val="20"/>
          <w:color w:val="auto"/>
        </w:rPr>
      </w:pPr>
      <w:r>
        <w:rPr>
          <w:rFonts w:ascii="Arial" w:cs="Arial" w:eastAsia="Arial" w:hAnsi="Arial"/>
          <w:sz w:val="15"/>
          <w:szCs w:val="15"/>
          <w:color w:val="1E1E1E"/>
        </w:rPr>
        <w:t>On November 20, 2020, the HHS Office of Inspector General (“OIG”) issued a final rule eliminating the federal Anti-Kickback Statute safe harbors for rebates paid by manufacturers to Medicare Part D plan sponsors, Medicaid managed care organizations, and those entities’ pharmacy benefit managers, the purpose of which is to further reduce the cost of drug products to consumers. OIG created two safe harbors for certain point-of-sale reductions in price on prescription pharmaceutical products and certain pharmacy benefit manager service fees. On December 2, 2020, OIG and CMS each issued a final rule that set forth modifications to the federal Anti-Kickback Statute, Civil Monetary Penalties Law and Physician Self-Referral Law (or the Stark Law) (respectively) regulations to remove regulatory barriers to value-based care arrangements. CMS’s final rule also clarifies and updates certain long-standing terms that appear throughout the Stark Law regulations.</w:t>
      </w:r>
    </w:p>
    <w:p>
      <w:pPr>
        <w:spacing w:after="0" w:line="177" w:lineRule="exact"/>
        <w:rPr>
          <w:sz w:val="20"/>
          <w:szCs w:val="20"/>
          <w:color w:val="auto"/>
        </w:rPr>
      </w:pPr>
    </w:p>
    <w:p>
      <w:pPr>
        <w:ind w:right="100"/>
        <w:spacing w:after="0" w:line="267" w:lineRule="auto"/>
        <w:rPr>
          <w:sz w:val="20"/>
          <w:szCs w:val="20"/>
          <w:color w:val="auto"/>
        </w:rPr>
      </w:pPr>
      <w:r>
        <w:rPr>
          <w:rFonts w:ascii="Arial" w:cs="Arial" w:eastAsia="Arial" w:hAnsi="Arial"/>
          <w:sz w:val="15"/>
          <w:szCs w:val="15"/>
          <w:color w:val="1E1E1E"/>
        </w:rPr>
        <w:t>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2029 unless additional congressional action is taken.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5"/>
          <w:szCs w:val="15"/>
          <w:color w:val="1E1E1E"/>
        </w:rPr>
        <w:t>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federal Inflation Reduction Act, signed into law on August 16, 2022, contains multiple provisions that could have an adverse effect on our ability to generate revenue, attain profitability, or commercialize our drug candidates if approved, as the statute includes provisions intended to reduce the cost of prescription drugs under Medicare. In addition to the direct impact of the IRA on federal drug reimbursement, the statute may also lead to similar reductions in payments from private payers. Various members of the current U.S. Congress have indicated that lowering drug prices continues to be a legislative and political priority, and some have introduced other proposals aimed at drug pricing. Similarly,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Available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1E1E1E"/>
        </w:rPr>
        <w:t>Our principal executive office is located at 41 S Rio Grande Street, Salt Lake City, UT 84101. Our telephone number is (385) 269-0203.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1E1E1E"/>
        </w:rPr>
        <w:t>Our annual reports on Form 10-K, quarterly reports on Form 10-Q, current reports on Form 8-K and all amendments to those reports filed or furnished pursuant to Section 13(a) or 15(d) of the Securities Exchange Act of 1934, or the Exchange Act, are available free of charge on our website as soon as reasonably practicable after they are electronically filed with, or furnished to, the SEC. Our website is www.recursion.com. 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165"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1E1E1E"/>
        </w:rPr>
        <w:t>This report includes citations to information published by third parties, including academic and industry research, publications, surveys, and studies. While we believe that such information is reliable, we have not separately verified such information, and such information is not a part of, and is not incorporated into, this report.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236220</wp:posOffset>
            </wp:positionV>
            <wp:extent cx="7164070" cy="87966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4070" cy="879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all of the other information contained in this Annual Report on Form 10-K and our other public filings with the SEC, before making investment decisions regarding our common stock. The risks described below are not the only risks we face. The occurrence of any of the following risks, or of additional risks and uncertainties not presently known to us or that we currently believe to be immaterial, could cause our business, prospects, operating results, and financial condition to be materially and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LIMITED OPERATING HISTORY, FINANCIAL POSITION, AND NEED FOR ADDITIONAL CAPITAL</w:t>
      </w:r>
    </w:p>
    <w:p>
      <w:pPr>
        <w:spacing w:after="0" w:line="245" w:lineRule="exact"/>
        <w:rPr>
          <w:sz w:val="20"/>
          <w:szCs w:val="20"/>
          <w:color w:val="auto"/>
        </w:rPr>
      </w:pPr>
    </w:p>
    <w:p>
      <w:pPr>
        <w:ind w:right="160"/>
        <w:spacing w:after="0" w:line="302" w:lineRule="auto"/>
        <w:rPr>
          <w:sz w:val="20"/>
          <w:szCs w:val="20"/>
          <w:color w:val="auto"/>
        </w:rPr>
      </w:pPr>
      <w:r>
        <w:rPr>
          <w:rFonts w:ascii="Arial" w:cs="Arial" w:eastAsia="Arial" w:hAnsi="Arial"/>
          <w:sz w:val="17"/>
          <w:szCs w:val="17"/>
          <w:b w:val="1"/>
          <w:bCs w:val="1"/>
          <w:i w:val="1"/>
          <w:iCs w:val="1"/>
          <w:color w:val="auto"/>
        </w:rPr>
        <w:t>We are a clinical-stage biotechnology company with a limited operating history and no products approved by regulators for commercial sale, which may make it difficult to evaluate our current and future business prospects.</w:t>
      </w:r>
    </w:p>
    <w:p>
      <w:pPr>
        <w:spacing w:after="0" w:line="153"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Since our inception in November 2013, we have focused substantially all of our efforts and financial resources on building our drug discovery platform and developing our initial drug candidates. All of our drug candidates are still in the discovery, preclinical development, or clinical stages. Before we can commercialize our drug candidates, they require, among other steps, clinical success; development of internal or external manufacturing capacity and marketing expertise; and regulatory approval by the U.S. Food and Drug Administration (FDA) and other applicable jurisdictions. We have no products approved for commercial sale and we can provide no assurance that we will obtain regulatory approvals to market and sell any drug products in the future. We therefore have never generated any revenue from drug product sales, and we do not expect to generate any revenue from drug product sales in the foreseeable future. Until we successfully develop and commercialize drug candidates, which may never occur, we expect to finance our operations through a combination of equity offerings, debt financings, and strategic collaborations or similar arrangements. Biopharmaceutical product development is a highly speculative undertaking and involves a substantial degree of risk. For these and other reasons discussed elsewhere in this Risk Factors section, it may be difficult to evaluate our current business and our future prospects.</w:t>
      </w:r>
    </w:p>
    <w:p>
      <w:pPr>
        <w:spacing w:after="0" w:line="207" w:lineRule="exact"/>
        <w:rPr>
          <w:sz w:val="20"/>
          <w:szCs w:val="20"/>
          <w:color w:val="auto"/>
        </w:rPr>
      </w:pPr>
    </w:p>
    <w:p>
      <w:pPr>
        <w:ind w:right="200"/>
        <w:spacing w:after="0" w:line="302"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have incurred net losses in each year since our inception. We had an accumulated deficit of $1.4 billion as of December 31, 2024. Substantially all of our operating losses have resulted from costs incurred in connection with research and development efforts, including clinical studies, and from general and administrative costs associated with our operations. We expect our operating expenses to significantly increase as we continue to invest in research and development efforts and the commencement and continuation of clinical trials of our existing and future drug candidates. We also continue to incur additional costs associated with operating as a public company. As a result, we expect to continue to incur substantial and increasing operating losses for the foreseeable future. Our prior losses, combined with expected future losses, have had, and will continue to have, an adverse effect on our stockholders’ deficit and working capital. Because of the numerous risks and uncertainties associated with developing pharmaceutical products and new technologies, we are unable to predict the extent of any future losses or when we will become profitable, if at all. Even if we do become profitable, we may not be able to sustain or increase our profitability on a quarterly or annual basis.</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we would be forced to delay, reduce, or eliminate at least some of our product development programs, business development plans, strategic investments, and potential commercialization efforts, and to possibly cease operations.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mission, decoding biology to radically improve lives, is broad, expensive to achieve, and will require substantial additional capital in the future. We have programs throughout the stages of development including clinical, preclinical, late discovery and early discovery. We expect our expenses to increase in connection with our ongoing activities as we continue the research and development of, initiate clinical trials of, and potentially seek marketing approval for, our current drug candidates, and as we add to our pipeline what we believe will be an accelerating number of additional programs. Preclinical and clinical testing is expensive and can take many years, so we will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need supplemental funding to complete these undertakings. If our drug candidates are eventually approved by regulators, we will require significant additional funding in order to launch and commercialize our products.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will depend on, and could increase significantly as a result of, many factors, including but not limited to the following:</w:t>
      </w:r>
    </w:p>
    <w:p>
      <w:pPr>
        <w:spacing w:after="0" w:line="243" w:lineRule="exact"/>
        <w:rPr>
          <w:sz w:val="20"/>
          <w:szCs w:val="20"/>
          <w:color w:val="auto"/>
        </w:rPr>
      </w:pPr>
    </w:p>
    <w:p>
      <w:pPr>
        <w:ind w:left="360" w:hanging="151"/>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number of drug candidates that we pursue and their development requirements;</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scope, progress, results, and costs of our current and future preclinical and clinical trials;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10" w:lineRule="exact"/>
        <w:rPr>
          <w:rFonts w:ascii="Arial" w:cs="Arial" w:eastAsia="Arial" w:hAnsi="Arial"/>
          <w:sz w:val="17"/>
          <w:szCs w:val="17"/>
          <w:color w:val="auto"/>
        </w:rPr>
      </w:pPr>
    </w:p>
    <w:p>
      <w:pPr>
        <w:ind w:left="360" w:right="300" w:hanging="151"/>
        <w:spacing w:after="0" w:line="253" w:lineRule="auto"/>
        <w:tabs>
          <w:tab w:leader="none" w:pos="3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we obtain marketing approval for any current or future drug candidates, expenses related to product sales, marketing, manufacturing, and distribution;</w:t>
      </w:r>
    </w:p>
    <w:p>
      <w:pPr>
        <w:ind w:left="360" w:right="360" w:hanging="151"/>
        <w:spacing w:after="0" w:line="253" w:lineRule="auto"/>
        <w:tabs>
          <w:tab w:leader="none" w:pos="3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licensing, and other strategic arrangements on favorable terms, and the success of and timing and receipts of payments from such collaborations, licensing, and strategic arrangements;</w:t>
      </w:r>
    </w:p>
    <w:p>
      <w:pPr>
        <w:ind w:left="360" w:right="160" w:hanging="151"/>
        <w:spacing w:after="0" w:line="253" w:lineRule="auto"/>
        <w:tabs>
          <w:tab w:leader="none" w:pos="3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impact of any business interruptions to our operations or to the operations of our manufacturers, suppliers, or other vendors, including the timing and enrollment of participants in our planned clinical trials, resulting from global supply chain issues or other force majeure events;</w:t>
      </w:r>
    </w:p>
    <w:p>
      <w:pPr>
        <w:ind w:left="360" w:hanging="151"/>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w:t>
      </w:r>
    </w:p>
    <w:p>
      <w:pPr>
        <w:spacing w:after="0" w:line="10" w:lineRule="exact"/>
        <w:rPr>
          <w:rFonts w:ascii="Arial" w:cs="Arial" w:eastAsia="Arial" w:hAnsi="Arial"/>
          <w:sz w:val="17"/>
          <w:szCs w:val="17"/>
          <w:color w:val="auto"/>
        </w:rPr>
      </w:pPr>
    </w:p>
    <w:p>
      <w:pPr>
        <w:ind w:left="360" w:right="460" w:hanging="151"/>
        <w:spacing w:after="0" w:line="253" w:lineRule="auto"/>
        <w:tabs>
          <w:tab w:leader="none" w:pos="3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and other applications covering our intellectual property; maintaining, protecting, and enforcing our intellectual property rights; and defending intellectual property-related claims of third parties;</w:t>
      </w:r>
    </w:p>
    <w:p>
      <w:pPr>
        <w:ind w:left="360" w:right="60" w:hanging="151"/>
        <w:spacing w:after="0" w:line="253" w:lineRule="auto"/>
        <w:tabs>
          <w:tab w:leader="none" w:pos="3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business operations and our research and development activities, including into new geographies and through acquisitions;</w:t>
      </w:r>
    </w:p>
    <w:p>
      <w:pPr>
        <w:ind w:left="360" w:hanging="151"/>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increase in salaries and wages and the extension of benefits required to retain, attract and motivate qualified personnel;</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increases in costs of components necessary for our business;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inflation;</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costs of any commitments to become carbon neutral by 2030 and other environmental, social and governance goals; and</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costs of operating as a public company.</w:t>
      </w:r>
    </w:p>
    <w:p>
      <w:pPr>
        <w:spacing w:after="0" w:line="22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historically have financed our operations primarily through private placements of our capital stock, through the net proceeds from our initial public offering, and from other public offerings, including from “at-the market” offerings. We expect that our existing cash position and short-term investments as of the date of this Annual Report on Form 10-K will be sufficient to fund our operating expenses and capital expenditures for at least the next 12 months. However, identifying potential drug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drug candidates, even if approved, may not achieve commercial success. We do not anticipate that our commercial revenues, if any, will be derived from sales of products for at least several years. Accordingly, we will need to continue to rely on additional financing to achieve our business objectives, and we may need to raise substantial additional funds sooner than expected.</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Until such time, if ever, as we can generate substantial revenues, we expect to finance our cash needs potentially through a combination of private and public equity offerings and debt financings, as well as strategic collaborations, partnerships, and licensing arrangements. We do not have any committed external source of funds other than amounts payable by Takeda Pharmaceutical Company Limited (Takeda), by Bayer AG (Bayer) by Genentech, Inc. and F. Hoffmann-La Roche Ltd (together, Roche Genentech), Merck KGaA, Darmstadt, Germany (Merck), Sanofi S.A. (Sanofi), and a limited number of other collaborators with respect to which Recursion has a contractual relationship as a result of the business combination with Exscientia, pursuant to the collaboration agreements. Disruptions in the financial markets in general, including due to potential pandemics, U.S. debt ceiling and budget deficit concerns, and geo-political issues such as the Ukraine/Russia conflict, the Israel-Hamas war, and political and trade uncertainties in the greater China region, may make equity and debt financing more difficult to obtain. In addition, entry into certain transactions with foreign entities may be subject to government regulations, including review related to foreign direct investment by U.S. or foreign government entities, as well as certain outbound investments. If a transaction with a foreign entity were subject to regulatory review, such regulatory review might limit our ability to enter into the desired strategic alliance and thus our ability to carry out our long-term business strategy. We cannot be certain that future financing will be available in sufficient amounts or on terms acceptable to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us, if at all. If we are unable to raise additional funds through equity or debt financings, or strategic collaborations or similar arrangements, on a timely basis and satisfactory terms, we may be required to significantly curtail, delay, or discontinue one or more of our research and development programs or the future commercialization of any drug candidate, or we may be unable to expand our operations or otherwise capitalize on our business opportunities as desired. Any of these circumstances could materially and adversely affect our business and results of operations and may cause us to cease operations.</w:t>
      </w:r>
    </w:p>
    <w:p>
      <w:pPr>
        <w:spacing w:after="0" w:line="196" w:lineRule="exact"/>
        <w:rPr>
          <w:sz w:val="20"/>
          <w:szCs w:val="20"/>
          <w:color w:val="auto"/>
        </w:rPr>
      </w:pPr>
    </w:p>
    <w:p>
      <w:pPr>
        <w:ind w:right="140"/>
        <w:spacing w:after="0" w:line="302" w:lineRule="auto"/>
        <w:rPr>
          <w:sz w:val="20"/>
          <w:szCs w:val="20"/>
          <w:color w:val="auto"/>
        </w:rPr>
      </w:pPr>
      <w:r>
        <w:rPr>
          <w:rFonts w:ascii="Arial" w:cs="Arial" w:eastAsia="Arial" w:hAnsi="Arial"/>
          <w:sz w:val="17"/>
          <w:szCs w:val="17"/>
          <w:b w:val="1"/>
          <w:bCs w:val="1"/>
          <w:i w:val="1"/>
          <w:iCs w:val="1"/>
          <w:color w:val="auto"/>
        </w:rPr>
        <w:t>Raising additional capital and issuing additional securities may cause dilution to our stockholders, restrict our operations, require us to relinquish rights to our technologies or drug candidates, and divert management’s attention from our core business.</w:t>
      </w:r>
    </w:p>
    <w:p>
      <w:pPr>
        <w:spacing w:after="0" w:line="153"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The terms of any financing we obtain may adversely affect the holdings or rights of our stockholders, and the issuance of additional securities, whether equity or debt, or the possibility of such issuance, may cause the market price of our shares to decline. To the extent that we raise additional capital or otherwise issue additional securities through the sale of Class A common stock or securities convertible or exchangeable into Class A common stock, our stockholders’ ownership interests will be diluted.</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For example, we have from time to time raised capital through the issuance of shares of Class A common stock in public offerings and private placements. Also, in February 2025, we entered into a Sales Agreement (the “Citi Sales Agreement”) with Citigroup Capital Markets Inc. (the “Citi Sales Agent”), that provides for the offering, issuance and sale of up to an aggregate amount of $500.0 million of our Class A common stock from time to time in “at-the-market” offerings. In addition to capital raising issuances, in connection with the acquisitions of Cyclica Inc. (Cyclica) and Valence Discovery Inc. (Valence) in May 2023, we issued 12.4 million shares of our Class A common stock or securities convertible or exchangeable into Class A common stock and in November 2024, we issued approximately 102.1 million shares of our Class A Common Stock in connection with our business combination with Exscientia plc (Exscientia). We have also issued 6.7 million shares of our Class A common stock to Tempus AI, Inc. (formerly known as Tempus Labs, Inc.) (Tempus) in payment for license fees under the terms of that certain Master Agreement entered into by and between us and Tempus (the Tempus Agreement) and may issue additional shares in the future under the Tempus Agreement. Issuances of a substantial number of shares of our outstanding Class A common stock in the public market could occur at any time. These issuances, or the perception in the market that the holders of a large number of shares of our Class A common stock intend to sell shares, could reduce the market price of our Class A common stock.</w:t>
      </w:r>
    </w:p>
    <w:p>
      <w:pPr>
        <w:spacing w:after="0" w:line="20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Moreover, as a condition to providing additional funds to us, future investors may demand, and may be granted, favorable terms that may include liquidation, preferences, dividend payments, voting rights or other preferences that materially and adversely affect the rights of common stockholders. Debt financing, if available, would result in increased fixed payment obligations. In addition, we may be required to agree to certain restrictive covenants, which could adversely impact our ability to make capital expenditures, declare dividends, or otherwise conduct our business. We also may need to raise funds through additional strategic collaborations, partnerships, or licensing arrangements with third parties at an earlier stage than would be desirable. Such arrangements could require us to relinquish rights to some of our technologies or drug candidates, future revenue streams, or research programs, or otherwise agree to terms unfavorable to us. Fundraising efforts have the potential to divert our management’s attention from our core business or create competing priorities, which may adversely affect our ability to develop and commercialize our drug candidates and technologies.</w:t>
      </w:r>
    </w:p>
    <w:p>
      <w:pPr>
        <w:spacing w:after="0" w:line="20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auto"/>
        </w:rPr>
        <w:t>We may be required to repurchase for cash all, or to facilitate the purchase by a third party of all, of the shares of Class A common stock that were issued to the Bill &amp; Melinda Gates Foundation, or the Gates Foundation, in exchange for the Exscientia American Depositary Shares (ADSs) that the Gates Foundation purchased from Exscientia in an October 2021 private placement if we default under the global access commitments agreement with Exscientia, which could have an adverse impact on us.</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connection with the purchase by the Gates Foundation of 1,590,909 of ADSs from Exscientia in a private placement that closed in October 2021, Exscientia entered into a Global Access Commitments Agreement, or the Global Access Agreement. In connection with our business combination with Exscientia, we issued approximately 1.2 million shares of Class A common stock in exchange for such ADSs and became subject to the Global Access Agreement. Pursuant to the Global Access Agreement, we are required to take certain actions to support the Gates Foundation’s mission. In the event that we are in breach of certain related provisions of the Global Access Agreement, following a cure period, we may be required to repurchase for cash all, or to facilitate the purchase by a</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third party of all, of such shares of Class A common stock issued to the Gates Foundation in the connection with the closing of our business combination with Exscientia, at terms that may not be favorable to us. If this occurs, cash used for this purpose may adversely affect our liquidity, cause us to reduce expenditures in other areas of our business, or curtail our growth plans. If we do not have sufficient cash on hand to purchase the securities, we may have to seek financing alternatives in order to meet our obligations, and there is no certainty that financing would be available on reasonable terms or at all. During any period that we are unable to repurchase such shares of Class A common stock held by the Gates Foundation or arrange for a third party to purchase such shares, we would not likely be allowed to pay dividends, repurchase the securities of any other shareholder or otherwise make any other distribution to any of our shareholders in connection with their securities. Therefore, meeting this purchase obligation, if necessary, could have a material adverse effect on our business and financial results.</w:t>
      </w: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We are engaged in strategic collaborations and we intend to seek to establish additional collaborations, including for the clinical development or commercialization of our drug candidates. If we are unable to establish collaborations on commercially reasonable terms or at all, or if current and future collaborations are not successful, we may have to alter our development and commercialization plans.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product development programs and the potential commercialization of our drug candidates will require substantial additional cash to fund expenses. To date our operating revenue has primarily been generated through funded research and development agreements with Roche Genentech, Takeda, and Bayer. For example, in December 2021, we entered into a Collaboration and License Agreement with Roche Genentech (the Roche Genentech Agreement) for discovery of small molecule drug candidates with the potential to treat key areas of neuroscience and an oncology indication, under which we received a non-refundable upfront payment of $150.0 million in January 2022, an option fee for a single molecule validation program in oncology of $ 3M in October 2023, and an acceptance fee for our first neuroscience phenomap of $30 million in September 2024. Similarly, in recent periods prior to its business combination with Recursion, Exscientia had a limited number of collaborations that accounted for a significant portion of Exscientia's revenues. These collaborations cover a large number of programs under contract and, therefore, represent a large portion of potential downstream value. We intend to seek additional strategic collaborations, partnerships, and licensing arrangements with pharmaceutical and biotechnology companies. In the near term, the value of our company will depend in part on the number and quality of the collaborations and similar arrangements that we negotiate. Whether we reach a definitive agreement for a collaboration will depend, among other things, on our assessment of the collaborator’s resources and expertise, the terms and conditions of the proposed collaboration, and the potential collaborator’s evaluation of a number of factors. Those factors may include, among others, (i) our technologies and capabilities; (ii) our intellectual property position with respect to the subject drug candidate; (iii) the design or results of clinical trials; (iv) the likelihood of approval by the FDA and similar regulatory authorities outside the U.S.; (v) the potential market for the subject drug candidate; (vi) potential competing products; and (vii) industry and market conditions generally. In addition, the significant number of business combinations among large pharmaceutical companies has reduced the number of potential future collaborators with whom we can partner.</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Collaborations and similar arrangements are complex and time-consuming to negotiate and document. We may have to relinquish valuable rights to our product candidates, intellectual property, or future revenue streams, or grant licenses on terms that are not favorable to us or in instances where it would have been more advantageous for us to retain sole development and commercialization rights. We may be restricted under collaboration agreements from entering into future agreements on certain terms with other potential collaborators. In addition, management of our relationships with collaborators requires (i) significant time and effort from our management team; (ii) coordination of our marketing and research and development programs with the marketing and research and development priorities of our collaborators; and (iii) effective allocation of our resources across multiple projects.</w:t>
      </w:r>
    </w:p>
    <w:p>
      <w:pPr>
        <w:spacing w:after="0" w:line="19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Collaborations and similar arrangements may never result in the successful development or commercialization of drug candidates or the generation of sales revenue. The success of these arrangements will depend heavily on the efforts and activities of our collaborators. Collaborators generally have significant discretion in determining the efforts and resources that they will apply to these collaborations, and they may not pursue or prioritize the development and commercialization of partnered drug candidates in a manner that is in our best interests. Product revenues arising from collaborations are likely to be lower than if we directly marketed and sold products. Disagreements with collaborators regarding clinical development or commercialization matters can lead to delays in the development process or commercialization of the applicable drug candidate and, in some cases, the termination of the collaboration arrangement. These disagreements can be difficult to resolve if neither of the parties has final decision-making authority. Collaboration agreements are typically terminable by the collaborator, and any such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termination or expiration would adversely affect us financially and could harm our business reputation. If we were to become involved in arbitration or litigation with any of our collaborators, it would consume time and divert management resources away from operations, damage our reputation, impact our ability to enter into future collaboration agreements, and may further result in substantial payments from us to our collaborators to settle those disputes.</w:t>
      </w:r>
    </w:p>
    <w:p>
      <w:pPr>
        <w:spacing w:after="0" w:line="19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may not be able to establish additional strategic collaborations and similar arrangements on a timely basis, on acceptable terms, or at all, and to maintain and successfully conclude them. Collaborative relationships with third parties could cause us to expend significant resources and incur substantial business risk with no assurance of financial return. If we are unable to establish or maintain strategic collaborations and similar arrangements on terms favorable to us and realize the intended benefits of those partnering arrangements, our research and development efforts and potential to generate revenue may be limited and our business and operating results could be materially and adversely impacted.</w:t>
      </w:r>
    </w:p>
    <w:p>
      <w:pPr>
        <w:spacing w:after="0" w:line="196"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 We or our current and future collaborators may never successfully develop and commercialize our drug candidates, which would negatively affect our results of operation and our ability to continue our business operations.</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ability to become profitable depends upon our ability to generate substantial revenue in an amount necessary to offset our expenses. As of December 31, 2024, we have not generated any revenue from our drug candidates or technologies, other than limited grant revenues, as well as payments under collaboration agreements. We expect to continue to derive most of our revenue in the near future from collaborations. We do not expect to generate significant revenue unless and until we progress our drug candidates through clinical trials and obtain marketing approval of, and begin to sell, one or more of our drug candidates, or we otherwise receive substantial licensing or other payments under our collaborations. Even if we obtain market approval for our drug candidates, one or more of them may not achieve commercial success.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Commercialization of our drug candidates depends on a number of factors, including but not limited to our ability to:</w:t>
      </w:r>
    </w:p>
    <w:p>
      <w:pPr>
        <w:spacing w:after="0" w:line="243" w:lineRule="exact"/>
        <w:rPr>
          <w:sz w:val="20"/>
          <w:szCs w:val="20"/>
          <w:color w:val="auto"/>
        </w:rPr>
      </w:pPr>
    </w:p>
    <w:p>
      <w:pPr>
        <w:ind w:left="360" w:hanging="151"/>
        <w:spacing w:after="0"/>
        <w:tabs>
          <w:tab w:leader="none" w:pos="3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successfully complete preclinical studies;</w:t>
      </w:r>
    </w:p>
    <w:p>
      <w:pPr>
        <w:spacing w:after="0" w:line="26" w:lineRule="exact"/>
        <w:rPr>
          <w:rFonts w:ascii="Arial" w:cs="Arial" w:eastAsia="Arial" w:hAnsi="Arial"/>
          <w:sz w:val="17"/>
          <w:szCs w:val="17"/>
          <w:color w:val="auto"/>
        </w:rPr>
      </w:pPr>
    </w:p>
    <w:p>
      <w:pPr>
        <w:ind w:left="360" w:right="340" w:hanging="151"/>
        <w:spacing w:after="0" w:line="253" w:lineRule="auto"/>
        <w:tabs>
          <w:tab w:leader="none" w:pos="3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obtain approval of Investigational New Drug (IND) applications by the FDA and similar regulatory approvals outside the U.S., allowing us to commence clinical trials;</w:t>
      </w:r>
    </w:p>
    <w:p>
      <w:pPr>
        <w:ind w:left="360" w:hanging="151"/>
        <w:spacing w:after="0"/>
        <w:tabs>
          <w:tab w:leader="none" w:pos="3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successfully enroll subjects in, and complete, clinical trials;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receive regulatory approvals from applicable regulatory authorities;</w:t>
      </w:r>
    </w:p>
    <w:p>
      <w:pPr>
        <w:spacing w:after="0" w:line="10" w:lineRule="exact"/>
        <w:rPr>
          <w:rFonts w:ascii="Arial" w:cs="Arial" w:eastAsia="Arial" w:hAnsi="Arial"/>
          <w:sz w:val="17"/>
          <w:szCs w:val="17"/>
          <w:color w:val="auto"/>
        </w:rPr>
      </w:pPr>
    </w:p>
    <w:p>
      <w:pPr>
        <w:ind w:left="360" w:right="520" w:hanging="151"/>
        <w:spacing w:after="0" w:line="253" w:lineRule="auto"/>
        <w:tabs>
          <w:tab w:leader="none" w:pos="3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establish commercial manufacturing capabilities or make arrangements with third-party manufacturers for clinical supply and commercial manufacturing;</w:t>
      </w:r>
    </w:p>
    <w:p>
      <w:pPr>
        <w:ind w:left="360" w:right="400" w:hanging="151"/>
        <w:spacing w:after="0" w:line="253" w:lineRule="auto"/>
        <w:tabs>
          <w:tab w:leader="none" w:pos="3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obtain patent and trade secret protection or regulatory exclusivity for our drug candidates, and maintain, protect, defend, and enforce such intellectual property rights;</w:t>
      </w:r>
    </w:p>
    <w:p>
      <w:pPr>
        <w:ind w:left="360" w:hanging="151"/>
        <w:spacing w:after="0"/>
        <w:tabs>
          <w:tab w:leader="none" w:pos="3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launch commercial sales of our drug products, whether alone or in collaboration with other parties;</w:t>
      </w:r>
    </w:p>
    <w:p>
      <w:pPr>
        <w:spacing w:after="0" w:line="10" w:lineRule="exact"/>
        <w:rPr>
          <w:rFonts w:ascii="Arial" w:cs="Arial" w:eastAsia="Arial" w:hAnsi="Arial"/>
          <w:sz w:val="17"/>
          <w:szCs w:val="17"/>
          <w:color w:val="auto"/>
        </w:rPr>
      </w:pPr>
    </w:p>
    <w:p>
      <w:pPr>
        <w:ind w:left="360" w:right="140" w:hanging="151"/>
        <w:spacing w:after="0" w:line="253" w:lineRule="auto"/>
        <w:tabs>
          <w:tab w:leader="none" w:pos="3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obtain and maintain acceptance of our drug products by patients, the medical community, and third-party payors, and effectively compete with other therapies;</w:t>
      </w:r>
    </w:p>
    <w:p>
      <w:pPr>
        <w:ind w:left="360" w:right="260" w:hanging="151"/>
        <w:spacing w:after="0" w:line="253" w:lineRule="auto"/>
        <w:tabs>
          <w:tab w:leader="none" w:pos="3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obtain and maintain coverage of and adequate reimbursement for our drug products, if and when approved, by medical insurance providers; and</w:t>
      </w:r>
    </w:p>
    <w:p>
      <w:pPr>
        <w:ind w:left="360" w:hanging="151"/>
        <w:spacing w:after="0"/>
        <w:tabs>
          <w:tab w:leader="none" w:pos="3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demonstrate a continued acceptable safety profile of drug products following marketing approval.</w:t>
      </w:r>
    </w:p>
    <w:p>
      <w:pPr>
        <w:spacing w:after="0" w:line="227"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current or future collaborators would similarly need to be effective in the above activities as they pertain to the collaborators in order to successfully develop drug candidates. We and they may never succeed in developing and commercializing drug candidates. And even if we do, we may never generate revenues that are significant enough to achieve profitability; or even if our collaborators do, we may not receive option fees, milestone payments, or royalties from them that are significant enough for us to achieve profitability. Even if we achieve profitability, we may not be able to sustain or increase profitability on a quarterly or annual basis. Our failure to become and remain profitable would eventually depress our value and could impair our ability to raise capital, expand our business, maintain our research and development efforts, develop a pipeline of drug candidates, enter into collaborations, or even continue our operations.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i w:val="1"/>
          <w:iCs w:val="1"/>
          <w:color w:val="auto"/>
        </w:rPr>
        <w:t>Our quarterly and annual operating results may fluctuate significantly due to a variety of factors and could fall below our expectations or the expectations of investors or securities analysts, which may cause our stock price to fluctuate or decline.</w:t>
      </w:r>
    </w:p>
    <w:p>
      <w:pPr>
        <w:spacing w:after="0" w:line="15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amount of our future losses, and when we might achieve profitability, is uncertain, and our quarterly and annual operating results may fluctuate significantly for various reasons, including, but not limited to, the following:</w:t>
      </w:r>
    </w:p>
    <w:p>
      <w:pPr>
        <w:spacing w:after="0" w:line="172" w:lineRule="exact"/>
        <w:rPr>
          <w:sz w:val="20"/>
          <w:szCs w:val="20"/>
          <w:color w:val="auto"/>
        </w:rPr>
      </w:pPr>
    </w:p>
    <w:p>
      <w:pPr>
        <w:ind w:left="360" w:hanging="151"/>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timing of, and our levels of investment in, research and development activities relating to our drug candidates;</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timing of, and status of staffing and enrollment for, clinical trials;</w:t>
      </w:r>
    </w:p>
    <w:p>
      <w:pPr>
        <w:spacing w:after="0" w:line="10" w:lineRule="exact"/>
        <w:rPr>
          <w:rFonts w:ascii="Arial" w:cs="Arial" w:eastAsia="Arial" w:hAnsi="Arial"/>
          <w:sz w:val="17"/>
          <w:szCs w:val="17"/>
          <w:color w:val="auto"/>
        </w:rPr>
      </w:pPr>
    </w:p>
    <w:p>
      <w:pPr>
        <w:ind w:left="360" w:right="600" w:hanging="151"/>
        <w:spacing w:after="0" w:line="253" w:lineRule="auto"/>
        <w:tabs>
          <w:tab w:leader="none" w:pos="3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results of clinical trials for our drug candidates, including whether there are any unexpected health or safety concerns with our drug candidates and whether we receive marketing approval for them;</w:t>
      </w:r>
    </w:p>
    <w:p>
      <w:pPr>
        <w:ind w:left="360" w:right="380" w:hanging="151"/>
        <w:spacing w:after="0" w:line="253" w:lineRule="auto"/>
        <w:tabs>
          <w:tab w:leader="none" w:pos="3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commercialization of competing drug candidates or any other change in the competitive landscape of our industry, including consolidation among our competitors or partners;</w:t>
      </w:r>
    </w:p>
    <w:p>
      <w:pPr>
        <w:ind w:left="360" w:hanging="151"/>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timing and cost of manufacturing our drug candidates;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level of demand for our drug candidates should they receive approval, which may vary significantly;</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changes in the regulatory environment or market or general economic conditions;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increase in salaries and wages and the extension of benefits required to retain, attract and motivate qualified personnel;</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increases in costs of components necessary for our business; and</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inflation.</w:t>
      </w:r>
    </w:p>
    <w:p>
      <w:pPr>
        <w:spacing w:after="0" w:line="22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occurrence of one or more of these or other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any forecasts we provide to the market, or the expectations of industry or financial analysts or investors, for any period. If one or more of these events occur, the price of our Class A common stock could decline substantially.</w:t>
      </w:r>
    </w:p>
    <w:p>
      <w:pPr>
        <w:spacing w:after="0" w:line="194" w:lineRule="exact"/>
        <w:rPr>
          <w:sz w:val="20"/>
          <w:szCs w:val="20"/>
          <w:color w:val="auto"/>
        </w:rPr>
      </w:pPr>
    </w:p>
    <w:p>
      <w:pPr>
        <w:ind w:right="40"/>
        <w:spacing w:after="0" w:line="302"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equity, cause us to incur debt or assume contingent liabilities, and subject us to other risks.</w:t>
      </w:r>
    </w:p>
    <w:p>
      <w:pPr>
        <w:spacing w:after="0" w:line="15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engaged and may in the future engage in acquisitions and strategic partnerships, including by licensing or acquiring complementary products, intellectual property rights, technologies, or businesses. Any acquisition or strategic partnership may entail numerous risks, including but not limited to the following:</w:t>
      </w:r>
    </w:p>
    <w:p>
      <w:pPr>
        <w:spacing w:after="0" w:line="189" w:lineRule="exact"/>
        <w:rPr>
          <w:sz w:val="20"/>
          <w:szCs w:val="20"/>
          <w:color w:val="auto"/>
        </w:rPr>
      </w:pPr>
    </w:p>
    <w:p>
      <w:pPr>
        <w:ind w:left="360" w:hanging="151"/>
        <w:spacing w:after="0"/>
        <w:tabs>
          <w:tab w:leader="none" w:pos="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increased operating expenses and cash requirements;</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assumption of indebtedness or contingent liabilities;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issuance of our equity securities, which would result in dilution to our stockholders’ equity;</w:t>
      </w:r>
    </w:p>
    <w:p>
      <w:pPr>
        <w:spacing w:after="0" w:line="10" w:lineRule="exact"/>
        <w:rPr>
          <w:rFonts w:ascii="Arial" w:cs="Arial" w:eastAsia="Arial" w:hAnsi="Arial"/>
          <w:sz w:val="17"/>
          <w:szCs w:val="17"/>
          <w:color w:val="auto"/>
        </w:rPr>
      </w:pPr>
    </w:p>
    <w:p>
      <w:pPr>
        <w:ind w:left="360" w:right="280" w:hanging="151"/>
        <w:spacing w:after="0" w:line="253" w:lineRule="auto"/>
        <w:tabs>
          <w:tab w:leader="none" w:pos="3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difficulties in assimilating operations, intellectual property, products, and drug candidates of an acquired company, and with integrating new personnel;</w:t>
      </w:r>
    </w:p>
    <w:p>
      <w:pPr>
        <w:ind w:left="360" w:right="580" w:hanging="151"/>
        <w:spacing w:after="0" w:line="253" w:lineRule="auto"/>
        <w:tabs>
          <w:tab w:leader="none" w:pos="3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diversion of our management’s attention from our existing product programs and initiatives, even if we are unable to complete such proposed transaction;</w:t>
      </w:r>
    </w:p>
    <w:p>
      <w:pPr>
        <w:ind w:left="360" w:hanging="151"/>
        <w:spacing w:after="0"/>
        <w:tabs>
          <w:tab w:leader="none" w:pos="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our ability to retain key employees and maintain key business relationships;</w:t>
      </w:r>
    </w:p>
    <w:p>
      <w:pPr>
        <w:spacing w:after="0" w:line="10" w:lineRule="exact"/>
        <w:rPr>
          <w:rFonts w:ascii="Arial" w:cs="Arial" w:eastAsia="Arial" w:hAnsi="Arial"/>
          <w:sz w:val="17"/>
          <w:szCs w:val="17"/>
          <w:color w:val="auto"/>
        </w:rPr>
      </w:pPr>
    </w:p>
    <w:p>
      <w:pPr>
        <w:ind w:left="360" w:right="360" w:hanging="151"/>
        <w:spacing w:after="0" w:line="253" w:lineRule="auto"/>
        <w:tabs>
          <w:tab w:leader="none" w:pos="3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uncertainties associated with the other party to such a transaction, including the prospects of that party and their existing products or drug candidates and ability to obtain regulatory approvals; and</w:t>
      </w:r>
    </w:p>
    <w:p>
      <w:pPr>
        <w:ind w:left="360" w:right="260" w:hanging="151"/>
        <w:spacing w:after="0" w:line="270" w:lineRule="auto"/>
        <w:tabs>
          <w:tab w:leader="none" w:pos="35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our inability to generate revenue from acquired intellectual property, technology, and/or products sufficient to meet our objectives or even to offset the associated transaction and maintenance costs.</w:t>
      </w:r>
    </w:p>
    <w:p>
      <w:pPr>
        <w:spacing w:after="0" w:line="189"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In addition, if we undertake such a transaction, we may assume or incur debt obligations, incur a large one-time expense, or acquire intangible assets, which could result in significant future amortization expenses and adversely impact our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of materials necessary for our business increasing more rapidly could increase our net losses.</w:t>
      </w:r>
    </w:p>
    <w:p>
      <w:pPr>
        <w:spacing w:after="0" w:line="114"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The costs of materials necessary for our business have risen in recent years and will likely continue to increase given stringency of demands. Competition and fixed price contracts may limit our ability to maintain existing</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operating margins. Costs increasing more rapidly than market prices may increase our net losses and may have a material adverse impact on our business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DISCOVERY AND DEVELOPMENT OF DRUG CANDIDATES</w:t>
      </w:r>
    </w:p>
    <w:p>
      <w:pPr>
        <w:spacing w:after="0" w:line="245"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i w:val="1"/>
          <w:iCs w:val="1"/>
          <w:color w:val="auto"/>
        </w:rPr>
        <w:t>Our approach to drug discovery is unique and may not lead to successful drug products for various reasons, including, but not limited to, challenges identifying mechanisms of action for our candidates.</w:t>
      </w:r>
    </w:p>
    <w:p>
      <w:pPr>
        <w:spacing w:after="0" w:line="153"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image cells and use cell morphology to understand how a diseased cell responds to drugs and if or when it appears normal. If studying the shape, structure, form, and size of cells does not prove to be an accurate way to better understand diseases or does not lead to the biological insights or viable drug candidates we anticipate, our drug discovery platform may not be useful or may not lead to successful drug products, or we may have to move to a new business model, any of which could have an adverse effect on our reputation and results of operations. If the mechanism of action of a drug candidate is unknown, it may be more difficult to choose the best lead to optimize from an efficacy standpoint and to avoid potential off-target side effects that could affect safety.</w:t>
      </w:r>
    </w:p>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also use our drug discovery platform to conduct AI-enabled chemistry experiments and our technology platform underpins all our efforts. As a result, the quality and sophistication of our platform and technology is critical to our ability to conduct our research discovery activities, to design and deliver promising molecule candidates, and to accelerate and lower the cost of drug discovery as compared to traditional methods for our partnerships. Because AI-designed drug candidates are novel, there is greater uncertainty about our ability to develop, advance and commercialize drug candidates using our AI-design process.</w:t>
      </w:r>
    </w:p>
    <w:p>
      <w:pPr>
        <w:spacing w:after="0" w:line="196"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Such uncertainty could make it more difficult to form partnerships with larger pharmaceutical companies, as the expenses involved in late-phase clinical trials increase the level of risk related to potential efficacy and/or safety concerns and may pose challenges to IND and/or New Drug Application (NDA) approval by the FDA or other regulatory agencies.</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i w:val="1"/>
          <w:iCs w:val="1"/>
          <w:color w:val="auto"/>
        </w:rPr>
        <w:t>Our drug candidates are in preclinical or clinical development, which are lengthy and expensive processes with uncertain outcomes and the potential for substantial delays.</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current drug candidates are in preclinical or clinical development. Before we can bring any drug candidate to market, we must, among other things, successfully complete preclinical studies, have the candidate manufactured to appropriate specifications, conduct extensive clinical trials to demonstrate safety and efficacy in humans, and obtain marketing approval from the FDA and other appropriate regulatory authorities, which we have not yet demonstrated our ability to do. Clinical testing is expensive, difficult to design and implement, can take many years to complete, and is uncertain as to outcome. A failure of a clinical trial can occur at any stage of testing. The outcome of preclinical development testing and early clinical trials may not be predictive of the success of later clinical trials, and interim results of a clinical trial do not necessarily predict final results. We may accelerate development from cell models in our drug discovery platform directly to patients without validating results through animal studies or validate results in animal studies at the same time as we conduct Phase 1 clinical trials. This approach could pose additional risks to our success if the effect of certain of our drug candidates on diseases has not been tested in animals prior to testing in humans.</w:t>
      </w:r>
    </w:p>
    <w:p>
      <w:pPr>
        <w:spacing w:after="0" w:line="205"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We have several clinical-stage drug candidates and we anticipate filing IND applications with the FDA or other regulators for Phase 1 or Phase 2 studies, as applicable, for these drug candidates. We may not be able to file such INDs, or INDs for any other drug candidates, and begin such studies, on the timelines we expect, if at all, and any such delays could impact any additional product development timelines. Moreover, we cannot be sure that submission of an IND will result in the FDA or other regulators allowing further clinical trials to begin or that, once begun, issues will not arise that require us to suspend or terminate these trials. For example, prior to the business combination with Recursion, Exscientia stopped the Phase 1/2 clinical trial of EXS21546 after receiving information demonstrating that the drug candidate was not sufficiently promising to justify further clinical development. Commencing each of these clinical trials is subject to finalizing the trial design based on discussions with the FDA and other regulatory authorities. The requirements imposed by these regulatory authorities, or their governing statutes, could change at any time, which may result in stricter approval conditions than we currently expect and/or necessitate completion of additional or longer clinical trials. Successful completion of our clinical trials is a prerequisite to submitting NDAs to the FDA, as well as Marketing Authorization Applications (MAAs) to the European Medicines Agency (EMA) and the Medicines and Healthcare Products Regulatory Agency (MHRA) for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each drug candidate and, consequently, to the ultimate approval and commercial marketing of each drug candidate. We do not know whether any of our future clinical trials will begin on time or be completed on schedule, if at all.</w:t>
      </w:r>
    </w:p>
    <w:p>
      <w:pPr>
        <w:spacing w:after="0" w:line="17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have experience, and may in the future experience delays in completing our preclinical studies and initiating or completing clinical trials, or numerous unforeseen events during, or as a result of, any clinical trials, that could require us to incur additional costs or delay or prevent our ability to receive marketing approval or to commercialize our drug candidates, including but not limited to those related to one or more of the following:</w:t>
      </w:r>
    </w:p>
    <w:p>
      <w:pPr>
        <w:spacing w:after="0" w:line="189" w:lineRule="exact"/>
        <w:rPr>
          <w:sz w:val="20"/>
          <w:szCs w:val="20"/>
          <w:color w:val="auto"/>
        </w:rPr>
      </w:pPr>
    </w:p>
    <w:p>
      <w:pPr>
        <w:ind w:left="380" w:right="80" w:hanging="171"/>
        <w:spacing w:after="0" w:line="263" w:lineRule="auto"/>
        <w:tabs>
          <w:tab w:leader="none" w:pos="37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regulators, Institutional Review Boards (IRBs), or ethics committees may not authorize us or our investigators to commence a clinical trial or to conduct a clinical trial at prospective trial sites;</w:t>
      </w:r>
    </w:p>
    <w:p>
      <w:pPr>
        <w:ind w:left="380" w:right="40" w:hanging="171"/>
        <w:spacing w:after="0" w:line="253" w:lineRule="auto"/>
        <w:tabs>
          <w:tab w:leader="none" w:pos="37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we may have difficulty reaching, or fail to reach, agreement on acceptable terms with prospective trial sites and prospective Contract Research Organizations (CROs), the terms of which can be subject to extensive negotiation and may vary significantly among different CROs and trial sites;</w:t>
      </w:r>
    </w:p>
    <w:p>
      <w:pPr>
        <w:ind w:left="380" w:right="40" w:hanging="171"/>
        <w:spacing w:after="0" w:line="253" w:lineRule="auto"/>
        <w:tabs>
          <w:tab w:leader="none" w:pos="37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number of participants required for clinical trials of our drug candidates may be larger than we anticipate, enrollment in these clinical trials may be slower than we anticipate, or participants may drop out of clinical trials or fail to return for post-treatment follow-up at a higher rate than we anticipate;</w:t>
      </w:r>
    </w:p>
    <w:p>
      <w:pPr>
        <w:ind w:left="380" w:right="480" w:hanging="171"/>
        <w:spacing w:after="0" w:line="253" w:lineRule="auto"/>
        <w:tabs>
          <w:tab w:leader="none" w:pos="37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we or our third-party contractors may fail to comply with regulatory requirements, fail to meet their contractual obligations to us in a timely manner or at all, deviate from the clinical trial protocol, or drop out of a trial, which may require that we add new clinical trial sites or investigators;</w:t>
      </w:r>
    </w:p>
    <w:p>
      <w:pPr>
        <w:ind w:left="380" w:right="900" w:hanging="171"/>
        <w:spacing w:after="0" w:line="253" w:lineRule="auto"/>
        <w:tabs>
          <w:tab w:leader="none" w:pos="37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supply or quality of our drug candidates or the other materials necessary to conduct clinical trials of our drug candidates may be insufficient, delayed, or inadequate;</w:t>
      </w:r>
    </w:p>
    <w:p>
      <w:pPr>
        <w:ind w:left="380" w:hanging="171"/>
        <w:spacing w:after="0"/>
        <w:tabs>
          <w:tab w:leader="none" w:pos="3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occurrence of delays in the manufacturing of our drug candidates;</w:t>
      </w:r>
    </w:p>
    <w:p>
      <w:pPr>
        <w:spacing w:after="0" w:line="10" w:lineRule="exact"/>
        <w:rPr>
          <w:rFonts w:ascii="Arial" w:cs="Arial" w:eastAsia="Arial" w:hAnsi="Arial"/>
          <w:sz w:val="17"/>
          <w:szCs w:val="17"/>
          <w:color w:val="auto"/>
        </w:rPr>
      </w:pPr>
    </w:p>
    <w:p>
      <w:pPr>
        <w:ind w:left="380" w:right="200" w:hanging="171"/>
        <w:spacing w:after="0" w:line="253" w:lineRule="auto"/>
        <w:tabs>
          <w:tab w:leader="none" w:pos="37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reports may arise from preclinical or clinical testing of other therapies that raise safety, efficacy, or other concerns about our drug candidates; and</w:t>
      </w:r>
    </w:p>
    <w:p>
      <w:pPr>
        <w:ind w:left="380" w:right="40" w:hanging="171"/>
        <w:spacing w:after="0" w:line="261" w:lineRule="auto"/>
        <w:tabs>
          <w:tab w:leader="none" w:pos="37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clinical trials may produce inconclusive, mixed, or negative results about our drug candidates, including determinations that candidates have undesirable side effects or other unexpected characteristics, in which event, we may decide – or our investigators or regulators, IRBs, or ethics committees may require us — to suspend or terminate the trials.</w:t>
      </w:r>
    </w:p>
    <w:p>
      <w:pPr>
        <w:spacing w:after="0" w:line="19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From time to time as we move through the stages of development, we have published and expect in the future to publish interim top-line or preliminary data from our clinical trials. Interim data from clinical trials are subject to the risk that one or more of the clinical outcomes may materially change as enrollment of participants continues and more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product development costs will increase if we experience delays in testing or regulatory approvals. We do not know whether any of our future clinical trials will begin as planned, or whether any of our current or future clinical trials will need to be restructured or will be completed on schedule, if at all. If we decide or are required to suspend or terminate a clinical trial, we may elect to abandon product development for that program. Significant preclinical study or clinical trial delays could also shorten any periods during which we may have the exclusive right to commercialize our drug candidates or could allow our competitors to bring products to market before we do and impair our ability to successfully commercialize our drug candidates. Any delays in or unfavorable outcomes from our preclinical or clinical development programs may significantly harm our business, operating results, and prospects.</w:t>
      </w:r>
    </w:p>
    <w:p>
      <w:pPr>
        <w:spacing w:after="0" w:line="199" w:lineRule="exact"/>
        <w:rPr>
          <w:sz w:val="20"/>
          <w:szCs w:val="20"/>
          <w:color w:val="auto"/>
        </w:rPr>
      </w:pPr>
    </w:p>
    <w:p>
      <w:pPr>
        <w:ind w:right="240"/>
        <w:spacing w:after="0" w:line="302"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15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may not be able to initiate, continue, and complete clinical trials for current or future drug candidates if we are unable to locate and timely enroll a sufficient number of eligible participants in these trials as required by the FDA or similar regulatory authorities outside the United States. The process of finding potential participants may prove more costly than currently expected and our ability to enroll eligible participants may be limited or may result in slower enrollment than we anticipate due to a number of factors, including but not limited to the following:</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the severity of the disease under investigation;</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360" w:hanging="151"/>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eligibility criteria for the clinical trial in question, such as requirements that participants have specific characteristics or diseases;</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availability of an appropriate genomic screening test;</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 under study;</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difficulties in identifying, recruiting, and enrolling a sufficient number of participants to complete our clinical studies;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referral practices of physicians;</w:t>
      </w:r>
    </w:p>
    <w:p>
      <w:pPr>
        <w:spacing w:after="0" w:line="10" w:lineRule="exact"/>
        <w:rPr>
          <w:rFonts w:ascii="Arial" w:cs="Arial" w:eastAsia="Arial" w:hAnsi="Arial"/>
          <w:sz w:val="17"/>
          <w:szCs w:val="17"/>
          <w:color w:val="auto"/>
        </w:rPr>
      </w:pPr>
    </w:p>
    <w:p>
      <w:pPr>
        <w:ind w:left="360" w:right="60" w:hanging="151"/>
        <w:spacing w:after="0" w:line="253" w:lineRule="auto"/>
        <w:tabs>
          <w:tab w:leader="none" w:pos="3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whether competitors are conducting clinical trials for drug candidates that treat the same indications as ours, and the availability and efficacy of competing therapies;</w:t>
      </w:r>
    </w:p>
    <w:p>
      <w:pPr>
        <w:ind w:left="360" w:hanging="151"/>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our ability to monitor participants adequately during and after the trial and to maintain participant informed consent and privacy;</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participants;</w:t>
      </w:r>
    </w:p>
    <w:p>
      <w:pPr>
        <w:spacing w:after="0" w:line="10" w:lineRule="exact"/>
        <w:rPr>
          <w:rFonts w:ascii="Arial" w:cs="Arial" w:eastAsia="Arial" w:hAnsi="Arial"/>
          <w:sz w:val="17"/>
          <w:szCs w:val="17"/>
          <w:color w:val="auto"/>
        </w:rPr>
      </w:pPr>
    </w:p>
    <w:p>
      <w:pPr>
        <w:ind w:left="360" w:right="60" w:hanging="151"/>
        <w:spacing w:after="0" w:line="253" w:lineRule="auto"/>
        <w:tabs>
          <w:tab w:leader="none" w:pos="3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pandemics or other public health crises such as the COVID-19 pandemic, natural disasters, global political instability, warfare, or other external events that may limit the availability of participants, principal investigators, study staff, or clinical sites; and</w:t>
      </w:r>
    </w:p>
    <w:p>
      <w:pPr>
        <w:ind w:left="360" w:hanging="151"/>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risk that enrolled participants will not complete a clinical trial.</w:t>
      </w:r>
    </w:p>
    <w:p>
      <w:pPr>
        <w:spacing w:after="0" w:line="227"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If individuals are unwilling to participate in or complete our studies for any reason, or we experience other difficulties with enrollment or participation, the timeline for recruiting participants, conducting studies, and obtaining regulatory approval of potential products may be delayed.</w:t>
      </w:r>
    </w:p>
    <w:p>
      <w:pPr>
        <w:spacing w:after="0" w:line="172"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b w:val="1"/>
          <w:bCs w:val="1"/>
          <w:i w:val="1"/>
          <w:iCs w:val="1"/>
          <w:color w:val="auto"/>
        </w:rPr>
        <w:t>Our planned clinical trials, or those of our current and potential future collaborators, may not be successful or may reveal significant adverse events not seen in our preclinical or nonclinical studies, which may result in a safety profile that could inhibit regulatory approval or market acceptance of any of our drug candidates.</w:t>
      </w:r>
    </w:p>
    <w:p>
      <w:pPr>
        <w:spacing w:after="0" w:line="17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Before obtaining regulatory approvals for the commercial sale of any products, we must demonstrate through preclinical studies and clinical trials that our drug candidates are both safe and effective for use in each target indication. Failure can occur at any time during the clinical trial process. The results of preclinical studies and early clinical trials of our drug candidates may not be predictive of the results of later-stage clinical trials, and initial success in clinical trials may not be indicative of results that will be obtained when such trials are completed. An extremely high rate of drug candidates fail as they proceed through clinical trials. Drug candidates in later stages of clinical trials also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drug candidates that commence clinical trials are never approved for marketing, and there can be no assurance that any of our current or future clinical trials will ultimately be successful or support further clinical development of any of our drug candidates.</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As is the case with many treatments for rare diseases and other conditions, there have been, and it is likely that in the future there may be, side effects associated with the use of our drug candidates. If significant adverse events or other side effects are observed in any of our current or future drug candidates, we may have difficulty recruiting participants in our clinical trials, they may drop out of our trials, or we may be required to abandon the trials or our development efforts of one or more drug candidates altogether. Moreover, if we develop drug candidates in combination with one or more disease therapies, it may be more difficult to accurately predict side effects. We, the FDA, other applicable regulatory authorities, or an IRB may suspend or terminate clinical trials of a drug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were later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our business, operating results, and prospects.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develop drug candidates for use in combination with other therapies, which exposes us to additional risks.</w:t>
      </w:r>
    </w:p>
    <w:p>
      <w:pPr>
        <w:spacing w:after="0" w:line="114"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We may evaluate current or future drug candidates for use in combination with one or more currently approved therapies. If a drug candidate we develop were to receive marketing approval for use in combination with existing therapies, we would continue to bear the risks that the FDA or similar foreign regulatory authorities could revoke approval of the therapies used in combination with our drug candidate or that safety, efficacy, manufacturing, or supply issues could arise with such existing therapies. This could result in our own products being removed from the market or being less successful commercially.</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may also potentially evaluate current or future drug candidates in combination with one or more other therapies that have not yet been approved for marketing by the FDA or similar foreign regulatory authorities. We will not be able to market and sell any drug candidate we develop in combination with any such therapies that do not ultimately obtain marketing approval whether alone or in combination with our product. In addition, unapproved therapies face the same risks described with respect to our drug candidates currently in development and clinical trials, including the potential for serious adverse effects, delay in their clinical trials, and lack of FDA or comparable non-U.S. regulatory authorities' approval. If safety, efficacy, manufacturing, or supply issues arise with the products we choose to evaluate in combination with our drug candidates, we may be unable to obtain approval of or market such combination.</w:t>
      </w:r>
    </w:p>
    <w:p>
      <w:pPr>
        <w:spacing w:after="0" w:line="70" w:lineRule="exact"/>
        <w:rPr>
          <w:sz w:val="20"/>
          <w:szCs w:val="20"/>
          <w:color w:val="auto"/>
        </w:rPr>
      </w:pPr>
    </w:p>
    <w:p>
      <w:pPr>
        <w:ind w:right="200"/>
        <w:spacing w:after="0" w:line="302" w:lineRule="auto"/>
        <w:rPr>
          <w:sz w:val="20"/>
          <w:szCs w:val="20"/>
          <w:color w:val="auto"/>
        </w:rPr>
      </w:pPr>
      <w:r>
        <w:rPr>
          <w:rFonts w:ascii="Arial" w:cs="Arial" w:eastAsia="Arial" w:hAnsi="Arial"/>
          <w:sz w:val="17"/>
          <w:szCs w:val="17"/>
          <w:b w:val="1"/>
          <w:bCs w:val="1"/>
          <w:i w:val="1"/>
          <w:iCs w:val="1"/>
          <w:color w:val="auto"/>
        </w:rPr>
        <w:t>We conduct clinical trials for our drug candidates outside the United States, and the FDA and similar foreign regulatory authorities may not accept data from such trials.</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conducted and are currently conducting clinical trials outside the United States, including in the United Kingdom, Belgium, Spain, Romania, Poland, and the Netherlands, and may in the future choose to conduct additional clinical trials outside the United States in locations that may include Australia, Europe, Asia, or other jurisdictions. FDA acceptance of trial data from clinical trials conducted outside the United States requires that all of FDA’s clinical trial requirements be met. In addition,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and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drug candidates not receiving approval or clearance for commercialization in the applicable jurisdiction.</w:t>
      </w:r>
    </w:p>
    <w:p>
      <w:pPr>
        <w:spacing w:after="0" w:line="20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Following the United Kingdom’s departure from the EU (referred to as Brexit) on January 31, 2020, and the end of the “transition period” on December 31, 2020, the EU and the United Kingdom entered into a trade and cooperation agreement that governs certain aspects of their future relationship, including the assurance of tariff-free trade for certain goods and services. As the regulatory framework for pharmaceutical products in the United Kingdom is derived from EU directives and regulations, Brexit will materially impact the future regulatory regime that applies to products and the approval of drug candidates in the United Kingdom. Longer term, the United Kingdom is likely to develop its own legislation that diverges from that in the EU, which may delay or preclude marketing approval for our drug candidates in one or both jurisdictions. As a result of our expanded operations in the United Kingdom following the business combination with Exscientia, any changes made as a result of Brexit may require us to incur additional expenses to develop, manufacture, and commercialize our drug candidates in the EU and the United Kingdom and adversely impact our ability to obtain regulatory approvals in the EU and the United Kingdom. We do not yet know the full extent to which our business could be adversely affected.</w:t>
      </w:r>
    </w:p>
    <w:p>
      <w:pPr>
        <w:spacing w:after="0" w:line="202" w:lineRule="exact"/>
        <w:rPr>
          <w:sz w:val="20"/>
          <w:szCs w:val="20"/>
          <w:color w:val="auto"/>
        </w:rPr>
      </w:pPr>
    </w:p>
    <w:p>
      <w:pPr>
        <w:ind w:right="160"/>
        <w:spacing w:after="0" w:line="302" w:lineRule="auto"/>
        <w:rPr>
          <w:sz w:val="20"/>
          <w:szCs w:val="20"/>
          <w:color w:val="auto"/>
        </w:rPr>
      </w:pPr>
      <w:r>
        <w:rPr>
          <w:rFonts w:ascii="Arial" w:cs="Arial" w:eastAsia="Arial" w:hAnsi="Arial"/>
          <w:sz w:val="17"/>
          <w:szCs w:val="17"/>
          <w:b w:val="1"/>
          <w:bCs w:val="1"/>
          <w:i w:val="1"/>
          <w:iCs w:val="1"/>
          <w:color w:val="auto"/>
        </w:rPr>
        <w:t>It is difficult to establish with precision the incidence and prevalence for target patient populations of our drug candidates. If the market opportunities for our drug candidates are smaller than we estimate, or if any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100"/>
        <w:spacing w:after="0" w:line="302" w:lineRule="auto"/>
        <w:rPr>
          <w:sz w:val="20"/>
          <w:szCs w:val="20"/>
          <w:color w:val="auto"/>
        </w:rPr>
      </w:pPr>
      <w:r>
        <w:rPr>
          <w:rFonts w:ascii="Arial" w:cs="Arial" w:eastAsia="Arial" w:hAnsi="Arial"/>
          <w:sz w:val="17"/>
          <w:szCs w:val="17"/>
          <w:b w:val="1"/>
          <w:bCs w:val="1"/>
          <w:i w:val="1"/>
          <w:iCs w:val="1"/>
          <w:color w:val="auto"/>
        </w:rPr>
        <w:t>approval that we obtain is based on a narrower definition of the patient population, our revenue and ability to achieve profitability will be adversely affected, possibly materially.</w:t>
      </w:r>
    </w:p>
    <w:p>
      <w:pPr>
        <w:spacing w:after="0" w:line="15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Even if approved for commercial sale, the total addressable market for our drug candidates will ultimately depend upon, among other things, (i) the indications and diagnostic criteria included in the final label; (ii) acceptance by the medical community; and (iii) patient access, product pricing, and reimbursement by third-party payors. The number of patients targeted by our drug candidates may turn out to be lower than expected, patients may not be amenable to treatment with our products, or new patients may become increasingly difficult to identify or access, all of which would adversely affect our results of operations and our business. Due to our limited resources and access to capital or for other reasons, we must prioritize development of certain drug candidates, which may prove to be the wrong choices and may adversely affect our business.</w:t>
      </w:r>
    </w:p>
    <w:p>
      <w:pPr>
        <w:spacing w:after="0" w:line="199" w:lineRule="exact"/>
        <w:rPr>
          <w:sz w:val="20"/>
          <w:szCs w:val="20"/>
          <w:color w:val="auto"/>
        </w:rPr>
      </w:pPr>
    </w:p>
    <w:p>
      <w:pPr>
        <w:ind w:right="360"/>
        <w:spacing w:after="0" w:line="302" w:lineRule="auto"/>
        <w:rPr>
          <w:sz w:val="20"/>
          <w:szCs w:val="20"/>
          <w:color w:val="auto"/>
        </w:rPr>
      </w:pPr>
      <w:r>
        <w:rPr>
          <w:rFonts w:ascii="Arial" w:cs="Arial" w:eastAsia="Arial" w:hAnsi="Arial"/>
          <w:sz w:val="17"/>
          <w:szCs w:val="17"/>
          <w:b w:val="1"/>
          <w:bCs w:val="1"/>
          <w:i w:val="1"/>
          <w:iCs w:val="1"/>
          <w:color w:val="auto"/>
        </w:rPr>
        <w:t>Although we intend to explore other therapeutic opportunities in addition to the drug candidates that we are currently developing, we may fail to identify viable new drug candidates for clinical development for a number of reasons.</w:t>
      </w:r>
    </w:p>
    <w:p>
      <w:pPr>
        <w:spacing w:after="0" w:line="15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Research programs to pursue the development of our existing and planned drug candidates for additional indications, and to identify new drug candidates and disease targets, require substantial technical, financial, and human resources whether or not they are ultimately successful. For example, under the Roche Genentech Agreement, we are collaborating with Roche Genentech to develop various projects related to the discovery of small molecule drug candidates with the potential to treat “key areas” of neuroscience and an oncology indication. There can be no assurance that we will find potential targets using this approach, that the conditions targeted will be tractable, or that clinical trials will be successful. Our research programs may initially show promise in identifying potential indications and/or drug candidates, yet fail to yield results for clinical development for a number of reasons, including but not limited to the following:</w:t>
      </w:r>
    </w:p>
    <w:p>
      <w:pPr>
        <w:spacing w:after="0" w:line="199" w:lineRule="exact"/>
        <w:rPr>
          <w:sz w:val="20"/>
          <w:szCs w:val="20"/>
          <w:color w:val="auto"/>
        </w:rPr>
      </w:pPr>
    </w:p>
    <w:p>
      <w:pPr>
        <w:jc w:val="both"/>
        <w:ind w:left="380" w:right="260" w:hanging="171"/>
        <w:spacing w:after="0" w:line="259" w:lineRule="auto"/>
        <w:tabs>
          <w:tab w:leader="none" w:pos="37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research methodology used may not be successful in identifying potential indications and/or drug candidates, including as a result of the limited patient sample represented in our databases and the validity of extrapolating based on insights from a particular cellular context that may not apply to other, more relevant cellular contexts;</w:t>
      </w:r>
    </w:p>
    <w:p>
      <w:pPr>
        <w:spacing w:after="0" w:line="1" w:lineRule="exact"/>
        <w:rPr>
          <w:rFonts w:ascii="Arial" w:cs="Arial" w:eastAsia="Arial" w:hAnsi="Arial"/>
          <w:sz w:val="17"/>
          <w:szCs w:val="17"/>
          <w:color w:val="auto"/>
        </w:rPr>
      </w:pPr>
    </w:p>
    <w:p>
      <w:pPr>
        <w:ind w:left="380" w:right="140" w:hanging="171"/>
        <w:spacing w:after="0" w:line="253" w:lineRule="auto"/>
        <w:tabs>
          <w:tab w:leader="none" w:pos="37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potential drug candidates may, after further study, be shown to have harmful side effects or other characteristics that indicate they are unlikely to be effective products; or</w:t>
      </w:r>
    </w:p>
    <w:p>
      <w:pPr>
        <w:ind w:left="380" w:right="140" w:hanging="171"/>
        <w:spacing w:after="0" w:line="261" w:lineRule="auto"/>
        <w:tabs>
          <w:tab w:leader="none" w:pos="37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it may take greater human and financial resources than we can allocate to identify additional therapeutic opportunities for our drug candidates or to develop suitable potential drug candidates through internal research programs, thereby limiting our ability to develop, diversify, and expand our product portfolio.</w:t>
      </w:r>
    </w:p>
    <w:p>
      <w:pPr>
        <w:spacing w:after="0" w:line="19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Because we have limited financial and human resources, we will have to prioritize and focus on certain research programs, drug candidates, and target indications while forgoing others.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drug candidates or to develop suitable potential drug candidates through internal research programs, which could materially adversely affect our future growth and prospects.</w:t>
      </w:r>
    </w:p>
    <w:p>
      <w:pPr>
        <w:spacing w:after="0" w:line="172"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i w:val="1"/>
          <w:iCs w:val="1"/>
          <w:color w:val="auto"/>
        </w:rPr>
        <w:t>If we are unable to obtain, or if there are delays in obtaining, required regulatory approvals for our drug candidates in the U.S. or other jurisdictions, or if approval is subject to limitations, we will be unable to commercialize, or will be delayed or limited in commercializing, the drug candidates in such jurisdiction and our ability to generate revenue may be materially impaired.</w:t>
      </w:r>
    </w:p>
    <w:p>
      <w:pPr>
        <w:spacing w:after="0" w:line="174"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Our drug candidates and the activities associated with their development and commercialization — including their design, testing, manufacture, safety, efficacy, recordkeeping, labeling, storage, approval, advertising, promotion, sale, distribution, import, and export — are subject to comprehensive regulation by the FDA and other regulatory agencies in the United States and by comparable authorities in other countries. Before we can commercialize any of our drug candidates, we must obtain marketing approval. As of December 31, 2024, all of our drug candidates are in development, and we have not received approval to market any of our drug candidates from regulatory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authorities in any jurisdiction. It is possible that our current and future drug candidates will never obtain regulatory and marketing approval.</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have only limited experience in filing and supporting applications to regulatory authorities and expect to rely on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It also requires the submission of information about the product manufacturing process to, and inspection of manufacturing facilities by, the relevant regulatory authority. Given our novel approach to drug discovery that uses our platform to generate data, regulatory authorities may not approve any of our drug candidates derived from our platform. They may also elect to inspect our platform and facilities and manufacturing and research practices, which may uncover regulatory deficiencies that must be addressed and remedied before research or market authorizations may occur.</w:t>
      </w:r>
    </w:p>
    <w:p>
      <w:pPr>
        <w:spacing w:after="0" w:line="19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process of obtaining regulatory approvals, both in the United States and abroad, is expensive and often takes many years. If the FDA or a comparable foreign regulatory authority requires that we perform additional preclinical or clinical trials, then approval may be delayed, if obtained at all. The FDA and comparable regulatory authorities in other countries have substantial discretion in the approval process and may refuse to accept any application, or they may decide that our data are insufficient for approval and require additional preclinical, clinical, or other studies. Our drug candidates could be delayed in receiving, or fail to receive, regulatory approval for many reasons, including but not limited to the following:</w:t>
      </w:r>
    </w:p>
    <w:p>
      <w:pPr>
        <w:spacing w:after="0" w:line="196" w:lineRule="exact"/>
        <w:rPr>
          <w:sz w:val="20"/>
          <w:szCs w:val="20"/>
          <w:color w:val="auto"/>
        </w:rPr>
      </w:pPr>
    </w:p>
    <w:p>
      <w:pPr>
        <w:ind w:left="360" w:hanging="151"/>
        <w:spacing w:after="0"/>
        <w:tabs>
          <w:tab w:leader="none" w:pos="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we may not be able to enroll a sufficient number of patients in our clinical studies;</w:t>
      </w:r>
    </w:p>
    <w:p>
      <w:pPr>
        <w:spacing w:after="0" w:line="10" w:lineRule="exact"/>
        <w:rPr>
          <w:rFonts w:ascii="Arial" w:cs="Arial" w:eastAsia="Arial" w:hAnsi="Arial"/>
          <w:sz w:val="17"/>
          <w:szCs w:val="17"/>
          <w:color w:val="auto"/>
        </w:rPr>
      </w:pPr>
    </w:p>
    <w:p>
      <w:pPr>
        <w:ind w:left="360" w:right="120" w:hanging="151"/>
        <w:spacing w:after="0" w:line="253" w:lineRule="auto"/>
        <w:tabs>
          <w:tab w:leader="none" w:pos="3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drug candidate is safe and effective for its proposed indication or that a related companion diagnostic is suitable to identify appropriate patient populations;</w:t>
      </w:r>
    </w:p>
    <w:p>
      <w:pPr>
        <w:ind w:left="360" w:hanging="151"/>
        <w:spacing w:after="0"/>
        <w:tabs>
          <w:tab w:leader="none" w:pos="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drug candidate may be only moderately effective or may have undesirable or unintended side effects, toxicities, or other characteristics;</w:t>
      </w:r>
    </w:p>
    <w:p>
      <w:pPr>
        <w:spacing w:after="0" w:line="10" w:lineRule="exact"/>
        <w:rPr>
          <w:rFonts w:ascii="Arial" w:cs="Arial" w:eastAsia="Arial" w:hAnsi="Arial"/>
          <w:sz w:val="17"/>
          <w:szCs w:val="17"/>
          <w:color w:val="auto"/>
        </w:rPr>
      </w:pPr>
    </w:p>
    <w:p>
      <w:pPr>
        <w:ind w:left="360" w:right="60" w:hanging="151"/>
        <w:spacing w:after="0" w:line="253" w:lineRule="auto"/>
        <w:tabs>
          <w:tab w:leader="none" w:pos="3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ind w:left="360" w:hanging="151"/>
        <w:spacing w:after="0"/>
        <w:tabs>
          <w:tab w:leader="none" w:pos="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we may be unable to demonstrate that a drug candidate’s clinical and other benefits outweigh its safety risks;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0" w:lineRule="exact"/>
        <w:rPr>
          <w:rFonts w:ascii="Arial" w:cs="Arial" w:eastAsia="Arial" w:hAnsi="Arial"/>
          <w:sz w:val="17"/>
          <w:szCs w:val="17"/>
          <w:color w:val="auto"/>
        </w:rPr>
      </w:pPr>
    </w:p>
    <w:p>
      <w:pPr>
        <w:ind w:left="360" w:right="80" w:hanging="151"/>
        <w:spacing w:after="0" w:line="253" w:lineRule="auto"/>
        <w:tabs>
          <w:tab w:leader="none" w:pos="3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data collected from clinical trials of our drug candidates may not be sufficient or of sufficient quality to support the submission of an NDA or other submission or to obtain regulatory approval in the United States or elsewhere;</w:t>
      </w:r>
    </w:p>
    <w:p>
      <w:pPr>
        <w:ind w:left="360" w:right="80" w:hanging="151"/>
        <w:spacing w:after="0" w:line="253" w:lineRule="auto"/>
        <w:tabs>
          <w:tab w:leader="none" w:pos="3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find deficiencies with, or fail to approve, our manufacturing processes or facilities, or those of third-party manufacturers with which we contract, for clinical and commercial supplies; and</w:t>
      </w:r>
    </w:p>
    <w:p>
      <w:pPr>
        <w:ind w:left="360" w:right="260" w:hanging="151"/>
        <w:spacing w:after="0" w:line="270" w:lineRule="auto"/>
        <w:tabs>
          <w:tab w:leader="none" w:pos="3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such that our clinical or manufacturing data are insufficient for approval.</w:t>
      </w:r>
    </w:p>
    <w:p>
      <w:pPr>
        <w:spacing w:after="0" w:line="18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Even if we obtain approval, regulatory authorities may approve any of our drug candidates for fewer or more limited indications than we request, thereby narrowing the commercial potential of the drug candidate. In addition, regulatory authorities may grant approval contingent on the performance of costly post-marketing clinical trials or may approve a drug candidate with a label that does not include the labeling claims necessary or desirable for the successful commercialization of that drug candidate.</w:t>
      </w:r>
    </w:p>
    <w:p>
      <w:pPr>
        <w:spacing w:after="0" w:line="19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If we are unable to obtain, or experience delays in obtaining, approval of our current and future drug candidates in the U.S. or other jurisdictions, or if approval is subject to limitations, the commercial prospects for the drug candidates may be harmed, and our reputation and ability to generate revenues may be materially impaired.</w:t>
      </w:r>
    </w:p>
    <w:p>
      <w:pPr>
        <w:spacing w:after="0" w:line="189" w:lineRule="exact"/>
        <w:rPr>
          <w:sz w:val="20"/>
          <w:szCs w:val="20"/>
          <w:color w:val="auto"/>
        </w:rPr>
      </w:pPr>
    </w:p>
    <w:p>
      <w:pPr>
        <w:ind w:right="780"/>
        <w:spacing w:after="0" w:line="302" w:lineRule="auto"/>
        <w:rPr>
          <w:sz w:val="20"/>
          <w:szCs w:val="20"/>
          <w:color w:val="auto"/>
        </w:rPr>
      </w:pPr>
      <w:r>
        <w:rPr>
          <w:rFonts w:ascii="Arial" w:cs="Arial" w:eastAsia="Arial" w:hAnsi="Arial"/>
          <w:sz w:val="17"/>
          <w:szCs w:val="17"/>
          <w:b w:val="1"/>
          <w:bCs w:val="1"/>
          <w:i w:val="1"/>
          <w:iCs w:val="1"/>
          <w:color w:val="auto"/>
        </w:rPr>
        <w:t>Our product candidates may cause significant adverse events, toxicities or other undesirable side effects when used alone or in combination with other approved products or investigational new drugs that may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240"/>
        <w:spacing w:after="0" w:line="302" w:lineRule="auto"/>
        <w:rPr>
          <w:sz w:val="20"/>
          <w:szCs w:val="20"/>
          <w:color w:val="auto"/>
        </w:rPr>
      </w:pPr>
      <w:r>
        <w:rPr>
          <w:rFonts w:ascii="Arial" w:cs="Arial" w:eastAsia="Arial" w:hAnsi="Arial"/>
          <w:sz w:val="17"/>
          <w:szCs w:val="17"/>
          <w:b w:val="1"/>
          <w:bCs w:val="1"/>
          <w:i w:val="1"/>
          <w:iCs w:val="1"/>
          <w:color w:val="auto"/>
        </w:rPr>
        <w:t>result in a safety profile that could prevent regulatory approval, prevent market acceptance, limit their commercial potential or result in significant negative consequences.</w:t>
      </w:r>
    </w:p>
    <w:p>
      <w:pPr>
        <w:spacing w:after="0" w:line="2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7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possible that some of the patients enrolled in our clinical trials may die or experience major clinical events either during the course of our clinical trials or after participating in such trials, which has occurred in the past.</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spacing w:after="0" w:line="74" w:lineRule="exact"/>
        <w:rPr>
          <w:sz w:val="20"/>
          <w:szCs w:val="20"/>
          <w:color w:val="auto"/>
        </w:rPr>
      </w:pPr>
    </w:p>
    <w:p>
      <w:pPr>
        <w:ind w:right="260"/>
        <w:spacing w:after="0" w:line="302"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4"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70" w:lineRule="exact"/>
        <w:rPr>
          <w:sz w:val="20"/>
          <w:szCs w:val="20"/>
          <w:color w:val="auto"/>
        </w:rPr>
      </w:pPr>
    </w:p>
    <w:p>
      <w:pPr>
        <w:ind w:right="320"/>
        <w:spacing w:after="0" w:line="302" w:lineRule="auto"/>
        <w:rPr>
          <w:sz w:val="20"/>
          <w:szCs w:val="20"/>
          <w:color w:val="auto"/>
        </w:rPr>
      </w:pPr>
      <w:r>
        <w:rPr>
          <w:rFonts w:ascii="Arial" w:cs="Arial" w:eastAsia="Arial" w:hAnsi="Arial"/>
          <w:sz w:val="17"/>
          <w:szCs w:val="17"/>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2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shortages of staff or reagents.</w:t>
      </w:r>
    </w:p>
    <w:p>
      <w:pPr>
        <w:spacing w:after="0" w:line="7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Enrollment of patients in our clinical trials and maintaining patients in our ongoing clinical trials may be delayed or limited if our clinical trial sites limit their onsite staff or temporarily close as a result of a global pandemic or other public health emergencies. 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8" w:lineRule="exact"/>
        <w:rPr>
          <w:sz w:val="20"/>
          <w:szCs w:val="20"/>
          <w:color w:val="auto"/>
        </w:rPr>
      </w:pPr>
    </w:p>
    <w:p>
      <w:pPr>
        <w:ind w:left="1040" w:hanging="418"/>
        <w:spacing w:after="0"/>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size and nature of the patient population;</w:t>
      </w:r>
    </w:p>
    <w:p>
      <w:pPr>
        <w:spacing w:after="0" w:line="26" w:lineRule="exact"/>
        <w:rPr>
          <w:rFonts w:ascii="Arial" w:cs="Arial" w:eastAsia="Arial" w:hAnsi="Arial"/>
          <w:sz w:val="17"/>
          <w:szCs w:val="17"/>
          <w:color w:val="auto"/>
        </w:rPr>
      </w:pPr>
    </w:p>
    <w:p>
      <w:pPr>
        <w:ind w:left="1040" w:hanging="418"/>
        <w:spacing w:after="0"/>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severity of the disease under investigation;</w:t>
      </w:r>
    </w:p>
    <w:p>
      <w:pPr>
        <w:spacing w:after="0" w:line="10" w:lineRule="exact"/>
        <w:rPr>
          <w:rFonts w:ascii="Arial" w:cs="Arial" w:eastAsia="Arial" w:hAnsi="Arial"/>
          <w:sz w:val="17"/>
          <w:szCs w:val="17"/>
          <w:color w:val="auto"/>
        </w:rPr>
      </w:pPr>
    </w:p>
    <w:p>
      <w:pPr>
        <w:ind w:left="1040" w:hanging="418"/>
        <w:spacing w:after="0"/>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availability and efficacy of approved drugs for the disease under investigation;</w:t>
      </w:r>
    </w:p>
    <w:p>
      <w:pPr>
        <w:spacing w:after="0" w:line="10" w:lineRule="exact"/>
        <w:rPr>
          <w:rFonts w:ascii="Arial" w:cs="Arial" w:eastAsia="Arial" w:hAnsi="Arial"/>
          <w:sz w:val="17"/>
          <w:szCs w:val="17"/>
          <w:color w:val="auto"/>
        </w:rPr>
      </w:pPr>
    </w:p>
    <w:p>
      <w:pPr>
        <w:ind w:left="1040" w:hanging="418"/>
        <w:spacing w:after="0"/>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patient eligibility criteria for the trial in question as defined in the protocol;</w:t>
      </w:r>
    </w:p>
    <w:p>
      <w:pPr>
        <w:spacing w:after="0" w:line="10" w:lineRule="exact"/>
        <w:rPr>
          <w:rFonts w:ascii="Arial" w:cs="Arial" w:eastAsia="Arial" w:hAnsi="Arial"/>
          <w:sz w:val="17"/>
          <w:szCs w:val="17"/>
          <w:color w:val="auto"/>
        </w:rPr>
      </w:pPr>
    </w:p>
    <w:p>
      <w:pPr>
        <w:ind w:left="1040" w:hanging="418"/>
        <w:spacing w:after="0"/>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perceived risks and benefits of the product candidate under study;</w:t>
      </w:r>
    </w:p>
    <w:p>
      <w:pPr>
        <w:spacing w:after="0" w:line="10" w:lineRule="exact"/>
        <w:rPr>
          <w:rFonts w:ascii="Arial" w:cs="Arial" w:eastAsia="Arial" w:hAnsi="Arial"/>
          <w:sz w:val="17"/>
          <w:szCs w:val="17"/>
          <w:color w:val="auto"/>
        </w:rPr>
      </w:pPr>
    </w:p>
    <w:p>
      <w:pPr>
        <w:jc w:val="both"/>
        <w:ind w:left="1040" w:right="60" w:hanging="418"/>
        <w:spacing w:after="0" w:line="253" w:lineRule="auto"/>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ind w:left="1040" w:right="360" w:hanging="418"/>
        <w:spacing w:after="0" w:line="253" w:lineRule="auto"/>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clinicians’ willingness to screen their patients for biomarkers to indicate which patients may be eligible for enrollment in our clinical trials;</w:t>
      </w:r>
    </w:p>
    <w:p>
      <w:pPr>
        <w:ind w:left="1040" w:hanging="418"/>
        <w:spacing w:after="0"/>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patient referral practices of physicians;</w:t>
      </w:r>
    </w:p>
    <w:p>
      <w:pPr>
        <w:spacing w:after="0" w:line="10" w:lineRule="exact"/>
        <w:rPr>
          <w:rFonts w:ascii="Arial" w:cs="Arial" w:eastAsia="Arial" w:hAnsi="Arial"/>
          <w:sz w:val="17"/>
          <w:szCs w:val="17"/>
          <w:color w:val="auto"/>
        </w:rPr>
      </w:pPr>
    </w:p>
    <w:p>
      <w:pPr>
        <w:ind w:left="1040" w:hanging="418"/>
        <w:spacing w:after="0"/>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w:t>
      </w:r>
    </w:p>
    <w:p>
      <w:pPr>
        <w:spacing w:after="0" w:line="10" w:lineRule="exact"/>
        <w:rPr>
          <w:rFonts w:ascii="Arial" w:cs="Arial" w:eastAsia="Arial" w:hAnsi="Arial"/>
          <w:sz w:val="17"/>
          <w:szCs w:val="17"/>
          <w:color w:val="auto"/>
        </w:rPr>
      </w:pPr>
    </w:p>
    <w:p>
      <w:pPr>
        <w:ind w:left="1040" w:hanging="418"/>
        <w:spacing w:after="0"/>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proximity and availability of clinical trial sites for prospective patients; and</w:t>
      </w:r>
    </w:p>
    <w:p>
      <w:pPr>
        <w:spacing w:after="0" w:line="10" w:lineRule="exact"/>
        <w:rPr>
          <w:rFonts w:ascii="Arial" w:cs="Arial" w:eastAsia="Arial" w:hAnsi="Arial"/>
          <w:sz w:val="17"/>
          <w:szCs w:val="17"/>
          <w:color w:val="auto"/>
        </w:rPr>
      </w:pPr>
    </w:p>
    <w:p>
      <w:pPr>
        <w:ind w:left="1040" w:right="300" w:hanging="418"/>
        <w:spacing w:after="0" w:line="270" w:lineRule="auto"/>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 or, because they may be late-stage cancer patients, will not survive the full terms of the clinical trials.</w:t>
      </w:r>
    </w:p>
    <w:p>
      <w:pPr>
        <w:spacing w:after="0" w:line="6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never realize a return on our investment of resources and cash in our drug discovery collaborations.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conduct drug discovery activities for or with collaborators who are also engaged in drug discovery and development, which include pre-commercial biotechnology companies and large pharmaceutical companies. Under these collaborations, we typically provide, among other resources, the benefit of our drug discovery platform and platform experts who identify molecules that have activity against one or more specified targets. In consideration, we have received, and expect to receive in the future, (i) equity investments; (ii) upfront fees; and/or (iii) the right to receive option fees, cash milestone payments upon the achievement of specified development, regulatory, or commercial sales milestones for the drug discovery targets, and potential royalties. Our ability to receive fees and</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payments and realize returns from our drug discovery collaborations in a timely manner, or at all, is subject to a number of risks, including but not limited to the following:</w:t>
      </w:r>
    </w:p>
    <w:p>
      <w:pPr>
        <w:spacing w:after="0" w:line="172" w:lineRule="exact"/>
        <w:rPr>
          <w:sz w:val="20"/>
          <w:szCs w:val="20"/>
          <w:color w:val="auto"/>
        </w:rPr>
      </w:pPr>
    </w:p>
    <w:p>
      <w:pPr>
        <w:ind w:left="380" w:right="520" w:hanging="171"/>
        <w:spacing w:after="0" w:line="263" w:lineRule="auto"/>
        <w:tabs>
          <w:tab w:leader="none" w:pos="3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our collaborators may incur unanticipated costs or experience delays in completing, or may be unable to complete, the development and commercialization of any drug candidates;</w:t>
      </w:r>
    </w:p>
    <w:p>
      <w:pPr>
        <w:ind w:left="380" w:right="100" w:hanging="171"/>
        <w:spacing w:after="0" w:line="253" w:lineRule="auto"/>
        <w:tabs>
          <w:tab w:leader="none" w:pos="3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amount and timing of efforts and resources that they will apply to our collaborations and may not perform their obligations as currently expected;</w:t>
      </w:r>
    </w:p>
    <w:p>
      <w:pPr>
        <w:ind w:left="380" w:right="160" w:hanging="171"/>
        <w:spacing w:after="0" w:line="253" w:lineRule="auto"/>
        <w:tabs>
          <w:tab w:leader="none" w:pos="3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collaborators may decide not to pursue development or commercialization of drug candidates for various reasons, including results of clinical trials or other studies, changes in the collaborator’s strategic focus or available funding, their desire to develop products that compete directly or indirectly with our drug candidates, or external factors (such as an acquisition or industry slowdown) that divert resources or create competing priorities;</w:t>
      </w:r>
    </w:p>
    <w:p>
      <w:pPr>
        <w:ind w:left="380" w:right="40" w:hanging="171"/>
        <w:spacing w:after="0" w:line="253" w:lineRule="auto"/>
        <w:tabs>
          <w:tab w:leader="none" w:pos="3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existing collaborators and potential future collaborators may begin to perceive us to be a competitor more generally, particularly as we advance our internal drug discovery programs, and therefore may be unwilling to continue existing collaborations, or enter into new collaborations, with us;</w:t>
      </w:r>
    </w:p>
    <w:p>
      <w:pPr>
        <w:ind w:left="380" w:right="60" w:hanging="171"/>
        <w:spacing w:after="0" w:line="253" w:lineRule="auto"/>
        <w:tabs>
          <w:tab w:leader="none" w:pos="3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collaborator may fail to comply with applicable regulatory requirements regarding the development, manufacture, distribution, or marketing of a drug candidate or product;</w:t>
      </w:r>
    </w:p>
    <w:p>
      <w:pPr>
        <w:ind w:left="380" w:right="180" w:hanging="171"/>
        <w:spacing w:after="0" w:line="253" w:lineRule="auto"/>
        <w:tabs>
          <w:tab w:leader="none" w:pos="3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drug candidates, or might result in litigation or arbitration;</w:t>
      </w:r>
    </w:p>
    <w:p>
      <w:pPr>
        <w:ind w:left="380" w:right="200" w:hanging="171"/>
        <w:spacing w:after="0" w:line="253" w:lineRule="auto"/>
        <w:tabs>
          <w:tab w:leader="none" w:pos="3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defend, or protect our intellectual property or proprietary rights, or they may use our proprietary information in such a way as to potentially lead to disputes or legal proceedings that could jeopardize or invalidate our or their intellectual property or proprietary rights;</w:t>
      </w:r>
    </w:p>
    <w:p>
      <w:pPr>
        <w:ind w:left="380" w:right="80" w:hanging="171"/>
        <w:spacing w:after="0" w:line="253" w:lineRule="auto"/>
        <w:tabs>
          <w:tab w:leader="none" w:pos="37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collaborators may infringe, misappropriate, or otherwise violate the intellectual property or proprietary rights of third parties, which may expose us to litigation and potential liability; and</w:t>
      </w:r>
    </w:p>
    <w:p>
      <w:pPr>
        <w:ind w:left="380" w:hanging="171"/>
        <w:spacing w:after="0"/>
        <w:tabs>
          <w:tab w:leader="none" w:pos="3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drug discovery collaborations may be terminated prior to our receipt of any significant value.</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addition, we may be over-reliant on our partners to provide information for molecules that we in-license, or such molecules may no longer be well-protected because the composition of matter patents that once protected them become expired. Moreover, we may have difficulty obtaining the quality and quantity of active pharmaceutical ingredients (API) for use in drug candidates, or we may be unable to ensure the stability of the molecule, all of which is needed to conduct clinical trials or bring a drug candidate to market. For those molecules that we are attempting to repurpose for other indications, our collaboration partners may not have sufficient data, may have poor quality data, or may not be able to help us interpret data, any of which could cause our collaboration to fail.</w:t>
      </w:r>
    </w:p>
    <w:p>
      <w:pPr>
        <w:spacing w:after="0" w:line="199"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Furthermore, the amounts we are entitled to receive upon the achievement of such milestones vary depending on regulatory approval and the level of commercial success achieved, if any.</w:t>
      </w:r>
    </w:p>
    <w:p>
      <w:pPr>
        <w:spacing w:after="0" w:line="172"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If any drug discovery collaborations that we enter into do not result in the successful development and commercialization of drug products that result in option fees, milestone payments, royalties, or other payments to us as expected, we may not receive an adequate return on the resources we have invested in such collaborations, which would have an adverse effect on our business, results of operations and prospects. Further, we may not have access to, or may be restricted from disclosing, certain information regarding development and commercialization of our collaborators’ drug candidates and, consequently, may have limited ability to inform our stockholders about the status of, and likelihood of achieving, option fees, milestone payments or royalties under such collaborations.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never realize a return on our equity investments in our drug discovery collaborators.</w:t>
      </w:r>
    </w:p>
    <w:p>
      <w:pPr>
        <w:spacing w:after="0" w:line="24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have decided to take and may decide in the future to take equity stakes in our drug discovery collaborators. We may never realize a return on our equity investments in our drug discovery collaborators. None of the drug discovery collaborators in which we hold equity generate revenue from commercial sales of drug products. They are therefore dependent on the availability of capital on favorable terms to continue their operations. In addition, if the drug discovery collaborators in which we hold equity raise additional capital, our ownership interest in and degree of control over these drug discovery collaborators will be diluted, unless we have sufficient resources and choose to invest in them further or successfully negotiate contractual anti-dilution protections for our equity investment. The financial success of our equity investment in any collaborator will likely be dependent on a liquidity event, such as a public offering, acquisition or other favorable market event reflecting appreciation in the value of the equity we hold. The capital markets for public offerings and acquisitions are dynamic, and the likelihood of liquidity events for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companies in which we hold equity interests could significantly worsen. Further, valuations of privately held companies are inherently complex due to the lack of readily available market data. If we determine that any of our investments in such companies have experienced a decline in value, we may be required to record an impairment, which could negatively impact our financial results. All of the equity we hold in our drug discovery collaborators is subject to a risk of partial or total loss of our investment.</w:t>
      </w:r>
    </w:p>
    <w:p>
      <w:pPr>
        <w:spacing w:after="0" w:line="194" w:lineRule="exact"/>
        <w:rPr>
          <w:sz w:val="20"/>
          <w:szCs w:val="20"/>
          <w:color w:val="auto"/>
        </w:rPr>
      </w:pPr>
    </w:p>
    <w:p>
      <w:pPr>
        <w:ind w:right="540"/>
        <w:spacing w:after="0" w:line="302"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development and commercialization of new products in the biopharmaceutical and related industries is highly competitive. There are other companies focusing on technology-enabled drug discovery to identify and develop new chemical entities (NCEs) that have not previously been investigated in clinical trials and/or known chemical entities (KCEs) that have been previously investigated. Some of these competitive companies are employing scientific approaches that are the same as or similar to our approach, and others are using entirely different approaches. These companies include large pharmaceutical companies, specialty pharmaceutical companies, and biotechnology companies of various sizes worldwide.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Many of the companies that we compete against, or which we may compete against in the future, have significantly greater financial resources and expertise in research and development, manufacturing, preclinical testing, conducting clinical trials, obtaining regulatory approvals, and marketing approval of products than we do. They may also compete with us in recruiting and retaining qualified scientific and management personnel, in establishing clinical trial sites and patient recruitment for clinical trials, as well as in acquiring technologies complementary to, or necessary for, developing our programs.</w:t>
      </w:r>
    </w:p>
    <w:p>
      <w:pPr>
        <w:spacing w:after="0" w:line="205"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 xml:space="preserve">Within the field of technology-enabled drug discovery, we believe that our approach utilizing a combination of wet-lab biology to generate our proprietary dataset, and the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tools in our closed-loop system, sets us apart and affords us a competitive advantage in initiating and advancing drug development programs. We further believe that the principal competitive factors to our business include (i) the accuracy of our computations and predictions; (ii) the ability to integrate experimental and computational capabilities; (iii) the ability to successfully transition research programs into clinical development; (iv) the ability to raise capital; and (v) the scalability of our platform, pipeline, and business.</w:t>
      </w:r>
    </w:p>
    <w:p>
      <w:pPr>
        <w:spacing w:after="0" w:line="19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Any drug candidates that we successfully develop and commercialize will compete with currently-approved therapies, and new therapies that may become available in the future, from segments of the pharmaceutical, biotechnology, and other related industries. The key competitive factors affecting the success of all of our drug candidates, if approved, are likely to be (i) their efficacy, safety, convenience, and price; (ii) the level of non-generic and generic competition; and (iii) the availability and amount of reimbursement from government healthcare programs, commercial insurance plans, and other third-party payors. Our commercial opportunity could be reduced or eliminated if competing products are more effective, have fewer or less severe side effects, are more convenient, or are less expensive than products that we or our collaborators may develop, or if competitors obtain FDA or other regulatory approval more rapidly than us and are able to establish a strong market position before we or our collaborators are able to enter the market.</w:t>
      </w:r>
    </w:p>
    <w:p>
      <w:pPr>
        <w:spacing w:after="0" w:line="201"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If our proprietary tools and technology and other competitive advantages do not remain in place and evolve appropriately as barriers to entry in the future, or if we and our collaboration partners are not otherwise able to effectively compete against existing and potential competitors, our business and results of operations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b w:val="1"/>
          <w:bCs w:val="1"/>
          <w:i w:val="1"/>
          <w:iCs w:val="1"/>
          <w:color w:val="auto"/>
        </w:rPr>
        <w:t>Because we have multiple programs and drug candidates in our development pipeline and are pursuing a variety of target indications and treatment modalities, we may expend our limited resources to pursue a particular drug candidate and fail to capitalize on development opportunities or drug candidates that may be more profitable or for which there is a greater likelihood of success.</w:t>
      </w:r>
    </w:p>
    <w:p>
      <w:pPr>
        <w:spacing w:after="0" w:line="17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We currently focus on the development of drug candidates regardless of the treatment modality or the particular target indication. Because we have limited financial and personnel resources, we may forgo or delay pursuit of opportunities with potential target indications or drug candidates that later prove to have greater commercial potential than our current and planned development programs and drug candidates. Our resource allocation decisions may cause us to fail to capitalize on viable commercial products or profitable market opportunities. Our spending on current and future research and development programs and other future drug candidates for specific indications may not yield any future drug candidates that are commercially viable.</w:t>
      </w:r>
    </w:p>
    <w:p>
      <w:pPr>
        <w:spacing w:after="0" w:line="199" w:lineRule="exact"/>
        <w:rPr>
          <w:sz w:val="20"/>
          <w:szCs w:val="20"/>
          <w:color w:val="auto"/>
        </w:rPr>
      </w:pPr>
    </w:p>
    <w:p>
      <w:pPr>
        <w:ind w:right="80"/>
        <w:spacing w:after="0" w:line="302" w:lineRule="auto"/>
        <w:rPr>
          <w:sz w:val="20"/>
          <w:szCs w:val="20"/>
          <w:color w:val="auto"/>
        </w:rPr>
      </w:pPr>
      <w:r>
        <w:rPr>
          <w:rFonts w:ascii="Arial" w:cs="Arial" w:eastAsia="Arial" w:hAnsi="Arial"/>
          <w:sz w:val="17"/>
          <w:szCs w:val="17"/>
          <w:b w:val="1"/>
          <w:bCs w:val="1"/>
          <w:i w:val="1"/>
          <w:iCs w:val="1"/>
          <w:color w:val="auto"/>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From time to time we have made, and in the future are likely to make, public statements regarding the expected timing of certain milestones and key events, such as the commencement and completion of preclinical and clinical studies in our internal drug discovery programs as well as developments and milestones under our collaborations. Our collaborators, such as Roche Genentech, have also made public statements regarding expectations for the development of programs under collaborations with us and may in the future make additional statements about their goals and expectations for collaborations with us. The actual timing of these events can vary dramatically due to a number of factors, such as (i) delays or failures in our, or our current and future collaborators’, drug discovery and development programs; (ii) the amount of time, effort, and resources committed by us and our current and future collaborators; and (iii) the numerous uncertainties inherent in the development of drugs. As a result, there can be no assurance that our, or our current and future collaborators’, programs will advance or be completed in the time frames we or they announce or expect. If we or any collaborators fail to achieve one or more of these milestones or other key events as planned and announced, our business and reputation could be materially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PLATFORM AND DATA</w:t>
      </w:r>
    </w:p>
    <w:p>
      <w:pPr>
        <w:spacing w:after="0" w:line="24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i w:val="1"/>
          <w:iCs w:val="1"/>
          <w:color w:val="auto"/>
        </w:rPr>
        <w:t>We have invested, and expect to continue to invest, in research and development efforts to further enhance our drug discovery platform, which is central to our mission. If the return on these investments is lower or develops more slowly than we expect, our business and operating results may suffer.</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drug discovery platform is central to our mission to decode biology by integrating technological innovations across biology, chemistry, automation, data science, and engineering. The platform includes the Recursion Operating System, which combines an advanced infrastructure layer to generate proprietary biological and chemical datasets, and the Recursion Map, a suite of custom software, algorithms, and machine learning tools. Our platform depends upon the continuous, effective, and reliable operation of our software, hardware, databases, and related tools and functions, as well as the integrity of our data. Our ability to develop drug candidates and increase revenue depends in large part on our ability to enhance and improve our platform. The success of any enhancement to our platform depends on several factors, including (i) innovation in hardware solutions; (ii) increased computational storage and processing capacity; (iii) development of more advanced algorithms; and (iv) generation of additional biological and chemical data, such as that which is necessary to our ability to identify important and emerging use cases and quickly develop new and effective innovations to address those use cases.</w:t>
      </w:r>
    </w:p>
    <w:p>
      <w:pPr>
        <w:spacing w:after="0" w:line="205"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We have invested, and expect to continue to invest, in research and development efforts, acquisitions, and licensing agreements that further enhance our platform. These investments may involve significant time, risks, and uncertainties, including the risks that any new software or hardware enhancement or the integration of software or hardware from an acquired company or third party licensor may not be introduced in a timely or cost-effective manner; may not keep pace with technological developments; or may not achieve the functionality necessary to generate significant revenues.</w:t>
      </w:r>
    </w:p>
    <w:p>
      <w:pPr>
        <w:spacing w:after="0" w:line="196"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Our proprietary software tools, hardware, and data sets are inherently complex. We have from time to time found defects, vulnerabilities, or other errors in our software and hardware that produce the data sets we use to discover new drug candidates, and new errors with our software and hardware may be detected in the future. The risk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errors is particularly significant when new software or hardware is first introduced or when new versions or enhancements of existing software or hardware are implemented. Errors may also result from the interface of our proprietary software and hardware tools with our data or with third-party systems and data.</w:t>
      </w:r>
    </w:p>
    <w:p>
      <w:pPr>
        <w:spacing w:after="0" w:line="189" w:lineRule="exact"/>
        <w:rPr>
          <w:sz w:val="20"/>
          <w:szCs w:val="20"/>
          <w:color w:val="auto"/>
        </w:rPr>
      </w:pPr>
    </w:p>
    <w:p>
      <w:pPr>
        <w:jc w:val="both"/>
        <w:ind w:right="320"/>
        <w:spacing w:after="0" w:line="271" w:lineRule="auto"/>
        <w:rPr>
          <w:sz w:val="20"/>
          <w:szCs w:val="20"/>
          <w:color w:val="auto"/>
        </w:rPr>
      </w:pPr>
      <w:r>
        <w:rPr>
          <w:rFonts w:ascii="Arial" w:cs="Arial" w:eastAsia="Arial" w:hAnsi="Arial"/>
          <w:sz w:val="17"/>
          <w:szCs w:val="17"/>
          <w:color w:val="auto"/>
        </w:rPr>
        <w:t>If we are unable to successfully enhance our drug discovery platform, or if there are any defects or disruptions in our platform that are not timely resolved, our ability to develop new innovations and ultimately gain market acceptance of our products and discoveries could be materially and adversely impacted, and our reputation, business, operating results and prospects could be materially harmed.</w:t>
      </w:r>
    </w:p>
    <w:p>
      <w:pPr>
        <w:spacing w:after="0" w:line="189" w:lineRule="exact"/>
        <w:rPr>
          <w:sz w:val="20"/>
          <w:szCs w:val="20"/>
          <w:color w:val="auto"/>
        </w:rPr>
      </w:pPr>
    </w:p>
    <w:p>
      <w:pPr>
        <w:ind w:right="500"/>
        <w:spacing w:after="0" w:line="302" w:lineRule="auto"/>
        <w:rPr>
          <w:sz w:val="20"/>
          <w:szCs w:val="20"/>
          <w:color w:val="auto"/>
        </w:rPr>
      </w:pPr>
      <w:r>
        <w:rPr>
          <w:rFonts w:ascii="Arial" w:cs="Arial" w:eastAsia="Arial" w:hAnsi="Arial"/>
          <w:sz w:val="17"/>
          <w:szCs w:val="17"/>
          <w:b w:val="1"/>
          <w:bCs w:val="1"/>
          <w:i w:val="1"/>
          <w:iCs w:val="1"/>
          <w:color w:val="auto"/>
        </w:rPr>
        <w:t>Our information technology systems and infrastructure may fail or experience security breaches and incidents that could adversely impact our business and operations and subject us to liability.</w:t>
      </w:r>
    </w:p>
    <w:p>
      <w:pPr>
        <w:spacing w:after="0" w:line="153"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auto"/>
        </w:rPr>
        <w:t>We have experienced significant growth in the complexity of our data and the software tools that our hardware infrastructure supports. We rely significantly upon information technology systems and infrastructure owned and maintained by us or by third party providers to generate, collect, store, and transmit confidential and proprietary information and data (including but not limited to intellectual property, proprietary business information, and personal information) and to operate our business. We also outsource elements of our operations to, and obtain products and services from, third parties and engage in collaborations for drug discovery with third parties, each of which has or could have access to our confidential or proprietary information.</w:t>
      </w:r>
    </w:p>
    <w:p>
      <w:pPr>
        <w:spacing w:after="0" w:line="199"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We deploy and operate an array of technical and procedural controls to reduce the risks to our information technology systems, infrastructure and data and to work to maintain the availability, confidentiality and integrity of our data, and we expect to continue to incur significant costs on such detection and prevention efforts.</w:t>
      </w:r>
    </w:p>
    <w:p>
      <w:pPr>
        <w:spacing w:after="0" w:line="18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and third parties on which we otherwise rely, face similar risks and may experience similar events that materially impact us. These causes or sources include but are not limited to the following:</w:t>
      </w:r>
    </w:p>
    <w:p>
      <w:pPr>
        <w:spacing w:after="0" w:line="194" w:lineRule="exact"/>
        <w:rPr>
          <w:sz w:val="20"/>
          <w:szCs w:val="20"/>
          <w:color w:val="auto"/>
        </w:rPr>
      </w:pPr>
    </w:p>
    <w:p>
      <w:pPr>
        <w:ind w:left="380" w:hanging="171"/>
        <w:spacing w:after="0"/>
        <w:tabs>
          <w:tab w:leader="none" w:pos="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service interruptions;</w:t>
      </w:r>
    </w:p>
    <w:p>
      <w:pPr>
        <w:spacing w:after="0" w:line="26" w:lineRule="exact"/>
        <w:rPr>
          <w:rFonts w:ascii="Arial" w:cs="Arial" w:eastAsia="Arial" w:hAnsi="Arial"/>
          <w:sz w:val="17"/>
          <w:szCs w:val="17"/>
          <w:color w:val="auto"/>
        </w:rPr>
      </w:pPr>
    </w:p>
    <w:p>
      <w:pPr>
        <w:ind w:left="380" w:hanging="171"/>
        <w:spacing w:after="0"/>
        <w:tabs>
          <w:tab w:leader="none" w:pos="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system malfunctions and other technical errors;</w:t>
      </w:r>
    </w:p>
    <w:p>
      <w:pPr>
        <w:spacing w:after="0" w:line="10" w:lineRule="exact"/>
        <w:rPr>
          <w:rFonts w:ascii="Arial" w:cs="Arial" w:eastAsia="Arial" w:hAnsi="Arial"/>
          <w:sz w:val="17"/>
          <w:szCs w:val="17"/>
          <w:color w:val="auto"/>
        </w:rPr>
      </w:pPr>
    </w:p>
    <w:p>
      <w:pPr>
        <w:ind w:left="380" w:hanging="171"/>
        <w:spacing w:after="0"/>
        <w:tabs>
          <w:tab w:leader="none" w:pos="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computer viruses and other malicious code;</w:t>
      </w:r>
    </w:p>
    <w:p>
      <w:pPr>
        <w:spacing w:after="0" w:line="10" w:lineRule="exact"/>
        <w:rPr>
          <w:rFonts w:ascii="Arial" w:cs="Arial" w:eastAsia="Arial" w:hAnsi="Arial"/>
          <w:sz w:val="17"/>
          <w:szCs w:val="17"/>
          <w:color w:val="auto"/>
        </w:rPr>
      </w:pPr>
    </w:p>
    <w:p>
      <w:pPr>
        <w:ind w:left="380" w:hanging="171"/>
        <w:spacing w:after="0"/>
        <w:tabs>
          <w:tab w:leader="none" w:pos="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natural disasters;</w:t>
      </w:r>
    </w:p>
    <w:p>
      <w:pPr>
        <w:spacing w:after="0" w:line="10" w:lineRule="exact"/>
        <w:rPr>
          <w:rFonts w:ascii="Arial" w:cs="Arial" w:eastAsia="Arial" w:hAnsi="Arial"/>
          <w:sz w:val="17"/>
          <w:szCs w:val="17"/>
          <w:color w:val="auto"/>
        </w:rPr>
      </w:pPr>
    </w:p>
    <w:p>
      <w:pPr>
        <w:ind w:left="380" w:hanging="171"/>
        <w:spacing w:after="0"/>
        <w:tabs>
          <w:tab w:leader="none" w:pos="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global political instability;</w:t>
      </w:r>
    </w:p>
    <w:p>
      <w:pPr>
        <w:spacing w:after="0" w:line="10" w:lineRule="exact"/>
        <w:rPr>
          <w:rFonts w:ascii="Arial" w:cs="Arial" w:eastAsia="Arial" w:hAnsi="Arial"/>
          <w:sz w:val="17"/>
          <w:szCs w:val="17"/>
          <w:color w:val="auto"/>
        </w:rPr>
      </w:pPr>
    </w:p>
    <w:p>
      <w:pPr>
        <w:ind w:left="380" w:hanging="171"/>
        <w:spacing w:after="0"/>
        <w:tabs>
          <w:tab w:leader="none" w:pos="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warfare;</w:t>
      </w:r>
    </w:p>
    <w:p>
      <w:pPr>
        <w:spacing w:after="0" w:line="10" w:lineRule="exact"/>
        <w:rPr>
          <w:rFonts w:ascii="Arial" w:cs="Arial" w:eastAsia="Arial" w:hAnsi="Arial"/>
          <w:sz w:val="17"/>
          <w:szCs w:val="17"/>
          <w:color w:val="auto"/>
        </w:rPr>
      </w:pPr>
    </w:p>
    <w:p>
      <w:pPr>
        <w:ind w:left="380" w:hanging="171"/>
        <w:spacing w:after="0"/>
        <w:tabs>
          <w:tab w:leader="none" w:pos="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telecommunication and electrical failures;</w:t>
      </w:r>
    </w:p>
    <w:p>
      <w:pPr>
        <w:spacing w:after="0" w:line="10" w:lineRule="exact"/>
        <w:rPr>
          <w:rFonts w:ascii="Arial" w:cs="Arial" w:eastAsia="Arial" w:hAnsi="Arial"/>
          <w:sz w:val="17"/>
          <w:szCs w:val="17"/>
          <w:color w:val="auto"/>
        </w:rPr>
      </w:pPr>
    </w:p>
    <w:p>
      <w:pPr>
        <w:ind w:left="380" w:hanging="171"/>
        <w:spacing w:after="0"/>
        <w:tabs>
          <w:tab w:leader="none" w:pos="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inadvertent or intentional actions by our employees or third-party providers; and</w:t>
      </w:r>
    </w:p>
    <w:p>
      <w:pPr>
        <w:spacing w:after="0" w:line="10" w:lineRule="exact"/>
        <w:rPr>
          <w:rFonts w:ascii="Arial" w:cs="Arial" w:eastAsia="Arial" w:hAnsi="Arial"/>
          <w:sz w:val="17"/>
          <w:szCs w:val="17"/>
          <w:color w:val="auto"/>
        </w:rPr>
      </w:pPr>
    </w:p>
    <w:p>
      <w:pPr>
        <w:ind w:left="380" w:right="220" w:hanging="171"/>
        <w:spacing w:after="0" w:line="270" w:lineRule="auto"/>
        <w:tabs>
          <w:tab w:leader="none" w:pos="37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cyber-attacks by malicious third parties, including the deployment of ransomware and malware, denial-of-service attacks, social engineering, and other means to affect service reliability and threaten the confidentiality, integrity, and availability of information.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With respect to cyber-attacks, 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These risks may be heightened in connection with geopolitical events such as the conflict between Russia and Ukraine. Sophisticated cyber attackers (including foreign adversaries engaged in industrial espionage) are skilled at adapting to existing security technology and developing new methods of gaining access to organizations’ sensitive business data, which could result in the loss of sensitive information, including trade secrets. Further,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05"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We take steps designed to detect, mitigate, and remediate vulnerabilities in our information systems (such as our hardware and/or software). We may not, however, detect and remediate all such vulnerabilities on a timely basis or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otherwise. Further, we may experience delays in deploying remedial measures and patches designed to address identified vulnerabilities.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Vulnerabilities could be exploited and result in a security breach or other incident.</w:t>
      </w:r>
    </w:p>
    <w:p>
      <w:pPr>
        <w:spacing w:after="0" w:line="22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costs to us to investigate and mitigate actual and suspected security breaches and other incidents could be significant. We may not be able to anticipate all types of threats and implement preventive measures effective against all such threats. Additionally, actual, potential, or anticipated incidents may cause us to incur increasing costs, including costs to deploy additional personnel and protection technologies, train employees and engage third-party experts and consultants. In addition, an increased amount of work is occurring remotely, including through the use of mobile devices. This could increase our cybersecurity risk, create data accessibility concerns, and make us more susceptible to communication disruptions.</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may experience cyber-attacks, security breaches and other incidents, and other system failures, errors, or outages, although to our knowledge we have not experienced any material interruption or incident as of December 31, 2024. The loss, corruption, unavailability of, or damage to our data would interfere with and undermine the insights we draw from our platform and could impair the integrity of our clinical trial data, leading to regulatory delays or the inability to get our drug candidates approved. If we do not accurately predict and identify our infrastructure requirements and failures and timely enhance our infrastructure, or if our remediation efforts are not successful, it could result in a material disruption of our business operations and development programs, including the loss or unavailability of, damage to, or unauthorized acquisition, disclosure, use, or other processing of our trade secrets, individuals’ personal information, or other proprietary or sensitive data. A security breach or other incident that leads to unauthorized acquisition, disclosure, or other processing of our intellectual property or other proprietary information could also affect our intellectual property rights and enable competitors to compete with us more effectively. Likewise, as we rely on third parties for the manufacture of our drug candidates and to conduct clinical trials, similar events relating to their systems and operations could also have a material adverse effect on our business and lead to regulatory agency actions.</w:t>
      </w:r>
    </w:p>
    <w:p>
      <w:pPr>
        <w:spacing w:after="0" w:line="20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Moreover, any security breach or other incident that leads to loss of, unauthorized access to, disclosure of, or other processing of personal information, including personal information regarding clinical trial subjects, contractors, directors, or employees, or the perception any of these has occurred, could harm our reputation, compel us to comply with federal and/or state notification laws and foreign law equivalents, subject us to mandatory corrective action, and otherwise subject us to liability under laws and regulations that protect the privacy and security of personal information. For more information see “Risk Factors— We are subject to U.S. and foreign laws regarding privacy, data protection, and cybersecurity that could entail substantial compliance costs, while the failure to comply could subject us to significant liability” set forth below.</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Failures, disruptions, security breaches and other incidents, cyber-attacks, and other harmful events impacting data processed or maintained in our business, or information technology systems or infrastructure used in our business, including those resulting in a loss of or damage to our information technology systems or infrastructure, or the loss of or inappropriate acquisition, disclosure, or other processing of confidential, proprietary, or personal information, or the perception any of these has occurred, could expose us to a risk of loss, enforcement measures, regulatory agency investigations, proceedings, and other actions, penalties, fines, indemnification claims, litigation, potential civil or criminal liability, collaborators’ loss of confidence, damage to our reputation, and other consequences, which could materially adversely affect our business and results of operations. While we maintain insurance coverage for certain expenses and liabilities related to failures or breaches of our information technology systems, it may not be adequate to cover all losses associated with such events. In addition, such insurance may not be available to us in the future on satisfactory terms or at all. Furthermore, if the information technology systems of third parties with whom we do business become subject to disruptions or security breaches or incidents, we may have insufficient recourse against them, and we may have to expend significant resources to mitigate the impact of such an event and to develop and implement protections designed to prevent events of this nature from occurring.</w:t>
      </w:r>
    </w:p>
    <w:p>
      <w:pPr>
        <w:spacing w:after="0" w:line="202" w:lineRule="exact"/>
        <w:rPr>
          <w:sz w:val="20"/>
          <w:szCs w:val="20"/>
          <w:color w:val="auto"/>
        </w:rPr>
      </w:pPr>
    </w:p>
    <w:p>
      <w:pPr>
        <w:ind w:right="420"/>
        <w:spacing w:after="0" w:line="302" w:lineRule="auto"/>
        <w:rPr>
          <w:sz w:val="20"/>
          <w:szCs w:val="20"/>
          <w:color w:val="auto"/>
        </w:rPr>
      </w:pPr>
      <w:r>
        <w:rPr>
          <w:rFonts w:ascii="Arial" w:cs="Arial" w:eastAsia="Arial" w:hAnsi="Arial"/>
          <w:sz w:val="17"/>
          <w:szCs w:val="17"/>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53"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We rely on third-party data centers and telecommunications solutions, including cloud infrastructure services such as Google Cloud and Amazon Web Services, to host substantial portions of our technology platforms and to support our business operations. We have no control over these cloud-based service or other third-party providers, although we attempt to reduce risk by minimizing reliance on any single third party or its operations. We have experienced,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and expect we may in the future again experience, system interruptions, outages, or delays due to a variety of factors, including infrastructure changes, human or software errors, website hosting disruptions, and capacity constraints. A prolonged service disruption affecting our cloud-based solutions could damage our reputation or otherwise materially harm our business.</w:t>
      </w:r>
    </w:p>
    <w:p>
      <w:pPr>
        <w:spacing w:after="0" w:line="189"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Further, if the security measures of our third-party data center or cloud infrastructure providers are breached or otherwise compromised by cyber-attacks or other means and unauthorized access to our information technology systems or data occurs, it could result in interruptions to our operations and the loss of proprietary or confidential information, which could damage our reputation, cause us to incur substantial costs, divert our resources from other tasks, and subject us to significant legal and financial exposure and liabilities, any one of which could materially adversely affect our business, results of operations, and prospects. Such third-party providers may also be subject to natural disasters, global political instability, warfare, power losses, telecommunications failures, or other disruptive events that could negatively affect our business and require us to incur significant costs to secure alternate cloud-based solutions. In addition, any changes in our third-party providers’ service levels or features that we utilize or a termination of our agreements could also adversely affect our business.</w:t>
      </w:r>
    </w:p>
    <w:p>
      <w:pPr>
        <w:spacing w:after="0" w:line="201" w:lineRule="exact"/>
        <w:rPr>
          <w:sz w:val="20"/>
          <w:szCs w:val="20"/>
          <w:color w:val="auto"/>
        </w:rPr>
      </w:pPr>
    </w:p>
    <w:p>
      <w:pPr>
        <w:ind w:right="200"/>
        <w:spacing w:after="0" w:line="302" w:lineRule="auto"/>
        <w:rPr>
          <w:sz w:val="20"/>
          <w:szCs w:val="20"/>
          <w:color w:val="auto"/>
        </w:rPr>
      </w:pPr>
      <w:r>
        <w:rPr>
          <w:rFonts w:ascii="Arial" w:cs="Arial" w:eastAsia="Arial" w:hAnsi="Arial"/>
          <w:sz w:val="17"/>
          <w:szCs w:val="17"/>
          <w:b w:val="1"/>
          <w:bCs w:val="1"/>
          <w:i w:val="1"/>
          <w:iCs w:val="1"/>
          <w:color w:val="auto"/>
        </w:rPr>
        <w:t>Our solutions utilize third-party open source software (OSS), which presents risks that could adversely affect our business and subject us to possible litigation.</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solutions include software that is licensed from third parties under open source licenses, and we expect to continue to incorporate such OSS in our solutions in the future. We cannot ensure that we have effectively monitored our use of OSS, validated the quality or source of such software, or are in compliance with the terms of the applicable open source licenses or our policies and procedures. Use of OSS may entail greater risks than use of third-party commercial software because open source licensors generally do not provide support, updates, or warranties or other contractual protections regarding infringement claims or the quality of the code. OSS may also be more susceptible to security vulnerabilities. Third-party OSS providers could experience service outages, data loss, privacy breaches, cyber-attacks, and other events relating to the applications and services they provide, which could diminish the utility of these services and harm our business. We also could be subject to lawsuits by third parties claiming that what we believe to be licensed OSS infringes such parties’ intellectual property rights, which could be costly for us to defend and require us to devote additional research and development resources to change our solutions.</w:t>
      </w: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i w:val="1"/>
          <w:iCs w:val="1"/>
          <w:color w:val="auto"/>
        </w:rPr>
        <w:t>Issues relating to the use of artificial intelligence and machine learning in our offerings could adversely affect our business and operating results.</w:t>
      </w:r>
    </w:p>
    <w:p>
      <w:pPr>
        <w:spacing w:after="0" w:line="15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incorporate artificial intelligence and machine learning (“AI”) solutions into our platform, in applications that are important to our operations and our drug discovery processes. There are significant risks involved in utilizing AI. Issues relating to the use of new and evolving technologies such as AI and machine learning may cause us to experience brand or reputational harm, competitive harm, legal liability, and new or enhanced governmental or regulatory scrutiny, and we may incur additional costs to resolve such issues. Known risks of AI currently include inaccuracy, bias, toxicity, intellectual property infringement or misappropriation, privacy, data protection and cybersecurity issues, and data provenance disputes. Perceived or actual technical, legal, compliance, privacy, data protection, cybersecurity, ethical or other issues relating to the use of AI may cause public confidence in AI to be undermined, which could slow our customers’ adoption of our products and services that use AI. In addition, litigation or government regulation related to the use of AI may also adversely impact our and others’ abilities to develop and offer products that use AI, as well as increase the cost and complexity of doing so. See the section titled “—Regulatory and legislative developments related to the use of AI could adversely affect our use of such technologies in our products, services, and business.” Developing, testing and deploying AI systems may also increase the cost profile of our product offerings due to the nature of the computing costs involved in such systems, which could impact our project margin and adversely affect our business and operating results. In addition, AI may have or produce errors or inadequacies that are not easily detectable. If the data used to train AI or the content, analyses, or recommendations that AI applications assist in producing are or are alleged to be deficient, inaccurate, incomplete, overbroad or biased, our business, financial condition, and results of operations may be adversely affected. The legal landscape and subsequent legal protection for the use of AI and the collection and use of data used to train AI models remains uncertain, and development of the law in this area could impact our ability to enforce our proprietary rights or protect against infringing uses. If we do not have sufficient rights to collect or use the data on which our AI relies or to the outputs produced by AI applications, we may incur liability through the alleged violation of certain laws, third-party privacy rights, online terms of service, or other contracts to which we or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data providers are a party. Our use of AI applications may also, in the future, result in security breaches or other incidents that implicate the personal data of customers or patients. Any such security breaches or other incidents related to our use of AI applications could adversely affect our reputation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OPERATIONS/COMMERCIALIZATION</w:t>
      </w:r>
    </w:p>
    <w:p>
      <w:pPr>
        <w:spacing w:after="0" w:line="245" w:lineRule="exact"/>
        <w:rPr>
          <w:sz w:val="20"/>
          <w:szCs w:val="20"/>
          <w:color w:val="auto"/>
        </w:rPr>
      </w:pPr>
    </w:p>
    <w:p>
      <w:pPr>
        <w:ind w:right="720"/>
        <w:spacing w:after="0" w:line="302" w:lineRule="auto"/>
        <w:rPr>
          <w:sz w:val="20"/>
          <w:szCs w:val="20"/>
          <w:color w:val="auto"/>
        </w:rPr>
      </w:pPr>
      <w:r>
        <w:rPr>
          <w:rFonts w:ascii="Arial" w:cs="Arial" w:eastAsia="Arial" w:hAnsi="Arial"/>
          <w:sz w:val="17"/>
          <w:szCs w:val="17"/>
          <w:b w:val="1"/>
          <w:bCs w:val="1"/>
          <w:i w:val="1"/>
          <w:iCs w:val="1"/>
          <w:color w:val="auto"/>
        </w:rPr>
        <w:t>Even if any drug candidates we develop receive marketing approval, they may fail to achieve the degree of market acceptance by physicians, patients, healthcare payors, and others in the medical community necessary for commercial success.</w:t>
      </w:r>
    </w:p>
    <w:p>
      <w:pPr>
        <w:spacing w:after="0" w:line="15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commercial success of our drug candidates that receive marketing approval will depend upon their degree of market acceptance by physicians, patients, third-party payors, and others in the medical community. The degree of market acceptance will depend on a number of factors, including but not limited to the following:</w:t>
      </w:r>
    </w:p>
    <w:p>
      <w:pPr>
        <w:spacing w:after="0" w:line="189" w:lineRule="exact"/>
        <w:rPr>
          <w:sz w:val="20"/>
          <w:szCs w:val="20"/>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their efficacy and safety as demonstrated in pivotal clinical trials and published in peer-reviewed journals;</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their potential and perceived advantages compared to alternative treatments, including any similar generic treatments;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prevalence and severity of any side effects or adverse events;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our ability to offer these products for sale at competitive prices;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our ability to offer appropriate patient access programs, such as co-pay assistance;</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their convenience and ease of dosing and administration compared to alternative treatments;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clinical indications for which the drug candidate is approved by the FDA or comparable regulatory authorities;</w:t>
      </w:r>
    </w:p>
    <w:p>
      <w:pPr>
        <w:spacing w:after="0" w:line="10" w:lineRule="exact"/>
        <w:rPr>
          <w:rFonts w:ascii="Arial" w:cs="Arial" w:eastAsia="Arial" w:hAnsi="Arial"/>
          <w:sz w:val="17"/>
          <w:szCs w:val="17"/>
          <w:color w:val="auto"/>
        </w:rPr>
      </w:pPr>
    </w:p>
    <w:p>
      <w:pPr>
        <w:ind w:left="360" w:right="700" w:hanging="151"/>
        <w:spacing w:after="0" w:line="253" w:lineRule="auto"/>
        <w:tabs>
          <w:tab w:leader="none" w:pos="35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product labeling or product insert requirements of the FDA or other comparable foreign regulatory authorities, including any limitations, contraindications, or warnings;</w:t>
      </w: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restrictions on how the product is distributed;</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timing of market introduction of competitive products;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publicity concerning these products or competing products and treatments;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 and</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favorable third-party coverage and sufficient reimbursement.</w:t>
      </w:r>
    </w:p>
    <w:p>
      <w:pPr>
        <w:spacing w:after="0" w:line="22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Sales of medical products also depend on the willingness of physicians to prescribe treatment with our drug products, which is likely to be based on a determination by these physicians that the products are safe, therapeutically effective, and cost effective. In addition, the inclusion or exclusion of products from treatment guidelines established by various physician groups, as well as the viewpoints of influential physicians, can affect the willingness of other physicians to prescribe treatment with our drug products. We cannot predict whether physicians, physicians’ organizations, hospitals, other healthcare providers, government agencies, or private insurers will determine that any product we may develop is safe, therapeutically effective and cost effective as compared with competing treatments. If any drug candidates we develop do not achieve an adequate level of acceptance, we may not generate significant product revenue, and we may not become profitable.</w:t>
      </w:r>
    </w:p>
    <w:p>
      <w:pPr>
        <w:spacing w:after="0" w:line="199" w:lineRule="exact"/>
        <w:rPr>
          <w:sz w:val="20"/>
          <w:szCs w:val="20"/>
          <w:color w:val="auto"/>
        </w:rPr>
      </w:pPr>
    </w:p>
    <w:p>
      <w:pPr>
        <w:ind w:right="480"/>
        <w:spacing w:after="0" w:line="302" w:lineRule="auto"/>
        <w:rPr>
          <w:sz w:val="20"/>
          <w:szCs w:val="20"/>
          <w:color w:val="auto"/>
        </w:rPr>
      </w:pPr>
      <w:r>
        <w:rPr>
          <w:rFonts w:ascii="Arial" w:cs="Arial" w:eastAsia="Arial" w:hAnsi="Arial"/>
          <w:sz w:val="17"/>
          <w:szCs w:val="17"/>
          <w:b w:val="1"/>
          <w:bCs w:val="1"/>
          <w:i w:val="1"/>
          <w:iCs w:val="1"/>
          <w:color w:val="auto"/>
        </w:rPr>
        <w:t>If we are unable to establish sales and marketing capabilities or enter into agreements with third parties to sell and market any drug candidates we may develop, we may not be successful in commercializing those drug candidates, if and when they are approved.</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do not have a sales or marketing infrastructure and have little experience in the sale, marketing, or distribution of pharmaceutical products. To achieve commercial success for any approved product for which we retain sales and marketing responsibilities, we must either develop a sales and marketing organization, develop sales and marketing software solutions, or outsource these functions to third parties. In the future, we may choose to build a focused sales, marketing, and commercial support infrastructure to market and sell our drug candidates, if and when they are approved. We may also elect to enter into collaborations or strategic partnerships with third parties to engage in commercialization activities with respect to selected drug candidates, indications, or geographic territories, including territories outside the United States, although there is no guarantee we will be able to enter into these arrangements.</w:t>
      </w:r>
    </w:p>
    <w:p>
      <w:pPr>
        <w:spacing w:after="0" w:line="199"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launch. If the commercial launch of a</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drug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 Factors that may inhibit our efforts to commercialize any approved product on our own include but are not limited to the following:</w:t>
      </w:r>
    </w:p>
    <w:p>
      <w:pPr>
        <w:spacing w:after="0" w:line="194" w:lineRule="exact"/>
        <w:rPr>
          <w:sz w:val="20"/>
          <w:szCs w:val="20"/>
          <w:color w:val="auto"/>
        </w:rPr>
      </w:pPr>
    </w:p>
    <w:p>
      <w:pPr>
        <w:ind w:left="360" w:right="180" w:hanging="151"/>
        <w:spacing w:after="0" w:line="263" w:lineRule="auto"/>
        <w:tabs>
          <w:tab w:leader="none" w:pos="3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inability to recruit and retain adequate numbers of effective sales, marketing, reimbursement, customer service, medical affairs, and other support personnel;</w:t>
      </w:r>
    </w:p>
    <w:p>
      <w:pPr>
        <w:ind w:left="360" w:right="180" w:hanging="151"/>
        <w:spacing w:after="0" w:line="253" w:lineRule="auto"/>
        <w:tabs>
          <w:tab w:leader="none" w:pos="3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inability of sales personnel or software tools to obtain access to physicians or persuade adequate numbers of physicians to prescribe any future approved products;</w:t>
      </w:r>
    </w:p>
    <w:p>
      <w:pPr>
        <w:ind w:left="360" w:hanging="151"/>
        <w:spacing w:after="0"/>
        <w:tabs>
          <w:tab w:leader="none" w:pos="3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inability of reimbursement professionals to negotiate arrangements for formulary access, reimbursement, and other acceptance by payors;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inability to price products at a sufficient price point to enable an adequate and attractive level of profitability;</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restricted or closed distribution channels that make it difficult to distribute our products to segments of the patient population;</w:t>
      </w:r>
    </w:p>
    <w:p>
      <w:pPr>
        <w:spacing w:after="0" w:line="10" w:lineRule="exact"/>
        <w:rPr>
          <w:rFonts w:ascii="Arial" w:cs="Arial" w:eastAsia="Arial" w:hAnsi="Arial"/>
          <w:sz w:val="17"/>
          <w:szCs w:val="17"/>
          <w:color w:val="auto"/>
        </w:rPr>
      </w:pPr>
    </w:p>
    <w:p>
      <w:pPr>
        <w:ind w:left="360" w:right="260" w:hanging="151"/>
        <w:spacing w:after="0" w:line="253" w:lineRule="auto"/>
        <w:tabs>
          <w:tab w:leader="none" w:pos="3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ind w:left="360" w:hanging="151"/>
        <w:spacing w:after="0"/>
        <w:tabs>
          <w:tab w:leader="none" w:pos="3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commercialization organization.</w:t>
      </w: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they may also experience many of the above challenges. In addition, our product revenue or the profitability of product revenue may be lower than if we were to market and sell any products we may develop internally. We may not be successful in entering into such arrangements, or we may be unable to do so on terms that are favorable to us or them. We also may have little control over such third parties, and any of them may fail to devote the necessary resources and attention to sell and market our products effectively, or they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any future approved drug candidates.</w:t>
      </w:r>
    </w:p>
    <w:p>
      <w:pPr>
        <w:spacing w:after="0" w:line="201"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b w:val="1"/>
          <w:bCs w:val="1"/>
          <w:i w:val="1"/>
          <w:iCs w:val="1"/>
          <w:color w:val="auto"/>
        </w:rPr>
        <w:t>We are subject to regulatory and operational risks associated with the physical and digital infrastructure at both our internal facilities and those of our external service providers.</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Our facilities in Salt Lake City, Utah have not been reviewed or pre-approved by any regulatory agency, such as the FDA. An inspection by the FDA could disrupt our ability to generate data and develop drug candidates. Our laboratory facilities are designed to incorporate a significant level of automation of equipment, with integration of several digital systems to improve efficiency of research operations. We have attempted to achieve a high level of digitization for a research operation relative to industry standards. While this is meant to improve operational efficiency, this may pose additional risk of equipment malfunction and even overall system failure or shutdown due to internal or external factors including, but not limited to, design issues, system compatibility, or potential security breaches or other incidents. This may lead to delay in potential drug candidate identification or a shutdown of our facility. Any disruption in our data generation capabilities could cause delays in advancing new drug candidates into our pipeline, advancing existing programs, or enhancing the capabilities of our platform, including expanding our data, the occurrence of which could have a material adverse effect on our business, financial condition, results of operations, and prospects.</w:t>
      </w:r>
    </w:p>
    <w:p>
      <w:pPr>
        <w:spacing w:after="0" w:line="205" w:lineRule="exact"/>
        <w:rPr>
          <w:sz w:val="20"/>
          <w:szCs w:val="20"/>
          <w:color w:val="auto"/>
        </w:rPr>
      </w:pPr>
    </w:p>
    <w:p>
      <w:pPr>
        <w:ind w:right="360"/>
        <w:spacing w:after="0" w:line="302" w:lineRule="auto"/>
        <w:rPr>
          <w:sz w:val="20"/>
          <w:szCs w:val="20"/>
          <w:color w:val="auto"/>
        </w:rPr>
      </w:pPr>
      <w:r>
        <w:rPr>
          <w:rFonts w:ascii="Arial" w:cs="Arial" w:eastAsia="Arial" w:hAnsi="Arial"/>
          <w:sz w:val="17"/>
          <w:szCs w:val="17"/>
          <w:b w:val="1"/>
          <w:bCs w:val="1"/>
          <w:i w:val="1"/>
          <w:iCs w:val="1"/>
          <w:color w:val="auto"/>
        </w:rPr>
        <w:t>In the future, we may manufacture drug substances or products at our facilities for preclinical and clinical use, and we may face risks arising from our limited prior manufacturing capability and experience.</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do not currently have the infrastructure or capability internally to manufacture drug substances or products for preclinical, clinical, or commercial use. If, in the future, we decide to produce drug substances or products for preclinical and clinical use, the costs of developing suitable facilities and infrastructure and implementing appropriate manufacturing processes may be greater than expected. We may also have difficulty implementing the full operational state of the facility, causing delays to preclinical or clinical supply or the need to rely on third-party service providers, resulting in unplanned expenses.</w:t>
      </w:r>
    </w:p>
    <w:p>
      <w:pPr>
        <w:spacing w:after="0" w:line="196" w:lineRule="exact"/>
        <w:rPr>
          <w:sz w:val="20"/>
          <w:szCs w:val="20"/>
          <w:color w:val="auto"/>
        </w:rPr>
      </w:pPr>
    </w:p>
    <w:p>
      <w:pPr>
        <w:ind w:right="120"/>
        <w:spacing w:after="0" w:line="302" w:lineRule="auto"/>
        <w:rPr>
          <w:sz w:val="20"/>
          <w:szCs w:val="20"/>
          <w:color w:val="auto"/>
        </w:rPr>
      </w:pPr>
      <w:r>
        <w:rPr>
          <w:rFonts w:ascii="Arial" w:cs="Arial" w:eastAsia="Arial" w:hAnsi="Arial"/>
          <w:sz w:val="17"/>
          <w:szCs w:val="17"/>
          <w:b w:val="1"/>
          <w:bCs w:val="1"/>
          <w:i w:val="1"/>
          <w:iCs w:val="1"/>
          <w:color w:val="auto"/>
        </w:rPr>
        <w:t>The manufacture of drugs is complex, and our third-party manufacturers may encounter difficulties in production or supply chain. If any of our third-party manufacturers encounter such difficulties, our ability to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640"/>
        <w:spacing w:after="0" w:line="302" w:lineRule="auto"/>
        <w:rPr>
          <w:sz w:val="20"/>
          <w:szCs w:val="20"/>
          <w:color w:val="auto"/>
        </w:rPr>
      </w:pPr>
      <w:r>
        <w:rPr>
          <w:rFonts w:ascii="Arial" w:cs="Arial" w:eastAsia="Arial" w:hAnsi="Arial"/>
          <w:sz w:val="17"/>
          <w:szCs w:val="17"/>
          <w:b w:val="1"/>
          <w:bCs w:val="1"/>
          <w:i w:val="1"/>
          <w:iCs w:val="1"/>
          <w:color w:val="auto"/>
        </w:rPr>
        <w:t>provide adequate supply of our product candidates for clinical trials or our products for patients, if approved, could be delayed or prevented.</w:t>
      </w:r>
    </w:p>
    <w:p>
      <w:pPr>
        <w:spacing w:after="0" w:line="2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currently utilize contract development and manufacturing organizations to produce drug substance and investigational drug product in support of the assets within our pipeline. To date, we have obtained drug substance and drug product for our drug candidates from third party contract manufacturers. 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99" w:lineRule="exact"/>
        <w:rPr>
          <w:sz w:val="20"/>
          <w:szCs w:val="20"/>
          <w:color w:val="auto"/>
        </w:rPr>
      </w:pPr>
    </w:p>
    <w:p>
      <w:pPr>
        <w:ind w:right="40"/>
        <w:spacing w:after="0" w:line="302" w:lineRule="auto"/>
        <w:rPr>
          <w:sz w:val="20"/>
          <w:szCs w:val="20"/>
          <w:color w:val="auto"/>
        </w:rPr>
      </w:pPr>
      <w:r>
        <w:rPr>
          <w:rFonts w:ascii="Arial" w:cs="Arial" w:eastAsia="Arial" w:hAnsi="Arial"/>
          <w:sz w:val="17"/>
          <w:szCs w:val="17"/>
          <w:b w:val="1"/>
          <w:bCs w:val="1"/>
          <w:i w:val="1"/>
          <w:iCs w:val="1"/>
          <w:color w:val="auto"/>
        </w:rPr>
        <w:t>Recursion, or the third parties upon whom we depend, may be adversely affected by natural disasters, and our business continuity plans and insurance coverage may not be adequate.</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current operations are located in Salt Lake City, Utah; Milpitas, California; Toronto and Montreal, Canada; and London, United Kingdom. A natural disaster or other serious unplanned event, such as flood, fire, explosion, earthquake, extreme weather condition, pandemic (including COVID-19), power shortage, telecommunications failure, global political instability, warfare, or man-made incident, could result in us being unable to fully utilize our facilities, delays in the development of our drug candidates, interruption of our business operations, or unexpected increased costs, which may have a material and adverse effect on our business. Our collaboration partners, as well as suppliers to us or our collaboration partners, and our third-party service providers and vendors, are similarly subject to some or all of these events. If a natural disaster, power outage, or other event occurs that (i) prevents us from using all or a significant portion of our headquarters or our datacenters; (ii) damages critical infrastructure or our equipment, such as our research facilities or the manufacturing facilities of our third -party contract manufacturers; or (iii) otherwise significantly disrupts operations, it may be difficult, or in certain cases impossible, for us to continue our business for a substantial period of time.</w:t>
      </w:r>
    </w:p>
    <w:p>
      <w:pPr>
        <w:spacing w:after="0" w:line="205"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Furthermore, the disaster recovery and business continuity plans we have in place may prove inadequate in the event of a serious disaster or similar event. We may incur substantial expenses, business interruptions, and harm to our research and development programs as a result of the limited nature of our disaster recovery and business continuity plans. As part of our risk management policy, we maintain insurance coverage at levels that we believe are appropriate for our business to the extent it is available on commercially reasonable terms. However, in the event of an accident or incident at these facilities, the amounts of insurance may not be sufficient to cover all of our damages and losses.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In addition, our facilities in Salt Lake City, Utah are located in a busy downtown area. Although we believe we have taken the necessary steps to ensure our operations are safe to the surrounding area, there could be a risk to the public if we were to conduct hazardous material research, including use of flammable chemicals and materials, at our facilities. If the surrounding community perceives our facility as unsafe, it could have a material and adverse effect on our reputation, operations, and prospects.</w:t>
      </w:r>
    </w:p>
    <w:p>
      <w:pPr>
        <w:spacing w:after="0" w:line="194" w:lineRule="exact"/>
        <w:rPr>
          <w:sz w:val="20"/>
          <w:szCs w:val="20"/>
          <w:color w:val="auto"/>
        </w:rPr>
      </w:pPr>
    </w:p>
    <w:p>
      <w:pPr>
        <w:ind w:right="140"/>
        <w:spacing w:after="0" w:line="302" w:lineRule="auto"/>
        <w:rPr>
          <w:sz w:val="20"/>
          <w:szCs w:val="20"/>
          <w:color w:val="auto"/>
        </w:rPr>
      </w:pPr>
      <w:r>
        <w:rPr>
          <w:rFonts w:ascii="Arial" w:cs="Arial" w:eastAsia="Arial" w:hAnsi="Arial"/>
          <w:sz w:val="17"/>
          <w:szCs w:val="17"/>
          <w:b w:val="1"/>
          <w:bCs w:val="1"/>
          <w:i w:val="1"/>
          <w:iCs w:val="1"/>
          <w:color w:val="auto"/>
        </w:rPr>
        <w:t>If we fail to comply with environmental, health and safety, or other laws and regulations, we could become subject to fines, penalties, or personal injury or property damages.</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are subject to numerous environmental, health and safety, and other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significant damages for harm to persons or property, as well as civil or criminal fines and penalties. Although we maintain workers’ compensation insurance to cover costs and expenses arising from injuries to our employees resulting from the use of hazardous materials, this insurance may not provide adequate coverage against all such potential liabilities.</w:t>
      </w:r>
    </w:p>
    <w:p>
      <w:pPr>
        <w:spacing w:after="0" w:line="201" w:lineRule="exact"/>
        <w:rPr>
          <w:sz w:val="20"/>
          <w:szCs w:val="20"/>
          <w:color w:val="auto"/>
        </w:rPr>
      </w:pPr>
    </w:p>
    <w:p>
      <w:pPr>
        <w:ind w:right="240"/>
        <w:spacing w:after="0" w:line="302" w:lineRule="auto"/>
        <w:rPr>
          <w:sz w:val="20"/>
          <w:szCs w:val="20"/>
          <w:color w:val="auto"/>
        </w:rPr>
      </w:pPr>
      <w:r>
        <w:rPr>
          <w:rFonts w:ascii="Arial" w:cs="Arial" w:eastAsia="Arial" w:hAnsi="Arial"/>
          <w:sz w:val="17"/>
          <w:szCs w:val="17"/>
          <w:b w:val="1"/>
          <w:bCs w:val="1"/>
          <w:i w:val="1"/>
          <w:iCs w:val="1"/>
          <w:color w:val="auto"/>
        </w:rPr>
        <w:t>Our insurance policies are expensive and protect us only from some business risks, which leaves us exposed to significant uninsured liabilities.</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do not carry insurance for all categories of risk that our business may encounter and insurance coverage is becoming increasingly expensive. We do not know if we will be able to maintain existing insurance with adequate levels of coverage in the future, and any liability insurance coverage we acquire in the future may not be sufficient to reimburse us for any expenses or losses we may suffer. If we obtain marketing approval for any drug candidates that we or our collaborators may develop, we intend to acquire insurance coverage to include the sale of commercial products, but we may be unable to obtain such insurance on commercially reasonable terms or in adequate amounts. The coverage or coverage limits currently maintained under our insurance policies may not be adequate. If our losses exceed our insurance coverage, our financial condition would be adversely affected. Clinical trials or regulatory approvals for any of our drug candidates could be suspended, which could adversely affect our results of operations and business, including by preventing or limiting the development and commercialization of any drug candidates that we or our collaborators may identify. Additionally, operating as a public company has made it more expensive for us to obtain directors and officers liability insurance. If we do not maintain adequate levels of directors and officers liability insurance, it may be more difficult for us to attract and retain qualified individuals to serve on our board of directors and in our executive team.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substantial federal and state net operating loss (NOL) carryforwards. To the extent that we continue to generate taxable losses as expected, unused losses will carry forward to offset future taxable income, if any, until such unused losses expire, except the federal NOLs generated during and after fiscal year 2018 are carried forward indefinitely. Under Section 382 of the Internal Revenue Code of 1986, as amended, if a corporation undergoes an “ownership change,” its ability to use pre-change NOL carryforwards and certain other pre-change tax attributes (such as research tax credits) to offset its post-change income could be subject to an annual limitation. An “ownership change” is generally defined as a greater than 50% change by value in the ownership of the corporation’s equity by one or more 5% shareholders over a three-year period. Such annual limitation could result in the expiration of a portion of our NOL carryforwards before full utilization thereof. We may have experienced ownership changes within the meaning of Section 382 in the past and we may experience some ownership changes in the future as a result of subsequent shifts in our stock ownership, such as a result of our follow-on offerings or subsequent shifts in our stock ownership (some of which shifts are outside our control). We have not yet conducted a study to assess whether an ownership change has occurred. Future legislative or regulatory changes could also negatively impact our ability to utilize our NOL carryforwards or other tax attributes. We also have substantial foreign NOLs, which are likely subject to similar restrictions under the laws of the applicable jurisdiction. Provisions of state or foreign tax law may also suspend or otherwise limit our ability to use NOLs and accumulated state or foreign tax attributes. As a result, if we attain profitability, we may be unable to use all or a material portion of our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NOL carryforwards and other tax attributes for federal, state or foreign tax purposes, which could result in increased tax liability and adversely affect our future cash flows.</w:t>
      </w:r>
    </w:p>
    <w:p>
      <w:pPr>
        <w:spacing w:after="0" w:line="172" w:lineRule="exact"/>
        <w:rPr>
          <w:sz w:val="20"/>
          <w:szCs w:val="20"/>
          <w:color w:val="auto"/>
        </w:rPr>
      </w:pPr>
    </w:p>
    <w:p>
      <w:pPr>
        <w:jc w:val="both"/>
        <w:ind w:right="560"/>
        <w:spacing w:after="0" w:line="277" w:lineRule="auto"/>
        <w:rPr>
          <w:sz w:val="20"/>
          <w:szCs w:val="20"/>
          <w:color w:val="auto"/>
        </w:rPr>
      </w:pPr>
      <w:r>
        <w:rPr>
          <w:rFonts w:ascii="Arial" w:cs="Arial" w:eastAsia="Arial" w:hAnsi="Arial"/>
          <w:sz w:val="17"/>
          <w:szCs w:val="17"/>
          <w:b w:val="1"/>
          <w:bCs w:val="1"/>
          <w:i w:val="1"/>
          <w:iCs w:val="1"/>
          <w:color w:val="auto"/>
        </w:rPr>
        <w:t>Changes in tax laws or regulations that are applied adversely to us or disagreements between us and tax authorities regarding the application of existing tax laws or regulations may have a material adverse effect on our business, cash flow, financial condition or results of operations.</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Tax Cuts and Jobs Act of 2017 (TCJA) eliminated the option to deduct research and development expenditures currently and requires taxpayers to capitalize and amortize them over five or fifteen years pursuant to Code Section 174, beginning in 2022. Further, the Inflation Reduction Act of 2022 (IRA), among other changes, imposes a one-percent excise tax on stock repurchases made on or after January 1, 2023. Any further changes in tax laws or regulations that are applied adversely to us could have a material adverse effect on our business, cash flow, financial condition or results of operations.</w:t>
      </w:r>
    </w:p>
    <w:p>
      <w:pPr>
        <w:spacing w:after="0" w:line="199"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A tax authority may disagree with tax positions that we take, and may take the position that tax liabilities, interest and penalties, which could be material, are payable by us. Contesting such an assessment may be lengthy and costly and if we were unsuccessful in disputing the assessment, the implications could increase our anticipated effective tax rate, where applicable.</w:t>
      </w:r>
    </w:p>
    <w:p>
      <w:pPr>
        <w:spacing w:after="0" w:line="189" w:lineRule="exact"/>
        <w:rPr>
          <w:sz w:val="20"/>
          <w:szCs w:val="20"/>
          <w:color w:val="auto"/>
        </w:rPr>
      </w:pPr>
    </w:p>
    <w:p>
      <w:pPr>
        <w:ind w:right="720"/>
        <w:spacing w:after="0" w:line="302"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3"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(U.S.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stock-based compensation and valuation of our equity investments in early-stage biotechnology companies. Our results of operations may be adversely affected if our assumptions change or if actual circumstances differ from those in our assumptions.</w:t>
      </w:r>
    </w:p>
    <w:p>
      <w:pPr>
        <w:spacing w:after="0" w:line="20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changes to existing standards, or changes in their interpretation, we might be required to change our accounting policies, alter our operational policies, and implement new or enhanced systems so that they reflect new or amended financial reporting standards, or we may be required to restate our published financial statements, which may have an adverse effect on our financial position and reputation.</w:t>
      </w:r>
    </w:p>
    <w:p>
      <w:pPr>
        <w:spacing w:after="0" w:line="196" w:lineRule="exact"/>
        <w:rPr>
          <w:sz w:val="20"/>
          <w:szCs w:val="20"/>
          <w:color w:val="auto"/>
        </w:rPr>
      </w:pPr>
    </w:p>
    <w:p>
      <w:pPr>
        <w:ind w:right="140"/>
        <w:spacing w:after="0" w:line="302" w:lineRule="auto"/>
        <w:rPr>
          <w:sz w:val="20"/>
          <w:szCs w:val="20"/>
          <w:color w:val="auto"/>
        </w:rPr>
      </w:pPr>
      <w:r>
        <w:rPr>
          <w:rFonts w:ascii="Arial" w:cs="Arial" w:eastAsia="Arial" w:hAnsi="Arial"/>
          <w:sz w:val="17"/>
          <w:szCs w:val="17"/>
          <w:b w:val="1"/>
          <w:bCs w:val="1"/>
          <w:i w:val="1"/>
          <w:iCs w:val="1"/>
          <w:color w:val="auto"/>
        </w:rPr>
        <w:t>Product liability lawsuits could cause us to incur substantial liabilities and could limit commercialization of any drug candidates that we may develop.</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face an inherent risk of product liability exposure related to the testing of drug candidates in human clinical trials, and we will face an even greater risk if we commercially sell any medicines that we may develop. If we cannot successfully defend ourselves against claims that our drug candidates or medicines caused injuries, we could incur substantial damages or settlement liability. Regardless of merit or eventual outcome, liability claims may also result in adverse effects including but not limited to the following:</w:t>
      </w:r>
    </w:p>
    <w:p>
      <w:pPr>
        <w:spacing w:after="0" w:line="194" w:lineRule="exact"/>
        <w:rPr>
          <w:sz w:val="20"/>
          <w:szCs w:val="20"/>
          <w:color w:val="auto"/>
        </w:rPr>
      </w:pPr>
    </w:p>
    <w:p>
      <w:pPr>
        <w:ind w:left="360" w:hanging="151"/>
        <w:spacing w:after="0"/>
        <w:tabs>
          <w:tab w:leader="none" w:pos="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decreased demand for any drug candidates or therapeutics that we may develop;</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significant costs to defend the litigation;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360" w:hanging="151"/>
        <w:spacing w:after="0"/>
        <w:tabs>
          <w:tab w:leader="none" w:pos="3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inability to commercialize our drug candidates.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Although we maintain product liability insurance, including coverage for clinical trials that we sponsor, it may not be adequate to cover all liabilities that we may incur. We anticipate that we will need to increase our insurance coverage as we commence additional clinical trials and if we successfully commercialize any drug candidates. The market for insurance coverage can be challenging, and the costs of insurance coverage will increase as our clinical programs increase in size. We may not be able to maintain insurance coverage at a reasonable cost and with adequate limits to satisfy any and all liability that may arise.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245" w:lineRule="exact"/>
        <w:rPr>
          <w:sz w:val="20"/>
          <w:szCs w:val="20"/>
          <w:color w:val="auto"/>
        </w:rPr>
      </w:pPr>
    </w:p>
    <w:p>
      <w:pPr>
        <w:ind w:right="400"/>
        <w:spacing w:after="0" w:line="302" w:lineRule="auto"/>
        <w:rPr>
          <w:sz w:val="20"/>
          <w:szCs w:val="20"/>
          <w:color w:val="auto"/>
        </w:rPr>
      </w:pPr>
      <w:r>
        <w:rPr>
          <w:rFonts w:ascii="Arial" w:cs="Arial" w:eastAsia="Arial" w:hAnsi="Arial"/>
          <w:sz w:val="17"/>
          <w:szCs w:val="17"/>
          <w:b w:val="1"/>
          <w:bCs w:val="1"/>
          <w:i w:val="1"/>
          <w:iCs w:val="1"/>
          <w:color w:val="auto"/>
        </w:rPr>
        <w:t>Third parties that perform some of our research and preclinical testing or conduct our clinical trials may not perform satisfactorily or their agreements may be terminated.</w:t>
      </w:r>
    </w:p>
    <w:p>
      <w:pPr>
        <w:spacing w:after="0" w:line="15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currently rely, and expect to continue to rely, on third parties to conduct some aspects of research and preclinical testing and clinical trials. The third parties include CROs, clinical data management organizations, contract laboratories, medical institutions, and principal investigators. Any of these third parties may fail to fulfill their contractual obligations, including by not meeting deadlines for the completion of research, testing, or trials, or we or they may terminate their engagements with us. If any of our relationships with these third parties terminate, we may not be able to enter into arrangements with alternative third parties on commercially reasonable terms, or at all. If we need to enter into alternative arrangements, such negotiations could delay product development activities. Termination of or limitations on our relationships with foreign third parties can also occur if U.S. legislation, sanctions, trade restrictions, or other U.S. and foreign regulatory requirements, prohibitions or restrictions, limit or prevent our ability to enter into arrangements with such foreign third parties. For example, we currently rely on foreign CROs and CDMOs, including an affiliate/subsidiary of WuXi AppTec Co., Ltd. (WuXi AppTec) in China that has been listed as a biotechnology company “of concern” in proposed U.S. legislation known as the BIOSECURE Act. While the BIOSECURE Act as currently proposed would restrict purchasing of services or products from WuXi AppTec and other companies of concern in China, it would only impact U.S. companies that contract with or receive funding from the U.S. government, which means that our company would not be directly impacted by the BIOSECURE Act. As another example, the Department of Justice recently issued a final rule which takes effect in April 2025 that places limitations, and in some cases prohibitions, on certain transfers of sensitive personal data to business partners located in China or with other specified links to China (and other designated countries). These and other future further legislation, sanctions, or restrictions could adversely impact our current or future third-party arrangements with companies such as WuXi AppTec which could delay or impact clinical trials and consequently delay or obstruct successful commercialization of our drug candidates.</w:t>
      </w:r>
    </w:p>
    <w:p>
      <w:pPr>
        <w:spacing w:after="0" w:line="209"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Our reliance on third parties for research and development activities reduces our control over these activities, but does not relieve us of our responsibilities. For example, we remain responsible for ensuring that each of our respective clinical trials is conducted in accordance with the general investigational plan and protocols for the trial, as well as applicable legal, regulatory, and scientific standards. We also are required to register ongoing clinical trials and post the results of completed clinical trials on a government-sponsored database within certain timeframes. In addition, the FDA and comparable foreign regulatory authorities require compliance with good clinical practices (GCP) guidelines for conducting, recording, and reporting the results of clinical trials to assure that data and reported results are credible, reproducible, and accurate, and that the rights, integrity, and confidentiality of trial participants are protected. Regulatory authorities enforce GCP compliance through periodic inspections of trial sponsors, principal investigators, and trial sites.</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If we or any of the third parties fail to comply with applicable GCP regulations, some or all of the clinical data generated in our clinical trials may be deemed unreliable, and the FDA or comparable foreign regulatory authorities may require us to perform additional nonclinical or clinical trials or to enroll additional patients before approving our marketing applications. In addition, if we or the third parties fail to comply with our stated protocols or applicable laws and regulations during the conduct of clinical trials, we or the third parties could be subject to warning letters or enforcement actions by the FDA and comparable foreign regulatory authorities, which could result in civil penalties or criminal prosecution, as well as adverse publicity that harms our business.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ind w:right="540"/>
        <w:spacing w:after="0" w:line="271" w:lineRule="auto"/>
        <w:rPr>
          <w:sz w:val="20"/>
          <w:szCs w:val="20"/>
          <w:color w:val="auto"/>
        </w:rPr>
      </w:pPr>
      <w:r>
        <w:rPr>
          <w:rFonts w:ascii="Arial" w:cs="Arial" w:eastAsia="Arial" w:hAnsi="Arial"/>
          <w:sz w:val="17"/>
          <w:szCs w:val="17"/>
          <w:color w:val="auto"/>
        </w:rPr>
        <w:t>We also will not be able to obtain, or may be delayed in obtaining, marketing approvals for any drug candidates we may develop if these third parties do not successfully carry out their contractual duties, meet expected deadlines, or conduct clinical trials in accordance with our stated protocols or regulatory requirements. As a result, we may be delayed or unable to successfully commercialize our drug candidates.</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b w:val="1"/>
          <w:bCs w:val="1"/>
          <w:i w:val="1"/>
          <w:iCs w:val="1"/>
          <w:color w:val="auto"/>
        </w:rPr>
        <w:t>Third parties that manufacture our drug candidates for preclinical development, clinical testing, and future commercialization may not provide sufficient quantities of our drug candidates or products at an acceptable cost, which could delay, impair, or prevent our development or commercialization efforts.</w:t>
      </w:r>
    </w:p>
    <w:p>
      <w:pPr>
        <w:spacing w:after="0" w:line="17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We do not currently own or operate any manufacturing facilities and have no manufacturing personnel. We rely, and expect to continue to rely, on third parties for drug supplies for our clinical trials, the manufacture of many of our drug candidates for preclinical development and clinical testing, as well as the commercial manufacture of our products if any of our drug candidates receive marketing approval. We may be unable to establish necessary agreements with third-party manufacturers or to do so on acceptable terms. This reliance on third parties increases the risk that we will not have sufficient quantities of our drug candidates or products, or will not have sufficient quantities at an acceptable cost or quality, which could delay, impair, or prevent our development or commercialization efforts.</w:t>
      </w:r>
    </w:p>
    <w:p>
      <w:pPr>
        <w:spacing w:after="0" w:line="200" w:lineRule="exact"/>
        <w:rPr>
          <w:sz w:val="20"/>
          <w:szCs w:val="20"/>
          <w:color w:val="auto"/>
        </w:rPr>
      </w:pP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In addition, the facilities used by our contract manufacturers to manufacture our drug candidates must be inspected by the FDA pursuant to pre-approval inspections that will be conducted after we submit our marketing applications to the FDA. We do not expect to control the manufacturing process of, and will be completely dependent on, our contract manufacturers for compliance with current good manufacturing practice guidelines (cGMP) in connection with the manufacture of our drug candidates in the near to intermediate term, or possibly the long term. If our contract manufacturers cannot maintain adequate quality control and qualified personnel to successfully manufacture material that conforms to our specifications and the strict regulatory requirements of the FDA or others, including cGMP guidelines, they will not be able to pass regulatory inspections and/or maintain regulatory compliance for their manufacturing facilities.</w:t>
      </w:r>
    </w:p>
    <w:p>
      <w:pPr>
        <w:spacing w:after="0" w:line="199"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If the FDA or a comparable foreign regulatory authority finds deficiencies with, does not approve, or withdraws approval of these facilities for the manufacture of our drug candidates, we may need to find alternative manufacturing facilities, which would significantly impact our timelines and ability to develop, obtain regulatory approval for, or market our drug candidates, if approved. There are a limited number of manufacturers that operate under cGMP regulations and that might be capable of manufacturing for us. Our drug candidates and any other products that we may develop may compete with the drug candidates and approved products of other companies for access to manufacturing facilities or capacity, which may further restrict our ability to secure alternative manufacturing sites.</w:t>
      </w:r>
    </w:p>
    <w:p>
      <w:pPr>
        <w:spacing w:after="0" w:line="19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products that may be approved, operating restrictions, and criminal prosecutions, any of which could significantly and adversely affect our business, supplies of our drug candidates, and prospects.</w:t>
      </w:r>
    </w:p>
    <w:p>
      <w:pPr>
        <w:spacing w:after="0" w:line="194"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Even if we are able to establish agreements with third-party manufacturers, reliance on third-party manufacturers entails additional risks, including but not limited to the following:</w:t>
      </w:r>
    </w:p>
    <w:p>
      <w:pPr>
        <w:spacing w:after="0" w:line="172" w:lineRule="exact"/>
        <w:rPr>
          <w:sz w:val="20"/>
          <w:szCs w:val="20"/>
          <w:color w:val="auto"/>
        </w:rPr>
      </w:pPr>
    </w:p>
    <w:p>
      <w:pPr>
        <w:ind w:left="460" w:hanging="251"/>
        <w:spacing w:after="0"/>
        <w:tabs>
          <w:tab w:leader="none" w:pos="4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27"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Any performance failure on the part of our existing or future third-party manufacturers could delay clinical development or marketing approval. If it is necessary to replace any such third-party manufacturer, we may incur added costs and delays in identifying and qualifying any a replacement. In addition, any performance failure on the part of our distributors could delay clinical development or marketing approval of any drug candidates we may develop or seek to commercialize, producing additional losses and depriving us of product revenue.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Our current and anticipated future dependence upon others for the manufacture and distribution of our drug candidates or products may adversely affect our future profit margins and our ability to commercialize any products that receive marketing approval on a timely and competitive basis, if at all.</w:t>
      </w:r>
    </w:p>
    <w:p>
      <w:pPr>
        <w:spacing w:after="0" w:line="189" w:lineRule="exact"/>
        <w:rPr>
          <w:sz w:val="20"/>
          <w:szCs w:val="20"/>
          <w:color w:val="auto"/>
        </w:rPr>
      </w:pPr>
    </w:p>
    <w:p>
      <w:pPr>
        <w:ind w:right="380"/>
        <w:spacing w:after="0" w:line="302" w:lineRule="auto"/>
        <w:rPr>
          <w:sz w:val="20"/>
          <w:szCs w:val="20"/>
          <w:color w:val="auto"/>
        </w:rPr>
      </w:pPr>
      <w:r>
        <w:rPr>
          <w:rFonts w:ascii="Arial" w:cs="Arial" w:eastAsia="Arial" w:hAnsi="Arial"/>
          <w:sz w:val="17"/>
          <w:szCs w:val="17"/>
          <w:b w:val="1"/>
          <w:bCs w:val="1"/>
          <w:i w:val="1"/>
          <w:iCs w:val="1"/>
          <w:color w:val="auto"/>
        </w:rPr>
        <w:t>If we are unable to adequately source clinical and commercial supplies, equipment, and active pharmaceutical ingredients (API) from third party vendors as our drug development pipeline matures, our business could be significantly harmed.</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procure raw materials, components, parts, consumables, reagents, and equipment used in the development and operation of our platform and the development of our drug candidates from third party vendors. We also rely on third party vendors to perform quality testing. Particular risks to our platform include reliance on third-party equipment and instrument suppliers and consumable and reagent suppliers. As we increase development of drug products and commence clinical testing and commercialization, we will require expanded capacity across our supply chain. We face risks regarding our sourcing of products and quality-testing services, including but not limited to the following:</w:t>
      </w:r>
    </w:p>
    <w:p>
      <w:pPr>
        <w:spacing w:after="0" w:line="196" w:lineRule="exact"/>
        <w:rPr>
          <w:sz w:val="20"/>
          <w:szCs w:val="20"/>
          <w:color w:val="auto"/>
        </w:rPr>
      </w:pPr>
    </w:p>
    <w:p>
      <w:pPr>
        <w:ind w:left="380" w:right="880" w:hanging="222"/>
        <w:spacing w:after="0" w:line="263" w:lineRule="auto"/>
        <w:tabs>
          <w:tab w:leader="none" w:pos="37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inability of suppliers and service providers to grow their capacity to meet demand, whether from us or other drug manufacturers, particularly if the field of technology-enabled drug discovery continues to expand;</w:t>
      </w:r>
    </w:p>
    <w:p>
      <w:pPr>
        <w:ind w:left="380" w:hanging="222"/>
        <w:spacing w:after="0"/>
        <w:tabs>
          <w:tab w:leader="none" w:pos="3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termination or non-renewal of supply and service agreements with third parties in a manner or at a time that is costly or damaging to us;</w:t>
      </w:r>
    </w:p>
    <w:p>
      <w:pPr>
        <w:spacing w:after="0" w:line="10" w:lineRule="exact"/>
        <w:rPr>
          <w:rFonts w:ascii="Arial" w:cs="Arial" w:eastAsia="Arial" w:hAnsi="Arial"/>
          <w:sz w:val="17"/>
          <w:szCs w:val="17"/>
          <w:color w:val="auto"/>
        </w:rPr>
      </w:pPr>
    </w:p>
    <w:p>
      <w:pPr>
        <w:ind w:left="380" w:right="160" w:hanging="222"/>
        <w:spacing w:after="0" w:line="253" w:lineRule="auto"/>
        <w:tabs>
          <w:tab w:leader="none" w:pos="37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disruptions to the operations of these suppliers and service providers caused by conditions unrelated to our business or operations, including the bankruptcy of the supplier or service provider or force majeure events, such as public health crises, global political instability, natural disasters, supply chain issues, or warfare; and</w:t>
      </w:r>
    </w:p>
    <w:p>
      <w:pPr>
        <w:ind w:left="380" w:right="820" w:hanging="222"/>
        <w:spacing w:after="0" w:line="270" w:lineRule="auto"/>
        <w:tabs>
          <w:tab w:leader="none" w:pos="37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inspections of third-party facilities by regulatory authorities that could have a negative outcome and result in delays in, or termination of, their ability to meet our requirements.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Moreover, certain of our specialized equipment, as well as the API used in our drug candidates, are obtained from single-source suppliers. Our ability to successfully develop our drug candidates, and to ultimately supply our commercial products in quantities sufficient to meet the market demand, depends in part on our ability to obtain equipment and the API for these products in accordance with regulatory requirements and in sufficient quantities for clinical testing and commercialization. We do not currently have arrangements in place for a redundant or second-source supply of any such equipment or ingredients in the event any of our current suppliers fails or is unable to meet our requirements. While our single-source suppliers have generally met our demand for their products on a timely basis in the past, we are not certain that they will be able to meet our future demand, whether due to any of the above factors, the nature of our agreements with those suppliers, our limited experience with those suppliers, our relative importance as a customer, or any other reason. For all of our drug candidates, we intend to identify and qualify additional vendors and manufacturers, as available, to provide such equipment and API prior to our submission of an NDA to the FDA and/or an MAA to the EMA, which may require additional regulatory inspection or approval and result in further delay.</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Any interruption or delay in the supply of components, materials, specialized equipment, API, and quality-testing sources at acceptable prices and in a timely manner could impede, delay, limit, or prevent our development efforts, which could harm our business,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i w:val="1"/>
          <w:iCs w:val="1"/>
          <w:color w:val="auto"/>
        </w:rPr>
        <w:t>Our success significantly depends on our ability to obtain and maintain patents of adequate scope covering our proprietary technology and drug candidate products. Obtaining and maintaining patent assets is inherently challenging, and our pending and future patent applications may not issue with the scope we need, if at all.</w:t>
      </w:r>
    </w:p>
    <w:p>
      <w:pPr>
        <w:spacing w:after="0" w:line="174"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Our commercial success depends in significant part on our ability and the ability of our licensors and collaborators to obtain and maintain patent protection and other intellectual property rights in the United States and other countries relating to our drug product candidates and our core proprietary technologies important to the development and implementation of our business.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Patent prosecution is a complex, expensive, and lengthy process, with no guarantee that a patent will issue in a timely fashion or at all, or with sufficiently broad claims to protect our drug product candidates and proprietary technologies. Further, the laws and regulations for obtaining and maintaining patents are subject to change by legislative or judicial action in the relevant jurisdictions. The patent positions of pharmaceutical, biotechnology, and other life sciences companies in particular can be highly uncertain and involve complex legal and factual questions for which important legal principles remain unresolved. No consistent policy regarding the breadth of claims allowed in biotechnology patents has emerged to date in the U.S., and tests used for determining the patentability of patent claims in all technologies are in flux. The pharmaceutical, biotechnology, and other life sciences patent laws and regulations outside the U.S. can be even more uncertain. The U.S. Patent and Trademark Office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licensed patents may be challenged in the patent offices and courts in the United States and abroad. Third parties may invent, publish, or file patents of their own in ways which overlap or conflict with our patent rights. Moreover, even if unchallenged, our owned patent portfolio and any patent portfolio we license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drug candidates, but that has a different composition that falls outside the scope of our patent protection. In addition, patents have a limited lifespan. In the United States, the natural expiration of a patent is generally 20 years after its first effective, non-provisional filing date, and patents protecting drug candidates might expire before or shortly after the candidates are commercialized given the amount of time required for development, testing, and regulatory review. The various governmental patent agencies also require compliance with extensive rules and fee obligations. Failure to do so can, under certain circumstances, result in the abandonment of a patent application or the termination of patent rights. Non-compliance events that could result in abandonment or lapse of a patent or patent application include a failure to respond to official actions within prescribed time limits, non-payment of fees, and failure to properly legalize and submit formal documents.</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 xml:space="preserve">We have patent applications pending before the USPTO and other patent offices, and we plan to file new applications in the future. Patent offices may require us to significantly narrow our claims based upon prior art discovered by the USPTO or through third-party submissions. Moreover, we do not always have the right to control the preparation, filing, prosecution, and maintenance of licensed patents and applications under arrangements with collaborators or licensors. We may become involved in procedural challenges,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which could result in the narrowing or elimination of our patent rights or those of our licensors. This could limit our ability to stop others from freely using or commercializing similar or identical technology and products, or limit the duration of the patent protection covering our technology and drug candidates. Such challenges may also result in our inability to manufacture or commercialize our drug candidates without infringing third-party patent rights. Further, inadvertent or intentional public disclosures of our inventions prior to the filing of a patent application have precluded us, and in the future may preclude us, from obtaining patent protection in certain jurisdictions. We also could fail to identify patentable aspects of our technology and research and development output in time to obtain patent protection.</w:t>
      </w:r>
    </w:p>
    <w:p>
      <w:pPr>
        <w:spacing w:after="0" w:line="202"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We also currently own a number of U.S. provisional patent applications. These provisional applications are not eligible to become issued patents until, among other things, we file a non-provisional patent application within 12 months of filing one or more of our related provisional patent applications. If we do not timely file any non-provisional patent applications, we may lose our priority dates with respect to our provisional patent applications and any patent protection on the inventions disclosed in such applications.</w:t>
      </w:r>
    </w:p>
    <w:p>
      <w:pPr>
        <w:spacing w:after="0" w:line="19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Our current patent portfolio contains a limited number of patents and patent applications, some of which are in-licensed from third parties, related to our drug product candidates and methods of their use. While we license composition of matter patents for REC-4881 and REC-2282, we expect these patents to expire prior to commercial launch. We cannot be certain that any non-provisional patent applications we or our licensors may file will result in issued patent claims covering the composition of matter of REC-994, REC-2282, REC-4881, REC-3964, REC-617, REC-1245, REC-3565, or REC-4539.</w:t>
      </w:r>
    </w:p>
    <w:p>
      <w:pPr>
        <w:spacing w:after="0" w:line="196"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We cannot provide any assurances that any of our or our licensors’ pending or future patent applications will issue, or that any pending or future patent applications that mature into issued patents will include claims with a scope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sufficient to protect our drug candidates from competition. If we fail to obtain and maintain adequate intellectual property protection covering any technology, invention, or improvement that is important to our business, or if the scope of the patent protection obtained is not sufficiently broad, we may not be able to prevent third parties from launching generic versions of our products, from using our proprietary technologies, or from marketing products that are very similar or identical to ours. If the breadth or strength of protection provided by our patents and patent applications are threatened, it could also dissuade companies from collaborating with us to license, develop, or commercialize current or future drug candidates. This could have a material, adverse effect on our ability to successfully commercialize our technology and products, and on our business, results of operations, and prospects.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Our current proprietary position for certain drug product candidates depends upon our owned or in-licensed patent filings covering components of such drug product candidates, manufacturing-related methods, formulations, and/or methods of use, which may not adequately prevent a competitor or other third party from using the same drug candidate for the same or a different use.</w:t>
      </w:r>
    </w:p>
    <w:p>
      <w:pPr>
        <w:spacing w:after="0" w:line="174"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Composition of matter patent protection is generally considered to be desirable for drug products because it provides protection without regard to any particular method of use or manufacturing, or formulation. For some of the molecules that we in-license from our collaboration partners, we cannot rely on composition of matter patent protection as the term on those patents has already expired or is close to expiring.</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Method of use patents protect the use of a product for the specified method and formulation patents cover formulations to deliver therapeutics. While we file applications covering method of use for our programs at appropriate times in the development process, we cannot be certain that claims in any future patents issuing from these applications will cover all commercially-relevant applications of molecules in competing uses. These types of 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Additionally, some commercially-relevant jurisdictions do not allow for patents covering a new method of use of an otherwise-known molecule. Consequently, we may not be able to prevent third parties from practicing our inventions in the United States or abroad, which may have a material adverse effect on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and proprietary rights throughout the world.</w:t>
      </w:r>
    </w:p>
    <w:p>
      <w:pPr>
        <w:spacing w:after="0" w:line="11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Filing, prosecuting, maintaining, and defending patents related to our drug product candidates or other proprietary technologies we may develop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 rights or other intellectual property rights may not be effective or sufficient to prevent them from competing.</w:t>
      </w:r>
    </w:p>
    <w:p>
      <w:pPr>
        <w:spacing w:after="0" w:line="7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such as certain developing countries, do not favor the enforcement of patents, trade secrets and other intellectual property protection, particularly those relating to biotechnology products, which could make it difficult for us to stop the infringement of our patent rights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U.S. and other jurisdictions.</w:t>
      </w:r>
    </w:p>
    <w:p>
      <w:pPr>
        <w:spacing w:after="0" w:line="72"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Proceedings to enforce our intellectual property and proprietary rights in foreign jurisdictions could result in substantial costs and divert our efforts and attention from other aspects of our business, could put our patent rights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p>
      <w:pPr>
        <w:ind w:left="100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80"/>
        <w:spacing w:after="0" w:line="265" w:lineRule="auto"/>
        <w:rPr>
          <w:sz w:val="20"/>
          <w:szCs w:val="20"/>
          <w:color w:val="auto"/>
        </w:rPr>
      </w:pPr>
      <w:r>
        <w:rPr>
          <w:rFonts w:ascii="Arial" w:cs="Arial" w:eastAsia="Arial" w:hAnsi="Arial"/>
          <w:sz w:val="17"/>
          <w:szCs w:val="17"/>
          <w:color w:val="auto"/>
        </w:rPr>
        <w:t>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6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6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2012, the European Patent Package, or EU Patent Package, regulations were passed with the goal of providing a single pan-European Unitary Patent and a new European Unified Patent Court, or UPC, for litigation involving European patents. Implementation of the EU Patent Package began in June 2023, when the UPC opened for business. Under the UPC, all European patents, including those issued prior to ratification of the European Patent Package, will by default automatically fall under the jurisdiction of the UPC. The UPC provides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we have the right to opt our patents out of the UPC over the first seven years of the court’s existence, but doing so may preclude us from realizing the benefits of the new unified court.</w:t>
      </w:r>
    </w:p>
    <w:p>
      <w:pPr>
        <w:spacing w:after="0" w:line="201" w:lineRule="exact"/>
        <w:rPr>
          <w:sz w:val="20"/>
          <w:szCs w:val="20"/>
          <w:color w:val="auto"/>
        </w:rPr>
      </w:pPr>
    </w:p>
    <w:p>
      <w:pPr>
        <w:ind w:right="360"/>
        <w:spacing w:after="0" w:line="302"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drug product candidates we may develop, our business may be materially harmed.</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Depending upon the timing, duration, and specifics of any FDA marketing approval of any drug candidates we may develop, one or more of our U.S. patents may be eligible for limited patent term extension under the Drug Price Competition and Patent Term Restoration Action of 1984, referred to as the Hatch-Waxman Amendments. The Hatch-Waxman Amendments permit a patent extension term of up to five years as compensation for patent term lost during the FDA regulatory review process. A patent term extension cannot extend the remaining term of a patent beyond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7"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b w:val="1"/>
          <w:bCs w:val="1"/>
          <w:i w:val="1"/>
          <w:iCs w:val="1"/>
          <w:color w:val="auto"/>
        </w:rPr>
        <w:t>We may need to license certain intellectual property from third parties, and such licenses may not be available or may not be available on commercially reasonable terms.</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growth of our business may depend in part on our ability to acquire, in-license or use third-party intellectual property and proprietary rights. A third party may hold intellectual property that is important or necessary to the development of our products. It may be necessary for us to use the patented or proprietary technology of third parties to commercialize our products, in which case we would be required to obtain a license from these third. For example, when we explore repurposing molecules owned by our collaboration partners or other third parties, we in-license the rights to use those molecules for our use. In addition, our drug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 or other intellectual property rights we may co-own with third parties, we may require licenses to such co-owners’ interest to such patent or other intellectual property rights.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reasonable cost or on commercially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3" w:lineRule="exact"/>
        <w:rPr>
          <w:sz w:val="20"/>
          <w:szCs w:val="20"/>
          <w:color w:val="auto"/>
        </w:rPr>
      </w:pPr>
    </w:p>
    <w:p>
      <w:pPr>
        <w:ind w:right="520"/>
        <w:spacing w:after="0" w:line="270" w:lineRule="auto"/>
        <w:rPr>
          <w:sz w:val="20"/>
          <w:szCs w:val="20"/>
          <w:color w:val="auto"/>
        </w:rPr>
      </w:pPr>
      <w:r>
        <w:rPr>
          <w:rFonts w:ascii="Arial" w:cs="Arial" w:eastAsia="Arial" w:hAnsi="Arial"/>
          <w:sz w:val="17"/>
          <w:szCs w:val="17"/>
          <w:color w:val="auto"/>
        </w:rPr>
        <w:t>If we are not able to obtain a license, or to obtain one on commercially reasonable terms and with sufficient breadth to cover the intended use of third-party intellectual property, our business could be materially harmed.</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related to the products or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typically not published until 18 months after filing or until issuance, or in some cases not at all, we cannot be certain that we were the first to either (i) file any patent application related to our therapeutic and diagnostic programs and other proprietary technologies we may develop or (ii) invent any of the inventions claimed in our owned or in-licensed patent applications.</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 xml:space="preserve">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patents issuing from those patent applications, all of which could have a material adverse effect on our business, financial condition, results of operations and prospects.</w:t>
      </w:r>
    </w:p>
    <w:p>
      <w:pPr>
        <w:spacing w:after="0" w:line="20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In addition, the patent positions of companies in the development and commercialization of pharmaceuticals are particularly uncertain. Recent U.S. Supreme Court rulings have narrowed the scope of patent protection available in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 xml:space="preserve">certain circumstances and weakened the rights of patent owners in certain situations. For example, U.S. Supreme Court rulings, such as </w:t>
      </w:r>
      <w:r>
        <w:rPr>
          <w:rFonts w:ascii="Arial" w:cs="Arial" w:eastAsia="Arial" w:hAnsi="Arial"/>
          <w:sz w:val="17"/>
          <w:szCs w:val="17"/>
          <w:u w:val="single" w:color="auto"/>
          <w:color w:val="auto"/>
        </w:rPr>
        <w:t>Amgen</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 v. Sanofi</w:t>
      </w:r>
      <w:r>
        <w:rPr>
          <w:rFonts w:ascii="Arial" w:cs="Arial" w:eastAsia="Arial" w:hAnsi="Arial"/>
          <w:sz w:val="17"/>
          <w:szCs w:val="17"/>
          <w:color w:val="auto"/>
        </w:rPr>
        <w:t>, 598 U.S. 594, 143 S. Ct. 1243 (2023), may limit the breadth of certain genus patent claims covering composition of matter of pharmaceutical products if enough compounds with shared claimed features are not provided. As such, we cannot guarantee that we will be able to obtain patents covering our drug product candidates. These cases and others like them have created uncertainty with respect to the validity and enforceability of patents, once obtained. Depending on future actions by the U.S. Congress, the federal courts and the USPTO, the laws and regulations governing patents could change in unpredictable ways. In addition, the complexity and uncertainty of European patent laws have also increased in recent years. Any of the foregoing could have a material adverse effect on our owned and in-licensed patent portfolio and our ability to protect and enforce our intellectual property in the future.</w:t>
      </w:r>
    </w:p>
    <w:p>
      <w:pPr>
        <w:spacing w:after="0" w:line="201" w:lineRule="exact"/>
        <w:rPr>
          <w:sz w:val="20"/>
          <w:szCs w:val="20"/>
          <w:color w:val="auto"/>
        </w:rPr>
      </w:pPr>
    </w:p>
    <w:p>
      <w:pPr>
        <w:ind w:right="280"/>
        <w:spacing w:after="0" w:line="302" w:lineRule="auto"/>
        <w:rPr>
          <w:sz w:val="20"/>
          <w:szCs w:val="20"/>
          <w:color w:val="auto"/>
        </w:rPr>
      </w:pPr>
      <w:r>
        <w:rPr>
          <w:rFonts w:ascii="Arial" w:cs="Arial" w:eastAsia="Arial" w:hAnsi="Arial"/>
          <w:sz w:val="17"/>
          <w:szCs w:val="17"/>
          <w:b w:val="1"/>
          <w:bCs w:val="1"/>
          <w:i w:val="1"/>
          <w:iCs w:val="1"/>
          <w:color w:val="auto"/>
        </w:rPr>
        <w:t>Issued patents covering our drug product candidates and proprietary technology that we have developed or may develop in the future could be found invalid or unenforceable if challenged in court or before administrative bodies in the United States or abroad.</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patent rights may be subject to priority, validity, inventorship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our licensors are unsuccessful in any of these proceedings, such patents and patent applications may be narrowed, invalidated or held unenforceable, we may be required to obtain licenses from third parties, which may not be available on commercially reasonable terms or at all, or we may be required to cease the development, manufacture or commercialization of our product candidates. Any of the foregoing could have a material adverse effect on our business, financial condition, results of operations and prospects.</w:t>
      </w:r>
    </w:p>
    <w:p>
      <w:pPr>
        <w:spacing w:after="0" w:line="19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 xml:space="preserve">If we or one of our licensors initiated legal proceedings against a third party to enforce a patent covering our drug product candidates or methods of their use, or other proprietary technologies, we may develop,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derivation proceedings, and equivalent proceedings in foreign jurisdictions (e.g., opposition proceedings). Such proceedings could result in the revocation of, cancellation of or amendment to our patent rights in such a way that they no longer cover our drug product candidates or methods of their use, and other proprietary technologies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drug product candidates or methods of their use, or other proprietary technologies, that we may develop. Such a loss of patent protection would have a material adverse impact on our business, financial condition, results of operations and prospects.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owned or in-licensed patent rights and other intellectual property.</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therapeutic and diagnostic programs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therapeutic and diagnostic programs and other proprietary technologies we may develop. Even if we are successful in defending against such claims, litigation could result in substantial costs and be a distraction to</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our management and other employees. Any of the foregoing could have a material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24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degree of future protection afforded by our intellectual property rights, and particularly those arising from patents, is uncertain because these rights have limitations and may not adequately protect our business or permit us to maintain our competitive advantage. Examples where our intellectual property rights may not further our competitive advantage include but are not limited to the following:</w:t>
      </w:r>
    </w:p>
    <w:p>
      <w:pPr>
        <w:spacing w:after="0" w:line="189" w:lineRule="exact"/>
        <w:rPr>
          <w:sz w:val="20"/>
          <w:szCs w:val="20"/>
          <w:color w:val="auto"/>
        </w:rPr>
      </w:pPr>
    </w:p>
    <w:p>
      <w:pPr>
        <w:ind w:left="380" w:right="1000" w:hanging="171"/>
        <w:spacing w:after="0" w:line="263" w:lineRule="auto"/>
        <w:tabs>
          <w:tab w:leader="none" w:pos="37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others may be able to duplicate or utilize similar technology in a manner that infringes our patents but is undetectable or done in a jurisdiction where we have not secured, or cannot secure or enforce, patent rights;</w:t>
      </w:r>
    </w:p>
    <w:p>
      <w:pPr>
        <w:ind w:left="380" w:right="800" w:hanging="171"/>
        <w:spacing w:after="0" w:line="253" w:lineRule="auto"/>
        <w:tabs>
          <w:tab w:leader="none" w:pos="37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we, or our licensing partners or collaborators, might not have been the first to make the inventions covered by our owned or licensed current or future patent applications;</w:t>
      </w:r>
    </w:p>
    <w:p>
      <w:pPr>
        <w:ind w:left="380" w:hanging="171"/>
        <w:spacing w:after="0"/>
        <w:tabs>
          <w:tab w:leader="none" w:pos="3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we, or our licensing partners or collaborators, might not have been the first to file patent applications covering our or their inventions;</w:t>
      </w:r>
    </w:p>
    <w:p>
      <w:pPr>
        <w:spacing w:after="0" w:line="10" w:lineRule="exact"/>
        <w:rPr>
          <w:rFonts w:ascii="Arial" w:cs="Arial" w:eastAsia="Arial" w:hAnsi="Arial"/>
          <w:sz w:val="17"/>
          <w:szCs w:val="17"/>
          <w:color w:val="auto"/>
        </w:rPr>
      </w:pPr>
    </w:p>
    <w:p>
      <w:pPr>
        <w:ind w:left="360" w:right="480" w:hanging="151"/>
        <w:spacing w:after="0" w:line="253" w:lineRule="auto"/>
        <w:tabs>
          <w:tab w:leader="none" w:pos="35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owned or licensed intellectual property rights;</w:t>
      </w:r>
    </w:p>
    <w:p>
      <w:pPr>
        <w:ind w:left="380" w:hanging="145"/>
        <w:spacing w:after="0"/>
        <w:tabs>
          <w:tab w:leader="none" w:pos="38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it is possible that our owned or licensed current or future patent applications will not lead to issued patents;</w:t>
      </w:r>
    </w:p>
    <w:p>
      <w:pPr>
        <w:spacing w:after="0" w:line="10" w:lineRule="exact"/>
        <w:rPr>
          <w:rFonts w:ascii="Arial" w:cs="Arial" w:eastAsia="Arial" w:hAnsi="Arial"/>
          <w:sz w:val="17"/>
          <w:szCs w:val="17"/>
          <w:color w:val="auto"/>
        </w:rPr>
      </w:pPr>
    </w:p>
    <w:p>
      <w:pPr>
        <w:ind w:left="380" w:right="560" w:hanging="145"/>
        <w:spacing w:after="0" w:line="253" w:lineRule="auto"/>
        <w:tabs>
          <w:tab w:leader="none" w:pos="37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any patent issuing from our owned or licensed current or future patent applications may be held invalid or unenforceable, including as a result of legal challenges by our competitors or other third parties, or may not provide us with any competitive advantages;</w:t>
      </w:r>
    </w:p>
    <w:p>
      <w:pPr>
        <w:ind w:left="380" w:right="500" w:hanging="171"/>
        <w:spacing w:after="0" w:line="253" w:lineRule="auto"/>
        <w:tabs>
          <w:tab w:leader="none" w:pos="37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ind w:left="380" w:hanging="171"/>
        <w:spacing w:after="0"/>
        <w:tabs>
          <w:tab w:leader="none" w:pos="3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or our licensors’ patents;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patents or pending or future patent applications of others, if issued, may harm our business; and</w:t>
      </w:r>
    </w:p>
    <w:p>
      <w:pPr>
        <w:spacing w:after="0" w:line="10" w:lineRule="exact"/>
        <w:rPr>
          <w:rFonts w:ascii="Arial" w:cs="Arial" w:eastAsia="Arial" w:hAnsi="Arial"/>
          <w:sz w:val="17"/>
          <w:szCs w:val="17"/>
          <w:color w:val="auto"/>
        </w:rPr>
      </w:pPr>
    </w:p>
    <w:p>
      <w:pPr>
        <w:ind w:left="380" w:right="900" w:hanging="171"/>
        <w:spacing w:after="0" w:line="270" w:lineRule="auto"/>
        <w:tabs>
          <w:tab w:leader="none" w:pos="37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trade secrets or know-how, and a third party may subsequently file a patent covering such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have a material, adverse effect on our business, results of operations, and prospects.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know-how, our business and competitive position may be harmed.</w:t>
      </w:r>
    </w:p>
    <w:p>
      <w:pPr>
        <w:spacing w:after="0" w:line="243"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In addition to the protection afforded by patents, we rely on trade secret protection and contractual arrangements to protect proprietary know-how, information, and technology that is not covered by our patents. With respect to curating our data and our library of small molecules generally, we consider trade secrets and know-how to be our primary intellectual property. Unpatented proprietary rights, including trade secrets and know-how, can be difficult to protect and may lose their value if their secrecy is lost or if they are independently developed by a third party.</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seek to protect our proprietary technology and processes, in part, by entering into non-disclosure and confidentiality agreements with parties that have access to them, including our collaborators, scientific advisors, employees, and consultants. We cannot guarantee that we have entered into such agreements with each party that may have or have had access to our trade secrets or proprietary technology and processes. Our agreements with our employees and consultants also require them to acknowledge ownership by us of inventions they may conceive as a result of their work for us and to perfect such ownership by assignment. However, we may not be able to prevent the unauthorized disclosure or use of our trade secrets or other confidential information through these agreements or other preventative measures. In addition, third parties, including our competitors, could independently develop and lawfully use the same or substantially equivalent trade secrets and know-how.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color w:val="auto"/>
        </w:rPr>
        <w:t>information to compete with us. Any loss of trade secret protection or other unpatented proprietary rights could harm our business, results of operations, financial condition, and prospects.</w:t>
      </w:r>
    </w:p>
    <w:p>
      <w:pPr>
        <w:spacing w:after="0" w:line="17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00" w:lineRule="exact"/>
        <w:rPr>
          <w:sz w:val="20"/>
          <w:szCs w:val="20"/>
          <w:color w:val="auto"/>
        </w:rPr>
      </w:pPr>
    </w:p>
    <w:p>
      <w:pPr>
        <w:spacing w:after="0" w:line="211" w:lineRule="exact"/>
        <w:rPr>
          <w:sz w:val="20"/>
          <w:szCs w:val="20"/>
          <w:color w:val="auto"/>
        </w:rPr>
      </w:pPr>
    </w:p>
    <w:p>
      <w:pPr>
        <w:ind w:right="360"/>
        <w:spacing w:after="0" w:line="302"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adversely affect our ability to develop and market our drug product candidates.</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and future products and product candidates in any jurisdiction.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drug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third-party patent is invalid and unenforceable. Our failure to identify and correctly interpret relevant patents may negatively impact our ability to develop and market our drug product candidates. Any of the foregoing could have a material adverse effect on our business, financial condition, results of operations and prospects.</w:t>
      </w:r>
    </w:p>
    <w:p>
      <w:pPr>
        <w:spacing w:after="0" w:line="207"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b w:val="1"/>
          <w:bCs w:val="1"/>
          <w:i w:val="1"/>
          <w:iCs w:val="1"/>
          <w:color w:val="auto"/>
        </w:rPr>
        <w:t>We may be subject to claims that we or our employees have wrongfully used or disclosed alleged trade secrets of third parties or are in breach of their non-competition or non-solicitation agreements with third parties.</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take efforts intended to ensure that our employees and consultants do not use the intellectual property, proprietary information, know-how, or trade secrets of others in their work for us, or breach any applicable non-competition or non-solicitation agreement. However, we may in the future be subject to claims that we or these individuals have, inadvertently or otherwise, used or disclosed the alleged trade secrets or other proprietary information of a third party, including a former employer or competitor, or that we caused an employee or contractor to breach the terms of their non-competition or non-solicitation agreement with a third party. In addition, while it is our policy to require our employees and contractors who may be involved in the conception or development of intellectual property to execute agreements assigning such intellectual property to us, we may be unsuccessful in obtaining such agreements or an assignment of rights to us.</w:t>
      </w:r>
    </w:p>
    <w:p>
      <w:pPr>
        <w:spacing w:after="0" w:line="19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Litigation may be necessary to defend against or enforce these claims, which may be costly, a distraction to management, and of uncertain outcome. If we are found liable for disclosure or misuse of a third party’s proprietary information, or if we are unable to secure rights to intellectual property developed by an employee or contractor a court could prohibit us from using technologies or features that may be essential to our drug candidates that incorporate or are derived from such proprietary information, in addition to awarding damages. Moreover, any such litigation could also adversely affect our ability to hire or retain employees or contractors. If we are unable to establish our rights to valuable intellectual property or retain key personnel, this failure may prevent us from successfully commercializing our drug candidates and have an adverse effect on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Litigation to defend against third party claims of intellectual property infringement, misappropriation or other violations against us or our collaborators, or to enforce our intellectual property rights or the intellectual property rights of our collaborators, presents numerous risks.</w:t>
      </w:r>
    </w:p>
    <w:p>
      <w:pPr>
        <w:spacing w:after="0" w:line="174"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auto"/>
        </w:rPr>
        <w:t>The biotechnology and pharmaceutical industries are characterized by extensive and frequent litigation regarding patents and other intellectual property rights. Intellectual property litigation or other legal proceedings, with or without merit, is generally expensive and time consuming, potentially distracting to technical and management personnel, and subject to uncertain outcomes.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w:t>
      </w:r>
    </w:p>
    <w:p>
      <w:pPr>
        <w:spacing w:after="0" w:line="19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product candidates, and to use our proprietary technologies, without infringing, misappropriating, or otherwise violating the intellectual property or proprietary rights of third parties. Given the vast and continually increasing number of patents in our field of technology, we cannot be certain that we do not infringe existing patents or that we will not infringe patents granted in the future. We may in the future become party to, or threatened with, litigation or adversarial proceedings initiated by our competitors or other third parties alleging that our products or technologies are covered by their patents.</w:t>
      </w:r>
    </w:p>
    <w:p>
      <w:pPr>
        <w:spacing w:after="0" w:line="200" w:lineRule="exact"/>
        <w:rPr>
          <w:sz w:val="20"/>
          <w:szCs w:val="20"/>
          <w:color w:val="auto"/>
        </w:rPr>
      </w:pPr>
    </w:p>
    <w:p>
      <w:pPr>
        <w:spacing w:after="0" w:line="20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Many companies have obtained patents or filed patent applications in areas important to our business, including artificial intelligence and deep learning, technology-aided drug discovery, CRISPR, high-throughput screening, and combinations of any or all of these fields. For example, we sublicense CRISPR-Cas9 gene editing technology from a licensed vendor, which provides critical tools upon which portions of our drug discovery process relies. CRISPR-Cas9 gene editing is a field that is highly active for patent filings and there are ongoing disputes between third parties, which we are not party to, regarding the ownership of and licensing rights related to the technology. The extensive patent filings related to CRISPR and Cas make it difficult for us to assess the full extent of relevant patents and pending applications that may cover this technology, and there may be third-party patents, or pending patent applications with claims that may issue in the future, covering our use of CRISPR-Cas9.</w:t>
      </w:r>
    </w:p>
    <w:p>
      <w:pPr>
        <w:spacing w:after="0" w:line="19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If we or our collaborators are found to infringe a third party’s patent or other intellectual property rights, such determination could result in significant damages and costs including treble damages and attorneys’ fees for willful infringement or royalties. In the event of a successful infringement claim against us or our collaborators, we may have to redesign the infringing products or technologies, which may be impossible or require substantial time and monetary expenditure. In addition, we could be required to obtain a license from such third party to continue developing and marketing our drug product candidates or other proprietary technology, which may not be available on commercially reasonable terms or at all, or to cease developing and commercializing the infringing technology or drug product candidates altogether. If we are prevented from commercializing our drug product candidates or forced to cease some of our business operations, this restriction could materially harm our reputation and have a significant adverse impact on our business, results of operations, and prospects.</w:t>
      </w:r>
    </w:p>
    <w:p>
      <w:pPr>
        <w:spacing w:after="0" w:line="201"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We may initiate litigation, or file counterclaims, to protect or enforce our patents and other intellectual property rights if we believe competitors or other third parties have infringed, misappropriated, or otherwise violated our intellectual property rights or the intellectual property rights of our collaborators in certain circumstances. Our ability to enforce our intellectual property rights or the intellectual property rights of our collaborators is subject to litigation risks, including that the opposing party may seek counterclaims against us, as well as uncertainty as to the protection and enforceability of those rights in some countries. If we seek to enforce our patents or the patents of our collaborators, we may be subject to findings that these patents should be interpreted narrowly and do not cover the technology at issue, or that these patents are invalid or unenforceable. If we are unable to enforce and protect our intellectual property rights or the intellectual property rights of our collaborators, or if they are circumvented, invalidated, or rendered obsolete by the rapid pace of technological change, it could have an adverse impact on our competitive position, business, financial position, and prospects.</w:t>
      </w:r>
    </w:p>
    <w:p>
      <w:pPr>
        <w:spacing w:after="0" w:line="205" w:lineRule="exact"/>
        <w:rPr>
          <w:sz w:val="20"/>
          <w:szCs w:val="20"/>
          <w:color w:val="auto"/>
        </w:rPr>
      </w:pPr>
    </w:p>
    <w:p>
      <w:pPr>
        <w:ind w:right="780"/>
        <w:spacing w:after="0" w:line="265" w:lineRule="auto"/>
        <w:rPr>
          <w:sz w:val="20"/>
          <w:szCs w:val="20"/>
          <w:color w:val="auto"/>
        </w:rPr>
      </w:pPr>
      <w:r>
        <w:rPr>
          <w:rFonts w:ascii="Arial" w:cs="Arial" w:eastAsia="Arial" w:hAnsi="Arial"/>
          <w:sz w:val="17"/>
          <w:szCs w:val="17"/>
          <w:color w:val="auto"/>
        </w:rPr>
        <w:t>Competing products may also be sold in other countries in which our patent coverage might not exist or might not be as strong. The legal systems of some countries do not favor the enforcement of patents and other intellectual property rights, and other jurisdictions may have limited enforcement rights for patent holders. This could make it difficult for us to stop the infringement of our patents, if obtained, or the misappropriation of our</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color w:val="auto"/>
        </w:rPr>
        <w:t>other intellectual property rights in other countries. Consequently, we and our licensors or collaborators may have limited remedies in those foreign countries if patents are infringed, or we or our licensors may be compelled to grant a license to a third party, which could materially diminish the value of those patents and could limit our potential revenue opportunities. In addition, competitors may use our technologies to develop their own products that compete with ours in jurisdictions where we have not obtained patent protection or where we have patent protection but limited enforcement rights. Accordingly, our efforts to protect our intellectual property rights in such countries may be inadequate to obtain a significant commercial advantage from the intellectual property that we own or license.</w:t>
      </w:r>
    </w:p>
    <w:p>
      <w:pPr>
        <w:spacing w:after="0" w:line="199"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w:t>
      </w:r>
    </w:p>
    <w:p>
      <w:pPr>
        <w:spacing w:after="0" w:line="194"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b w:val="1"/>
          <w:bCs w:val="1"/>
          <w:i w:val="1"/>
          <w:iCs w:val="1"/>
          <w:color w:val="auto"/>
        </w:rPr>
        <w:t>If we fail to comply with our obligations in the agreements under which we collaborate with or license intellectual property rights from third parties, if the licenses are terminated, if a dispute regarding these licenses arises, or we otherwise experience disruptions to our business relationships with our collaborators or licensors, we could lose rights that are important to our business.</w:t>
      </w:r>
    </w:p>
    <w:p>
      <w:pPr>
        <w:spacing w:after="0" w:line="17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license certain intellectual property that is important to our business and, in the future, we may enter into additional agreements that provide us with licenses to valuable intellectual property or technology. Our current license agreements impose, and we expect our future license agreements will impose, various development, diligence, commercialization, and other obligations on us in order to maintain the licenses. In spite of our efforts, a licensor might conclude that we have materially breached our obligations under a license agreement and seek to terminate the agreement, thereby removing or limiting our ability to develop and commercialize products and technology covered by the agreement.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development and commercialization of certain of our drug candidates. Any of the foregoing could have a material adverse effect on our competitive position, business, financial conditions, results of operations, and prospects.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 but not limited to the following:</w:t>
      </w:r>
    </w:p>
    <w:p>
      <w:pPr>
        <w:spacing w:after="0" w:line="243" w:lineRule="exact"/>
        <w:rPr>
          <w:sz w:val="20"/>
          <w:szCs w:val="20"/>
          <w:color w:val="auto"/>
        </w:rPr>
      </w:pPr>
    </w:p>
    <w:p>
      <w:pPr>
        <w:ind w:left="360" w:hanging="151"/>
        <w:spacing w:after="0"/>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26" w:lineRule="exact"/>
        <w:rPr>
          <w:rFonts w:ascii="Arial" w:cs="Arial" w:eastAsia="Arial" w:hAnsi="Arial"/>
          <w:sz w:val="17"/>
          <w:szCs w:val="17"/>
          <w:color w:val="auto"/>
        </w:rPr>
      </w:pPr>
    </w:p>
    <w:p>
      <w:pPr>
        <w:ind w:left="360" w:right="80" w:hanging="151"/>
        <w:spacing w:after="0" w:line="253" w:lineRule="auto"/>
        <w:tabs>
          <w:tab w:leader="none" w:pos="35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whether and the extent to which our technology and processes infringe, misappropriate or otherwise violate intellectual property of the licensor that is not subject to the licensing agreement;</w:t>
      </w:r>
    </w:p>
    <w:p>
      <w:pPr>
        <w:ind w:left="360" w:hanging="151"/>
        <w:spacing w:after="0"/>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0" w:lineRule="exact"/>
        <w:rPr>
          <w:rFonts w:ascii="Arial" w:cs="Arial" w:eastAsia="Arial" w:hAnsi="Arial"/>
          <w:sz w:val="17"/>
          <w:szCs w:val="17"/>
          <w:color w:val="auto"/>
        </w:rPr>
      </w:pPr>
    </w:p>
    <w:p>
      <w:pPr>
        <w:ind w:left="360" w:right="100" w:hanging="151"/>
        <w:spacing w:after="0" w:line="253" w:lineRule="auto"/>
        <w:tabs>
          <w:tab w:leader="none" w:pos="35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w:t>
      </w:r>
    </w:p>
    <w:p>
      <w:pPr>
        <w:ind w:left="360" w:hanging="151"/>
        <w:spacing w:after="0"/>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our right to transfer or assign the license agreement; and</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227"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The agreements under which we license intellectual property or technology from third parties are, and future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it could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drug candidates, which could have a material adverse effect on our business, financial conditions, results of operations, and prospects.</w:t>
      </w:r>
    </w:p>
    <w:p>
      <w:pPr>
        <w:spacing w:after="0" w:line="201" w:lineRule="exact"/>
        <w:rPr>
          <w:sz w:val="20"/>
          <w:szCs w:val="20"/>
          <w:color w:val="auto"/>
        </w:rPr>
      </w:pPr>
    </w:p>
    <w:p>
      <w:pPr>
        <w:ind w:right="560"/>
        <w:spacing w:after="0" w:line="271" w:lineRule="auto"/>
        <w:rPr>
          <w:sz w:val="20"/>
          <w:szCs w:val="20"/>
          <w:color w:val="auto"/>
        </w:rPr>
      </w:pPr>
      <w:r>
        <w:rPr>
          <w:rFonts w:ascii="Arial" w:cs="Arial" w:eastAsia="Arial" w:hAnsi="Arial"/>
          <w:sz w:val="17"/>
          <w:szCs w:val="17"/>
          <w:color w:val="auto"/>
        </w:rPr>
        <w:t>These and similar issues may arise with respect to our collaboration agreements, such as the Bayer Agreement and the Roche Genentech Agreement. The Bayer Agreement, the Roche Genentech Agreement, the Merck Agreement, and the Sanofi Agreement are some of our key collaborations, and there is no assurance that these collaborations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will continue past their current terms, on favorable terms or at all, or that at any time while the collaborations are in effect the parties will operate under the agreements without disputes.</w:t>
      </w:r>
    </w:p>
    <w:p>
      <w:pPr>
        <w:spacing w:after="0" w:line="172"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b w:val="1"/>
          <w:bCs w:val="1"/>
          <w:i w:val="1"/>
          <w:iCs w:val="1"/>
          <w:color w:val="auto"/>
        </w:rPr>
        <w:t>Some of our intellectual property has been, and in the future may be, discovered through government-funded programs and thus may be subject to federal regulations such as “march-in” rights, certain reporting requirements, and a preference for U.S.-based companies, and compliance with such regulations may limit our exclusive rights and our ability to contract with non-U.S. manufacturers.</w:t>
      </w:r>
    </w:p>
    <w:p>
      <w:pPr>
        <w:spacing w:after="0" w:line="174"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Our intellectual property rights may be subject to a reservation of rights by one or more third parties. For example, certain intellectual property rights that we have licensed, or may in the future license, have been generated through the use of U.S. government funding. As a result, the U.S. government may have certain rights to intellectual property embodied in our current or future processes and related products and services.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the U.S. government determines that (1) adequate steps have not been taken to commercialize the invention and achieve practical application of the government-funded technology, (2) government action is necessary to meet public health or safety needs, (3) government action is necessary to meet requirements for public use under federal regulations or (4) we have failed to meet requirements of federal regulations (also collectively referred to as “march-in rights”).</w:t>
      </w:r>
    </w:p>
    <w:p>
      <w:pPr>
        <w:spacing w:after="0" w:line="20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U.S. government also has the right to take title to these inventions if we or our licensors fail to disclose the invention to the government or fail to file an application to register the intellectual property within specified time limits. These rights may permit the U.S. government to disclose our confidential information to third parties. In addition, our rights in such inventions may be subject to requirements to manufacture products embodying such inventions in the United States. Intellectual property generated under a government-funded program is also subject to certain reporting requirements, compliance with which may require us to expend substantial resources.</w:t>
      </w:r>
    </w:p>
    <w:p>
      <w:pPr>
        <w:spacing w:after="0" w:line="196" w:lineRule="exact"/>
        <w:rPr>
          <w:sz w:val="20"/>
          <w:szCs w:val="20"/>
          <w:color w:val="auto"/>
        </w:rPr>
      </w:pPr>
    </w:p>
    <w:p>
      <w:pPr>
        <w:ind w:right="840"/>
        <w:spacing w:after="0" w:line="290" w:lineRule="auto"/>
        <w:rPr>
          <w:sz w:val="20"/>
          <w:szCs w:val="20"/>
          <w:color w:val="auto"/>
        </w:rPr>
      </w:pPr>
      <w:r>
        <w:rPr>
          <w:rFonts w:ascii="Arial" w:cs="Arial" w:eastAsia="Arial" w:hAnsi="Arial"/>
          <w:sz w:val="17"/>
          <w:szCs w:val="17"/>
          <w:color w:val="auto"/>
        </w:rPr>
        <w:t>Any exercise by the U.S. government of such rights could have a material adverse effect on our competitive position, business, results of operations, financial condition, and prospects.</w:t>
      </w:r>
    </w:p>
    <w:p>
      <w:pPr>
        <w:spacing w:after="0" w:line="172" w:lineRule="exact"/>
        <w:rPr>
          <w:sz w:val="20"/>
          <w:szCs w:val="20"/>
          <w:color w:val="auto"/>
        </w:rPr>
      </w:pPr>
    </w:p>
    <w:p>
      <w:pPr>
        <w:ind w:right="340"/>
        <w:spacing w:after="0" w:line="302"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our intellectual property may be ineffective and could result in substantial costs and diversion of resources and could adversely affect our business, financial condition, results of operations, and prospects.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ACQUISITIONS</w:t>
      </w:r>
    </w:p>
    <w:p>
      <w:pPr>
        <w:spacing w:after="0" w:line="245" w:lineRule="exact"/>
        <w:rPr>
          <w:sz w:val="20"/>
          <w:szCs w:val="20"/>
          <w:color w:val="auto"/>
        </w:rPr>
      </w:pPr>
    </w:p>
    <w:p>
      <w:pPr>
        <w:ind w:right="600"/>
        <w:spacing w:after="0" w:line="302" w:lineRule="auto"/>
        <w:rPr>
          <w:sz w:val="20"/>
          <w:szCs w:val="20"/>
          <w:color w:val="auto"/>
        </w:rPr>
      </w:pPr>
      <w:r>
        <w:rPr>
          <w:rFonts w:ascii="Arial" w:cs="Arial" w:eastAsia="Arial" w:hAnsi="Arial"/>
          <w:sz w:val="17"/>
          <w:szCs w:val="17"/>
          <w:b w:val="1"/>
          <w:bCs w:val="1"/>
          <w:i w:val="1"/>
          <w:iCs w:val="1"/>
          <w:color w:val="auto"/>
        </w:rPr>
        <w:t>The failure to integrate successfully the businesses of Recursion and Exscientia in the expected timeframe would adversely affect Recursion’s future business and financial performance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combination of two independent companies is a complex, costly and time-consuming process. As a result, the combined company will be required to devote significant management attention and resources to integrate the business practices and operations of Exscientia and Recursion. The integration process may disrupt the business of either or both of the companies and, if implemented ineffectively, could preclude realization of the full benefits expected by Exscientia and Recursion business combination. The failure of Recursion to meet the challenges involved in successfully integrating the operations of Exscientia and Recursion or otherwise to realize the anticipated benefits of the business combination could cause an interruption of the activities of Recursion and could seriously harm its results of operations. In addition, the overall integration of the two companies may result in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ind w:right="560"/>
        <w:spacing w:after="0" w:line="271" w:lineRule="auto"/>
        <w:rPr>
          <w:sz w:val="20"/>
          <w:szCs w:val="20"/>
          <w:color w:val="auto"/>
        </w:rPr>
      </w:pPr>
      <w:r>
        <w:rPr>
          <w:rFonts w:ascii="Arial" w:cs="Arial" w:eastAsia="Arial" w:hAnsi="Arial"/>
          <w:sz w:val="17"/>
          <w:szCs w:val="17"/>
          <w:color w:val="auto"/>
        </w:rPr>
        <w:t>material unanticipated problems, expenses, liabilities, competitive responses, loss of customer relationships and diversion of management’s attention, and may cause Recursion’s stock price to decline. The difficulties of combining the operations of Recursion and Exscientia include, among others:</w:t>
      </w:r>
    </w:p>
    <w:p>
      <w:pPr>
        <w:spacing w:after="0" w:line="163" w:lineRule="exact"/>
        <w:rPr>
          <w:sz w:val="20"/>
          <w:szCs w:val="20"/>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managing a significantly larger company;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coordinating geographically separate organizations, including extensive operations outside of the U.S.;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potential diversion of management’s focus and resources from other strategic opportunities and from operational matters;</w:t>
      </w:r>
    </w:p>
    <w:p>
      <w:pPr>
        <w:spacing w:after="0" w:line="113" w:lineRule="exact"/>
        <w:rPr>
          <w:rFonts w:ascii="Arial" w:cs="Arial" w:eastAsia="Arial" w:hAnsi="Arial"/>
          <w:sz w:val="17"/>
          <w:szCs w:val="17"/>
          <w:color w:val="auto"/>
        </w:rPr>
      </w:pPr>
    </w:p>
    <w:p>
      <w:pPr>
        <w:ind w:left="620" w:right="360" w:hanging="307"/>
        <w:spacing w:after="0" w:line="290" w:lineRule="auto"/>
        <w:tabs>
          <w:tab w:leader="none" w:pos="61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performance shortfalls at one or both of the companies as a result of the diversion of management’s attention caused by integrating the companies’ operations;</w:t>
      </w:r>
    </w:p>
    <w:p>
      <w:pPr>
        <w:spacing w:after="0" w:line="4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aligning and executing the strategy of Recursion and Exscientia;</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retaining existing business relationships and executing new strategic or commercial relationships;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maintaining employee morale and retaining key management and other employees;</w:t>
      </w:r>
    </w:p>
    <w:p>
      <w:pPr>
        <w:spacing w:after="0" w:line="113" w:lineRule="exact"/>
        <w:rPr>
          <w:rFonts w:ascii="Arial" w:cs="Arial" w:eastAsia="Arial" w:hAnsi="Arial"/>
          <w:sz w:val="17"/>
          <w:szCs w:val="17"/>
          <w:color w:val="auto"/>
        </w:rPr>
      </w:pPr>
    </w:p>
    <w:p>
      <w:pPr>
        <w:ind w:left="620" w:right="640" w:hanging="307"/>
        <w:spacing w:after="0" w:line="290" w:lineRule="auto"/>
        <w:tabs>
          <w:tab w:leader="none" w:pos="61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disruption of, or the loss of momentum in, each company’s ongoing business or inconsistencies in standards, controls, systems, procedures and policies;</w:t>
      </w:r>
    </w:p>
    <w:p>
      <w:pPr>
        <w:spacing w:after="0" w:line="4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integrating two unique business cultures, which may prove to be incompatible;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possibility of faulty assumptions underlying expectations regarding the integration process;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consolidating corporate and administrative infrastructures and eliminating duplicative operations;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integrating IT, communications and other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changes in applicable laws and regulations;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managing tax costs or inefficiencies associated with integrating the operations of Recursion and Exscientia.</w:t>
      </w:r>
    </w:p>
    <w:p>
      <w:pPr>
        <w:spacing w:after="0" w:line="11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Many of these factors will be outside of Recursion’s control and any one of them could result in increased costs, decreased revenues and diversion of management’s time and energy, which could materially impact the combined company’s business, financial condition and results of operations. In addition, even if the operations of Recursion and Exscientia are integrated successfully, Recursion may not realize the full benefits of the business combination, including the cost savings or other benefits and synergies that Recursion and Exscientia expect. These benefits may not be achieved within the anticipated timeframe, or at all. As a result, Recursion and Exscientia cannot assure their respective stockholders, shareholders and ADS holders that the combination of Recursion and Exscientia will result in the realization of the full benefits anticipated from the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anticipated benefits of the business combination with Exscientia may vary from expectations.</w:t>
      </w:r>
    </w:p>
    <w:p>
      <w:pPr>
        <w:spacing w:after="0" w:line="21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Recursion may fail to realize the anticipated cost savings or other benefits expected from the business combination with Exscientia, which could adversely affect its business, financial condition and operating results. The success of the business combination will depend, in significant part, on Recursion’s ability to successfully integrate the businesses of Recursion and Exscientia and realize the anticipated strategic benefits and synergies from the business combination. Recursion and Exscientia believe that the combination of the two businesses will complement each party’s strategy by providing a balanced and diversified product portfolio, operational efficiencies, supply chain optimization, complementary geographic footprints, product development synergies and capital raising opportunities. However, achieving these goals requires, among other things, realization of the targeted cost synergies expected from the business combination. The anticipated benefits of the business combination and actual operating, technological, strategic and revenue opportunities may not be realized fully or at all, or may take longer to realize than expected. If Recursion is not able to achieve these objectives and realize the anticipated benefits and synergies expected from the business combination within the anticipated timeframe or at all, Recursion’s business, financial condition and operating results may be adversely affected.</w:t>
      </w:r>
    </w:p>
    <w:p>
      <w:pPr>
        <w:spacing w:after="0" w:line="176" w:lineRule="exact"/>
        <w:rPr>
          <w:sz w:val="20"/>
          <w:szCs w:val="20"/>
          <w:color w:val="auto"/>
        </w:rPr>
      </w:pPr>
    </w:p>
    <w:p>
      <w:pPr>
        <w:ind w:right="120"/>
        <w:spacing w:after="0" w:line="302" w:lineRule="auto"/>
        <w:rPr>
          <w:sz w:val="20"/>
          <w:szCs w:val="20"/>
          <w:color w:val="auto"/>
        </w:rPr>
      </w:pPr>
      <w:r>
        <w:rPr>
          <w:rFonts w:ascii="Arial" w:cs="Arial" w:eastAsia="Arial" w:hAnsi="Arial"/>
          <w:sz w:val="17"/>
          <w:szCs w:val="17"/>
          <w:b w:val="1"/>
          <w:bCs w:val="1"/>
          <w:i w:val="1"/>
          <w:iCs w:val="1"/>
          <w:color w:val="auto"/>
        </w:rPr>
        <w:t>The future results of Recursion will suffer if Recursion does not effectively manage its expanded operations resulting from the business combination with Exscientia.</w:t>
      </w:r>
    </w:p>
    <w:p>
      <w:pPr>
        <w:spacing w:after="0" w:line="127"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As a result of the business combination with Exscientia, the size of the business of Recursion has increased significantly. Recursion’s future results depends, in part, upon its ability to manage this expanded business, which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will pose substantial challenges for management, including challenges related to the management and monitoring of new operations and associated increased costs and complexity. There can be no assurance that Recursion will be successful or that it will realize the expected operating efficiencies, cost savings, revenue enhancements and other benefits currently anticipated from the business combination.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issues currently faced by Recursion or Exscientia may be imputed to the operations of the other.</w:t>
      </w:r>
    </w:p>
    <w:p>
      <w:pPr>
        <w:spacing w:after="0" w:line="217"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To the extent either Recursion or Exscientia had, or is perceived by business partners to have had, operational challenges, such as performance, management or workforce issues, those challenges may raise concerns by existing business partners of the other company, which may limit or impede Recursion’s future ability to obtain additional business from those business partners.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Recursion is exposed to greater foreign currency exchange risk.</w:t>
      </w:r>
    </w:p>
    <w:p>
      <w:pPr>
        <w:spacing w:after="0" w:line="21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As a result of integrating the businesses of Exscientia, Cyclica, and Valence, a greater portion of Recursion’s business takes place in international markets. Recursion will conduct its business and prepare its consolidated financial statements in its functional currency, while the financial statements of each of its subsidiaries will be prepared in the functional currency of that entity and the business of that entity will be conducted in the functional currency of that entity. Accordingly, it is expected that Recursion’s revenues and earnings will be exposed to the risks that may arise from fluctuations in foreign currency exchange rates, which could have a material adverse effect on Recursion’s business, results of operations or financial condition.</w:t>
      </w:r>
    </w:p>
    <w:p>
      <w:pPr>
        <w:spacing w:after="0" w:line="173"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b w:val="1"/>
          <w:bCs w:val="1"/>
          <w:i w:val="1"/>
          <w:iCs w:val="1"/>
          <w:color w:val="auto"/>
        </w:rPr>
        <w:t>As a company with substantial operations outside of the United States, we are subject to economic, political, regulatory and other risks associated with international operations.</w:t>
      </w:r>
    </w:p>
    <w:p>
      <w:pPr>
        <w:spacing w:after="0" w:line="12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As a result of our acquisitions, we now have substantial operations in Canada, England, Scotland, and our business is subject to risks associated with conducting business outside of the United States. Many of our suppliers and clinical trial relationships are now located outside the United States. Accordingly, our future results could be harmed by a variety of factors, including:</w:t>
      </w:r>
    </w:p>
    <w:p>
      <w:pPr>
        <w:spacing w:after="0" w:line="163" w:lineRule="exact"/>
        <w:rPr>
          <w:sz w:val="20"/>
          <w:szCs w:val="20"/>
          <w:color w:val="auto"/>
        </w:rPr>
      </w:pP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certain non-U.S. economies and markets;</w:t>
      </w:r>
    </w:p>
    <w:p>
      <w:pPr>
        <w:spacing w:after="0" w:line="26" w:lineRule="exact"/>
        <w:rPr>
          <w:rFonts w:ascii="Arial" w:cs="Arial" w:eastAsia="Arial" w:hAnsi="Arial"/>
          <w:sz w:val="17"/>
          <w:szCs w:val="17"/>
          <w:color w:val="auto"/>
        </w:rPr>
      </w:pP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differing and changing regulatory requirements for product approvals;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differing jurisdictions could present different issues for securing, maintaining or obtaining freedom to operate in such jurisdictions;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potentially reduced protection for intellectual property and proprietary rights;</w:t>
      </w:r>
    </w:p>
    <w:p>
      <w:pPr>
        <w:spacing w:after="0" w:line="10" w:lineRule="exact"/>
        <w:rPr>
          <w:rFonts w:ascii="Arial" w:cs="Arial" w:eastAsia="Arial" w:hAnsi="Arial"/>
          <w:sz w:val="17"/>
          <w:szCs w:val="17"/>
          <w:color w:val="auto"/>
        </w:rPr>
      </w:pPr>
    </w:p>
    <w:p>
      <w:pPr>
        <w:ind w:left="620" w:right="140" w:hanging="307"/>
        <w:spacing w:after="0" w:line="253" w:lineRule="auto"/>
        <w:tabs>
          <w:tab w:leader="none" w:pos="61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difficulties in compliance with different, complex and changing laws, regulations and court systems of multiple jurisdictions and compliance with a wide variety of foreign laws, treaties and regulations;</w:t>
      </w: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changes in non-U.S. regulations and customs, tariffs and trade barriers;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changes in currency exchange rates of the pound sterling, euro and the risk of the imposition of currency controls;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environment;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governments;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differing reimbursement regimes and price controls in certain non-U.S. markets;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negative consequences from changes in tax laws or practice;</w:t>
      </w:r>
    </w:p>
    <w:p>
      <w:pPr>
        <w:spacing w:after="0" w:line="10" w:lineRule="exact"/>
        <w:rPr>
          <w:rFonts w:ascii="Arial" w:cs="Arial" w:eastAsia="Arial" w:hAnsi="Arial"/>
          <w:sz w:val="17"/>
          <w:szCs w:val="17"/>
          <w:color w:val="auto"/>
        </w:rPr>
      </w:pPr>
    </w:p>
    <w:p>
      <w:pPr>
        <w:ind w:left="620" w:right="120" w:hanging="307"/>
        <w:spacing w:after="0" w:line="253" w:lineRule="auto"/>
        <w:tabs>
          <w:tab w:leader="none" w:pos="61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travelling abroad, including, for example, the variable tax treatment in different jurisdictions of options granted under our share option schemes or equity incentive plans;</w:t>
      </w: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10" w:lineRule="exact"/>
        <w:rPr>
          <w:rFonts w:ascii="Arial" w:cs="Arial" w:eastAsia="Arial" w:hAnsi="Arial"/>
          <w:sz w:val="17"/>
          <w:szCs w:val="17"/>
          <w:color w:val="auto"/>
        </w:rPr>
      </w:pPr>
    </w:p>
    <w:p>
      <w:pPr>
        <w:ind w:left="620" w:right="240" w:hanging="307"/>
        <w:spacing w:after="0" w:line="253" w:lineRule="auto"/>
        <w:tabs>
          <w:tab w:leader="none" w:pos="61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difficulties associated with staffing and managing international operations, including differing labor relations;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10" w:lineRule="exact"/>
        <w:rPr>
          <w:rFonts w:ascii="Arial" w:cs="Arial" w:eastAsia="Arial" w:hAnsi="Arial"/>
          <w:sz w:val="17"/>
          <w:szCs w:val="17"/>
          <w:color w:val="auto"/>
        </w:rPr>
      </w:pPr>
    </w:p>
    <w:p>
      <w:pPr>
        <w:ind w:left="620" w:right="40" w:hanging="307"/>
        <w:spacing w:after="0" w:line="270" w:lineRule="auto"/>
        <w:tabs>
          <w:tab w:leader="none" w:pos="61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 including earthquakes, typhoons, floods and fires and other natural disasters caused by climate change.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440"/>
        <w:spacing w:after="0" w:line="302" w:lineRule="auto"/>
        <w:rPr>
          <w:sz w:val="20"/>
          <w:szCs w:val="20"/>
          <w:color w:val="auto"/>
        </w:rPr>
      </w:pPr>
      <w:r>
        <w:rPr>
          <w:rFonts w:ascii="Arial" w:cs="Arial" w:eastAsia="Arial" w:hAnsi="Arial"/>
          <w:sz w:val="17"/>
          <w:szCs w:val="17"/>
          <w:b w:val="1"/>
          <w:bCs w:val="1"/>
          <w:i w:val="1"/>
          <w:iCs w:val="1"/>
          <w:color w:val="auto"/>
        </w:rPr>
        <w:t>We have in the past and may in the future acquire other companies or technologies, which could divert our management’s attention, result in additional dilution to our shareholders and otherwise disrupt our operations and adversely affect our operating results.</w:t>
      </w:r>
    </w:p>
    <w:p>
      <w:pPr>
        <w:spacing w:after="0" w:line="15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August 2021, Exscientia acquired 100% of the outstanding share capital of Allcyte GmbH, a precision medicine biotechnology company. In May 2023, we acquired Cyclica and Valence, and in November 2024, we entered into a business combination with Exscientia. We may in the future seek to acquire or invest in additional businesses, solutions or technologies that we believe could complement or expand our solutions, enhance our technical capabilities, or otherwise offer growth opportunities. The pursuit of potential acquisitions or business combinations may divert the attention of management and cause us to incur various expenses in identifying, investigating and pursuing suitable acquisitions, whether or not they are consummated.</w:t>
      </w:r>
    </w:p>
    <w:p>
      <w:pPr>
        <w:spacing w:after="0" w:line="19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success in realizing any such growth opportunities and cost synergies, and the timing of this realization, depends on the successful integration of any acquired company’s, business and operations with our business and operations. Even if we are able to integrate our business with acquired businesses or the business of a future acquisition target successfully, this integration may not result in the realization of the outcomes and benefits, growth opportunities, and cost synergies we expect within the anticipated time frame or at all. Moreover, we may incur substantial expenses in connection with the integration of any acquired company’s business with our business. While we may be able to anticipate that certain expenses will be incurred, such expenses are difficult to estimate accurately, and may exceed our estimates. Accordingly, the outcomes and benefits from any future acquisition may be offset by costs incurred or delays in integrating the potential acquisition targets, which could cause the outcomes and benefits we may anticipate to be inaccurate or not realized.</w:t>
      </w:r>
    </w:p>
    <w:p>
      <w:pPr>
        <w:spacing w:after="0" w:line="20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Acquisitions could also result in dilutive issuances of equity securities or the incurrence of debt, which could adversely affect our operating results.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 addition, if an acquired business fails to meet our expectations, our business, financial condition, results of operations and prospects may suffer.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 and, as a result, may be unable to commercialize our product candidates.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28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7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restrictions. In addition, the FDA has the authority to require a REMS plan as part of approving a marketing application,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68"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5" w:lineRule="exact"/>
        <w:rPr>
          <w:sz w:val="20"/>
          <w:szCs w:val="20"/>
          <w:color w:val="auto"/>
        </w:rPr>
      </w:pPr>
    </w:p>
    <w:p>
      <w:pPr>
        <w:ind w:right="400"/>
        <w:spacing w:after="0" w:line="302" w:lineRule="auto"/>
        <w:rPr>
          <w:sz w:val="20"/>
          <w:szCs w:val="20"/>
          <w:color w:val="auto"/>
        </w:rPr>
      </w:pPr>
      <w:r>
        <w:rPr>
          <w:rFonts w:ascii="Arial" w:cs="Arial" w:eastAsia="Arial" w:hAnsi="Arial"/>
          <w:sz w:val="17"/>
          <w:szCs w:val="17"/>
          <w:b w:val="1"/>
          <w:bCs w:val="1"/>
          <w:i w:val="1"/>
          <w:iCs w:val="1"/>
          <w:color w:val="auto"/>
        </w:rPr>
        <w:t>The FDA, EMA and other comparable foreign regulatory authorities may not accept data from trials conducted in locations outside of their jurisdiction.</w:t>
      </w:r>
    </w:p>
    <w:p>
      <w:pPr>
        <w:spacing w:after="0" w:line="2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 and/or the UK and increase our costs. We cannot predict the impact of such changes and future regulation on our business or the results of our operations.</w:t>
      </w:r>
    </w:p>
    <w:p>
      <w:pPr>
        <w:spacing w:after="0" w:line="196"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b w:val="1"/>
          <w:bCs w:val="1"/>
          <w:i w:val="1"/>
          <w:iCs w:val="1"/>
          <w:color w:val="auto"/>
        </w:rPr>
        <w:t>Even if we receive FDA or other regulatory approval for any of our drug candidates, we will be subject to ongoing regulatory obligations and other conditions that may result in significant additional expense, as well as the potential recall or market withdrawal of an approved product if unanticipated safety issues are discovered.</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Even if the FDA or a comparable foreign regulatory authority approves any of our drug candidates, the manufacturing processes, labeling, packaging, distribution, adverse event reporting, storage, advertising, promotion, and recordkeeping for the product will be subject to extensive and ongoing regulatory requirements. These requirements also include submission of safety and other post-marketing information and reports, establishment registration and listing, as well as continued compliance with cGMPs for manufacturing processes and GCPs for any clinical trials that we conduct post-approval. Any regulatory approvals that we receive for our drug candidates may also be subject to limitations on the approved indicated uses for which the product may be marketed or to the conditions of approval, or they may contain requirements for potentially costly post-marketing studies and surveillance to monitor the safety and efficacy of the drug product.</w:t>
      </w:r>
    </w:p>
    <w:p>
      <w:pPr>
        <w:spacing w:after="0" w:line="199" w:lineRule="exact"/>
        <w:rPr>
          <w:sz w:val="20"/>
          <w:szCs w:val="20"/>
          <w:color w:val="auto"/>
        </w:rPr>
      </w:pPr>
    </w:p>
    <w:p>
      <w:pPr>
        <w:jc w:val="both"/>
        <w:ind w:right="460"/>
        <w:spacing w:after="0" w:line="271" w:lineRule="auto"/>
        <w:rPr>
          <w:sz w:val="20"/>
          <w:szCs w:val="20"/>
          <w:color w:val="auto"/>
        </w:rPr>
      </w:pPr>
      <w:r>
        <w:rPr>
          <w:rFonts w:ascii="Arial" w:cs="Arial" w:eastAsia="Arial" w:hAnsi="Arial"/>
          <w:sz w:val="17"/>
          <w:szCs w:val="17"/>
          <w:color w:val="auto"/>
        </w:rPr>
        <w:t>Any failure to comply with regulatory requirements, or any discovery of previously unknown problems with a drug product — including adverse events of unanticipated severity or frequency — or with our third-party manufacturers or manufacturing processes, may result in, among other things:</w:t>
      </w:r>
    </w:p>
    <w:p>
      <w:pPr>
        <w:spacing w:after="0" w:line="189" w:lineRule="exact"/>
        <w:rPr>
          <w:sz w:val="20"/>
          <w:szCs w:val="20"/>
          <w:color w:val="auto"/>
        </w:rPr>
      </w:pPr>
    </w:p>
    <w:p>
      <w:pPr>
        <w:ind w:left="360" w:right="580" w:hanging="151"/>
        <w:spacing w:after="0" w:line="263" w:lineRule="auto"/>
        <w:tabs>
          <w:tab w:leader="none" w:pos="35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drug product, withdrawal of the product from the market, or voluntary or mandatory product recalls;</w:t>
      </w:r>
    </w:p>
    <w:p>
      <w:pPr>
        <w:ind w:left="360" w:hanging="151"/>
        <w:spacing w:after="0"/>
        <w:tabs>
          <w:tab w:leader="none" w:pos="3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clinical trial holds;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fines, warning letters or other regulatory enforcement action;</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drug products; and</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occurrence of any of the foregoing actions could materially and adversely affect our reputation, business,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results of operation, and prospects.</w:t>
      </w:r>
    </w:p>
    <w:p>
      <w:pPr>
        <w:spacing w:after="0" w:line="243" w:lineRule="exact"/>
        <w:rPr>
          <w:sz w:val="20"/>
          <w:szCs w:val="20"/>
          <w:color w:val="auto"/>
        </w:rPr>
      </w:pPr>
    </w:p>
    <w:p>
      <w:pPr>
        <w:ind w:right="960"/>
        <w:spacing w:after="0" w:line="302" w:lineRule="auto"/>
        <w:rPr>
          <w:sz w:val="20"/>
          <w:szCs w:val="20"/>
          <w:color w:val="auto"/>
        </w:rPr>
      </w:pPr>
      <w:r>
        <w:rPr>
          <w:rFonts w:ascii="Arial" w:cs="Arial" w:eastAsia="Arial" w:hAnsi="Arial"/>
          <w:sz w:val="17"/>
          <w:szCs w:val="17"/>
          <w:b w:val="1"/>
          <w:bCs w:val="1"/>
          <w:i w:val="1"/>
          <w:iCs w:val="1"/>
          <w:color w:val="auto"/>
        </w:rPr>
        <w:t>Though we have been granted orphan drug designation for certain of our drug candidates, we may be unsuccessful or unable to maintain the benefits associated with such a designation, including the potential for market exclusivity.</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As part of our business strategy, we have sought orphan drug designation for certain of our drug candidates and may do so for other drug candidates in the future. Regulatory authorities in some jurisdictions, including the United States and Europe, may designate drugs for relatively small patient populations as orphan drugs. The FDA may designate a drug as an orphan drug if it is intended to treat a rare disease or condition. In the United States, orphan drug designation entitles a party to financial incentives such as opportunities for grant funding towards clinical trial costs, tax advantages and user-fee waivers.</w:t>
      </w:r>
    </w:p>
    <w:p>
      <w:pPr>
        <w:spacing w:after="0" w:line="19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for drugs intended for the diagnosis, prevention, or treatment of a life -threatening, seriously debilitating or serious and chronic condition when, without incentives, it is unlikely that sales of the drug in Europe would be sufficient to justify the necessary investment in developing the drug. In Europe, orphan drug designation entitles a party to financial incentives such as reduction of fees or fee waivers. We have received orphan drug designation from the FDA and European Commission for REC-4881 for the potential treatment of FAP and REC-994 for the potential treatment of CCM, but we may be unsuccessful with respect to other drug candidates in the future.</w:t>
      </w:r>
    </w:p>
    <w:p>
      <w:pPr>
        <w:spacing w:after="0" w:line="19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part of the molecule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our drug candidates, we may never receive such designations. Even if we do receive such designations, there is no guarantee that we will enjoy the benefits of those designations.</w:t>
      </w:r>
    </w:p>
    <w:p>
      <w:pPr>
        <w:spacing w:after="0" w:line="8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 xml:space="preserve">In response to the court decision in </w:t>
      </w:r>
      <w:r>
        <w:rPr>
          <w:rFonts w:ascii="Arial" w:cs="Arial" w:eastAsia="Arial" w:hAnsi="Arial"/>
          <w:sz w:val="17"/>
          <w:szCs w:val="17"/>
          <w:i w:val="1"/>
          <w:iCs w:val="1"/>
          <w:color w:val="auto"/>
        </w:rPr>
        <w:t>Catalyst Pharms., Inc. v. Becerra</w:t>
      </w:r>
      <w:r>
        <w:rPr>
          <w:rFonts w:ascii="Arial" w:cs="Arial" w:eastAsia="Arial" w:hAnsi="Arial"/>
          <w:sz w:val="17"/>
          <w:szCs w:val="17"/>
          <w:color w:val="auto"/>
        </w:rPr>
        <w:t xml:space="preserve">, 14 F.4th 1299 (11th Cir. 2021), in January 2023, which challenged FDA’s orphan exclusivity determination, the FDA published a notice in the Federal Register to clarify that while the agency complies with the court’s order in </w:t>
      </w:r>
      <w:r>
        <w:rPr>
          <w:rFonts w:ascii="Arial" w:cs="Arial" w:eastAsia="Arial" w:hAnsi="Arial"/>
          <w:sz w:val="17"/>
          <w:szCs w:val="17"/>
          <w:i w:val="1"/>
          <w:iCs w:val="1"/>
          <w:color w:val="auto"/>
        </w:rPr>
        <w:t>Catalyst</w:t>
      </w:r>
      <w:r>
        <w:rPr>
          <w:rFonts w:ascii="Arial" w:cs="Arial" w:eastAsia="Arial" w:hAnsi="Arial"/>
          <w:sz w:val="17"/>
          <w:szCs w:val="17"/>
          <w:color w:val="auto"/>
        </w:rPr>
        <w:t xml:space="preserve">, the FDA intends to continue to apply its longstanding interpretation of the regulations to matters outside of the scope of the </w:t>
      </w:r>
      <w:r>
        <w:rPr>
          <w:rFonts w:ascii="Arial" w:cs="Arial" w:eastAsia="Arial" w:hAnsi="Arial"/>
          <w:sz w:val="17"/>
          <w:szCs w:val="17"/>
          <w:i w:val="1"/>
          <w:iCs w:val="1"/>
          <w:color w:val="auto"/>
        </w:rPr>
        <w:t>Catalyst</w:t>
      </w:r>
      <w:r>
        <w:rPr>
          <w:rFonts w:ascii="Arial" w:cs="Arial" w:eastAsia="Arial" w:hAnsi="Arial"/>
          <w:sz w:val="17"/>
          <w:szCs w:val="17"/>
          <w:color w:val="auto"/>
        </w:rPr>
        <w:t xml:space="preserve"> order – that is, the agency will continue tying the scope of orphan -drug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especially in view of Supreme Court’s overturn of the </w:t>
      </w:r>
      <w:r>
        <w:rPr>
          <w:rFonts w:ascii="Arial" w:cs="Arial" w:eastAsia="Arial" w:hAnsi="Arial"/>
          <w:sz w:val="17"/>
          <w:szCs w:val="17"/>
          <w:i w:val="1"/>
          <w:iCs w:val="1"/>
          <w:color w:val="auto"/>
        </w:rPr>
        <w:t>Chevron</w:t>
      </w:r>
      <w:r>
        <w:rPr>
          <w:rFonts w:ascii="Arial" w:cs="Arial" w:eastAsia="Arial" w:hAnsi="Arial"/>
          <w:sz w:val="17"/>
          <w:szCs w:val="17"/>
          <w:color w:val="auto"/>
        </w:rPr>
        <w:t xml:space="preserve"> doctrine in </w:t>
      </w:r>
      <w:r>
        <w:rPr>
          <w:rFonts w:ascii="Arial" w:cs="Arial" w:eastAsia="Arial" w:hAnsi="Arial"/>
          <w:sz w:val="17"/>
          <w:szCs w:val="17"/>
          <w:i w:val="1"/>
          <w:iCs w:val="1"/>
          <w:color w:val="auto"/>
        </w:rPr>
        <w:t>Loper Bright</w:t>
      </w:r>
      <w:r>
        <w:rPr>
          <w:rFonts w:ascii="Arial" w:cs="Arial" w:eastAsia="Arial" w:hAnsi="Arial"/>
          <w:sz w:val="17"/>
          <w:szCs w:val="17"/>
          <w:color w:val="auto"/>
        </w:rPr>
        <w:t xml:space="preserve"> </w:t>
      </w:r>
      <w:r>
        <w:rPr>
          <w:rFonts w:ascii="Arial" w:cs="Arial" w:eastAsia="Arial" w:hAnsi="Arial"/>
          <w:sz w:val="17"/>
          <w:szCs w:val="17"/>
          <w:i w:val="1"/>
          <w:iCs w:val="1"/>
          <w:color w:val="auto"/>
        </w:rPr>
        <w:t>Enterprises v. Raimondo</w:t>
      </w:r>
      <w:r>
        <w:rPr>
          <w:rFonts w:ascii="Arial" w:cs="Arial" w:eastAsia="Arial" w:hAnsi="Arial"/>
          <w:sz w:val="17"/>
          <w:szCs w:val="17"/>
          <w:color w:val="auto"/>
        </w:rPr>
        <w:t>, legislation, agency decisions, and administrative actions under the new Trump administration will impact the scope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orphan drug exclusivity.</w:t>
      </w:r>
    </w:p>
    <w:p>
      <w:pPr>
        <w:spacing w:after="0" w:line="356" w:lineRule="exact"/>
        <w:rPr>
          <w:sz w:val="20"/>
          <w:szCs w:val="20"/>
          <w:color w:val="auto"/>
        </w:rPr>
      </w:pPr>
    </w:p>
    <w:p>
      <w:pPr>
        <w:ind w:right="380"/>
        <w:spacing w:after="0" w:line="302" w:lineRule="auto"/>
        <w:rPr>
          <w:sz w:val="20"/>
          <w:szCs w:val="20"/>
          <w:color w:val="auto"/>
        </w:rPr>
      </w:pPr>
      <w:r>
        <w:rPr>
          <w:rFonts w:ascii="Arial" w:cs="Arial" w:eastAsia="Arial" w:hAnsi="Arial"/>
          <w:sz w:val="17"/>
          <w:szCs w:val="17"/>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53" w:lineRule="exact"/>
        <w:rPr>
          <w:sz w:val="20"/>
          <w:szCs w:val="20"/>
          <w:color w:val="auto"/>
        </w:rPr>
      </w:pPr>
    </w:p>
    <w:p>
      <w:pPr>
        <w:ind w:right="660"/>
        <w:spacing w:after="0" w:line="290" w:lineRule="auto"/>
        <w:rPr>
          <w:sz w:val="20"/>
          <w:szCs w:val="20"/>
          <w:color w:val="auto"/>
        </w:rPr>
      </w:pPr>
      <w:r>
        <w:rPr>
          <w:rFonts w:ascii="Arial" w:cs="Arial" w:eastAsia="Arial" w:hAnsi="Arial"/>
          <w:sz w:val="17"/>
          <w:szCs w:val="17"/>
          <w:color w:val="auto"/>
        </w:rPr>
        <w:t>We may submit marketing applications in countries other than the United States. Regulatory authorities in jurisdictions outside of the United States have requirements for approval of drug candidates with which we must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1200"/>
        <w:spacing w:after="0" w:line="290" w:lineRule="auto"/>
        <w:rPr>
          <w:sz w:val="20"/>
          <w:szCs w:val="20"/>
          <w:color w:val="auto"/>
        </w:rPr>
      </w:pPr>
      <w:r>
        <w:rPr>
          <w:rFonts w:ascii="Arial" w:cs="Arial" w:eastAsia="Arial" w:hAnsi="Arial"/>
          <w:sz w:val="17"/>
          <w:szCs w:val="17"/>
          <w:color w:val="auto"/>
        </w:rPr>
        <w:t>comply prior to marketing in those jurisdictions. For example, our trials to date have consisted of small patient populations and some international regulatory filings may require larger patient populations or additional nonclinical studies or clinical trials.</w:t>
      </w:r>
    </w:p>
    <w:p>
      <w:pPr>
        <w:spacing w:after="0" w:line="17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our drug candidates will be harmed.</w:t>
      </w:r>
    </w:p>
    <w:p>
      <w:pPr>
        <w:spacing w:after="0" w:line="19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although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and greater than, those in the United States. These may include additional nonclinical studies and clinical trials since clinical trials conducted in one jurisdiction may not be accepted by regulatory authorities in other jurisdictions. In short, the foreign regulatory approval process involves all of the risks associated with FDA approval. In many jurisdictions outside the United States, a drug candidate must be approved for reimbursement before it can be approved for sale in that jurisdiction. In some cases, the price that we may intend to charge for our drug products will also be subject to regulatory approval.</w:t>
      </w:r>
    </w:p>
    <w:p>
      <w:pPr>
        <w:spacing w:after="0" w:line="200" w:lineRule="exact"/>
        <w:rPr>
          <w:sz w:val="20"/>
          <w:szCs w:val="20"/>
          <w:color w:val="auto"/>
        </w:rPr>
      </w:pPr>
    </w:p>
    <w:p>
      <w:pPr>
        <w:spacing w:after="0" w:line="211" w:lineRule="exact"/>
        <w:rPr>
          <w:sz w:val="20"/>
          <w:szCs w:val="20"/>
          <w:color w:val="auto"/>
        </w:rPr>
      </w:pPr>
    </w:p>
    <w:p>
      <w:pPr>
        <w:ind w:right="640"/>
        <w:spacing w:after="0" w:line="302" w:lineRule="auto"/>
        <w:rPr>
          <w:sz w:val="20"/>
          <w:szCs w:val="20"/>
          <w:color w:val="auto"/>
        </w:rPr>
      </w:pPr>
      <w:r>
        <w:rPr>
          <w:rFonts w:ascii="Arial" w:cs="Arial" w:eastAsia="Arial" w:hAnsi="Arial"/>
          <w:sz w:val="17"/>
          <w:szCs w:val="17"/>
          <w:b w:val="1"/>
          <w:bCs w:val="1"/>
          <w:i w:val="1"/>
          <w:iCs w:val="1"/>
          <w:color w:val="auto"/>
        </w:rPr>
        <w:t>Failure to comply with anti-bribery and anti-corruption laws and anti-money laundering laws, and similar laws, could subject us to penalties and other adverse consequences.</w:t>
      </w:r>
    </w:p>
    <w:p>
      <w:pPr>
        <w:spacing w:after="0" w:line="153"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We have expanded our operations outside of the United States, use service providers in many regions outside the U.S. and expect our foreign activities to increase in the future. If we continue expanding our operations outside of the United States, we must dedicate additional resources to comply with U.S. laws governing activities in other countries, as well as numerous laws and regulations in each jurisdiction in which we plan to operate, such as the U.S. Foreign Corrupt Practices Act, the United Kingdom Bribery Act 2010, and similar laws, U.S. and foreign anti-money laundering laws and regulations.</w:t>
      </w:r>
    </w:p>
    <w:p>
      <w:pPr>
        <w:spacing w:after="0" w:line="19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have direct or indirect interactions with officials and employees of governmental agencies or government-affiliated hospitals, universities or other organizations. We engage third parties for clinical trials and/or to obtain necessary permits, licenses, patent registrations, and other regulatory approvals and to otherwise assist in conducting our business abroad. We can be held liable for the corrupt or other illegal activities of our employees, agents, representatives, business partners and third parties, even if we do not explicitly authorize or have prior knowledge of such activities. These laws also require that we keep accurate books and records and maintain internal controls and compliance procedures designed to prevent any such actions. We cannot assure you that all of our employees, agents, representatives, business partners, or third-party intermediaries will not take actions in violation of applicable law for which we may be ultimately held responsible. As we increase our international sales and business, our risks under these laws may increase.</w:t>
      </w:r>
    </w:p>
    <w:p>
      <w:pPr>
        <w:spacing w:after="0" w:line="201"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Changing, inconsistent, or conflicting laws, rules and regulations governing international business practices, and ambiguities in their interpretation and application, create uncertainty and challenges. Any allegations or failure to comply with any such laws or regulations may result in whistleblower complaints, sanctions, settlements, prosecution, enforcement actions, fines, damages, adverse media coverage, investigations, substantial civil and criminal penalties, and suspension or debarment from government contracting, all of which may have an adverse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effect on our reputation, business, results of operations, and prospects. Responding to any investigation or action will likely result in a materially significant diversion of management’s attention and resources and significant defense costs and other professional fees. The SEC also may suspend or bar issuers from trading securities on U.S. exchanges for violations of the FCPA’s accounting provisions.</w:t>
      </w:r>
    </w:p>
    <w:p>
      <w:pPr>
        <w:spacing w:after="0" w:line="189" w:lineRule="exact"/>
        <w:rPr>
          <w:sz w:val="20"/>
          <w:szCs w:val="20"/>
          <w:color w:val="auto"/>
        </w:rPr>
      </w:pPr>
    </w:p>
    <w:p>
      <w:pPr>
        <w:jc w:val="both"/>
        <w:ind w:right="500"/>
        <w:spacing w:after="0" w:line="302" w:lineRule="auto"/>
        <w:rPr>
          <w:sz w:val="20"/>
          <w:szCs w:val="20"/>
          <w:color w:val="auto"/>
        </w:rPr>
      </w:pPr>
      <w:r>
        <w:rPr>
          <w:rFonts w:ascii="Arial" w:cs="Arial" w:eastAsia="Arial" w:hAnsi="Arial"/>
          <w:sz w:val="17"/>
          <w:szCs w:val="17"/>
          <w:b w:val="1"/>
          <w:bCs w:val="1"/>
          <w:i w:val="1"/>
          <w:iCs w:val="1"/>
          <w:color w:val="auto"/>
        </w:rPr>
        <w:t>We are subject to various governmental export controls, trade and economic sanctions, and import laws and regulations that could impair our ability to compete in international markets and subject us to liability if we are not in full compliance with applicable laws.</w:t>
      </w:r>
    </w:p>
    <w:p>
      <w:pPr>
        <w:spacing w:after="0" w:line="15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products and technologies are subject to export control laws and regulations, including the Export Administration Regulations administered by the U.S. Department of Commerce, and our products, technologies, and activities are subject to trade and economic sanctions, including those administered by the U.S. Treasury Department’s Office of Foreign Assets Control, or OFAC, as well as regulations administered by the governments of the United Kingdom and authorities in the European Union, which we collectively refer to as trade controls. As such, licenses and notices may be required to import products, technologies, and services from or export or re-export products, technologies, and services to certain countries and end users and for certain end uses. For example, the U.S. government continues to add additional entities in China and elsewhere to restricted party lists impacting the ability of U.S. companies to provide products, technology, and services to, and in some cases receive products, technologies, and services from, these entities. These controls may impact our ability to import certain products, technology, or services from or export or re-export certain products, technology, or services to China and other destinations, and it is also possible that the Chinese government will retaliate in ways that could impact our business. The process for obtaining necessary licenses and making required notices may be time-consuming or unsuccessful, potentially causing delays in sales or losses of sales opportunities. Trade controls are complex and dynamic regimes and monitoring and ensuring compliance can be challenging. Any failure to comply with these regimes could subject us to both civil and criminal penalties, including substantial fines, possible incarceration of responsible individuals for willful violations, possible loss of our export or import privileges, and reputational harm. In addition, investigating or defending against any such allegations, actions, or investigations will likely result in a materially significant diversion of management’s attention and resources and significant defense costs and other professional fees.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in such countries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could adversely affect our business, financial condition, and results of operations.</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Tariffs could also have a material impact on our product costs and decrease our ability to sell our products and services to existing or potential customers as well as harm our ability to compete internationally. Currently, uncertainties concerning tariffs between the United States and Canada, and the United States and China are particularly high. The U.S. government has imposed significant tariffs on a variety of items imported from other countries, particularly China. China responded by imposing significant tariffs on a variety of items imported from the United States. These tariffs could materially and adversely affect our ability to compete internationally. Although the United States and China signed a preliminary trade agreement in early 2020, the tariffs remain in place and President Trump has proposed increasing them. The future of these tariffs, as well as the possibility for new tariffs, remains very uncertain. Other causes of uncertainty include the effects of new tariffs proposed by the President against Mexico and Canada. The macroeconomic effect of any such tariffs on major trading partners like Mexico or Canada could be significant, and our business and financial results could be negatively affected as a result.</w:t>
      </w:r>
    </w:p>
    <w:p>
      <w:pPr>
        <w:spacing w:after="0" w:line="205"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Any changes in our product or in export or import regulations or legislation; shifts or changes in enforcement; or changes in the countries, persons or technologies targeted by these regulations could delay us introducing new</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products in international markets, decrease use of our products by, or decrease our ability to export or sell our products to existing or potential customers with international operations, adversely affecting our business and results of operations.</w:t>
      </w:r>
    </w:p>
    <w:p>
      <w:pPr>
        <w:spacing w:after="0" w:line="200" w:lineRule="exact"/>
        <w:rPr>
          <w:sz w:val="20"/>
          <w:szCs w:val="20"/>
          <w:color w:val="auto"/>
        </w:rPr>
      </w:pPr>
    </w:p>
    <w:p>
      <w:pPr>
        <w:spacing w:after="0" w:line="204"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i w:val="1"/>
          <w:iCs w:val="1"/>
          <w:color w:val="auto"/>
        </w:rPr>
        <w:t>Though we have been granted priority review designation for certain drug candidates, such designation may not lead to a faster regulatory review or regulatory approval process, and we might not receive such designation for additional drug candidates in the future.</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If the FDA determines that a drug candidate offers a treatment for a serious condition and, if approved, the drug product would provide a significant improvement in safety or effectiveness, the FDA may designate the drug candidate for priority review. The FDA has broad discretion with respect to whether or not to grant priority review status to a drug candidate, so even if we believe a particular drug candidate is eligible for such designation or status, the FDA may decide not to grant it. While we have been granted priority review designation for REC-4881 for the potential treatment of FAP, a priority review designation does not necessarily result in an expedited regulatory review or regulatory approval process or necessarily confer any advantage with respect to regulatory approval compared to conventional FDA procedures. Receiving priority review from the FDA does not guarantee regulatory approval within the six-month review cycle or at all. We may request priority review for additional drug candidates from time to time.</w:t>
      </w:r>
    </w:p>
    <w:p>
      <w:pPr>
        <w:spacing w:after="0" w:line="201"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b w:val="1"/>
          <w:bCs w:val="1"/>
          <w:i w:val="1"/>
          <w:iCs w:val="1"/>
          <w:color w:val="auto"/>
        </w:rPr>
        <w:t>Breakthrough therapy designation and fast track designation by the FDA, even if granted for any of our drug candidates, may not lead to a faster development, regulatory review, or regulatory approval process, and each designation does not increase the likelihood that any of our drug candidates will receive marketing approval in the United States.</w:t>
      </w:r>
    </w:p>
    <w:p>
      <w:pPr>
        <w:spacing w:after="0" w:line="17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may seek a breakthrough therapy designation for some of our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therapies considered for approval under conventional FDA procedures and does not assure ultimate approval by the FDA. In addition, even if one or more of our drug candidates qualify as breakthrough therapies, the FDA may later decide that such drug candidates no longer meet the conditions for qualification or decide that the time period for FDA review or approval will not be shortened.</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may seek fast track designation for some of our drug candidates from time to time. If a drug candidate is intended for the treatment of a serious or life-threatening condition and the drug candidate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ensure that the FDA would decide to grant it. Even if we do receive fast track designation, we may not experience a faster development process, regulatory review or regulatory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40"/>
        <w:spacing w:after="0" w:line="302" w:lineRule="auto"/>
        <w:rPr>
          <w:sz w:val="20"/>
          <w:szCs w:val="20"/>
          <w:color w:val="auto"/>
        </w:rPr>
      </w:pPr>
      <w:r>
        <w:rPr>
          <w:rFonts w:ascii="Arial" w:cs="Arial" w:eastAsia="Arial" w:hAnsi="Arial"/>
          <w:sz w:val="17"/>
          <w:szCs w:val="17"/>
          <w:b w:val="1"/>
          <w:bCs w:val="1"/>
          <w:i w:val="1"/>
          <w:iCs w:val="1"/>
          <w:color w:val="auto"/>
        </w:rPr>
        <w:t>The FDA, EMA, and other regulatory authorities may implement amended or additional regulations or restrictions on the development and commercialization of our drug candidates.</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The FDA, other agencies at both the federal and state level, and U.S. Congressional committees have expressed interest in further regulating the small molecule pharmaceutical industry, as have the EMA and regulatory authorities in other countries. Such action may delay or prevent commercialization of some or all of our drug candidates. Adverse developments in clinical trials conducted by others may cause the FDA or other oversight bodies to change the requirements for regulatory approval of any of our drug candidates. These regulatory review agencies and committees, and any new requirements or guidelines they promulgate, may lengthen the regulatory review process, require us to perform additional studies or trials, increase our development costs, lead to changes in regulatory positions and interpretations, delay or prevent regulatory approval and commercialization of our drug candidates, or lead to significant post-approval limitations or restrictions. As we advance our drug candidates, we will be required to consult with these regulatory authorities and comply with applicable regulatory requirements and guidelines. If we fail to do so, we may be required to delay or discontinue development of such drug candidates. These additional processes may result in a review and approval process that is longer than we otherwise would have expected. Delays as a result of a more stringent or lengthier regulatory approval process, or further restrictions on the development of our drug candidates, could be costly and could negatively impact our ability to complete clinical trials and commercialize our current and future drug candidates in a timely manner, if at all.</w:t>
      </w:r>
    </w:p>
    <w:p>
      <w:pPr>
        <w:spacing w:after="0" w:line="308" w:lineRule="exact"/>
        <w:rPr>
          <w:sz w:val="20"/>
          <w:szCs w:val="20"/>
          <w:color w:val="auto"/>
        </w:rPr>
      </w:pPr>
    </w:p>
    <w:p>
      <w:pPr>
        <w:ind w:right="120"/>
        <w:spacing w:after="0" w:line="302"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7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97" w:lineRule="exact"/>
        <w:rPr>
          <w:sz w:val="20"/>
          <w:szCs w:val="20"/>
          <w:color w:val="auto"/>
        </w:rPr>
      </w:pPr>
    </w:p>
    <w:p>
      <w:pPr>
        <w:ind w:right="320"/>
        <w:spacing w:after="0" w:line="302"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 and oversight.</w:t>
      </w:r>
    </w:p>
    <w:p>
      <w:pPr>
        <w:spacing w:after="0" w:line="2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If the FDA finds that the clinical data used to support approval do not sufficiently represent the diversity of the real-world patient population, the FDA may require additional data on underrepresented populations post-approval, including as a post-marketing requirement, or the FDA may enter into a written agreement with the applicant to collect additional data as a post-marketing commitment.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70" w:lineRule="exact"/>
        <w:rPr>
          <w:sz w:val="20"/>
          <w:szCs w:val="20"/>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delays in or the rejection of product approvals;</w:t>
      </w:r>
    </w:p>
    <w:p>
      <w:pPr>
        <w:spacing w:after="0" w:line="113" w:lineRule="exact"/>
        <w:rPr>
          <w:rFonts w:ascii="Arial" w:cs="Arial" w:eastAsia="Arial" w:hAnsi="Arial"/>
          <w:sz w:val="17"/>
          <w:szCs w:val="17"/>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113" w:lineRule="exact"/>
        <w:rPr>
          <w:rFonts w:ascii="Arial" w:cs="Arial" w:eastAsia="Arial" w:hAnsi="Arial"/>
          <w:sz w:val="17"/>
          <w:szCs w:val="17"/>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restrictions on the products, manufacturers or manufacturing process;</w:t>
      </w:r>
    </w:p>
    <w:p>
      <w:pPr>
        <w:spacing w:after="0" w:line="113" w:lineRule="exact"/>
        <w:rPr>
          <w:rFonts w:ascii="Arial" w:cs="Arial" w:eastAsia="Arial" w:hAnsi="Arial"/>
          <w:sz w:val="17"/>
          <w:szCs w:val="17"/>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warning or untitled letters;</w:t>
      </w:r>
    </w:p>
    <w:p>
      <w:pPr>
        <w:spacing w:after="0" w:line="113" w:lineRule="exact"/>
        <w:rPr>
          <w:rFonts w:ascii="Arial" w:cs="Arial" w:eastAsia="Arial" w:hAnsi="Arial"/>
          <w:sz w:val="17"/>
          <w:szCs w:val="17"/>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civil and criminal penalties;</w:t>
      </w:r>
    </w:p>
    <w:p>
      <w:pPr>
        <w:spacing w:after="0" w:line="113" w:lineRule="exact"/>
        <w:rPr>
          <w:rFonts w:ascii="Arial" w:cs="Arial" w:eastAsia="Arial" w:hAnsi="Arial"/>
          <w:sz w:val="17"/>
          <w:szCs w:val="17"/>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injunctions;</w:t>
      </w:r>
    </w:p>
    <w:p>
      <w:pPr>
        <w:spacing w:after="0" w:line="113" w:lineRule="exact"/>
        <w:rPr>
          <w:rFonts w:ascii="Arial" w:cs="Arial" w:eastAsia="Arial" w:hAnsi="Arial"/>
          <w:sz w:val="17"/>
          <w:szCs w:val="17"/>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suspension or withdrawal of regulatory approvals;</w:t>
      </w:r>
    </w:p>
    <w:p>
      <w:pPr>
        <w:spacing w:after="0" w:line="113" w:lineRule="exact"/>
        <w:rPr>
          <w:rFonts w:ascii="Arial" w:cs="Arial" w:eastAsia="Arial" w:hAnsi="Arial"/>
          <w:sz w:val="17"/>
          <w:szCs w:val="17"/>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product seizures, detentions or import bans;</w:t>
      </w:r>
    </w:p>
    <w:p>
      <w:pPr>
        <w:spacing w:after="0" w:line="113" w:lineRule="exact"/>
        <w:rPr>
          <w:rFonts w:ascii="Arial" w:cs="Arial" w:eastAsia="Arial" w:hAnsi="Arial"/>
          <w:sz w:val="17"/>
          <w:szCs w:val="17"/>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voluntary or mandatory product recalls and publicity requirements;</w:t>
      </w:r>
    </w:p>
    <w:p>
      <w:pPr>
        <w:spacing w:after="0" w:line="113" w:lineRule="exact"/>
        <w:rPr>
          <w:rFonts w:ascii="Arial" w:cs="Arial" w:eastAsia="Arial" w:hAnsi="Arial"/>
          <w:sz w:val="17"/>
          <w:szCs w:val="17"/>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total or partial suspension of production; and</w:t>
      </w:r>
    </w:p>
    <w:p>
      <w:pPr>
        <w:spacing w:after="0" w:line="113" w:lineRule="exact"/>
        <w:rPr>
          <w:rFonts w:ascii="Arial" w:cs="Arial" w:eastAsia="Arial" w:hAnsi="Arial"/>
          <w:sz w:val="17"/>
          <w:szCs w:val="17"/>
          <w:color w:val="auto"/>
        </w:rPr>
      </w:pPr>
    </w:p>
    <w:p>
      <w:pPr>
        <w:ind w:left="1040" w:hanging="418"/>
        <w:spacing w:after="0"/>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imposition of restrictions on operations, including costly new manufacturing requirements.</w:t>
      </w:r>
    </w:p>
    <w:p>
      <w:pPr>
        <w:spacing w:after="0" w:line="11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if approved, and generate revenue.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w:t>
      </w:r>
    </w:p>
    <w:p>
      <w:pPr>
        <w:spacing w:after="0" w:line="11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05"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b w:val="1"/>
          <w:bCs w:val="1"/>
          <w:i w:val="1"/>
          <w:iCs w:val="1"/>
          <w:color w:val="auto"/>
        </w:rPr>
        <w:t>We may face difficulties from changes to current regulations and future legislation. Healthcare legislative reform measures in the U.S. and abroad, such as changes in healthcare spending and policy, may have a material adverse effect on our business, results of operations, and prospects.</w:t>
      </w:r>
    </w:p>
    <w:p>
      <w:pPr>
        <w:spacing w:after="0" w:line="174"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 xml:space="preserve">The policies of the FDA, the competent authorities of the E.U. Member States, the EMA, the European Commission and other comparable regulatory authorities responsible for clinical trials may change and additional government regulations may be enacted. In June 2024, the U.S. Supreme Court overruled the </w:t>
      </w:r>
      <w:r>
        <w:rPr>
          <w:rFonts w:ascii="Arial" w:cs="Arial" w:eastAsia="Arial" w:hAnsi="Arial"/>
          <w:sz w:val="17"/>
          <w:szCs w:val="17"/>
          <w:i w:val="1"/>
          <w:iCs w:val="1"/>
          <w:color w:val="auto"/>
        </w:rPr>
        <w:t>Chevron</w:t>
      </w:r>
      <w:r>
        <w:rPr>
          <w:rFonts w:ascii="Arial" w:cs="Arial" w:eastAsia="Arial" w:hAnsi="Arial"/>
          <w:sz w:val="17"/>
          <w:szCs w:val="17"/>
          <w:color w:val="auto"/>
        </w:rPr>
        <w:t xml:space="preserve"> doctrine in </w:t>
      </w:r>
      <w:r>
        <w:rPr>
          <w:rFonts w:ascii="Arial" w:cs="Arial" w:eastAsia="Arial" w:hAnsi="Arial"/>
          <w:sz w:val="17"/>
          <w:szCs w:val="17"/>
          <w:i w:val="1"/>
          <w:iCs w:val="1"/>
          <w:color w:val="auto"/>
        </w:rPr>
        <w:t>Loper Bright</w:t>
      </w:r>
      <w:r>
        <w:rPr>
          <w:rFonts w:ascii="Arial" w:cs="Arial" w:eastAsia="Arial" w:hAnsi="Arial"/>
          <w:sz w:val="17"/>
          <w:szCs w:val="17"/>
          <w:color w:val="auto"/>
        </w:rPr>
        <w:t>, which gives deference to regulatory agencies’ statutory interpretations in litigation against federal government agencies, such as the FDA, where the law is ambiguous. This landmark Supreme Court decision may invite various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0" w:name="page151"/>
    <w:bookmarkEnd w:id="150"/>
    <w:p>
      <w:pPr>
        <w:ind w:left="100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stakeholders to bring lawsuits against the FDA and other federal agencies to challenge longstanding decisions and policies, which can lead to uncertainty in the industry and disrupt the agencies’ normal operations. Further, changes in the leadership of the FDA and other federal agencies under the new Trump administration can result in changes in agency funding, operations, policies and regulatory actions, which may impact our clinical development plans and timelines.</w:t>
      </w:r>
    </w:p>
    <w:p>
      <w:pPr>
        <w:spacing w:after="0" w:line="19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operate in a highly regulated industry, and new laws and regulations, or new interpretations of laws and regulations by regulatory authorities or the courts, related to healthcare availability and the method of delivery of, or payment for, healthcare products and services could negatively impact our business. The U.S. and many foreign jurisdictions have enacted or proposed legislative and regulatory changes affecting the healthcare system that could impact our clinical trials; prevent or delay marketing approval of our current or future drug candidates; restrict or regulate potential post-approval activities; and/or affect our ability to profitably sell a drug product for which we obtain marketing approval. For any of our drug candidates that receive marketing approval, such laws and regulations could require, for example, (i) changes to our manufacturing arrangements; (ii) additions or modifications to drug product labeling; (iii) the recall or discontinuation of our drug products; and/or (iv) additional record-keeping and data transfer requirements.</w:t>
      </w:r>
    </w:p>
    <w:p>
      <w:pPr>
        <w:spacing w:after="0" w:line="30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There have been, and likely will continue to be, legislative and regulatory proposals at the U.S. federal and state levels and abroad directed at increasing the availability of healthcare and containing or lowering healthcare costs. For example, the Affordable Care Act (ACA) substantially changed the way healthcare is financed by both governmental and private insurers in the U.S., and significantly impacted the pharmaceutical industry. Since its enactment, there have been legislative and judicial efforts to repeal, replace, or change some or all of the ACA. In June 2021, the United States Supreme Court held that Texas and other challengers had no legal standing to challenge the ACA, dismissing the case without specifically ruling on the constitutionality of the ACA. It is unclear how future litigation and healthcare measures promulgated by the new Trump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 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2032, unless Congress takes additional action.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various pharmaceutical companies and the Pharmaceutical Research and Manufacturers of America, have initiated lawsuits against the federal government asserting that the price negotiation provisions of the IRA are unconstitutional. Further, uncertainties created by the IRA, including its long-term impact on drug pricing, may negatively impact investments, company valuation, royalty-based earnings, mergers, and acquisitions in the industry. The impact of these judicial challenges as well as other judicial challenges in view of the Supreme Court’s overturn of the </w:t>
      </w:r>
      <w:r>
        <w:rPr>
          <w:rFonts w:ascii="Arial" w:cs="Arial" w:eastAsia="Arial" w:hAnsi="Arial"/>
          <w:sz w:val="17"/>
          <w:szCs w:val="17"/>
          <w:i w:val="1"/>
          <w:iCs w:val="1"/>
          <w:color w:val="auto"/>
        </w:rPr>
        <w:t>Chevron</w:t>
      </w:r>
      <w:r>
        <w:rPr>
          <w:rFonts w:ascii="Arial" w:cs="Arial" w:eastAsia="Arial" w:hAnsi="Arial"/>
          <w:sz w:val="17"/>
          <w:szCs w:val="17"/>
          <w:color w:val="auto"/>
        </w:rPr>
        <w:t xml:space="preserve"> doctrine, future legislative, executive, and administrative actions and agency rules implemented by the new Trump administration on us and the pharmaceutical industry as a whole is unclear. The implementation of cost containment measures or other healthcare reforms may prevent us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spacing w:after="0" w:line="6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In addition, the FDA has authorized the state of Florida to develop Section 804 Importation Programs to import certain prescription drugs from Canada for a limited period time to help reduce drug costs, provided that Florida’s Agency for Health Care Administration meets the requirements set forth by the FDA. Other states may follow Florida.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46"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5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68" w:lineRule="exact"/>
        <w:rPr>
          <w:sz w:val="20"/>
          <w:szCs w:val="20"/>
          <w:color w:val="auto"/>
        </w:rPr>
      </w:pPr>
    </w:p>
    <w:p>
      <w:pPr>
        <w:ind w:left="1040" w:right="180" w:hanging="418"/>
        <w:spacing w:after="0" w:line="265" w:lineRule="auto"/>
        <w:tabs>
          <w:tab w:leader="none" w:pos="10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federal AKS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64" w:lineRule="exact"/>
        <w:rPr>
          <w:rFonts w:ascii="Arial" w:cs="Arial" w:eastAsia="Arial" w:hAnsi="Arial"/>
          <w:sz w:val="17"/>
          <w:szCs w:val="17"/>
          <w:color w:val="auto"/>
        </w:rPr>
      </w:pPr>
    </w:p>
    <w:p>
      <w:pPr>
        <w:ind w:left="1040" w:hanging="418"/>
        <w:spacing w:after="0" w:line="265" w:lineRule="auto"/>
        <w:tabs>
          <w:tab w:leader="none" w:pos="10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federal false claims laws, including the civil FCA,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64" w:lineRule="exact"/>
        <w:rPr>
          <w:rFonts w:ascii="Arial" w:cs="Arial" w:eastAsia="Arial" w:hAnsi="Arial"/>
          <w:sz w:val="17"/>
          <w:szCs w:val="17"/>
          <w:color w:val="auto"/>
        </w:rPr>
      </w:pPr>
    </w:p>
    <w:p>
      <w:pPr>
        <w:ind w:left="1040" w:right="440" w:hanging="418"/>
        <w:spacing w:after="0" w:line="290" w:lineRule="auto"/>
        <w:tabs>
          <w:tab w:leader="none" w:pos="10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federal HIPAA, prohibits, among other things, executing or attempting to execute a scheme to defraud any healthcare benefit program or making false statements relating to healthcare matters;</w:t>
      </w:r>
    </w:p>
    <w:p>
      <w:pPr>
        <w:spacing w:after="0" w:line="43" w:lineRule="exact"/>
        <w:rPr>
          <w:rFonts w:ascii="Arial" w:cs="Arial" w:eastAsia="Arial" w:hAnsi="Arial"/>
          <w:sz w:val="17"/>
          <w:szCs w:val="17"/>
          <w:color w:val="auto"/>
        </w:rPr>
      </w:pPr>
    </w:p>
    <w:p>
      <w:pPr>
        <w:ind w:left="1040" w:right="140" w:hanging="418"/>
        <w:spacing w:after="0" w:line="265" w:lineRule="auto"/>
        <w:tabs>
          <w:tab w:leader="none" w:pos="10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64" w:lineRule="exact"/>
        <w:rPr>
          <w:rFonts w:ascii="Arial" w:cs="Arial" w:eastAsia="Arial" w:hAnsi="Arial"/>
          <w:sz w:val="17"/>
          <w:szCs w:val="17"/>
          <w:color w:val="auto"/>
        </w:rPr>
      </w:pPr>
    </w:p>
    <w:p>
      <w:pPr>
        <w:ind w:left="1040" w:right="340" w:hanging="418"/>
        <w:spacing w:after="0" w:line="271" w:lineRule="auto"/>
        <w:tabs>
          <w:tab w:leader="none" w:pos="10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40" w:right="200"/>
        <w:spacing w:after="0" w:line="265" w:lineRule="auto"/>
        <w:rPr>
          <w:sz w:val="20"/>
          <w:szCs w:val="20"/>
          <w:color w:val="auto"/>
        </w:rPr>
      </w:pPr>
      <w:r>
        <w:rPr>
          <w:rFonts w:ascii="Arial" w:cs="Arial" w:eastAsia="Arial" w:hAnsi="Arial"/>
          <w:sz w:val="17"/>
          <w:szCs w:val="17"/>
          <w:color w:val="auto"/>
        </w:rPr>
        <w:t>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spacing w:after="0" w:line="65" w:lineRule="exact"/>
        <w:rPr>
          <w:sz w:val="20"/>
          <w:szCs w:val="20"/>
          <w:color w:val="auto"/>
        </w:rPr>
      </w:pPr>
    </w:p>
    <w:p>
      <w:pPr>
        <w:ind w:left="1040" w:right="80" w:hanging="418"/>
        <w:spacing w:after="0" w:line="257" w:lineRule="auto"/>
        <w:tabs>
          <w:tab w:leader="none" w:pos="10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(such as Washington’s My Health, My Data Act, which, among other things, provides for a private right of action), many of which differ from each other in significant ways and often are not preempted by HIPAA, thus complicating compliance efforts.</w:t>
      </w:r>
    </w:p>
    <w:p>
      <w:pPr>
        <w:spacing w:after="0" w:line="7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7" w:lineRule="exact"/>
        <w:rPr>
          <w:sz w:val="20"/>
          <w:szCs w:val="20"/>
          <w:color w:val="auto"/>
        </w:rPr>
      </w:pPr>
    </w:p>
    <w:p>
      <w:pPr>
        <w:ind w:right="340"/>
        <w:spacing w:after="0" w:line="302" w:lineRule="auto"/>
        <w:rPr>
          <w:sz w:val="20"/>
          <w:szCs w:val="20"/>
          <w:color w:val="auto"/>
        </w:rPr>
      </w:pPr>
      <w:r>
        <w:rPr>
          <w:rFonts w:ascii="Arial" w:cs="Arial" w:eastAsia="Arial" w:hAnsi="Arial"/>
          <w:sz w:val="17"/>
          <w:szCs w:val="17"/>
          <w:b w:val="1"/>
          <w:bCs w:val="1"/>
          <w:i w:val="1"/>
          <w:iCs w:val="1"/>
          <w:color w:val="auto"/>
        </w:rPr>
        <w:t>We are subject to U.S. and foreign laws regarding privacy, data protection, and cybersecurity that could entail substantial compliance costs, while the failure to comply could subject us to significant liability.</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Privacy, data protection, and cybersecurity have become significant issues in the U.S., Europe, and other jurisdictions where we conduct or may in the future conduct our operations. The regulatory framework for the collection, use, safeguarding, sharing, transfer, and other processing of health and other personal information is rapidly evolving worldwide and is likely to remain in flux for the foreseeable future. The scope and interpretation of the laws that are or may be applicable to us are often uncertain, subject to differing interpretations, and may be inconsistent among different jurisdictions.</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the U.S., HIPAA, as amended by the HITECH Act, imposes on covered entities certain requirements relating to the privacy, security, and transmission of individually identifiable health information. The legislation also increased the civil and criminal penalties that may be assessed for violations and gave state attorneys general the authority to file civil actions in federal courts to enforce the HIPAA rules. In addition, for clinical trials conducted in the U.S., any personal information that is collected is further regulated by the Federal Policy for the Protection of Human Subjects. Privacy laws are also being enacted or considered at the state level, including significant privacy legislation in California, the California Consumer Privacy Act, as amended and supplemented by the California Privacy Rights Act (the CCPA). Numerous other states have proposed, and in many cases enacted, laws and regulations addressing privacy and cybersecurity. Many of these are general privacy statutes similar to the CCPA. While these laws provide for certain exceptions for protected health information subject to HIPAA and clinical trial regulations, these and other state privacy laws may impact our business activities, and there continues to be uncertainty about how these laws will be interpreted and enforced. Other states have passed privacy legislation, including general privacy legislation similar to the CCPA, and legislation such as Washington’s My Health, My Data Act, that also may impact our business activities, in the future and additional states are evaluating similar legislation.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the event we enroll subjects in clinical trials in the European Union (EU) or other jurisdictions, or otherwise acquire or process personal data of individuals in those jurisdictions, we may be subject to additional restrictions and obligations relating to the collection, use, storage, transfer, and other processing of this data. In Europe, the EU and the United Kingdom General Data Protection Regulations (respectively, the GDPR and the UK GDPR, together the GDPR) each impose strict requirements around the processing of personal data: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Other countries outside of Europe and the United Kingdom have enacted or are considering enacting similar comprehensive data privacy and security laws and regulations, which could increase the cost and complexity of operating our business.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the ordinary course of business, we may transfer personal data from Europe and other jurisdictions to the U.S. or other countries. Europe and other jurisdictions have enacted laws requiring data to be localized or limiting the transfer of personal data to other countries. The European Economic Area (EEA) and the United Kingdom each restricts the transfer of personal data to the United States and other countries whose privacy laws it generally believes are inadequate. Other jurisdictions may adopt similarly stringent interpretations of their data localization and cross-border data transfer laws. Certain mechanisms may be used to transfer personal data from the EEA and United Kingdom to the United States in compliance with law, such as the European Commission’s Standard Contractual Clauses, the United Kingdom’s International Data Transfer Agreement and United Kingdom Transfer Addendum, and the E.U.-U.S. Data Privacy Framework and the United Kingdom’s Extension to such framework (which allows for transfers for relevant U.S.-based organizations who self-certify compliance and participate in the relevant framework and/or extension), such mechanisms are subject to potential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206"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We may need to take additional steps, such as new contractual negotiations or modifications to our policies or practices relating to cross-border transfers of personal data, to comply with these restrictions and obligations. More generally, laws and regulations governing privacy and data protection exist in many other countries around the world, and these laws (which are evolving and expanding) create complicated and potentially inconsistent obligations that may impact our business.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increasing number, complexity, and potential inconsistency of current and future laws and regulations relating to privacy, data protection, and cybersecurity in the U.S. and other countries make our compliance obligations more difficult and costly. This is particularly true with respect to healthcare data or other personal information acquired as a result of our research activities and clinical trials. More recently, the Department of Justice recently issued a final rule which takes effect in April 2025 that places limitations, and in some cases prohibitions, on certain transfers of sensitive personal data to data to business partners located in China or with other specified links to China (and other designated countries). If we fail to comply with applicable laws, regulations, or other actual or asserted obligations relating to privacy, data protection or cybersecurity, or experience a security breach or incident – or if a third party with whom we share personal information or who processes such information for us fails to comply with applicable actual or asserted obligations or experiences a security breach or incident – or if any of these is reported or perceived to have occurred, it could lead to government investigations, enforcement actions, and other proceedings, as well as civil claims and litigation against us. We could incur substantial costs to defend against any such claims or proceedings and may also be held liable for significant fines, penalties, and monetary judgments. Any of the foregoing could have a material adverse effect on our business, results of operations, reputation, and prospects, including but not limited to: loss of customers; interruptions or stoppages in our business operations (including clinical trials); interruptions or stoppages of data collection needed to train our algorithms; inability to process personal data or to operate in certain jurisdictions; limited ability to develop or commercialize our products;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expenditure of time and resources to defend any claim or inquiry; adverse publicity; or substantial changes to our business model or operations.</w:t>
      </w:r>
    </w:p>
    <w:p>
      <w:pPr>
        <w:spacing w:after="0" w:line="243" w:lineRule="exact"/>
        <w:rPr>
          <w:sz w:val="20"/>
          <w:szCs w:val="20"/>
          <w:color w:val="auto"/>
        </w:rPr>
      </w:pPr>
    </w:p>
    <w:p>
      <w:pPr>
        <w:ind w:right="360"/>
        <w:spacing w:after="0" w:line="302" w:lineRule="auto"/>
        <w:rPr>
          <w:sz w:val="20"/>
          <w:szCs w:val="20"/>
          <w:color w:val="auto"/>
        </w:rPr>
      </w:pPr>
      <w:r>
        <w:rPr>
          <w:rFonts w:ascii="Arial" w:cs="Arial" w:eastAsia="Arial" w:hAnsi="Arial"/>
          <w:sz w:val="17"/>
          <w:szCs w:val="17"/>
          <w:b w:val="1"/>
          <w:bCs w:val="1"/>
          <w:i w:val="1"/>
          <w:iCs w:val="1"/>
          <w:color w:val="auto"/>
        </w:rPr>
        <w:t>Regulatory and legislative developments related to the use of AI could adversely affect our use of such technologies in our products, services, and business.</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use AI throughout our business, including in our drug discovery processes and technology. As the regulatory framework for AI (including generative AI) evolves, our business, financial condition and results of operations may be adversely affected. The regulatory framework for AI and similar technologies is changing rapidly. It is possible that new laws and regulations will be adopted in the United States and in non-U.S. jurisdictions, or that existing laws and regulations may be interpreted in ways that would affect the operation of our drug discovery platform and data analytics and the way in which we use AI and similar technologies.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For example, in Europe, the European Union’s Artificial Intelligence Act (AI Act) entered into force on August 1, 2024. The AI Act establishes a risk-based governance framework for regulating high-risk AI systems operating in or being used by the EU market. The AI Act could impact our products, business, and use of AI, even if we do not have a direct presence in the EU. This framework categorizes AI systems based on the risks associated with such AI systems’ intended purposes as creating “unacceptable”, “high” or “limited” risks. While the AI Act has not yet been enforced, there is a risk that our current or future AI-powered software or applications may be categorized as “high” risk or “limited” risk, obligating us to comply with the applicable requirements of the AI Act, which may impose additional costs on us, increase our risk of liability, or adversely affect our business. For example, “high” risk AI systems are required, amongst other things, to implement and maintain certain risk and quality management systems, conduct certain conformity and risk assessments, use appropriate data governance and management practices, including in development and training, and meet certain standards related to testing, technical robustness, transparency, human oversight, and cybersecurity. Even if our AI systems are not categorized as “high” risk we may be subject to additional transparency and other obligations for “low” risk AI system providers. The AI Act sets forth certain penalties, including fines of the greater of EUR 35 million or 7% of worldwide annual turnover (as defined in the AI Act) for the prior year for violations related to offering prohibited AI-systems or data governance, fines of the greater of EUR 15 million or 3% of worldwide annual turnover for the prior year for violations related to the requirements for “high” risk AI systems, and fines of the greater of EUR 7.5 million or</w:t>
      </w:r>
    </w:p>
    <w:p>
      <w:pPr>
        <w:spacing w:after="0" w:line="8"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1.5% of worldwide annual turnover for the prior year for violations related to supplying incorrect, incomplete or misleading information to the EU and member state authorities. The AI Act’s regulatory framework is expected to have a material impact on the way AI is regulated in the EU and across the world. Other jurisdictions also have proposed, and in certain cases enacted, laws and regulations addressing the use and development of AI.</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For example, in the United States, numerous states have proposed or have enacted laws addressing these matters, and in the United Kingdom, the government has published a white paper calling for existing regulators to implement certain specific principles to guide and inform the responsible development and use of AI. The AI Act and other evolving laws and regulations addressing AI, together with developing guidance and/or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203" w:lineRule="exact"/>
        <w:rPr>
          <w:sz w:val="20"/>
          <w:szCs w:val="20"/>
          <w:color w:val="auto"/>
        </w:rPr>
      </w:pPr>
    </w:p>
    <w:p>
      <w:pPr>
        <w:ind w:right="920"/>
        <w:spacing w:after="0" w:line="277" w:lineRule="auto"/>
        <w:rPr>
          <w:sz w:val="20"/>
          <w:szCs w:val="20"/>
          <w:color w:val="auto"/>
        </w:rPr>
      </w:pPr>
      <w:r>
        <w:rPr>
          <w:rFonts w:ascii="Arial" w:cs="Arial" w:eastAsia="Arial" w:hAnsi="Arial"/>
          <w:sz w:val="17"/>
          <w:szCs w:val="17"/>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174"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We are exposed to the risk of fraud or other misconduct by our employees, independent contractors, CROs, consultants, and vendors. Misconduct by these parties could include intentional, reckless, or negligent conduct that causes us to fail to comply with, among other things, FDA regulations or similar regulations of comparable foreign regulatory authorities, drug manufacturing standards, and healthcare fraud and abuse laws. Such misconduct could also involve the improper use of information obtained in the course of clinical trials, as well as violations of HIPAA and other laws relating to privacy, data protection and cybersecurity in the U.S and foreign jurisdictions, including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GDPR. We are also exposed to risks in connection with potential insider trading violations by employees or others affiliated with us. It is not always possible to identify and deter employee or other individual misconduct. The precautions we take to detect and prevent this activity may not be effective in controlling unknown or unmanaged risks or losses, or in protecting us from governmental investigations or other actions or lawsuits stemming from noncompliance with applicable laws, standards, regulations, or codes of conduct. If any such actions are instituted against us, whether with or without merit, and we are not successful in defending ourselves or asserting our rights, they may result in damages, fines, and other sanctions that could materially and adversely affect our business, results of operations, and reputation.</w:t>
      </w:r>
    </w:p>
    <w:p>
      <w:pPr>
        <w:spacing w:after="0" w:line="199"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We are exposed to the risk of fraud or other misconduct by our employees, independent contractors, CROs, consultants, and vendors. Misconduct by these parties could include intentional, reckless, and/or negligent conduct that causes us to fail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foreign jurisdictions, including the GDPR. We are also exposed to risks in connection with any insider trading violations by employees or others affiliated with us, including inadvertent violations such as a sale of pledged shares by a lender when the pledgor is in possession of material nonpublic information.</w:t>
      </w:r>
    </w:p>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Additionally, we are subject to the risk that a person could allege such fraud or other misconduct, even if none occurred and our employees may, from time to time, bring lawsuits against us for employment issues, including injury, discrimination, wage and hour disputes, sexual harassment, hostile work environment, or other employment issues.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results of operations, financial condition, reputation, and prospects.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auto"/>
        </w:rPr>
        <w:t>Climate change-related risks and uncertainties and legal or regulatory responses to climate change could negatively impact our results of operations, financial condition and/or reputation.</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increasing climate-related risks and uncertainties, many of which are outside of our control. Climate change may result in more frequent severe weather events, potential changes in precipitation patterns, and extreme variability in weather patterns, which can disrupt our operations as well as those of our vendors, suppliers, and collaborators.</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transition to lower greenhouse gas emissions technology, the effects of carbon pricing, and changes in public sentiment, regulations, taxes, public mandates, or requirements and increases in climate-related lawsuits, insurance premiums, and implementation of more robust disaster recovery and business continuity plans could increase costs to maintain or resume our operations or achieve any sustainability commitments we make, which would negatively impact our results of operations.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reviewing our impact on climate change and determining if it is economically feasible for us to be carbon neutral by 2030. We are also working on other environmental, social and governance goals. Execution and achievement of any future commitments or goals are subject to risks and uncertainties. Given the focus on sustainable investing and corporate and social responsibility, if we fail to make a climate change commitment by 2030 and adopt policies and practices to enhance environmental, social and governance initiatives, our reputation and our customer and other stakeholder relationships could be negatively impacted and it may be more difficult for us to compete effectively or gain access to financing on acceptable terms when needed, which would have an adverse effect on our results of operations, financial condition, reputation and prospects.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AND MANAGING GROWTH</w:t>
      </w:r>
    </w:p>
    <w:p>
      <w:pPr>
        <w:spacing w:after="0" w:line="245" w:lineRule="exact"/>
        <w:rPr>
          <w:sz w:val="20"/>
          <w:szCs w:val="20"/>
          <w:color w:val="auto"/>
        </w:rPr>
      </w:pPr>
    </w:p>
    <w:p>
      <w:pPr>
        <w:ind w:right="660"/>
        <w:spacing w:after="0" w:line="302" w:lineRule="auto"/>
        <w:rPr>
          <w:sz w:val="20"/>
          <w:szCs w:val="20"/>
          <w:color w:val="auto"/>
        </w:rPr>
      </w:pPr>
      <w:r>
        <w:rPr>
          <w:rFonts w:ascii="Arial" w:cs="Arial" w:eastAsia="Arial" w:hAnsi="Arial"/>
          <w:sz w:val="17"/>
          <w:szCs w:val="17"/>
          <w:b w:val="1"/>
          <w:bCs w:val="1"/>
          <w:i w:val="1"/>
          <w:iCs w:val="1"/>
          <w:color w:val="auto"/>
        </w:rPr>
        <w:t>Our future success depends on our ability to retain key executives and experienced scientists, and to attract, retain, and motivate qualified personnel.</w:t>
      </w:r>
    </w:p>
    <w:p>
      <w:pPr>
        <w:spacing w:after="0" w:line="153"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We are highly dependent on the research and development, clinical, and business development expertise of our executive, management, scientific, technological, and clinical teams. Although we have entered into employment agreements with our executive officers, certain officers have, and any of them may in the future terminate their employment with us at any time or may not be able to perform the services we need in the future. The loss of the services of any of our executive officers or other key employees could impede the achievement of our research, development and commercialization or other business objectives in our drug discovery business or harm our ability to successfully implement our business strategy. Replacing any executive officers and key employees may be difficult and may take an extended period of time because of the limited number of individuals with the breadth of skills and experience required to successfully develop, gain regulatory approval of, and commercialize products in the life sciences industry.</w:t>
      </w:r>
    </w:p>
    <w:p>
      <w:pPr>
        <w:spacing w:after="0" w:line="201"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is also critical to our success. For example, we rely on our employees to help operate and repair our equipment, and on consultants and advisors, including scientific and clinical advisors, to assist us in formulating our research and development and commercialization strategies. Because of the specialized scientific nature of our business, we are highly dependent upon attracting and retaining qualified scientific, technical, and managerial personnel. While we strive to reduce the impact of the potential loss of existing employees by having an established organizational talent review process that identifies successors and potential talent needs, there is still significant competition for qualified personnel in the pharmaceutical and biotechnology fields. Therefore, we may not be able to attract and retain the qualified personnel necessary for the continued development of our business. The loss of the services of existing personnel, as well as the failure to recruit and train additional key scientific, technical, and managerial personnel in a timely manner, could harm our business, results of operations, financial condition, and prospects.</w:t>
      </w:r>
    </w:p>
    <w:p>
      <w:pPr>
        <w:spacing w:after="0" w:line="205"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The loss of the services of our executive officers or other key employees or consultants could impede our ability to successfully implement our business strategy.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 products, and because of the competition among numerous pharmaceutical and biotechnology companies for similar personnel. In addition, our consultants and advisors may have commitments or non-competition obligations under consulting or advisory contracts with other entities that may limit their availability to us. We may also experience difficulties recruiting scientific and clinical personnel from universities and research institutions. If one or more of our clinical trials are unsuccessful, it may become more challenging to recruit and retain qualified scientific personnel.</w:t>
      </w:r>
    </w:p>
    <w:p>
      <w:pPr>
        <w:spacing w:after="0" w:line="201"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In addition, increases in salaries and wages, extensions of personal and other leave policies, other governmental regulations affecting labor costs, and a diminishing pool of potential qualified personnel when the unemployment rate falls could significantly increase our labor costs and make it more difficult to retain, attract, and motivate qualified personnel, which could materially adversely affect our business, financial performance, and cash reserves. As a result of inflationary pressures and other initiatives, our net losses may increase and we may need to raise capital sooner than otherwise anticipated. Because we employ a large workforce, any salary or wage increase and/or expansion of benefits mandates will have a particularly significant impact on our labor costs. Our vendors, contractors and business partners are similarly impacted by wage and benefit cost inflation, and many have or will increase their price for goods, construction and services in order to offset their increasing labor costs.</w:t>
      </w:r>
    </w:p>
    <w:p>
      <w:pPr>
        <w:spacing w:after="0" w:line="201"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Some of the employees we may want to hire in the future may not reside in Salt Lake City, Utah or other areas where we have operations and may not want to relocate. In addition, many of the other pharmaceutical and biotechnology companies that we compete against for qualified personnel have greater financial and other resources, different risk profiles, and a longer history in the industry than we do. They also may provide more diverse opportunities and better chances for career advancement.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If we are unable to hire, retain, and motivate highly qualified senior executives and personnel, the rate and success with which we can discover and develop drug candidates, our ability to pursue our growth strategy, and our business may be adversely impacted.</w:t>
      </w:r>
    </w:p>
    <w:p>
      <w:pPr>
        <w:spacing w:after="0" w:line="172" w:lineRule="exact"/>
        <w:rPr>
          <w:sz w:val="20"/>
          <w:szCs w:val="20"/>
          <w:color w:val="auto"/>
        </w:rPr>
      </w:pPr>
    </w:p>
    <w:p>
      <w:pPr>
        <w:ind w:right="800"/>
        <w:spacing w:after="0" w:line="302"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expect to experience growth in the number of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Any inability to manage growth could delay the execution of our business plans or disrupt our operations. For example, after the business combination with Exscientia, Recursion experienced rapid headcount growth from 515 employees as of January 1, 2024, to approximately 800 employees as of December 31, 2024.</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ensure that, following any such acquisition, we will achieve the expected synergies to justify the transaction.</w:t>
      </w:r>
    </w:p>
    <w:p>
      <w:pPr>
        <w:spacing w:after="0" w:line="199" w:lineRule="exact"/>
        <w:rPr>
          <w:sz w:val="20"/>
          <w:szCs w:val="20"/>
          <w:color w:val="auto"/>
        </w:rPr>
      </w:pPr>
    </w:p>
    <w:p>
      <w:pPr>
        <w:ind w:right="40"/>
        <w:spacing w:after="0" w:line="302" w:lineRule="auto"/>
        <w:rPr>
          <w:sz w:val="20"/>
          <w:szCs w:val="20"/>
          <w:color w:val="auto"/>
        </w:rPr>
      </w:pPr>
      <w:r>
        <w:rPr>
          <w:rFonts w:ascii="Arial" w:cs="Arial" w:eastAsia="Arial" w:hAnsi="Arial"/>
          <w:sz w:val="17"/>
          <w:szCs w:val="17"/>
          <w:b w:val="1"/>
          <w:bCs w:val="1"/>
          <w:i w:val="1"/>
          <w:iCs w:val="1"/>
          <w:color w:val="auto"/>
        </w:rPr>
        <w:t>Increased labor costs, potential organization of our workforce, employee strikes and other labor-related disruption may adversely affect our operations.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None of our employees are represented by a labor union or, other than as set out below, subject to a collective bargaining agreement. We provide no assurance that our labor costs going forward will remain competitive for various reasons, such as: (i) our workforce may organize in the future and labor agreements may be put in place that have significantly higher labor rates and company obligations; (ii) our competitors may maintain significantly lower labor costs, thereby reducing or eliminating our comparative advantages vis-à-vis one or more of our competitors or the larger industry; and (iii) our labor costs may increase in connection with our growth.</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SECURITIES MARKETS AND OWNERSHIP OF OUR CLASS A COMMON STOCK</w:t>
      </w:r>
    </w:p>
    <w:p>
      <w:pPr>
        <w:spacing w:after="0" w:line="245" w:lineRule="exact"/>
        <w:rPr>
          <w:sz w:val="20"/>
          <w:szCs w:val="20"/>
          <w:color w:val="auto"/>
        </w:rPr>
      </w:pPr>
    </w:p>
    <w:p>
      <w:pPr>
        <w:jc w:val="both"/>
        <w:ind w:right="220"/>
        <w:spacing w:after="0" w:line="269" w:lineRule="auto"/>
        <w:rPr>
          <w:sz w:val="20"/>
          <w:szCs w:val="20"/>
          <w:color w:val="auto"/>
        </w:rPr>
      </w:pPr>
      <w:r>
        <w:rPr>
          <w:rFonts w:ascii="Arial" w:cs="Arial" w:eastAsia="Arial" w:hAnsi="Arial"/>
          <w:sz w:val="17"/>
          <w:szCs w:val="17"/>
          <w:b w:val="1"/>
          <w:bCs w:val="1"/>
          <w:i w:val="1"/>
          <w:iCs w:val="1"/>
          <w:color w:val="auto"/>
        </w:rPr>
        <w:t>The dual-class structure of our common stock affects the concentration of voting power, which limits our Class A common stockholders’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transactions.</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Our Class A common stock, the class of our common stock listed on The Nasdaq Stock Market, has one vote per share, and our Class B common stock has 10 votes per share. As of December 31, 2024, Dr. Gibson, our CEO and a member of our board of directors, and his affiliates held 171,824 shares of our Class A common stock and all of the issued and outstanding shares of our Class B common stock, representing approximately 15% of the voting power of our outstanding capital stock, which voting power may increase over time as Dr. Gibson exercises or vests in equity awards. If all such equity awards held by Dr. Gibson had been exercised or vested and exchanged for shares of Class B common stock as of December 31, 2024, Dr. Gibson and his affiliates would hold approximately 16% of the voting power of our outstanding capital stock.</w:t>
      </w:r>
    </w:p>
    <w:p>
      <w:pPr>
        <w:spacing w:after="0" w:line="19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a result, Dr. Gibson may be able to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Dr. Gibson may have interests that differ from our Class A common</w:t>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480"/>
        <w:spacing w:after="0" w:line="265" w:lineRule="auto"/>
        <w:rPr>
          <w:sz w:val="20"/>
          <w:szCs w:val="20"/>
          <w:color w:val="auto"/>
        </w:rPr>
      </w:pPr>
      <w:r>
        <w:rPr>
          <w:rFonts w:ascii="Arial" w:cs="Arial" w:eastAsia="Arial" w:hAnsi="Arial"/>
          <w:sz w:val="17"/>
          <w:szCs w:val="17"/>
          <w:color w:val="auto"/>
        </w:rPr>
        <w:t>stockholders and may vote in a way with which our Class A stockholders disagree and which may be adverse to our Class A stockholders’ interests. The concentrated control of Dr. Gibson may have the effect of delaying, preventing, or deterring a change in control of our company, could deprive our stockholders of an opportunity to receive a premium for their capital stock as part of a sale in our company, and, thus, may affect the market price of our Class A common stock.</w:t>
      </w:r>
    </w:p>
    <w:p>
      <w:pPr>
        <w:spacing w:after="0" w:line="194"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Future transfers by the holders of Class B common stock will generally result in those shares automatically converting into shares of Class A common stock, subject to limited exceptions, such as certain transfers for estate planning. Transfers or exchanges of shares of Class B common stock may result in the issuance of additional shares of Class A common stock and such issuances will be dilutive to holders of our Class A common stock. In addition, each share of Class B common stock will convert automatically into one share of Class A common stock upon the earliest of (i) April 16, 2028; (ii) the date specified by written consent or agreement of the holders of 66 2/3% of our then outstanding shares of Class B common stock; (iii) nine months after Dr. Gibson ceases to hold any positions as an officer or director with us; or (iv) nine months after the death or disability of Dr. Gibson. We refer to the date on which such final conversion of all outstanding shares of Class B common stock pursuant to the terms of amended and restated certificate of incorporation occurs as the Final Conversion Date.</w:t>
      </w:r>
    </w:p>
    <w:p>
      <w:pPr>
        <w:spacing w:after="0" w:line="201" w:lineRule="exact"/>
        <w:rPr>
          <w:sz w:val="20"/>
          <w:szCs w:val="20"/>
          <w:color w:val="auto"/>
        </w:rPr>
      </w:pPr>
    </w:p>
    <w:p>
      <w:pPr>
        <w:ind w:right="40"/>
        <w:spacing w:after="0" w:line="302"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53"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As of December 31, 2024, our executive officers, directors, holders of 5% or more of our capital stock, and their respective affiliates, including Dr. Gibson and his affiliates, beneficially owned shares representing more than 40% of our voting power. These stockholders, acting together, may be able to impact matters requiring stockholder approval, including the elections of directors; amendments of our organizational documents; and approval of any merger, sale of all or substantially all of our assets, or other major corporate transaction. This beneficial ownership concentration may also have the effect of deterring, delaying, or preventing unsolicited acquisition proposals or offers for our capital stock that other stockholders may feel are in their best interest. The interests of this group of stockholders may not always coincide with each other’s interests or the interests of other stockholders, and this group may act in a manner that advances its best interests and not necessarily those of other stockholders generally, including seeking a premium value for their Class A common stock, which might therefore affect the market price for our Class A common stock.</w:t>
      </w:r>
    </w:p>
    <w:p>
      <w:pPr>
        <w:spacing w:after="0" w:line="214" w:lineRule="exact"/>
        <w:rPr>
          <w:sz w:val="20"/>
          <w:szCs w:val="20"/>
          <w:color w:val="auto"/>
        </w:rPr>
      </w:pPr>
    </w:p>
    <w:p>
      <w:pPr>
        <w:ind w:right="20"/>
        <w:spacing w:after="0" w:line="349" w:lineRule="auto"/>
        <w:rPr>
          <w:sz w:val="20"/>
          <w:szCs w:val="20"/>
          <w:color w:val="auto"/>
        </w:rPr>
      </w:pPr>
      <w:r>
        <w:rPr>
          <w:rFonts w:ascii="Arial" w:cs="Arial" w:eastAsia="Arial" w:hAnsi="Arial"/>
          <w:sz w:val="17"/>
          <w:szCs w:val="17"/>
          <w:b w:val="1"/>
          <w:bCs w:val="1"/>
          <w:i w:val="1"/>
          <w:iCs w:val="1"/>
          <w:color w:val="auto"/>
        </w:rPr>
        <w:t>The price of our Class A common stock may be volatile and fluctuate substantially, which could result in substantial losses for holders of our common stock.</w:t>
      </w:r>
    </w:p>
    <w:p>
      <w:pPr>
        <w:spacing w:after="0" w:line="153" w:lineRule="exact"/>
        <w:rPr>
          <w:sz w:val="20"/>
          <w:szCs w:val="20"/>
          <w:color w:val="auto"/>
        </w:rPr>
      </w:pPr>
    </w:p>
    <w:p>
      <w:pPr>
        <w:ind w:right="120"/>
        <w:spacing w:after="0" w:line="311" w:lineRule="auto"/>
        <w:rPr>
          <w:sz w:val="20"/>
          <w:szCs w:val="20"/>
          <w:color w:val="auto"/>
        </w:rPr>
      </w:pPr>
      <w:r>
        <w:rPr>
          <w:rFonts w:ascii="Arial" w:cs="Arial" w:eastAsia="Arial" w:hAnsi="Arial"/>
          <w:sz w:val="17"/>
          <w:szCs w:val="17"/>
          <w:color w:val="auto"/>
        </w:rPr>
        <w:t>The trading price of our Class A common stock has been volatile since our initial public offering and it is likely that the price will fluctuate substantially in the future. The stock price may be influenced by many factors, a number of which are beyond our control, which factors include but are not limited to the following:</w:t>
      </w:r>
    </w:p>
    <w:p>
      <w:pPr>
        <w:spacing w:after="0" w:line="181" w:lineRule="exact"/>
        <w:rPr>
          <w:sz w:val="20"/>
          <w:szCs w:val="20"/>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49"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results of clinical trials of our drug candidates or those of our competitors;</w:t>
      </w:r>
    </w:p>
    <w:p>
      <w:pPr>
        <w:spacing w:after="0" w:line="36"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49"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36"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49"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level of expenses related to any of our drug candidates or clinical development programs;</w:t>
      </w:r>
    </w:p>
    <w:p>
      <w:pPr>
        <w:spacing w:after="0" w:line="36"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 products;</w:t>
      </w:r>
    </w:p>
    <w:p>
      <w:pPr>
        <w:spacing w:after="0" w:line="49"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36"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49"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36"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inflation, general supply chain matters, global political instability, or warfare;</w:t>
      </w:r>
    </w:p>
    <w:p>
      <w:pPr>
        <w:spacing w:after="0" w:line="49"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performance of the overall stock market and shares of biotechnology companies in particular, as well as general economic conditions; and</w:t>
      </w:r>
    </w:p>
    <w:p>
      <w:pPr>
        <w:spacing w:after="0" w:line="49" w:lineRule="exact"/>
        <w:rPr>
          <w:rFonts w:ascii="Arial" w:cs="Arial" w:eastAsia="Arial" w:hAnsi="Arial"/>
          <w:sz w:val="17"/>
          <w:szCs w:val="17"/>
          <w:color w:val="auto"/>
        </w:rPr>
      </w:pPr>
    </w:p>
    <w:p>
      <w:pPr>
        <w:ind w:left="360" w:hanging="151"/>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20"/>
        <w:spacing w:after="0" w:line="337" w:lineRule="auto"/>
        <w:rPr>
          <w:sz w:val="20"/>
          <w:szCs w:val="20"/>
          <w:color w:val="auto"/>
        </w:rPr>
      </w:pPr>
      <w:r>
        <w:rPr>
          <w:rFonts w:ascii="Arial" w:cs="Arial" w:eastAsia="Arial" w:hAnsi="Arial"/>
          <w:sz w:val="17"/>
          <w:szCs w:val="17"/>
          <w:color w:val="auto"/>
        </w:rPr>
        <w:t>As a result of this volatility, holders of our Class A common stock may not be able to sell their stock at or above the price they originally paid for it, which could result in the loss of a part or all of their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Class A common stock in the public market could cause our stock price to fall.</w:t>
      </w:r>
    </w:p>
    <w:p>
      <w:pPr>
        <w:spacing w:after="0" w:line="269" w:lineRule="exact"/>
        <w:rPr>
          <w:sz w:val="20"/>
          <w:szCs w:val="20"/>
          <w:color w:val="auto"/>
        </w:rPr>
      </w:pPr>
    </w:p>
    <w:p>
      <w:pPr>
        <w:spacing w:after="0" w:line="311"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one or more holders of a large number of shares intend to sell their shares, could cause the market price of our Class A common stock to decline.</w:t>
      </w:r>
    </w:p>
    <w:p>
      <w:pPr>
        <w:spacing w:after="0" w:line="194"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color w:val="auto"/>
        </w:rPr>
        <w:t>Also, shares of Class A common stock that are either subject to outstanding equity awards or that are reserved for future issuance under our equity compensation plans are eligible for sale in the public market to the extent permitted by the provisions of various vesting schedules and Rule 144 and Rule 701 under the Securities Act. Some holders of shares of our Class A common stock issued and issuable upon conversion of Class B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w:t>
      </w:r>
    </w:p>
    <w:p>
      <w:pPr>
        <w:spacing w:after="0" w:line="200" w:lineRule="exact"/>
        <w:rPr>
          <w:sz w:val="20"/>
          <w:szCs w:val="20"/>
          <w:color w:val="auto"/>
        </w:rPr>
      </w:pPr>
    </w:p>
    <w:p>
      <w:pPr>
        <w:spacing w:after="0" w:line="237"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We have, and may in the future, issue additional securities in connection with any financings, investments, or acquisitions, and the number of shares issued could constitute a material portion of our then-outstanding common stock. For example, we issued shares of Class A common stock in private placement financings in October 2022 and July 2023. In June 2024, we issued 35.4 million shares of Class A common stock in an underwritten public offering, during fiscal 2024 we issued 9,915,218 shares of Class A common stock from time to time in “at-the-market” offerings, and in February 2025, we entered into a new Sales Agreement, that provides for the offering, issuance and sale of up to an aggregate amount of $500.0 million of our Class A common stock from time to time in additional “at-the-market” offerings. In addition to capital raising issuances, in connection with the acquisitions of Cyclica and Valence in May 2023, we issued 12.4 million shares of our Class A common stock or securities convertible or exchangeable into Class A common stock and in November 2024, we issued approximately 102.1 million shares of our Class A common stock in connection with our business combination with Exscientia. We have also issued 6.7 million shares of our Class A common stock to Tempus in payment for license fees under the terms of the Tempus Agreement and may issue additional shares in the future under the Tempus Agreement.</w:t>
      </w:r>
    </w:p>
    <w:p>
      <w:pPr>
        <w:spacing w:after="0" w:line="200" w:lineRule="exact"/>
        <w:rPr>
          <w:sz w:val="20"/>
          <w:szCs w:val="20"/>
          <w:color w:val="auto"/>
        </w:rPr>
      </w:pPr>
    </w:p>
    <w:p>
      <w:pPr>
        <w:spacing w:after="0" w:line="243"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The sale of a significant number of shares of our Class A common stock under any of the above circumstances, or otherwise, in the public market at any time, or the perception that they may be sold, could have a material adverse effect on the market price of our Class A common stock. In that event, holders of our Class A common stock may not be able to sell their stock at or above the price they originally paid for it, which could result in the loss of part or all of their investment.</w:t>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Our amended and restated bylaws provide that the Court of Chancery of the State of Delaware and the federal district courts of the United States of America is the exclusive forums for substantially all disputes between us and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89" w:lineRule="exact"/>
        <w:rPr>
          <w:sz w:val="20"/>
          <w:szCs w:val="20"/>
          <w:color w:val="auto"/>
        </w:rPr>
      </w:pPr>
    </w:p>
    <w:p>
      <w:pPr>
        <w:ind w:left="360" w:hanging="151"/>
        <w:spacing w:after="0"/>
        <w:tabs>
          <w:tab w:leader="none" w:pos="3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action asserting a claim of breach of fiduciary duty;</w:t>
      </w:r>
    </w:p>
    <w:p>
      <w:pPr>
        <w:spacing w:after="0" w:line="10" w:lineRule="exact"/>
        <w:rPr>
          <w:rFonts w:ascii="Arial" w:cs="Arial" w:eastAsia="Arial" w:hAnsi="Arial"/>
          <w:sz w:val="17"/>
          <w:szCs w:val="17"/>
          <w:color w:val="auto"/>
        </w:rPr>
      </w:pPr>
    </w:p>
    <w:p>
      <w:pPr>
        <w:ind w:left="360" w:right="720" w:hanging="151"/>
        <w:spacing w:after="0" w:line="253" w:lineRule="auto"/>
        <w:tabs>
          <w:tab w:leader="none" w:pos="35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Delaware General Corporation Law, our amended- and restated certificate of incorporation or our amended and restated bylaws; and</w:t>
      </w:r>
    </w:p>
    <w:p>
      <w:pPr>
        <w:ind w:left="360" w:hanging="151"/>
        <w:spacing w:after="0"/>
        <w:tabs>
          <w:tab w:leader="none" w:pos="3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internal-affairs doctrine.</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This provision would not apply to suits brought to enforce a duty or liability created by the Securities Exchange Act of 1934, as amended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and may result in increased costs to stockholders of bringing a claim, each of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01"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prices of our Class A common stock.</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depress the market prices of our Class A common stock by acting to discourage, delay or prevent a change in control of our company or changes in our management that the stockholders of our company may deem advantageous. These provisions, among other things:</w:t>
      </w:r>
    </w:p>
    <w:p>
      <w:pPr>
        <w:spacing w:after="0" w:line="189" w:lineRule="exact"/>
        <w:rPr>
          <w:sz w:val="20"/>
          <w:szCs w:val="20"/>
          <w:color w:val="auto"/>
        </w:rPr>
      </w:pPr>
    </w:p>
    <w:p>
      <w:pPr>
        <w:ind w:left="360" w:hanging="151"/>
        <w:spacing w:after="0"/>
        <w:tabs>
          <w:tab w:leader="none" w:pos="3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establish a classified board of directors so that not all members of our board are elected at one time;</w:t>
      </w:r>
    </w:p>
    <w:p>
      <w:pPr>
        <w:spacing w:after="0" w:line="26" w:lineRule="exact"/>
        <w:rPr>
          <w:rFonts w:ascii="Arial" w:cs="Arial" w:eastAsia="Arial" w:hAnsi="Arial"/>
          <w:sz w:val="17"/>
          <w:szCs w:val="17"/>
          <w:color w:val="auto"/>
        </w:rPr>
      </w:pPr>
    </w:p>
    <w:p>
      <w:pPr>
        <w:ind w:left="360" w:hanging="151"/>
        <w:spacing w:after="0"/>
        <w:tabs>
          <w:tab w:leader="none" w:pos="3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permit only the board of directors to establish the number of directors and fill vacancies on the board;</w:t>
      </w:r>
    </w:p>
    <w:p>
      <w:pPr>
        <w:spacing w:after="0" w:line="10" w:lineRule="exact"/>
        <w:rPr>
          <w:rFonts w:ascii="Arial" w:cs="Arial" w:eastAsia="Arial" w:hAnsi="Arial"/>
          <w:sz w:val="17"/>
          <w:szCs w:val="17"/>
          <w:color w:val="auto"/>
        </w:rPr>
      </w:pPr>
    </w:p>
    <w:p>
      <w:pPr>
        <w:ind w:left="360" w:right="520" w:hanging="151"/>
        <w:spacing w:after="0" w:line="253" w:lineRule="auto"/>
        <w:tabs>
          <w:tab w:leader="none" w:pos="35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could use to implement a stockholder rights plan (also known as a “poison pill”);</w:t>
      </w:r>
    </w:p>
    <w:p>
      <w:pPr>
        <w:ind w:left="360" w:hanging="151"/>
        <w:spacing w:after="0"/>
        <w:tabs>
          <w:tab w:leader="none" w:pos="3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eliminate the ability of our stockholders to call special meetings of stockholders;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prohibit cumulative voting;</w:t>
      </w:r>
    </w:p>
    <w:p>
      <w:pPr>
        <w:spacing w:after="0" w:line="10" w:lineRule="exact"/>
        <w:rPr>
          <w:rFonts w:ascii="Arial" w:cs="Arial" w:eastAsia="Arial" w:hAnsi="Arial"/>
          <w:sz w:val="17"/>
          <w:szCs w:val="17"/>
          <w:color w:val="auto"/>
        </w:rPr>
      </w:pPr>
    </w:p>
    <w:p>
      <w:pPr>
        <w:ind w:left="360" w:hanging="151"/>
        <w:spacing w:after="0"/>
        <w:tabs>
          <w:tab w:leader="none" w:pos="3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authorize our board of directors to amend the bylaws;</w:t>
      </w:r>
    </w:p>
    <w:p>
      <w:pPr>
        <w:spacing w:after="0" w:line="10" w:lineRule="exact"/>
        <w:rPr>
          <w:rFonts w:ascii="Arial" w:cs="Arial" w:eastAsia="Arial" w:hAnsi="Arial"/>
          <w:sz w:val="17"/>
          <w:szCs w:val="17"/>
          <w:color w:val="auto"/>
        </w:rPr>
      </w:pPr>
    </w:p>
    <w:p>
      <w:pPr>
        <w:ind w:left="380" w:right="960" w:hanging="171"/>
        <w:spacing w:after="0" w:line="253" w:lineRule="auto"/>
        <w:tabs>
          <w:tab w:leader="none" w:pos="37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or for proposing matters that can be acted upon by stockholders at annual stockholder meetings; and</w:t>
      </w:r>
    </w:p>
    <w:p>
      <w:pPr>
        <w:ind w:left="360" w:hanging="151"/>
        <w:spacing w:after="0"/>
        <w:tabs>
          <w:tab w:leader="none" w:pos="3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require a super-majority vote of stockholders to amend some provisions described above.</w:t>
      </w:r>
    </w:p>
    <w:p>
      <w:pPr>
        <w:spacing w:after="0" w:line="227"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DGCL that has the effect of delaying or preventing a change in control could limit the opportunity for our stockholders to</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receive a premium for their shares of Class A common stock and could also affect the price that some investors are willing to pay for our stock.</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actual operating results may differ significantly from any guidance that we provide.</w:t>
      </w:r>
    </w:p>
    <w:p>
      <w:pPr>
        <w:spacing w:after="0" w:line="243"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From time to time, we may provide guidance in our quarterly earnings releases, or otherwise, regarding our future performance that represents our management’s estimates as of the date of release. This guidance, which would include forward-looking statements, would be based on projections prepared by our management. Neither our registered public accountants nor any other independent expert or outside party would compile or examine the projections. Accordingly, no such person would express any opinion or any other form of assurance with respect to the projections.</w:t>
      </w:r>
    </w:p>
    <w:p>
      <w:pPr>
        <w:spacing w:after="0" w:line="196"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principal reason that we would release guidance is to provide a basis for our management to discuss our business outlook with analysts and investors. We do not accept any responsibility for any projections or reports published by any such third parties. Guidance is necessarily speculative in nature, and it can be expected that some or all of the assumptions underlying any guidance furnished by us will not materialize or will vary significantly from actual results. Accordingly, our guidance would be only an estimate of what management believes is realizable as of the date of release. Actual results may vary from our guidance and the variations may be material.</w:t>
      </w:r>
    </w:p>
    <w:p>
      <w:pPr>
        <w:spacing w:after="0" w:line="201"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a proper and effective system of disclosure controls and internal controls over financial reporting. Any failure to maintain the adequacy of this system and these internal controls may adversely affect investor confidence in our company and, as a result, the value of our Class A common stock.</w:t>
      </w:r>
    </w:p>
    <w:p>
      <w:pPr>
        <w:spacing w:after="0" w:line="174"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We are subject to the reporting requirements of the Exchange Act,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4"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Our chief financial officer has only been the chief financial officer of a publicly traded company since our initial public offering and our chief executive officer has only been the chief executive officer of a publicly traded company since our initial public offering. Neither has been involved in the long-term operations of a public company.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Pursuant to Section 404 of the Sarbanes-Oxley Act, we are required to furnish a report by our management on our internal control over financial reporting. This assessment must include disclosure of any material weaknesses identified by our management in our internal control over financial reporting. If we identify one or more material weaknesses in our internal control over financial reporting, we will be unable to assert that our internal control over financial reporting is effective. For example, in connection with the audit of our consolidated financial statements as of and for the year ended December 31, 2023, our management and auditors identified a material weakness related to the Company’s processes to estimate costs used to calculate revenue related to its revenue license agreement, which remains unremediated as of December 31, 2024. See “—We have identified material weaknesses in our internal control over financial reporting. If we fail to maintain effective internal controls, we may be unable to produce timely and accurate financial statements, and we may conclude that our internal control over financial reporting is not effective, which could adversely impact our investors’ confidence and our stock price.” We cannot assure you that we will be able to remediate such material weakness or that there will not be material weaknesses or significant deficiencies in our internal control over financial reporting in the future.</w:t>
      </w:r>
    </w:p>
    <w:p>
      <w:pPr>
        <w:spacing w:after="0" w:line="202"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Any failure to maintain effective disclosure controls and internal control over financial reporting could severely inhibit our ability to accurately report our financial condition, or results of operations. If at any time we are unable to conclude that our disclosure controls and internal control over financial reporting are effective, or if our independent registered public accounting firm determines we have a material weakness or significant deficiency in our internal control over financial reporting, or if we are unable to remediate any existing weaknesses or deficiencies in a timely manner or at all, we could lose investor confidence in the accuracy and completeness of our financial reports, the market price of shares of our Class A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If we are unable to remediate this material weakness, or if we identify additional material weakness in the future or otherwise fail to maintain effective internal controls, we may be unable to produce timely and accurate financial statements, which could adversely impact our investors’ confidence and our stock price.</w:t>
      </w:r>
    </w:p>
    <w:p>
      <w:pPr>
        <w:spacing w:after="0" w:line="17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connection with the audit of our consolidated financial statements as of and for the year ended December 31, 2023, management identified a material weakness related to the Company’s management review process over the estimated costs and time to completion and controls to validate completeness and accuracy of information used to calculate revenue and unearned revenue related to our license agreement, which remains unremediated as of December 31, 2024. Additionally, prior to the business combination with Recursion and in connection with the preparation and audits of our financial statements as of and for the years ended December 31, 2022 and 2023, material weaknesses were identified in Exscientia’s internal control over financial reporting. Each material weakness identified remains unremediated as of December 31, 2024.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201"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Although we are taking steps to improve our internal control over financial reporting and remediate these material weaknesses, we cannot assure you that the measures we have taken to date will be sufficient to avoid potential future material weaknesses.</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identification of material weaknesses in our internal control over financial reporting, the inability to comply with the requirements of Section 404 of the Sarbanes-Oxley Act, the inability to conclude that our internal control over financial reporting is effective, or the inability of our independent registered public accounting firm to express an opinion that our internal control over financial reporting is effective, could cause investors lose confidence in the accuracy and completeness of our financial reports and the market price of our common stock could be negatively affected. As a result of such failures, we could also become subject to investigations by Nasdaq,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w:t>
      </w:r>
    </w:p>
    <w:p>
      <w:pPr>
        <w:spacing w:after="0" w:line="243"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global political instability, supply chain issues, and inflation have caused significant volatility and uncertainty in U.S. and international markets. Uncertainty in the U.S. regarding the federal government’s debt ceiling and related budgetary matters may also cause volatility and uncertainty in the global markets. A severe or prolonged economic downturn could result in a variety of risks to our business, including weakened demand for our drug candidates and impaired ability to raise additional capital when needed on acceptable terms, if at all. A weak or declining economy could also strain our suppliers or result in supply disruption. Any of the foregoing could harm our business and we cannot anticipate all of the ways in which the current economic climate and financial market conditions could adversely impact our business, results of operations, financial condition, and prospects.</w:t>
      </w:r>
    </w:p>
    <w:p>
      <w:pPr>
        <w:spacing w:after="0" w:line="201" w:lineRule="exact"/>
        <w:rPr>
          <w:sz w:val="20"/>
          <w:szCs w:val="20"/>
          <w:color w:val="auto"/>
        </w:rPr>
      </w:pPr>
    </w:p>
    <w:p>
      <w:pPr>
        <w:ind w:right="60"/>
        <w:spacing w:after="0" w:line="302" w:lineRule="auto"/>
        <w:rPr>
          <w:sz w:val="20"/>
          <w:szCs w:val="20"/>
          <w:color w:val="auto"/>
        </w:rPr>
      </w:pPr>
      <w:r>
        <w:rPr>
          <w:rFonts w:ascii="Arial" w:cs="Arial" w:eastAsia="Arial" w:hAnsi="Arial"/>
          <w:sz w:val="17"/>
          <w:szCs w:val="17"/>
          <w:b w:val="1"/>
          <w:bCs w:val="1"/>
          <w:i w:val="1"/>
          <w:iCs w:val="1"/>
          <w:color w:val="auto"/>
        </w:rPr>
        <w:t>We are subject to the risks of litigation that may arise in the ordinary course of our business, which could be costly and time-consuming to pursue or defend.</w:t>
      </w:r>
    </w:p>
    <w:p>
      <w:pPr>
        <w:spacing w:after="0" w:line="153"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We periodically are, and in the future may be, involved in legal proceedings or claims that arise in the ordinary course of business, such as those regarding commercial or contractual disputes, intellectual property rights, employment matters, product liability, or data privacy.</w:t>
      </w:r>
    </w:p>
    <w:p>
      <w:pPr>
        <w:spacing w:after="0" w:line="17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As a public company, we and our directors and officers are also subject to potential securities class action litigation, particularly if the market price of our Class A common stock is volatile. The stock market in general, and Nasdaq-listed and biotechnology companies in particular, experience significant price and volume fluctuations from time to time that often are unrelated or disproportionate to the operating performance of these companies. In the past, companies that have experienced volatility in the market price of their stock have been subject to securities class action lawsuits, and we may be the target of such litigation in the future.</w:t>
      </w:r>
    </w:p>
    <w:p>
      <w:pPr>
        <w:spacing w:after="0" w:line="196"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 xml:space="preserve">Litigation, whether with or without merit, may be expensive to pursue or defend; divert management’s attention; result in adverse judgments for damages, injunctive relief, penalties, and fines; and harm our business and reputation. </w:t>
      </w:r>
      <w:r>
        <w:rPr>
          <w:rFonts w:ascii="Arial" w:cs="Arial" w:eastAsia="Arial" w:hAnsi="Arial"/>
          <w:sz w:val="17"/>
          <w:szCs w:val="17"/>
          <w:color w:val="auto"/>
          <w:highlight w:val="white"/>
        </w:rPr>
        <w:t>Some</w:t>
      </w:r>
      <w:r>
        <w:rPr>
          <w:rFonts w:ascii="Arial" w:cs="Arial" w:eastAsia="Arial" w:hAnsi="Arial"/>
          <w:sz w:val="17"/>
          <w:szCs w:val="17"/>
          <w:color w:val="auto"/>
        </w:rPr>
        <w:t xml:space="preserve"> third parties may be able to sustain the costs of litigation more effectively than we can because they have substantially greater resources. Insurance may not cover all claims or may cover only a portion of our expenses and losses, and may not continue to be available on terms acceptable to us.</w:t>
      </w:r>
    </w:p>
    <w:p>
      <w:pPr>
        <w:spacing w:after="0" w:line="194"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15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trading market for our Class A common stock relies, in part, on the research and reports that industry or financial analysts publish about us or our business. If only a small number of analysts maintain coverage of us, the trading price of our stock would likely decrease. If an analyst covering our stock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24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believe cybersecurity is a critical component of our enterprise risk management function. Our strategy regarding Information Security (“InfoSec”) includes a comprehensive, proactive, and sustainable risk-based approach, assessing the risk posed to the Company at the strategic, operational, financial, and reputational levels. We take appropriate preventive, detective, and response measures to mitigate these risks on a continuing basis.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Process</w:t>
      </w:r>
    </w:p>
    <w:p>
      <w:pPr>
        <w:spacing w:after="0" w:line="245"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Recursion’s approach to InfoSec is informed by the National institute of Standards and Technology (“NIST”) Cybersecurity Framework (“CSF”), which is a broad standards framework that provides direction and guidance to assess the Company’s InfoSec risk and implement InfoSec capabilities, and also provides measures of progress in areas that are relevant for the organization’s business objectives.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Identification and Assessment</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As part of our overall risk management system, we have a dedicated InfoSec team to oversee management’s process for effectively monitoring and mitigating risk. The InfoSec team regularly reviews threat intelligence from various sources, including third-party InfoSec consultants, assesses the applicability of known threats and threat actor behavior and tactics to the Company, and assesses whether these threats pose risks to the Company. The InfoSec team then evaluates potentially appropriate administrative, technical, and physical controls to mitigate and reduce these risks within the appropriate business context and applies such controls where appropriate. We also have implemented a process to identify and mitigate risks from cybersecurity threats related to our use of third-party service providers.</w:t>
      </w:r>
    </w:p>
    <w:p>
      <w:pPr>
        <w:spacing w:after="0" w:line="199"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These mitigation measures are detailed in the Company’s InfoSec Roadmap. Progress against this Roadmap and potential incidents are reviewed with management and the Company’s Audit Committee.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Assurance</w:t>
      </w:r>
    </w:p>
    <w:p>
      <w:pPr>
        <w:spacing w:after="0" w:line="241" w:lineRule="exact"/>
        <w:rPr>
          <w:sz w:val="20"/>
          <w:szCs w:val="20"/>
          <w:color w:val="auto"/>
        </w:rPr>
      </w:pPr>
    </w:p>
    <w:p>
      <w:pPr>
        <w:ind w:right="600"/>
        <w:spacing w:after="0" w:line="290" w:lineRule="auto"/>
        <w:rPr>
          <w:sz w:val="20"/>
          <w:szCs w:val="20"/>
          <w:color w:val="auto"/>
        </w:rPr>
      </w:pPr>
      <w:r>
        <w:rPr>
          <w:rFonts w:ascii="Arial" w:cs="Arial" w:eastAsia="Arial" w:hAnsi="Arial"/>
          <w:sz w:val="17"/>
          <w:szCs w:val="17"/>
          <w:color w:val="auto"/>
        </w:rPr>
        <w:t>Our InfoSec team tests relevant controls and maintains industry standard attestations, including reports prepared by an independent AICPA-accredited auditor.</w:t>
      </w:r>
    </w:p>
    <w:p>
      <w:pPr>
        <w:spacing w:after="0" w:line="172" w:lineRule="exact"/>
        <w:rPr>
          <w:sz w:val="20"/>
          <w:szCs w:val="20"/>
          <w:color w:val="auto"/>
        </w:rPr>
      </w:pPr>
    </w:p>
    <w:p>
      <w:pPr>
        <w:ind w:right="700"/>
        <w:spacing w:after="0" w:line="290" w:lineRule="auto"/>
        <w:rPr>
          <w:sz w:val="20"/>
          <w:szCs w:val="20"/>
          <w:color w:val="auto"/>
        </w:rPr>
      </w:pPr>
      <w:r>
        <w:rPr>
          <w:rFonts w:ascii="Arial" w:cs="Arial" w:eastAsia="Arial" w:hAnsi="Arial"/>
          <w:sz w:val="17"/>
          <w:szCs w:val="17"/>
          <w:color w:val="auto"/>
        </w:rPr>
        <w:t>We also run regular cybersecurity exercises, such as penetration tests, to test the effectiveness of our controls. We use the results of these exercises to identify, evaluate, and prioritize potential areas of improvement through the InfoSec Roadmap.</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Consequence Mitigation</w:t>
      </w:r>
    </w:p>
    <w:p>
      <w:pPr>
        <w:spacing w:after="0" w:line="241"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We also test the Company’s InfoSec’s Incident Response control effectiveness through tabletop exercises facilitated by a third party. These exercises test the Company’s ability to detect and respond to cybersecurity incidents in a timely manner with a goal to reduce the impact of cybersecurity incidents. Our InfoSec policies, processes and procedures are tested for completion and accuracy through these exercises. We use the results of these exercises to identify, evaluate, and prioritize potential areas of improvement identified through the InfoSec Roadmap.</w:t>
      </w:r>
    </w:p>
    <w:p>
      <w:pPr>
        <w:spacing w:after="0" w:line="19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We, like any technology company in the current environment, have experienced cybersecurity incidents in the past, but we have not experienced a cybersecurity incident which has been determined to be material. For additional information regarding whether any risks from cybersecurity threats are reasonably likely to materially affect our company, including our business strategy, results of operations, or financial condition, please refer to Item 1A, “Risk Factors,” in this annual report on Form 10-K, including the risk factors entitled “Risks Related to Our Platform and Data.”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Cybersecurity Governance</w:t>
      </w:r>
    </w:p>
    <w:p>
      <w:pPr>
        <w:spacing w:after="0" w:line="24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Our cybersecurity processes are overseen by the Audit Committee of the Board of Directors. The Audit Committee, through its charter, has express oversight of the Company’s cybersecurity processes, controls, and procedures and is responsible for monitoring and reviewing the Company’s mitigation efforts. The Audit Committee receives quarterly briefings from senior leadership, including our Chief Information Security Officer, regarding information security risk, strategy, and effectiveness and progress of the InfoSec program. The Audit Committee also reviews with management significant information security incidents for the period and associated remediation plans, and new or emerging information security risks. The Board of Directors is also provided an update quarterly on the Company’s cybersecurity risk, processes, and mitigation efforts.</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execution of the Company’s cybersecurity processes is overseen by a committee that includes our Chief Information Security Officer (“CISO”), Chief Financial Officer, Chief Operating Officer, General Counsel and Chief Technology Officer (“CTO”). This committee is responsible for the overall cybersecurity strategy and approving the cybersecurity processes, policies, and procedures, including the InfoSec Roadmap. The committee receives regular reports on the InfoSec strategy, risks, and mitigation efforts. It is also informed of any potential reportable information security incidents and is responsible for assessing the impact and approving remediation plans, as well as escalating to the Audit Committee or Board of Directors. Overall implementation of the cybersecurity strategy is executed across the enterprise by Recursion’s InfoSec team, which is supervised by the CISO.</w:t>
      </w:r>
    </w:p>
    <w:p>
      <w:pPr>
        <w:spacing w:after="0" w:line="200" w:lineRule="exact"/>
        <w:rPr>
          <w:sz w:val="20"/>
          <w:szCs w:val="20"/>
          <w:color w:val="auto"/>
        </w:rPr>
      </w:pPr>
    </w:p>
    <w:p>
      <w:pPr>
        <w:spacing w:after="0" w:line="210"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Our CISO has held various Information Security Leadership and Technology roles over the past 25 years in the biopharmaceutical, life sciences industry, including roles at Genentech (USA), Roche Farma S.A. (Spain), Hoffman - La Roche (Switzerland) and most recently at Jazz Pharmaceuticals (USA) as their Global CISO before joining Recursion in 2021. Our CISO brings extensive risk management experience including developing cybersecurity strategy, implementing effective information and cybersecurity programs, and secure architecture.</w:t>
      </w:r>
    </w:p>
    <w:p>
      <w:pPr>
        <w:spacing w:after="0" w:line="194"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Our General Counsel was a corporate and securities lawyer at Wilson Sonsini Goodrich &amp; Rosati, P.C., where he represented venture-backed technology and life sciences companies through all stages of growth. Additionally, he has played a critical role in building Recursion’s public company compliance and corporate governance structure.</w:t>
      </w:r>
    </w:p>
    <w:p>
      <w:pPr>
        <w:spacing w:after="0" w:line="189"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Our CTO has a versatile background in computer science, machine learning, software engineering and data science with over 15 years of industry experience, building automated machine learning systems and solutions in the ad tech, customer service, and healthcare industries. Prior to joining Recursion, our CTO held various leadership roles providing strategic leadership for the company’s IT organization.</w:t>
      </w:r>
    </w:p>
    <w:p>
      <w:pPr>
        <w:spacing w:after="0" w:line="189"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Given the importance of information security to our stakeholders, our Board of Directors receives regular updates from our CISO on cybersecurity-related matters, including the status of projects to strengthen our security systems and to improve our cyber threat readiness.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4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Recursion’s corporate headquarters are located at 41 S Rio Grande Street, Salt Lake City, Utah 84101 where we lease 99,172 square feet of office, dry and wet laboratory space. The laboratories include both traditional and automated laboratories for drug research. The current term of our lease expires in May 2028. We have entered into a lease for an additional 103,634 square feet of office, research and laboratory space adjacent to our corporate headquarters under a lease that expires in May 2032.</w:t>
      </w:r>
    </w:p>
    <w:p>
      <w:pPr>
        <w:spacing w:after="0" w:line="194"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color w:val="auto"/>
        </w:rPr>
        <w:t>Recursion’s United Kingdom operations are headquartered at 3 Pancras Sq, London N1C 4AG, UK where we lease 6,792 square feet of office space through January 2029. In addition to our London office, we also have laboratory space in Milton Park, Oxfordshire, for our automation chemistry laboratory with approximately 20,151 square feet. The Milton Park lease expires in 2031.</w:t>
      </w:r>
    </w:p>
    <w:p>
      <w:pPr>
        <w:spacing w:after="0" w:line="189"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In addition to our headquarters in both Salt Lake City, UT and London, UK, Recursion operates several core satellite offices and a vivarium laboratory in key talent markets in Toronto, Montreal, New York City and Milpitas.</w:t>
      </w:r>
    </w:p>
    <w:p>
      <w:pPr>
        <w:spacing w:after="0" w:line="172"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Recursion’s Toronto office is located at 336 Queen Street West, Toronto CA M5V 2A2, where we lease 28,110 square feet of office space. The current term expires in November 2032. In addition to our office in Toronto, we also</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have two leases in Montreal that house our semi-autonomous artificial intelligence engine, Valence Labs. Valence Labs leases an 8,367 square foot office and dry laboratory space located at 6666 Rue Saint-Urbain, Montreal CA H2S3H1 that expires in March 2029. Valence also has a research lounge located in the world-renowned artificial intelligence and machine learning hub MILA. This 2,256 square foot office space hosts academic researchers and expires in September 2025.</w:t>
      </w:r>
    </w:p>
    <w:p>
      <w:pPr>
        <w:spacing w:after="0" w:line="194"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Recursion’s New York City office is located at 66 Hudson Boulevard E, New York, NY 10001, where we lease 11,655 square feet of office with a term that expires December 2028.</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 Milpitas, CA, we lease 25,557 square feet of research vivarium and office space with a term that expires in May 2028.</w:t>
      </w:r>
    </w:p>
    <w:p>
      <w:pPr>
        <w:spacing w:after="0" w:line="243"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We believe our facilities are adequate and suitable for our current needs and that, should it be needed, suitable additional or alternative space will be available to accommodate our operations.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Item 3. Legal Proceedings.</w:t>
      </w:r>
    </w:p>
    <w:p>
      <w:pPr>
        <w:spacing w:after="0" w:line="245"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The Company is, and may in the future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our legal proceedings, see the information set forth under the heading “Legal Matters” in Part II, Item 8, Note 7, “Commitments and Contingencies,” which is incorporated herein by reference.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market</w:t>
      </w:r>
    </w:p>
    <w:p>
      <w:pPr>
        <w:spacing w:after="0" w:line="245"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The principal market for Recursion’s Class A common stock is the Nasdaq Global Select Market (Symbol: RXRX). Our Class A common stock began trading on April 16, 2021. Prior to that date, there was no public market for our Class A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Recursion’s Class B and Exchangeable common stock are not listed on any stock exchange nor traded on any public market.</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245"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following graph compares the cumulative total returns of Recursion, the Nasdaq Composite Index and the Nasdaq Biotechnology Index from our April 16, 2021 closing stock price (the date on which our common stock first began trading on the Nasdaq Global Select Market) through December 31, 2024. This graph assumes $100 was invested and the reinvestment of dividends, if any. The comparisons shown in the graph below are based upon historical data and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5599430" cy="27425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99430" cy="274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performance graph is furnished pursuant to Item 201(e) of Regulation S-K and shall not be deemed "filed" with the SEC or subject to Regulation 14A or 14C, other than as provided in Item 201(e), or to the liabilities of Section 18 of the Securities Exchange Act of 1934, as amended, nor shall it be deemed incorporated by reference in any of Recursion’s filings under the Securities Act of 1933,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w:t>
      </w: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were 149 stockholders of record of Recursion Class A common stock as of January 31, 2025. The actual number of stockholders of our Class A common stock is greater than this number of record holders and includes stockholders who are beneficial owners but whose shares are held in street name by brokers and other nominees.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45"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and do not expect to pay any dividends in the foreseeable future. Any future determination to declare cash</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including restrictions in our current and future debt instruments, our future earnings, capital requirements, financial condition, prospects, and applicable Delaware law, which provides that dividends are only payable out of surplus or current net profits.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our equity compensation plans in Item 12 of Part III of this Annual Report on Form 10-K is incorporated herein by reference.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Recent sales of unregistered securities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(a) Sales of Unregistered Securities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Tempus Private Placement</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 xml:space="preserve">In November 2023, the Company entered into a Master Agreement (the “Tempus Agreement”) with Tempus pursuant to which Tempus will provide certain services and deliverables to the Company and/or license certain data to the Company. Pursuant to the Tempus Agreement, on December 2, 2024, the Company issued to Tempus an aggregate of 3.5 million shares of the Company’s Class A Common Stock, (the “Tempus Shares”), in lieu of a cash payment of </w:t>
      </w:r>
      <w:r>
        <w:rPr>
          <w:rFonts w:ascii="Arial" w:cs="Arial" w:eastAsia="Arial" w:hAnsi="Arial"/>
          <w:sz w:val="17"/>
          <w:szCs w:val="17"/>
          <w:color w:val="1E1E1E"/>
        </w:rPr>
        <w:t>$22.0 million</w:t>
      </w:r>
      <w:r>
        <w:rPr>
          <w:rFonts w:ascii="Arial" w:cs="Arial" w:eastAsia="Arial" w:hAnsi="Arial"/>
          <w:sz w:val="17"/>
          <w:szCs w:val="17"/>
          <w:color w:val="auto"/>
        </w:rPr>
        <w:t xml:space="preserve"> for the annual license fee owed to Tempus in exchange for the rights granted to the Company under the Tempus Agreement (the “Tempus Private Placement”). The sale was made pursuant to the exemption from registration contained in Section 4(a)(2) of the Securities Act. Pursuant to the terms of the Tempus Agreement, the Company subsequently filed a prospectus supplement to a registration statement (File No. 333-264845) pursuant to Rule 424(b) on December 17, 2024, to register the resale of the Tempus Shares by Tempus.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Stock Option Exercises</w:t>
      </w:r>
    </w:p>
    <w:p>
      <w:pPr>
        <w:spacing w:after="0" w:line="2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For the year ended December 31, 2024, we issued 111,776 shares of our Class A common stock to our employees, advisors and consultants upon the exercise of stock options under our Key Personnel Incentive Stock Plans for aggregate consideration of approximately $37,525, in reliance on the exemption provided by Rule 701(b)(2) promulgated under the Securities Act, or pursuant to Section 4(a)(2) under the Securities Act, relative to transactions by an issuer not involving any public offering, to the extent an exemption from such registration was required.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236220</wp:posOffset>
            </wp:positionV>
            <wp:extent cx="7164070" cy="87966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4070" cy="879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Item 7. Management’s Discussion and Analysis of Financial Condition and Results of Operations.</w:t>
      </w:r>
    </w:p>
    <w:p>
      <w:pPr>
        <w:spacing w:after="0" w:line="247" w:lineRule="exact"/>
        <w:rPr>
          <w:sz w:val="20"/>
          <w:szCs w:val="20"/>
          <w:color w:val="auto"/>
        </w:rPr>
      </w:pPr>
    </w:p>
    <w:p>
      <w:pPr>
        <w:spacing w:after="0" w:line="258" w:lineRule="auto"/>
        <w:rPr>
          <w:sz w:val="20"/>
          <w:szCs w:val="20"/>
          <w:color w:val="auto"/>
        </w:rPr>
      </w:pPr>
      <w:r>
        <w:rPr>
          <w:rFonts w:ascii="Arial" w:cs="Arial" w:eastAsia="Arial" w:hAnsi="Arial"/>
          <w:sz w:val="17"/>
          <w:szCs w:val="17"/>
          <w:i w:val="1"/>
          <w:iCs w:val="1"/>
          <w:color w:val="1E1E1E"/>
        </w:rPr>
        <w:t xml:space="preserve">The following is a discussion and analysis of the financial condition of </w:t>
      </w:r>
      <w:r>
        <w:rPr>
          <w:rFonts w:ascii="Arial" w:cs="Arial" w:eastAsia="Arial" w:hAnsi="Arial"/>
          <w:sz w:val="17"/>
          <w:szCs w:val="17"/>
          <w:i w:val="1"/>
          <w:iCs w:val="1"/>
          <w:color w:val="000000"/>
        </w:rPr>
        <w:t>Recursion Pharmaceuticals, Inc. (Recursion, the Company, we, us or our)</w:t>
      </w:r>
      <w:r>
        <w:rPr>
          <w:rFonts w:ascii="Arial" w:cs="Arial" w:eastAsia="Arial" w:hAnsi="Arial"/>
          <w:sz w:val="17"/>
          <w:szCs w:val="17"/>
          <w:i w:val="1"/>
          <w:iCs w:val="1"/>
          <w:color w:val="1E1E1E"/>
        </w:rPr>
        <w:t xml:space="preserve"> and the results of our operations. This commentary should be read in conjunction with the Consolidated Financial Statements and accompanying notes appearing in Item 8, “Financial Statements.”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Annual Report on Form 10-K. You should review the disclosure under the heading "Risk Factors" in our Annual Report on Form 10-K for a discussion of important factors that could cause our actual results to differ materially from those anticipated in these forward-looking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Overview</w:t>
      </w: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Recursion is a leading clinical stage TechBio company with a mission to decode biology to radically improve lives. We aim to achieve our mission by industrializing drug discovery using the Recursion Operating System (OS), a vertical platform of diverse technologies that enables us to map and navigate trillions of biological, chemical, and patient-centric relationships utilizing approximately 65 petabytes of proprietary data. The Recursion OS integrates ‘Real World’ data generated in our own wet-laboratories or by select partners and a ‘World Model’ which is a collection of AI computational models we also build in-house. Today, our scaled ‘wet-lab’ biology, chemistry, and patient-centric experimental data feed our ‘dry-lab’ computational tools to identify, validate, and translate therapeutic insights, which we can then validate in our wet-lab to both advance drug discovery programs and to generate data to further refine our world model.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There are a few key factors that differentiate Recursion from other technology-enabled drug discovery companies.</w:t>
      </w:r>
    </w:p>
    <w:p>
      <w:pPr>
        <w:spacing w:after="0" w:line="243" w:lineRule="exact"/>
        <w:rPr>
          <w:sz w:val="20"/>
          <w:szCs w:val="20"/>
          <w:color w:val="auto"/>
        </w:rPr>
      </w:pPr>
    </w:p>
    <w:p>
      <w:pPr>
        <w:ind w:left="620" w:right="220" w:hanging="307"/>
        <w:spacing w:after="0" w:line="262" w:lineRule="auto"/>
        <w:tabs>
          <w:tab w:leader="none" w:pos="60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Recursion has built a full-stack platform utilizing many biology, chemistry, and patient-centric proprietary datasets and modular tools to industrialize drug discovery, while most other competitor companies rely on a point solution to solve one important step in drug discovery. We recognize that drug discovery is made up of many steps, and a point solution is insufficient to generate efficiencies across the entire process. To decode biology, we must construct a full-stack technology platform capable of integrating and industrializing many complex workflows.</w:t>
      </w:r>
    </w:p>
    <w:p>
      <w:pPr>
        <w:spacing w:after="0" w:line="15" w:lineRule="exact"/>
        <w:rPr>
          <w:rFonts w:ascii="Arial" w:cs="Arial" w:eastAsia="Arial" w:hAnsi="Arial"/>
          <w:sz w:val="17"/>
          <w:szCs w:val="17"/>
          <w:color w:val="auto"/>
        </w:rPr>
      </w:pPr>
    </w:p>
    <w:p>
      <w:pPr>
        <w:ind w:left="620" w:hanging="307"/>
        <w:spacing w:after="0" w:line="262" w:lineRule="auto"/>
        <w:tabs>
          <w:tab w:leader="none" w:pos="60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Recursion integrates wet-lab and dry-lab capabilities in-house to create a virtuous cycle of iteration. Fit-for-purpose wet-lab experimental data are translated by dry-lab digital tools into in silico hypotheses and testable predictions, which in turn generates more wet-lab data from which improved predictions can be made. Recursion is well positioned compared to companies of a similar stage either focused more specifically on the wet-lab only (traditional biotech or pharma companies) or dry-lab only (companies facing rapidly commoditized algorithms and a challenge differentiating on non-proprietary data).</w:t>
      </w:r>
    </w:p>
    <w:p>
      <w:pPr>
        <w:spacing w:after="0" w:line="15" w:lineRule="exact"/>
        <w:rPr>
          <w:rFonts w:ascii="Arial" w:cs="Arial" w:eastAsia="Arial" w:hAnsi="Arial"/>
          <w:sz w:val="17"/>
          <w:szCs w:val="17"/>
          <w:color w:val="auto"/>
        </w:rPr>
      </w:pPr>
    </w:p>
    <w:p>
      <w:pPr>
        <w:ind w:left="620" w:right="120" w:hanging="307"/>
        <w:spacing w:after="0" w:line="265" w:lineRule="auto"/>
        <w:tabs>
          <w:tab w:leader="none" w:pos="60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Recursion has achieved a significant scale with respect to its scientific, technological, and business endeavors. With eight clinical-stage programs, an exciting preclinical pipeline, four of the largest discovery partnerships in the biopharma industry with Roche-Genentech, Sanofi, Bayer and Merck KGaA, and four technology-focused partnerships, Recursion has achieved a scale, level of integration, and stage that few other TechBio companies have.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377825</wp:posOffset>
            </wp:positionV>
            <wp:extent cx="5321300" cy="25133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321300" cy="251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leverage the Recursion OS to deliver value in three ways: 1) our own pipeline of clinical and preclinical potential medicines focused in precision oncology, rare disease and other niche areas of unmet need; 2) by discovering new medicines with large biopharmaceutical companies in some of the biggest areas of unmet need in medicine like neuroscience and inflammation; and 3) by leveraging our tools, technology and data for the benefit of other partners in targeted and limited ways.</w:t>
      </w:r>
    </w:p>
    <w:p>
      <w:pPr>
        <w:spacing w:after="0" w:line="1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actively advancing key catalysts in our clinical pipeline while demonstrating significant progress in addressing high unmet medical needs. At the same time, we continue to validate various components of the Recursion OS, which has played a role in advancing every program in our portfolio, reinforcing its potential to accelerate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130810</wp:posOffset>
            </wp:positionV>
            <wp:extent cx="5599430" cy="27343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9943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2024 Highlights and Progress</w:t>
      </w:r>
    </w:p>
    <w:p>
      <w:pPr>
        <w:spacing w:after="0" w:line="64"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In 2024, we accelerated the next wave of AI-driven drug discovery and development, delivering key milestones across multiple clinical programs, advancing our transformative partnerships, unveiling major breakthroughs in foundation models and by consolidating some of the best tools, technologies and talent into what we believe is the leading company in the burgeoning field of TechBio.</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Advancements in the Pipeline:</w:t>
      </w:r>
    </w:p>
    <w:p>
      <w:pPr>
        <w:spacing w:after="0" w:line="68" w:lineRule="exact"/>
        <w:rPr>
          <w:sz w:val="20"/>
          <w:szCs w:val="20"/>
          <w:color w:val="auto"/>
        </w:rPr>
      </w:pPr>
    </w:p>
    <w:p>
      <w:pPr>
        <w:ind w:left="620" w:right="180" w:hanging="307"/>
        <w:spacing w:after="0" w:line="272" w:lineRule="auto"/>
        <w:tabs>
          <w:tab w:leader="none" w:pos="616" w:val="left"/>
        </w:tabs>
        <w:numPr>
          <w:ilvl w:val="0"/>
          <w:numId w:val="130"/>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REC-617: </w:t>
      </w:r>
      <w:r>
        <w:rPr>
          <w:rFonts w:ascii="Arial" w:cs="Arial" w:eastAsia="Arial" w:hAnsi="Arial"/>
          <w:sz w:val="17"/>
          <w:szCs w:val="17"/>
          <w:color w:val="1E1E1E"/>
        </w:rPr>
        <w:t>A potential best-in-class CDK7 inhibitor optimized using our AI platform, delivered early Phase 1/2 results demonstrating</w:t>
      </w:r>
      <w:r>
        <w:rPr>
          <w:rFonts w:ascii="Arial" w:cs="Arial" w:eastAsia="Arial" w:hAnsi="Arial"/>
          <w:sz w:val="17"/>
          <w:szCs w:val="17"/>
          <w:b w:val="1"/>
          <w:bCs w:val="1"/>
          <w:color w:val="1E1E1E"/>
        </w:rPr>
        <w:t xml:space="preserve"> </w:t>
      </w:r>
      <w:r>
        <w:rPr>
          <w:rFonts w:ascii="Arial" w:cs="Arial" w:eastAsia="Arial" w:hAnsi="Arial"/>
          <w:sz w:val="17"/>
          <w:szCs w:val="17"/>
          <w:color w:val="1E1E1E"/>
        </w:rPr>
        <w:t>promising safety and preliminary efficacy, including a durable partial response in a late-stage metastatic ovarian cancer patient and stable disease across four other patients with solid tumors (e.g. CRC, NSCLC)</w:t>
      </w:r>
    </w:p>
    <w:p>
      <w:pPr>
        <w:spacing w:after="0" w:line="5" w:lineRule="exact"/>
        <w:rPr>
          <w:rFonts w:ascii="Arial" w:cs="Arial" w:eastAsia="Arial" w:hAnsi="Arial"/>
          <w:sz w:val="17"/>
          <w:szCs w:val="17"/>
          <w:b w:val="1"/>
          <w:bCs w:val="1"/>
          <w:color w:val="1E1E1E"/>
        </w:rPr>
      </w:pPr>
    </w:p>
    <w:p>
      <w:pPr>
        <w:ind w:left="620" w:right="40" w:hanging="307"/>
        <w:spacing w:after="0" w:line="272" w:lineRule="auto"/>
        <w:tabs>
          <w:tab w:leader="none" w:pos="616" w:val="left"/>
        </w:tabs>
        <w:numPr>
          <w:ilvl w:val="0"/>
          <w:numId w:val="130"/>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REC-994: </w:t>
      </w:r>
      <w:r>
        <w:rPr>
          <w:rFonts w:ascii="Arial" w:cs="Arial" w:eastAsia="Arial" w:hAnsi="Arial"/>
          <w:sz w:val="17"/>
          <w:szCs w:val="17"/>
          <w:color w:val="1E1E1E"/>
        </w:rPr>
        <w:t>A potential first-in-disease oral superoxide scavenger for symptomatic CCM, confirmed safety and tolerability of chronic dosing in</w:t>
      </w:r>
      <w:r>
        <w:rPr>
          <w:rFonts w:ascii="Arial" w:cs="Arial" w:eastAsia="Arial" w:hAnsi="Arial"/>
          <w:sz w:val="17"/>
          <w:szCs w:val="17"/>
          <w:b w:val="1"/>
          <w:bCs w:val="1"/>
          <w:color w:val="1E1E1E"/>
        </w:rPr>
        <w:t xml:space="preserve"> </w:t>
      </w:r>
      <w:r>
        <w:rPr>
          <w:rFonts w:ascii="Arial" w:cs="Arial" w:eastAsia="Arial" w:hAnsi="Arial"/>
          <w:sz w:val="17"/>
          <w:szCs w:val="17"/>
          <w:color w:val="1E1E1E"/>
        </w:rPr>
        <w:t>a Phase 2 study, with exploratory analyses suggesting lesion volume reduction on MRI and symptom stabilization as evaluated by change in mRS scores</w:t>
      </w:r>
    </w:p>
    <w:p>
      <w:pPr>
        <w:spacing w:after="0" w:line="5" w:lineRule="exact"/>
        <w:rPr>
          <w:rFonts w:ascii="Arial" w:cs="Arial" w:eastAsia="Arial" w:hAnsi="Arial"/>
          <w:sz w:val="17"/>
          <w:szCs w:val="17"/>
          <w:b w:val="1"/>
          <w:bCs w:val="1"/>
          <w:color w:val="1E1E1E"/>
        </w:rPr>
      </w:pPr>
    </w:p>
    <w:p>
      <w:pPr>
        <w:jc w:val="both"/>
        <w:ind w:left="620" w:right="140" w:hanging="307"/>
        <w:spacing w:after="0" w:line="266" w:lineRule="auto"/>
        <w:tabs>
          <w:tab w:leader="none" w:pos="616" w:val="left"/>
        </w:tabs>
        <w:numPr>
          <w:ilvl w:val="0"/>
          <w:numId w:val="130"/>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Clinical Advancements and Regulatory Milestones: </w:t>
      </w:r>
      <w:r>
        <w:rPr>
          <w:rFonts w:ascii="Arial" w:cs="Arial" w:eastAsia="Arial" w:hAnsi="Arial"/>
          <w:sz w:val="17"/>
          <w:szCs w:val="17"/>
          <w:color w:val="1E1E1E"/>
        </w:rPr>
        <w:t>Initiated three clinical studies: DAHLIA (Phase 1/2, REC-1245 for solid tumors and</w:t>
      </w:r>
      <w:r>
        <w:rPr>
          <w:rFonts w:ascii="Arial" w:cs="Arial" w:eastAsia="Arial" w:hAnsi="Arial"/>
          <w:sz w:val="17"/>
          <w:szCs w:val="17"/>
          <w:b w:val="1"/>
          <w:bCs w:val="1"/>
          <w:color w:val="1E1E1E"/>
        </w:rPr>
        <w:t xml:space="preserve"> </w:t>
      </w:r>
      <w:r>
        <w:rPr>
          <w:rFonts w:ascii="Arial" w:cs="Arial" w:eastAsia="Arial" w:hAnsi="Arial"/>
          <w:sz w:val="17"/>
          <w:szCs w:val="17"/>
          <w:color w:val="1E1E1E"/>
        </w:rPr>
        <w:t xml:space="preserve">lymphoma), TUPELO (Phase 1b/2, REC-4881 for FAP), and ALDER (Phase 2, REC-3964 for recurrent </w:t>
      </w:r>
      <w:r>
        <w:rPr>
          <w:rFonts w:ascii="Arial" w:cs="Arial" w:eastAsia="Arial" w:hAnsi="Arial"/>
          <w:sz w:val="17"/>
          <w:szCs w:val="17"/>
          <w:i w:val="1"/>
          <w:iCs w:val="1"/>
          <w:color w:val="1E1E1E"/>
        </w:rPr>
        <w:t>C. difficile</w:t>
      </w:r>
      <w:r>
        <w:rPr>
          <w:rFonts w:ascii="Arial" w:cs="Arial" w:eastAsia="Arial" w:hAnsi="Arial"/>
          <w:sz w:val="17"/>
          <w:szCs w:val="17"/>
          <w:color w:val="1E1E1E"/>
        </w:rPr>
        <w:t xml:space="preserve"> infection), received IND clearance for REC-4539 (small cell lung cancer), CTA approval for REC-3565 (b-cell malignancies), and progressed REC-4209 (idiopathic pulmonary fibrosis) to IND-enabling studies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Advancements in Partnerships:</w:t>
      </w:r>
    </w:p>
    <w:p>
      <w:pPr>
        <w:spacing w:after="0" w:line="55" w:lineRule="exact"/>
        <w:rPr>
          <w:sz w:val="20"/>
          <w:szCs w:val="20"/>
          <w:color w:val="auto"/>
        </w:rPr>
      </w:pPr>
    </w:p>
    <w:p>
      <w:pPr>
        <w:ind w:left="620" w:right="220" w:hanging="307"/>
        <w:spacing w:after="0" w:line="284" w:lineRule="auto"/>
        <w:tabs>
          <w:tab w:leader="none" w:pos="616" w:val="left"/>
        </w:tabs>
        <w:numPr>
          <w:ilvl w:val="0"/>
          <w:numId w:val="131"/>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Roche and Genentech: </w:t>
      </w:r>
      <w:r>
        <w:rPr>
          <w:rFonts w:ascii="Arial" w:cs="Arial" w:eastAsia="Arial" w:hAnsi="Arial"/>
          <w:sz w:val="17"/>
          <w:szCs w:val="17"/>
          <w:color w:val="1E1E1E"/>
        </w:rPr>
        <w:t>Generated whole-genome and chemical perturbation maps in a gastrointestinal oncology indication and a whole</w:t>
      </w:r>
      <w:r>
        <w:rPr>
          <w:rFonts w:ascii="Arial" w:cs="Arial" w:eastAsia="Arial" w:hAnsi="Arial"/>
          <w:sz w:val="17"/>
          <w:szCs w:val="17"/>
          <w:b w:val="1"/>
          <w:bCs w:val="1"/>
          <w:color w:val="1E1E1E"/>
        </w:rPr>
        <w:t xml:space="preserve"> </w:t>
      </w:r>
      <w:r>
        <w:rPr>
          <w:rFonts w:ascii="Arial" w:cs="Arial" w:eastAsia="Arial" w:hAnsi="Arial"/>
          <w:sz w:val="17"/>
          <w:szCs w:val="17"/>
          <w:color w:val="1E1E1E"/>
        </w:rPr>
        <w:t>genome neuroscience phenomap. The neuro phenomap resulted in the exercise of a $30M milestone</w:t>
      </w:r>
    </w:p>
    <w:p>
      <w:pPr>
        <w:spacing w:after="0" w:line="1" w:lineRule="exact"/>
        <w:rPr>
          <w:rFonts w:ascii="Arial" w:cs="Arial" w:eastAsia="Arial" w:hAnsi="Arial"/>
          <w:sz w:val="17"/>
          <w:szCs w:val="17"/>
          <w:b w:val="1"/>
          <w:bCs w:val="1"/>
          <w:color w:val="1E1E1E"/>
        </w:rPr>
      </w:pPr>
    </w:p>
    <w:p>
      <w:pPr>
        <w:ind w:left="620" w:hanging="307"/>
        <w:spacing w:after="0"/>
        <w:tabs>
          <w:tab w:leader="none" w:pos="620" w:val="left"/>
        </w:tabs>
        <w:numPr>
          <w:ilvl w:val="0"/>
          <w:numId w:val="131"/>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Sanofi: </w:t>
      </w:r>
      <w:r>
        <w:rPr>
          <w:rFonts w:ascii="Arial" w:cs="Arial" w:eastAsia="Arial" w:hAnsi="Arial"/>
          <w:sz w:val="17"/>
          <w:szCs w:val="17"/>
          <w:color w:val="1E1E1E"/>
        </w:rPr>
        <w:t>Achieved $15M in milestones, advancing multiple targets in immunology and oncology into lead optimization</w:t>
      </w:r>
    </w:p>
    <w:p>
      <w:pPr>
        <w:spacing w:after="0" w:line="62" w:lineRule="exact"/>
        <w:rPr>
          <w:rFonts w:ascii="Arial" w:cs="Arial" w:eastAsia="Arial" w:hAnsi="Arial"/>
          <w:sz w:val="17"/>
          <w:szCs w:val="17"/>
          <w:b w:val="1"/>
          <w:bCs w:val="1"/>
          <w:color w:val="1E1E1E"/>
        </w:rPr>
      </w:pPr>
    </w:p>
    <w:p>
      <w:pPr>
        <w:ind w:left="620" w:right="380" w:hanging="307"/>
        <w:spacing w:after="0" w:line="284" w:lineRule="auto"/>
        <w:tabs>
          <w:tab w:leader="none" w:pos="616" w:val="left"/>
        </w:tabs>
        <w:numPr>
          <w:ilvl w:val="0"/>
          <w:numId w:val="131"/>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Bayer: </w:t>
      </w:r>
      <w:r>
        <w:rPr>
          <w:rFonts w:ascii="Arial" w:cs="Arial" w:eastAsia="Arial" w:hAnsi="Arial"/>
          <w:sz w:val="17"/>
          <w:szCs w:val="17"/>
          <w:color w:val="1E1E1E"/>
        </w:rPr>
        <w:t>Completed 25 multimodal oncology data packages and delivery of LOWE, our LLM-orchestrated workflow software, to enhance</w:t>
      </w:r>
      <w:r>
        <w:rPr>
          <w:rFonts w:ascii="Arial" w:cs="Arial" w:eastAsia="Arial" w:hAnsi="Arial"/>
          <w:sz w:val="17"/>
          <w:szCs w:val="17"/>
          <w:b w:val="1"/>
          <w:bCs w:val="1"/>
          <w:color w:val="1E1E1E"/>
        </w:rPr>
        <w:t xml:space="preserve"> </w:t>
      </w:r>
      <w:r>
        <w:rPr>
          <w:rFonts w:ascii="Arial" w:cs="Arial" w:eastAsia="Arial" w:hAnsi="Arial"/>
          <w:sz w:val="17"/>
          <w:szCs w:val="17"/>
          <w:color w:val="1E1E1E"/>
        </w:rPr>
        <w:t>research capabilities</w:t>
      </w:r>
    </w:p>
    <w:p>
      <w:pPr>
        <w:spacing w:after="0" w:line="1" w:lineRule="exact"/>
        <w:rPr>
          <w:rFonts w:ascii="Arial" w:cs="Arial" w:eastAsia="Arial" w:hAnsi="Arial"/>
          <w:sz w:val="17"/>
          <w:szCs w:val="17"/>
          <w:b w:val="1"/>
          <w:bCs w:val="1"/>
          <w:color w:val="1E1E1E"/>
        </w:rPr>
      </w:pPr>
    </w:p>
    <w:p>
      <w:pPr>
        <w:ind w:left="620" w:hanging="307"/>
        <w:spacing w:after="0"/>
        <w:tabs>
          <w:tab w:leader="none" w:pos="620" w:val="left"/>
        </w:tabs>
        <w:numPr>
          <w:ilvl w:val="0"/>
          <w:numId w:val="131"/>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Merck KGaA (Darmstadt, Germany): </w:t>
      </w:r>
      <w:r>
        <w:rPr>
          <w:rFonts w:ascii="Arial" w:cs="Arial" w:eastAsia="Arial" w:hAnsi="Arial"/>
          <w:sz w:val="17"/>
          <w:szCs w:val="17"/>
          <w:color w:val="1E1E1E"/>
        </w:rPr>
        <w:t>Advanced alliance to identify first-in-class or best-in-class targets across oncology and immunology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1E1E1E"/>
        </w:rPr>
        <w:t>Advancements in Platform:</w:t>
      </w:r>
    </w:p>
    <w:p>
      <w:pPr>
        <w:spacing w:after="0" w:line="68" w:lineRule="exact"/>
        <w:rPr>
          <w:sz w:val="20"/>
          <w:szCs w:val="20"/>
          <w:color w:val="auto"/>
        </w:rPr>
      </w:pPr>
    </w:p>
    <w:p>
      <w:pPr>
        <w:ind w:left="620" w:right="340" w:hanging="307"/>
        <w:spacing w:after="0" w:line="284" w:lineRule="auto"/>
        <w:tabs>
          <w:tab w:leader="none" w:pos="616" w:val="left"/>
        </w:tabs>
        <w:numPr>
          <w:ilvl w:val="0"/>
          <w:numId w:val="132"/>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Full Stack AI Powered Platform: </w:t>
      </w:r>
      <w:r>
        <w:rPr>
          <w:rFonts w:ascii="Arial" w:cs="Arial" w:eastAsia="Arial" w:hAnsi="Arial"/>
          <w:sz w:val="17"/>
          <w:szCs w:val="17"/>
          <w:color w:val="1E1E1E"/>
        </w:rPr>
        <w:t>Our constantly evolving Recursion OS spans target discovery through clinical development, enabling</w:t>
      </w:r>
      <w:r>
        <w:rPr>
          <w:rFonts w:ascii="Arial" w:cs="Arial" w:eastAsia="Arial" w:hAnsi="Arial"/>
          <w:sz w:val="17"/>
          <w:szCs w:val="17"/>
          <w:b w:val="1"/>
          <w:bCs w:val="1"/>
          <w:color w:val="1E1E1E"/>
        </w:rPr>
        <w:t xml:space="preserve"> </w:t>
      </w:r>
      <w:r>
        <w:rPr>
          <w:rFonts w:ascii="Arial" w:cs="Arial" w:eastAsia="Arial" w:hAnsi="Arial"/>
          <w:sz w:val="17"/>
          <w:szCs w:val="17"/>
          <w:color w:val="1E1E1E"/>
        </w:rPr>
        <w:t>efficient molecule design and testing for both first-in-class and best-in-class opportunities</w:t>
      </w:r>
    </w:p>
    <w:p>
      <w:pPr>
        <w:spacing w:after="0" w:line="1" w:lineRule="exact"/>
        <w:rPr>
          <w:rFonts w:ascii="Arial" w:cs="Arial" w:eastAsia="Arial" w:hAnsi="Arial"/>
          <w:sz w:val="17"/>
          <w:szCs w:val="17"/>
          <w:b w:val="1"/>
          <w:bCs w:val="1"/>
          <w:color w:val="1E1E1E"/>
        </w:rPr>
      </w:pPr>
    </w:p>
    <w:p>
      <w:pPr>
        <w:ind w:left="620" w:right="40" w:hanging="307"/>
        <w:spacing w:after="0" w:line="284" w:lineRule="auto"/>
        <w:tabs>
          <w:tab w:leader="none" w:pos="616" w:val="left"/>
        </w:tabs>
        <w:numPr>
          <w:ilvl w:val="0"/>
          <w:numId w:val="132"/>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Breakthroughs in Foundation Models: </w:t>
      </w:r>
      <w:r>
        <w:rPr>
          <w:rFonts w:ascii="Arial" w:cs="Arial" w:eastAsia="Arial" w:hAnsi="Arial"/>
          <w:sz w:val="17"/>
          <w:szCs w:val="17"/>
          <w:color w:val="1E1E1E"/>
        </w:rPr>
        <w:t>We’ve developed both unimodal and multimodal AI models like Phenom, MolPhenix, and MolGPS</w:t>
      </w:r>
      <w:r>
        <w:rPr>
          <w:rFonts w:ascii="Arial" w:cs="Arial" w:eastAsia="Arial" w:hAnsi="Arial"/>
          <w:sz w:val="17"/>
          <w:szCs w:val="17"/>
          <w:b w:val="1"/>
          <w:bCs w:val="1"/>
          <w:color w:val="1E1E1E"/>
        </w:rPr>
        <w:t xml:space="preserve"> </w:t>
      </w:r>
      <w:r>
        <w:rPr>
          <w:rFonts w:ascii="Arial" w:cs="Arial" w:eastAsia="Arial" w:hAnsi="Arial"/>
          <w:sz w:val="17"/>
          <w:szCs w:val="17"/>
          <w:color w:val="1E1E1E"/>
        </w:rPr>
        <w:t>that accelerate our ability to make high-confidence predictions in our therapeutics programs</w:t>
      </w:r>
    </w:p>
    <w:p>
      <w:pPr>
        <w:spacing w:after="0" w:line="1" w:lineRule="exact"/>
        <w:rPr>
          <w:rFonts w:ascii="Arial" w:cs="Arial" w:eastAsia="Arial" w:hAnsi="Arial"/>
          <w:sz w:val="17"/>
          <w:szCs w:val="17"/>
          <w:b w:val="1"/>
          <w:bCs w:val="1"/>
          <w:color w:val="1E1E1E"/>
        </w:rPr>
      </w:pPr>
    </w:p>
    <w:p>
      <w:pPr>
        <w:ind w:left="620" w:right="160" w:hanging="307"/>
        <w:spacing w:after="0" w:line="284" w:lineRule="auto"/>
        <w:tabs>
          <w:tab w:leader="none" w:pos="616" w:val="left"/>
        </w:tabs>
        <w:numPr>
          <w:ilvl w:val="0"/>
          <w:numId w:val="132"/>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Advancement in Causal AI Models: </w:t>
      </w:r>
      <w:r>
        <w:rPr>
          <w:rFonts w:ascii="Arial" w:cs="Arial" w:eastAsia="Arial" w:hAnsi="Arial"/>
          <w:sz w:val="17"/>
          <w:szCs w:val="17"/>
          <w:color w:val="1E1E1E"/>
        </w:rPr>
        <w:t>Through collaborations with Tempus and Helix, we integrate real-world, scaled patient datasets with</w:t>
      </w:r>
      <w:r>
        <w:rPr>
          <w:rFonts w:ascii="Arial" w:cs="Arial" w:eastAsia="Arial" w:hAnsi="Arial"/>
          <w:sz w:val="17"/>
          <w:szCs w:val="17"/>
          <w:b w:val="1"/>
          <w:bCs w:val="1"/>
          <w:color w:val="1E1E1E"/>
        </w:rPr>
        <w:t xml:space="preserve"> </w:t>
      </w:r>
      <w:r>
        <w:rPr>
          <w:rFonts w:ascii="Arial" w:cs="Arial" w:eastAsia="Arial" w:hAnsi="Arial"/>
          <w:sz w:val="17"/>
          <w:szCs w:val="17"/>
          <w:color w:val="1E1E1E"/>
        </w:rPr>
        <w:t>our proprietary internal data to deepen biological insights and better match our therapeutic candidates with target populations</w:t>
      </w:r>
    </w:p>
    <w:p>
      <w:pPr>
        <w:spacing w:after="0" w:line="1" w:lineRule="exact"/>
        <w:rPr>
          <w:rFonts w:ascii="Arial" w:cs="Arial" w:eastAsia="Arial" w:hAnsi="Arial"/>
          <w:sz w:val="17"/>
          <w:szCs w:val="17"/>
          <w:b w:val="1"/>
          <w:bCs w:val="1"/>
          <w:color w:val="1E1E1E"/>
        </w:rPr>
      </w:pPr>
    </w:p>
    <w:p>
      <w:pPr>
        <w:ind w:left="620" w:right="240" w:hanging="307"/>
        <w:spacing w:after="0" w:line="292" w:lineRule="auto"/>
        <w:tabs>
          <w:tab w:leader="none" w:pos="616" w:val="left"/>
        </w:tabs>
        <w:numPr>
          <w:ilvl w:val="0"/>
          <w:numId w:val="132"/>
        </w:numPr>
        <w:rPr>
          <w:rFonts w:ascii="Arial" w:cs="Arial" w:eastAsia="Arial" w:hAnsi="Arial"/>
          <w:sz w:val="17"/>
          <w:szCs w:val="17"/>
          <w:b w:val="1"/>
          <w:bCs w:val="1"/>
          <w:color w:val="1E1E1E"/>
        </w:rPr>
      </w:pPr>
      <w:r>
        <w:rPr>
          <w:rFonts w:ascii="Arial" w:cs="Arial" w:eastAsia="Arial" w:hAnsi="Arial"/>
          <w:sz w:val="17"/>
          <w:szCs w:val="17"/>
          <w:b w:val="1"/>
          <w:bCs w:val="1"/>
          <w:color w:val="1E1E1E"/>
        </w:rPr>
        <w:t xml:space="preserve">Emerging Focus on ClinTech: </w:t>
      </w:r>
      <w:r>
        <w:rPr>
          <w:rFonts w:ascii="Arial" w:cs="Arial" w:eastAsia="Arial" w:hAnsi="Arial"/>
          <w:sz w:val="17"/>
          <w:szCs w:val="17"/>
          <w:color w:val="1E1E1E"/>
        </w:rPr>
        <w:t>We are using AI and machine learning to optimize clinical trial design, accelerate patient enrollment, and</w:t>
      </w:r>
      <w:r>
        <w:rPr>
          <w:rFonts w:ascii="Arial" w:cs="Arial" w:eastAsia="Arial" w:hAnsi="Arial"/>
          <w:sz w:val="17"/>
          <w:szCs w:val="17"/>
          <w:b w:val="1"/>
          <w:bCs w:val="1"/>
          <w:color w:val="1E1E1E"/>
        </w:rPr>
        <w:t xml:space="preserve"> </w:t>
      </w:r>
      <w:r>
        <w:rPr>
          <w:rFonts w:ascii="Arial" w:cs="Arial" w:eastAsia="Arial" w:hAnsi="Arial"/>
          <w:sz w:val="17"/>
          <w:szCs w:val="17"/>
          <w:color w:val="1E1E1E"/>
        </w:rPr>
        <w:t>enhance evidence generation through data-driven methodologies</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and Operations</w:t>
      </w: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We were incorporated in November 2013. In </w:t>
      </w:r>
      <w:r>
        <w:rPr>
          <w:rFonts w:ascii="Arial" w:cs="Arial" w:eastAsia="Arial" w:hAnsi="Arial"/>
          <w:sz w:val="17"/>
          <w:szCs w:val="17"/>
          <w:color w:val="1E1E1E"/>
        </w:rPr>
        <w:t>April 2021</w:t>
      </w:r>
      <w:r>
        <w:rPr>
          <w:rFonts w:ascii="Arial" w:cs="Arial" w:eastAsia="Arial" w:hAnsi="Arial"/>
          <w:sz w:val="17"/>
          <w:szCs w:val="17"/>
          <w:color w:val="auto"/>
        </w:rPr>
        <w:t xml:space="preserve">, we closed our Initial Public Offering (IPO) and issued </w:t>
      </w:r>
      <w:r>
        <w:rPr>
          <w:rFonts w:ascii="Arial" w:cs="Arial" w:eastAsia="Arial" w:hAnsi="Arial"/>
          <w:sz w:val="17"/>
          <w:szCs w:val="17"/>
          <w:color w:val="1E1E1E"/>
        </w:rPr>
        <w:t>27.9 million</w:t>
      </w:r>
      <w:r>
        <w:rPr>
          <w:rFonts w:ascii="Arial" w:cs="Arial" w:eastAsia="Arial" w:hAnsi="Arial"/>
          <w:sz w:val="17"/>
          <w:szCs w:val="17"/>
          <w:color w:val="auto"/>
        </w:rPr>
        <w:t xml:space="preserve"> shares of Class A common stock at a price of $18.00 per share, raising net proceeds of </w:t>
      </w:r>
      <w:r>
        <w:rPr>
          <w:rFonts w:ascii="Arial" w:cs="Arial" w:eastAsia="Arial" w:hAnsi="Arial"/>
          <w:sz w:val="17"/>
          <w:szCs w:val="17"/>
          <w:color w:val="1E1E1E"/>
        </w:rPr>
        <w:t>$462.4 million</w:t>
      </w:r>
      <w:r>
        <w:rPr>
          <w:rFonts w:ascii="Arial" w:cs="Arial" w:eastAsia="Arial" w:hAnsi="Arial"/>
          <w:sz w:val="17"/>
          <w:szCs w:val="17"/>
          <w:color w:val="auto"/>
        </w:rPr>
        <w:t xml:space="preserve">. Prior to our IPO, we had raised </w:t>
      </w:r>
      <w:r>
        <w:rPr>
          <w:rFonts w:ascii="Arial" w:cs="Arial" w:eastAsia="Arial" w:hAnsi="Arial"/>
          <w:sz w:val="17"/>
          <w:szCs w:val="17"/>
          <w:color w:val="1E1E1E"/>
        </w:rPr>
        <w:t>$448.9 million</w:t>
      </w:r>
      <w:r>
        <w:rPr>
          <w:rFonts w:ascii="Arial" w:cs="Arial" w:eastAsia="Arial" w:hAnsi="Arial"/>
          <w:sz w:val="17"/>
          <w:szCs w:val="17"/>
          <w:color w:val="auto"/>
        </w:rPr>
        <w:t xml:space="preserve"> in equity financing from investors in addition to </w:t>
      </w:r>
      <w:r>
        <w:rPr>
          <w:rFonts w:ascii="Arial" w:cs="Arial" w:eastAsia="Arial" w:hAnsi="Arial"/>
          <w:sz w:val="17"/>
          <w:szCs w:val="17"/>
          <w:color w:val="1E1E1E"/>
        </w:rPr>
        <w:t>$ 30.0 million</w:t>
      </w:r>
      <w:r>
        <w:rPr>
          <w:rFonts w:ascii="Arial" w:cs="Arial" w:eastAsia="Arial" w:hAnsi="Arial"/>
          <w:sz w:val="17"/>
          <w:szCs w:val="17"/>
          <w:color w:val="auto"/>
        </w:rPr>
        <w:t xml:space="preserve"> in an upfront payment from our collaboration with Bayer AG (Bayer). In </w:t>
      </w:r>
      <w:r>
        <w:rPr>
          <w:rFonts w:ascii="Arial" w:cs="Arial" w:eastAsia="Arial" w:hAnsi="Arial"/>
          <w:sz w:val="17"/>
          <w:szCs w:val="17"/>
          <w:color w:val="1E1E1E"/>
        </w:rPr>
        <w:t>January 2022</w:t>
      </w:r>
      <w:r>
        <w:rPr>
          <w:rFonts w:ascii="Arial" w:cs="Arial" w:eastAsia="Arial" w:hAnsi="Arial"/>
          <w:sz w:val="17"/>
          <w:szCs w:val="17"/>
          <w:color w:val="auto"/>
        </w:rPr>
        <w:t xml:space="preserve">, we received an upfront payment of </w:t>
      </w:r>
      <w:r>
        <w:rPr>
          <w:rFonts w:ascii="Arial" w:cs="Arial" w:eastAsia="Arial" w:hAnsi="Arial"/>
          <w:sz w:val="17"/>
          <w:szCs w:val="17"/>
          <w:color w:val="1E1E1E"/>
        </w:rPr>
        <w:t>$150.0 million</w:t>
      </w:r>
      <w:r>
        <w:rPr>
          <w:rFonts w:ascii="Arial" w:cs="Arial" w:eastAsia="Arial" w:hAnsi="Arial"/>
          <w:sz w:val="17"/>
          <w:szCs w:val="17"/>
          <w:color w:val="auto"/>
        </w:rPr>
        <w:t xml:space="preserve"> from our collaboration with Roche. </w:t>
      </w:r>
      <w:r>
        <w:rPr>
          <w:rFonts w:ascii="Arial" w:cs="Arial" w:eastAsia="Arial" w:hAnsi="Arial"/>
          <w:sz w:val="17"/>
          <w:szCs w:val="17"/>
          <w:color w:val="1E1E1E"/>
        </w:rPr>
        <w:t>See Note 9, “Collaborative Development Contracts” to the</w:t>
      </w:r>
      <w:r>
        <w:rPr>
          <w:rFonts w:ascii="Arial" w:cs="Arial" w:eastAsia="Arial" w:hAnsi="Arial"/>
          <w:sz w:val="17"/>
          <w:szCs w:val="17"/>
          <w:color w:val="auto"/>
        </w:rPr>
        <w:t xml:space="preserve"> </w:t>
      </w:r>
      <w:r>
        <w:rPr>
          <w:rFonts w:ascii="Arial" w:cs="Arial" w:eastAsia="Arial" w:hAnsi="Arial"/>
          <w:sz w:val="17"/>
          <w:szCs w:val="17"/>
          <w:color w:val="1E1E1E"/>
        </w:rPr>
        <w:t>Consolidated Financial Statements for additional information on the collaboration with Roche. In October 2022, we issued 15.3 million shares of our Class A common stock at a purchase price of $ 9.80 per share in the 2022 private placement to qualified institutional buyers and institutional accredited investors for net proceeds of $143.7 million, after deducting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1E1E1E"/>
        </w:rPr>
        <w:t xml:space="preserve">fees and offering costs of $6.6 million. In July 2023, we issued an aggregate of 7.7 million shares of our Class A common stock at a purchase price of $6.49 per share in the 2023 Private Placement with NVIDIA Corporation for net proceeds of approximately $49.9 million. In </w:t>
      </w:r>
      <w:r>
        <w:rPr>
          <w:rFonts w:ascii="Arial" w:cs="Arial" w:eastAsia="Arial" w:hAnsi="Arial"/>
          <w:sz w:val="17"/>
          <w:szCs w:val="17"/>
          <w:color w:val="000000"/>
        </w:rPr>
        <w:t>August 2023</w:t>
      </w:r>
      <w:r>
        <w:rPr>
          <w:rFonts w:ascii="Arial" w:cs="Arial" w:eastAsia="Arial" w:hAnsi="Arial"/>
          <w:sz w:val="17"/>
          <w:szCs w:val="17"/>
          <w:color w:val="1E1E1E"/>
        </w:rPr>
        <w:t>, Recursion entered into an O</w:t>
      </w:r>
      <w:r>
        <w:rPr>
          <w:rFonts w:ascii="Arial" w:cs="Arial" w:eastAsia="Arial" w:hAnsi="Arial"/>
          <w:sz w:val="17"/>
          <w:szCs w:val="17"/>
          <w:color w:val="000000"/>
        </w:rPr>
        <w:t>pen Market Sales Agreement with Jefferies LLC to provide for the offering, issuance and sale of up to an aggregate</w:t>
      </w:r>
      <w:r>
        <w:rPr>
          <w:rFonts w:ascii="Arial" w:cs="Arial" w:eastAsia="Arial" w:hAnsi="Arial"/>
          <w:sz w:val="17"/>
          <w:szCs w:val="17"/>
          <w:color w:val="1E1E1E"/>
        </w:rPr>
        <w:t xml:space="preserve"> </w:t>
      </w:r>
      <w:r>
        <w:rPr>
          <w:rFonts w:ascii="Arial" w:cs="Arial" w:eastAsia="Arial" w:hAnsi="Arial"/>
          <w:sz w:val="17"/>
          <w:szCs w:val="17"/>
          <w:color w:val="000000"/>
        </w:rPr>
        <w:t xml:space="preserve">amount of $300.0 million of its Class A common stock of which $132.8 million remain available for future sales. The Company has sold approximately </w:t>
      </w:r>
      <w:r>
        <w:rPr>
          <w:rFonts w:ascii="Arial" w:cs="Arial" w:eastAsia="Arial" w:hAnsi="Arial"/>
          <w:sz w:val="17"/>
          <w:szCs w:val="17"/>
          <w:color w:val="1E1E1E"/>
        </w:rPr>
        <w:t>9.9 million</w:t>
      </w:r>
      <w:r>
        <w:rPr>
          <w:rFonts w:ascii="Arial" w:cs="Arial" w:eastAsia="Arial" w:hAnsi="Arial"/>
          <w:sz w:val="17"/>
          <w:szCs w:val="17"/>
          <w:color w:val="000000"/>
        </w:rPr>
        <w:t xml:space="preserve"> shares and received net proceeds of </w:t>
      </w:r>
      <w:r>
        <w:rPr>
          <w:rFonts w:ascii="Arial" w:cs="Arial" w:eastAsia="Arial" w:hAnsi="Arial"/>
          <w:sz w:val="17"/>
          <w:szCs w:val="17"/>
          <w:color w:val="1E1E1E"/>
        </w:rPr>
        <w:t>$84.0 million</w:t>
      </w:r>
      <w:r>
        <w:rPr>
          <w:rFonts w:ascii="Arial" w:cs="Arial" w:eastAsia="Arial" w:hAnsi="Arial"/>
          <w:sz w:val="17"/>
          <w:szCs w:val="17"/>
          <w:color w:val="000000"/>
        </w:rPr>
        <w:t xml:space="preserve"> under the agreement. In June 2024, we issued an aggregate of</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35.4 million shares of our Class A Common stock at a purchase price of $6.50 per share and received net proceeds of $216.4 million</w:t>
      </w:r>
      <w:r>
        <w:rPr>
          <w:rFonts w:ascii="Arial" w:cs="Arial" w:eastAsia="Arial" w:hAnsi="Arial"/>
          <w:sz w:val="17"/>
          <w:szCs w:val="17"/>
          <w:color w:val="1E1E1E"/>
        </w:rPr>
        <w:t>, after</w:t>
      </w:r>
      <w:r>
        <w:rPr>
          <w:rFonts w:ascii="Arial" w:cs="Arial" w:eastAsia="Arial" w:hAnsi="Arial"/>
          <w:sz w:val="17"/>
          <w:szCs w:val="17"/>
          <w:color w:val="auto"/>
        </w:rPr>
        <w:t xml:space="preserve"> </w:t>
      </w:r>
      <w:r>
        <w:rPr>
          <w:rFonts w:ascii="Arial" w:cs="Arial" w:eastAsia="Arial" w:hAnsi="Arial"/>
          <w:sz w:val="17"/>
          <w:szCs w:val="17"/>
          <w:color w:val="1E1E1E"/>
        </w:rPr>
        <w:t xml:space="preserve">deducting </w:t>
      </w:r>
      <w:r>
        <w:rPr>
          <w:rFonts w:ascii="Arial" w:cs="Arial" w:eastAsia="Arial" w:hAnsi="Arial"/>
          <w:sz w:val="17"/>
          <w:szCs w:val="17"/>
          <w:color w:val="000000"/>
        </w:rPr>
        <w:t>transaction costs of $13.6 million.</w:t>
      </w:r>
      <w:r>
        <w:rPr>
          <w:rFonts w:ascii="Arial" w:cs="Arial" w:eastAsia="Arial" w:hAnsi="Arial"/>
          <w:sz w:val="17"/>
          <w:szCs w:val="17"/>
          <w:color w:val="1E1E1E"/>
        </w:rPr>
        <w:t xml:space="preserve"> See Note 8, “Common Stock” to the Consolidated Financial Statements for additional information on the public offering. In </w:t>
      </w:r>
      <w:r>
        <w:rPr>
          <w:rFonts w:ascii="Arial" w:cs="Arial" w:eastAsia="Arial" w:hAnsi="Arial"/>
          <w:sz w:val="17"/>
          <w:szCs w:val="17"/>
          <w:color w:val="000000"/>
        </w:rPr>
        <w:t>September 2024, we received a Phenomap acceptance fee of $30.0 million from our collaboration with Roche.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We use the capital we have raised to fund operating and investing activities across platform research operations, drug discovery, clinical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development, digital and other infrastructure, creation of our portfolio of intellectual property and administrative support. We do not have 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products approved for commercial sale and have not generated any revenues from product sales. </w:t>
      </w:r>
      <w:r>
        <w:rPr>
          <w:rFonts w:ascii="Arial" w:cs="Arial" w:eastAsia="Arial" w:hAnsi="Arial"/>
          <w:sz w:val="17"/>
          <w:szCs w:val="17"/>
          <w:color w:val="1E1E1E"/>
        </w:rPr>
        <w:t>We had cash and cash equivalents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$594.3 million </w:t>
      </w:r>
      <w:r>
        <w:rPr>
          <w:rFonts w:ascii="Arial" w:cs="Arial" w:eastAsia="Arial" w:hAnsi="Arial"/>
          <w:sz w:val="17"/>
          <w:szCs w:val="17"/>
          <w:color w:val="1E1E1E"/>
        </w:rPr>
        <w:t>as of December 31, 2024.</w:t>
      </w:r>
      <w:r>
        <w:rPr>
          <w:rFonts w:ascii="Arial" w:cs="Arial" w:eastAsia="Arial" w:hAnsi="Arial"/>
          <w:sz w:val="17"/>
          <w:szCs w:val="17"/>
          <w:color w:val="auto"/>
        </w:rPr>
        <w:t xml:space="preserve"> Based on our current operating plan, we believe that our cash and cash equivalents will be sufficient 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fund our operations for at least the next twelve months.</w:t>
      </w:r>
    </w:p>
    <w:p>
      <w:pPr>
        <w:spacing w:after="0" w:line="227"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1E1E1E"/>
        </w:rPr>
        <w:t>Since inception, we have incurred significant operating losses. Our net losses were $463.7 million, $328.1 million and $239.5 million during the years ended December 31, 2024, 2023 and 2022, respectively. As of December 31, 2024, our accumulated deficit was $1.4 billion.</w:t>
      </w:r>
    </w:p>
    <w:p>
      <w:pPr>
        <w:spacing w:after="0" w:line="17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Results of Operations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1E1E1E"/>
        </w:rPr>
        <w:t>The following table summarizes our results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jc w:val="right"/>
              <w:ind w:right="503"/>
              <w:spacing w:after="0"/>
              <w:rPr>
                <w:sz w:val="20"/>
                <w:szCs w:val="20"/>
                <w:color w:val="auto"/>
              </w:rPr>
            </w:pPr>
            <w:r>
              <w:rPr>
                <w:rFonts w:ascii="Arial" w:cs="Arial" w:eastAsia="Arial" w:hAnsi="Arial"/>
                <w:sz w:val="14"/>
                <w:szCs w:val="14"/>
                <w:b w:val="1"/>
                <w:bCs w:val="1"/>
                <w:color w:val="auto"/>
              </w:rPr>
              <w:t>2024 compared to 2023</w:t>
            </w:r>
          </w:p>
        </w:tc>
        <w:tc>
          <w:tcPr>
            <w:tcW w:w="194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4"/>
                <w:szCs w:val="14"/>
                <w:b w:val="1"/>
                <w:bCs w:val="1"/>
                <w:color w:val="auto"/>
              </w:rPr>
              <w:t>2023 compared to 2022</w:t>
            </w:r>
          </w:p>
        </w:tc>
      </w:tr>
      <w:tr>
        <w:trPr>
          <w:trHeight w:val="218"/>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00"/>
        </w:trPr>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Revenue</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3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revenue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58,488</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43,876</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39,681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14,612</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33.3 % $</w:t>
            </w:r>
          </w:p>
        </w:tc>
        <w:tc>
          <w:tcPr>
            <w:tcW w:w="106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4,195</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w:t>
            </w:r>
          </w:p>
        </w:tc>
      </w:tr>
      <w:tr>
        <w:trPr>
          <w:trHeight w:val="205"/>
        </w:trPr>
        <w:tc>
          <w:tcPr>
            <w:tcW w:w="30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Grant revenue</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699</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w:t>
            </w: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(348)</w:t>
            </w: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(49.8)%</w:t>
            </w:r>
          </w:p>
        </w:tc>
        <w:tc>
          <w:tcPr>
            <w:tcW w:w="10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537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&gt;100%</w:t>
            </w:r>
          </w:p>
        </w:tc>
      </w:tr>
      <w:tr>
        <w:trPr>
          <w:trHeight w:val="200"/>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revenue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58,839</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44,575</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39,843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14,264</w:t>
            </w: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32.0 %</w:t>
            </w:r>
          </w:p>
        </w:tc>
        <w:tc>
          <w:tcPr>
            <w:tcW w:w="106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4,732</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11.9 %</w:t>
            </w:r>
          </w:p>
        </w:tc>
      </w:tr>
      <w:tr>
        <w:trPr>
          <w:trHeight w:val="245"/>
        </w:trPr>
        <w:tc>
          <w:tcPr>
            <w:tcW w:w="3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6"/>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5"/>
        </w:trPr>
        <w:tc>
          <w:tcPr>
            <w:tcW w:w="3080" w:type="dxa"/>
            <w:vAlign w:val="bottom"/>
          </w:tcPr>
          <w:p>
            <w:pPr>
              <w:ind w:left="120"/>
              <w:spacing w:after="0"/>
              <w:rPr>
                <w:sz w:val="20"/>
                <w:szCs w:val="20"/>
                <w:color w:val="auto"/>
              </w:rPr>
            </w:pPr>
            <w:r>
              <w:rPr>
                <w:rFonts w:ascii="Arial" w:cs="Arial" w:eastAsia="Arial" w:hAnsi="Arial"/>
                <w:sz w:val="15"/>
                <w:szCs w:val="15"/>
                <w:color w:val="auto"/>
              </w:rPr>
              <w:t>Cost of revenue</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45,238</w:t>
            </w: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42,587</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48,275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224"/>
              <w:spacing w:after="0"/>
              <w:rPr>
                <w:sz w:val="20"/>
                <w:szCs w:val="20"/>
                <w:color w:val="auto"/>
              </w:rPr>
            </w:pPr>
            <w:r>
              <w:rPr>
                <w:rFonts w:ascii="Arial" w:cs="Arial" w:eastAsia="Arial" w:hAnsi="Arial"/>
                <w:sz w:val="15"/>
                <w:szCs w:val="15"/>
                <w:color w:val="auto"/>
              </w:rPr>
              <w:t>2,651</w:t>
            </w:r>
          </w:p>
        </w:tc>
        <w:tc>
          <w:tcPr>
            <w:tcW w:w="1120" w:type="dxa"/>
            <w:vAlign w:val="bottom"/>
          </w:tcPr>
          <w:p>
            <w:pPr>
              <w:jc w:val="right"/>
              <w:ind w:right="163"/>
              <w:spacing w:after="0"/>
              <w:rPr>
                <w:sz w:val="20"/>
                <w:szCs w:val="20"/>
                <w:color w:val="auto"/>
              </w:rPr>
            </w:pPr>
            <w:r>
              <w:rPr>
                <w:rFonts w:ascii="Arial" w:cs="Arial" w:eastAsia="Arial" w:hAnsi="Arial"/>
                <w:sz w:val="15"/>
                <w:szCs w:val="15"/>
                <w:color w:val="auto"/>
              </w:rPr>
              <w:t>6.2 %</w:t>
            </w:r>
          </w:p>
        </w:tc>
        <w:tc>
          <w:tcPr>
            <w:tcW w:w="1060" w:type="dxa"/>
            <w:vAlign w:val="bottom"/>
          </w:tcPr>
          <w:p>
            <w:pPr>
              <w:jc w:val="right"/>
              <w:ind w:right="204"/>
              <w:spacing w:after="0"/>
              <w:rPr>
                <w:sz w:val="20"/>
                <w:szCs w:val="20"/>
                <w:color w:val="auto"/>
              </w:rPr>
            </w:pPr>
            <w:r>
              <w:rPr>
                <w:rFonts w:ascii="Arial" w:cs="Arial" w:eastAsia="Arial" w:hAnsi="Arial"/>
                <w:sz w:val="15"/>
                <w:szCs w:val="15"/>
                <w:color w:val="auto"/>
              </w:rPr>
              <w:t>(5,688)</w:t>
            </w:r>
          </w:p>
        </w:tc>
        <w:tc>
          <w:tcPr>
            <w:tcW w:w="880" w:type="dxa"/>
            <w:vAlign w:val="bottom"/>
          </w:tcPr>
          <w:p>
            <w:pPr>
              <w:jc w:val="right"/>
              <w:spacing w:after="0"/>
              <w:rPr>
                <w:sz w:val="20"/>
                <w:szCs w:val="20"/>
                <w:color w:val="auto"/>
              </w:rPr>
            </w:pPr>
            <w:r>
              <w:rPr>
                <w:rFonts w:ascii="Arial" w:cs="Arial" w:eastAsia="Arial" w:hAnsi="Arial"/>
                <w:sz w:val="15"/>
                <w:szCs w:val="15"/>
                <w:color w:val="auto"/>
              </w:rPr>
              <w:t>(11.8)%</w:t>
            </w:r>
          </w:p>
        </w:tc>
      </w:tr>
      <w:tr>
        <w:trPr>
          <w:trHeight w:val="207"/>
        </w:trPr>
        <w:tc>
          <w:tcPr>
            <w:tcW w:w="3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Research and development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314,421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241,226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155,696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73,195</w:t>
            </w: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30.3 %</w:t>
            </w:r>
          </w:p>
        </w:tc>
        <w:tc>
          <w:tcPr>
            <w:tcW w:w="106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85,530</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54.9 %</w:t>
            </w:r>
          </w:p>
        </w:tc>
      </w:tr>
      <w:tr>
        <w:trPr>
          <w:trHeight w:val="205"/>
        </w:trPr>
        <w:tc>
          <w:tcPr>
            <w:tcW w:w="30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178,184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110,822</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81,599</w:t>
            </w: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67,362</w:t>
            </w: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60.8 %</w:t>
            </w:r>
          </w:p>
        </w:tc>
        <w:tc>
          <w:tcPr>
            <w:tcW w:w="10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29,223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35.8 %</w:t>
            </w:r>
          </w:p>
        </w:tc>
      </w:tr>
      <w:tr>
        <w:trPr>
          <w:trHeight w:val="200"/>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operating costs and expenses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537,843</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394,635</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285,570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143,208</w:t>
            </w: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36.3 %</w:t>
            </w:r>
          </w:p>
        </w:tc>
        <w:tc>
          <w:tcPr>
            <w:tcW w:w="106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109,065</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38.2 %</w:t>
            </w:r>
          </w:p>
        </w:tc>
      </w:tr>
      <w:tr>
        <w:trPr>
          <w:trHeight w:val="245"/>
        </w:trPr>
        <w:tc>
          <w:tcPr>
            <w:tcW w:w="30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r>
        <w:trPr>
          <w:trHeight w:val="199"/>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Loss from operations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(479,004)</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(350,060)</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(245,727)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(128,944)</w:t>
            </w: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36.8 %</w:t>
            </w:r>
          </w:p>
        </w:tc>
        <w:tc>
          <w:tcPr>
            <w:tcW w:w="10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(104,333)</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42.5 %</w:t>
            </w:r>
          </w:p>
        </w:tc>
      </w:tr>
      <w:tr>
        <w:trPr>
          <w:trHeight w:val="205"/>
        </w:trPr>
        <w:tc>
          <w:tcPr>
            <w:tcW w:w="30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Other income, net</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14,216</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17,932</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6,251</w:t>
            </w: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(3,716)</w:t>
            </w: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(20.7)%</w:t>
            </w:r>
          </w:p>
        </w:tc>
        <w:tc>
          <w:tcPr>
            <w:tcW w:w="10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11,681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n/m</w:t>
            </w:r>
          </w:p>
        </w:tc>
      </w:tr>
      <w:tr>
        <w:trPr>
          <w:trHeight w:val="200"/>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Loss before income tax benefit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(464,788)</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(332,128)</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(239,476)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(132,660)</w:t>
            </w: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39.9 %</w:t>
            </w:r>
          </w:p>
        </w:tc>
        <w:tc>
          <w:tcPr>
            <w:tcW w:w="10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(92,652)</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38.7 %</w:t>
            </w:r>
          </w:p>
        </w:tc>
      </w:tr>
      <w:tr>
        <w:trPr>
          <w:trHeight w:val="205"/>
        </w:trPr>
        <w:tc>
          <w:tcPr>
            <w:tcW w:w="3080" w:type="dxa"/>
            <w:vAlign w:val="bottom"/>
          </w:tcPr>
          <w:p>
            <w:pPr>
              <w:ind w:left="120"/>
              <w:spacing w:after="0"/>
              <w:rPr>
                <w:sz w:val="20"/>
                <w:szCs w:val="20"/>
                <w:color w:val="auto"/>
              </w:rPr>
            </w:pPr>
            <w:r>
              <w:rPr>
                <w:rFonts w:ascii="Arial" w:cs="Arial" w:eastAsia="Arial" w:hAnsi="Arial"/>
                <w:sz w:val="15"/>
                <w:szCs w:val="15"/>
                <w:color w:val="auto"/>
              </w:rPr>
              <w:t>Income tax benefit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1,127</w:t>
            </w:r>
          </w:p>
        </w:tc>
        <w:tc>
          <w:tcPr>
            <w:tcW w:w="28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4,062</w:t>
            </w:r>
          </w:p>
        </w:tc>
        <w:tc>
          <w:tcPr>
            <w:tcW w:w="3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00" w:type="dxa"/>
            <w:vAlign w:val="bottom"/>
          </w:tcPr>
          <w:p>
            <w:pPr>
              <w:jc w:val="right"/>
              <w:ind w:right="184"/>
              <w:spacing w:after="0"/>
              <w:rPr>
                <w:sz w:val="20"/>
                <w:szCs w:val="20"/>
                <w:color w:val="auto"/>
              </w:rPr>
            </w:pPr>
            <w:r>
              <w:rPr>
                <w:rFonts w:ascii="Arial" w:cs="Arial" w:eastAsia="Arial" w:hAnsi="Arial"/>
                <w:sz w:val="15"/>
                <w:szCs w:val="15"/>
                <w:color w:val="auto"/>
              </w:rPr>
              <w:t>(2,935)</w:t>
            </w:r>
          </w:p>
        </w:tc>
        <w:tc>
          <w:tcPr>
            <w:tcW w:w="1120" w:type="dxa"/>
            <w:vAlign w:val="bottom"/>
          </w:tcPr>
          <w:p>
            <w:pPr>
              <w:jc w:val="right"/>
              <w:ind w:right="163"/>
              <w:spacing w:after="0"/>
              <w:rPr>
                <w:sz w:val="20"/>
                <w:szCs w:val="20"/>
                <w:color w:val="auto"/>
              </w:rPr>
            </w:pPr>
            <w:r>
              <w:rPr>
                <w:rFonts w:ascii="Arial" w:cs="Arial" w:eastAsia="Arial" w:hAnsi="Arial"/>
                <w:sz w:val="15"/>
                <w:szCs w:val="15"/>
                <w:color w:val="auto"/>
              </w:rPr>
              <w:t>(72.3)%</w:t>
            </w:r>
          </w:p>
        </w:tc>
        <w:tc>
          <w:tcPr>
            <w:tcW w:w="1060" w:type="dxa"/>
            <w:vAlign w:val="bottom"/>
          </w:tcPr>
          <w:p>
            <w:pPr>
              <w:jc w:val="right"/>
              <w:ind w:right="244"/>
              <w:spacing w:after="0"/>
              <w:rPr>
                <w:sz w:val="20"/>
                <w:szCs w:val="20"/>
                <w:color w:val="auto"/>
              </w:rPr>
            </w:pPr>
            <w:r>
              <w:rPr>
                <w:rFonts w:ascii="Arial" w:cs="Arial" w:eastAsia="Arial" w:hAnsi="Arial"/>
                <w:sz w:val="15"/>
                <w:szCs w:val="15"/>
                <w:color w:val="auto"/>
              </w:rPr>
              <w:t>4,062</w:t>
            </w:r>
          </w:p>
        </w:tc>
        <w:tc>
          <w:tcPr>
            <w:tcW w:w="88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25"/>
        </w:trPr>
        <w:tc>
          <w:tcPr>
            <w:tcW w:w="30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(463,661)</w:t>
            </w:r>
          </w:p>
        </w:tc>
        <w:tc>
          <w:tcPr>
            <w:tcW w:w="2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(328,066)</w:t>
            </w:r>
          </w:p>
        </w:tc>
        <w:tc>
          <w:tcPr>
            <w:tcW w:w="3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(239,476)</w:t>
            </w:r>
          </w:p>
        </w:tc>
        <w:tc>
          <w:tcPr>
            <w:tcW w:w="200" w:type="dxa"/>
            <w:vAlign w:val="bottom"/>
            <w:tcBorders>
              <w:top w:val="single" w:sz="8" w:color="CCEEFF"/>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rPr>
              <w:t>(135,595)</w:t>
            </w:r>
          </w:p>
        </w:tc>
        <w:tc>
          <w:tcPr>
            <w:tcW w:w="11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41.3 % $</w:t>
            </w:r>
          </w:p>
        </w:tc>
        <w:tc>
          <w:tcPr>
            <w:tcW w:w="10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(88,590)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37.0 %</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Revenue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1E1E1E"/>
        </w:rPr>
        <w:t>The following table summarizes our components of revenue: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478"/>
              <w:spacing w:after="0"/>
              <w:rPr>
                <w:sz w:val="20"/>
                <w:szCs w:val="20"/>
                <w:color w:val="auto"/>
              </w:rPr>
            </w:pPr>
            <w:r>
              <w:rPr>
                <w:rFonts w:ascii="Arial" w:cs="Arial" w:eastAsia="Arial" w:hAnsi="Arial"/>
                <w:sz w:val="14"/>
                <w:szCs w:val="14"/>
                <w:b w:val="1"/>
                <w:bCs w:val="1"/>
                <w:color w:val="auto"/>
              </w:rPr>
              <w:t>2024 compared to 2023</w:t>
            </w:r>
          </w:p>
        </w:tc>
        <w:tc>
          <w:tcPr>
            <w:tcW w:w="196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4"/>
                <w:szCs w:val="14"/>
                <w:b w:val="1"/>
                <w:bCs w:val="1"/>
                <w:color w:val="auto"/>
              </w:rPr>
              <w:t>2023 compared to 2022</w:t>
            </w:r>
          </w:p>
        </w:tc>
      </w:tr>
      <w:tr>
        <w:trPr>
          <w:trHeight w:val="218"/>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w:t>
            </w:r>
          </w:p>
        </w:tc>
      </w:tr>
      <w:tr>
        <w:trPr>
          <w:trHeight w:val="213"/>
        </w:trPr>
        <w:tc>
          <w:tcPr>
            <w:tcW w:w="3060" w:type="dxa"/>
            <w:vAlign w:val="bottom"/>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revenue</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58,488</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43,876</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241"/>
              <w:spacing w:after="0"/>
              <w:rPr>
                <w:sz w:val="20"/>
                <w:szCs w:val="20"/>
                <w:color w:val="auto"/>
              </w:rPr>
            </w:pPr>
            <w:r>
              <w:rPr>
                <w:rFonts w:ascii="Arial" w:cs="Arial" w:eastAsia="Arial" w:hAnsi="Arial"/>
                <w:sz w:val="17"/>
                <w:szCs w:val="17"/>
                <w:color w:val="auto"/>
              </w:rPr>
              <w:t>14,612</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33.3 % $</w:t>
            </w: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rPr>
              <w:t>4,195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10.6 %</w:t>
            </w:r>
          </w:p>
        </w:tc>
      </w:tr>
      <w:tr>
        <w:trPr>
          <w:trHeight w:val="219"/>
        </w:trPr>
        <w:tc>
          <w:tcPr>
            <w:tcW w:w="30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Grant revenue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7"/>
                <w:szCs w:val="17"/>
                <w:color w:val="auto"/>
              </w:rPr>
              <w:t>(348)</w:t>
            </w:r>
          </w:p>
        </w:tc>
        <w:tc>
          <w:tcPr>
            <w:tcW w:w="112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color w:val="auto"/>
              </w:rPr>
              <w:t>(49.8)%</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7"/>
                <w:szCs w:val="17"/>
                <w:color w:val="auto"/>
              </w:rPr>
              <w:t>537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&gt;100%</w:t>
            </w:r>
          </w:p>
        </w:tc>
      </w:tr>
      <w:tr>
        <w:trPr>
          <w:trHeight w:val="237"/>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58,839</w:t>
            </w:r>
          </w:p>
        </w:tc>
        <w:tc>
          <w:tcPr>
            <w:tcW w:w="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44,575</w:t>
            </w:r>
          </w:p>
        </w:tc>
        <w:tc>
          <w:tcPr>
            <w:tcW w:w="3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39,843</w:t>
            </w:r>
          </w:p>
        </w:tc>
        <w:tc>
          <w:tcPr>
            <w:tcW w:w="2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7"/>
                <w:szCs w:val="17"/>
                <w:color w:val="auto"/>
              </w:rPr>
              <w:t>14,264</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32.0 % $</w:t>
            </w:r>
          </w:p>
        </w:tc>
        <w:tc>
          <w:tcPr>
            <w:tcW w:w="10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7"/>
                <w:szCs w:val="17"/>
                <w:color w:val="auto"/>
              </w:rPr>
              <w:t>4,732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11.9 %</w:t>
            </w:r>
          </w:p>
        </w:tc>
      </w:tr>
      <w:tr>
        <w:trPr>
          <w:trHeight w:val="20"/>
        </w:trPr>
        <w:tc>
          <w:tcPr>
            <w:tcW w:w="3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1E1E1E"/>
        </w:rPr>
        <w:t xml:space="preserve">Operating revenue is generated through </w:t>
      </w:r>
      <w:r>
        <w:rPr>
          <w:rFonts w:ascii="Arial" w:cs="Arial" w:eastAsia="Arial" w:hAnsi="Arial"/>
          <w:sz w:val="17"/>
          <w:szCs w:val="17"/>
          <w:color w:val="000000"/>
        </w:rPr>
        <w:t>research and development agreements derived from strategic alliances.</w:t>
      </w:r>
    </w:p>
    <w:p>
      <w:pPr>
        <w:spacing w:after="0" w:line="2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1E1E1E"/>
        </w:rPr>
        <w:t>We are entitled to receive variable consideration as certain milestones are achieved. The timing of revenue recognition is not directly correlated to the timing of cash receipts.</w:t>
      </w:r>
    </w:p>
    <w:p>
      <w:pPr>
        <w:spacing w:after="0" w:line="292"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1E1E1E"/>
        </w:rPr>
        <w:t xml:space="preserve">For the year ended December 31, 2024, the increase in revenue compared to the prior year was due to revenue recognized from our </w:t>
      </w:r>
      <w:r>
        <w:rPr>
          <w:rFonts w:ascii="Arial" w:cs="Arial" w:eastAsia="Arial" w:hAnsi="Arial"/>
          <w:sz w:val="17"/>
          <w:szCs w:val="17"/>
          <w:color w:val="000000"/>
        </w:rPr>
        <w:t>strategic</w:t>
      </w:r>
      <w:r>
        <w:rPr>
          <w:rFonts w:ascii="Arial" w:cs="Arial" w:eastAsia="Arial" w:hAnsi="Arial"/>
          <w:sz w:val="17"/>
          <w:szCs w:val="17"/>
          <w:color w:val="1E1E1E"/>
        </w:rPr>
        <w:t xml:space="preserve"> partnership with Roche. W</w:t>
      </w:r>
      <w:r>
        <w:rPr>
          <w:rFonts w:ascii="Arial" w:cs="Arial" w:eastAsia="Arial" w:hAnsi="Arial"/>
          <w:sz w:val="17"/>
          <w:szCs w:val="17"/>
          <w:color w:val="000000"/>
        </w:rPr>
        <w:t>e recognized revenue related to the acceptance fee for the completion of a Phenomap for one of our neuroscience</w:t>
      </w:r>
      <w:r>
        <w:rPr>
          <w:rFonts w:ascii="Arial" w:cs="Arial" w:eastAsia="Arial" w:hAnsi="Arial"/>
          <w:sz w:val="17"/>
          <w:szCs w:val="17"/>
          <w:color w:val="1E1E1E"/>
        </w:rPr>
        <w:t xml:space="preserve"> </w:t>
      </w:r>
      <w:r>
        <w:rPr>
          <w:rFonts w:ascii="Arial" w:cs="Arial" w:eastAsia="Arial" w:hAnsi="Arial"/>
          <w:sz w:val="17"/>
          <w:szCs w:val="17"/>
          <w:color w:val="000000"/>
        </w:rPr>
        <w:t xml:space="preserve">performance obligations. </w:t>
      </w:r>
      <w:r>
        <w:rPr>
          <w:rFonts w:ascii="Arial" w:cs="Arial" w:eastAsia="Arial" w:hAnsi="Arial"/>
          <w:sz w:val="17"/>
          <w:szCs w:val="17"/>
          <w:color w:val="1E1E1E"/>
        </w:rPr>
        <w:t>Prior to</w:t>
      </w:r>
      <w:r>
        <w:rPr>
          <w:rFonts w:ascii="Arial" w:cs="Arial" w:eastAsia="Arial" w:hAnsi="Arial"/>
          <w:sz w:val="17"/>
          <w:szCs w:val="17"/>
          <w:color w:val="000000"/>
        </w:rPr>
        <w:t xml:space="preserve"> September 2024, t</w:t>
      </w:r>
      <w:r>
        <w:rPr>
          <w:rFonts w:ascii="Arial" w:cs="Arial" w:eastAsia="Arial" w:hAnsi="Arial"/>
          <w:sz w:val="17"/>
          <w:szCs w:val="17"/>
          <w:color w:val="1E1E1E"/>
        </w:rPr>
        <w:t>he</w:t>
      </w:r>
      <w:r>
        <w:rPr>
          <w:rFonts w:ascii="Arial" w:cs="Arial" w:eastAsia="Arial" w:hAnsi="Arial"/>
          <w:sz w:val="17"/>
          <w:szCs w:val="17"/>
          <w:color w:val="000000"/>
        </w:rPr>
        <w:t xml:space="preserve"> $30.0 million acceptance fee had been fully constrained. </w:t>
      </w:r>
      <w:r>
        <w:rPr>
          <w:rFonts w:ascii="Arial" w:cs="Arial" w:eastAsia="Arial" w:hAnsi="Arial"/>
          <w:sz w:val="17"/>
          <w:szCs w:val="17"/>
          <w:color w:val="1E1E1E"/>
        </w:rPr>
        <w:t>For the</w:t>
      </w:r>
      <w:r>
        <w:rPr>
          <w:rFonts w:ascii="Arial" w:cs="Arial" w:eastAsia="Arial" w:hAnsi="Arial"/>
          <w:sz w:val="17"/>
          <w:szCs w:val="17"/>
          <w:color w:val="000000"/>
        </w:rPr>
        <w:t xml:space="preserve"> year ended December 31, 2023</w:t>
      </w:r>
      <w:r>
        <w:rPr>
          <w:rFonts w:ascii="Arial" w:cs="Arial" w:eastAsia="Arial" w:hAnsi="Arial"/>
          <w:sz w:val="17"/>
          <w:szCs w:val="17"/>
          <w:color w:val="1E1E1E"/>
        </w:rPr>
        <w:t>, the increase in revenue compared to the prior year was due to revenue recognized from our partnership with Roche, which had progressed</w:t>
      </w:r>
      <w:r>
        <w:rPr>
          <w:rFonts w:ascii="Arial" w:cs="Arial" w:eastAsia="Arial" w:hAnsi="Arial"/>
          <w:sz w:val="17"/>
          <w:szCs w:val="17"/>
          <w:color w:val="000000"/>
        </w:rPr>
        <w:t xml:space="preserve"> </w:t>
      </w:r>
      <w:r>
        <w:rPr>
          <w:rFonts w:ascii="Arial" w:cs="Arial" w:eastAsia="Arial" w:hAnsi="Arial"/>
          <w:sz w:val="17"/>
          <w:szCs w:val="17"/>
          <w:color w:val="1E1E1E"/>
        </w:rPr>
        <w:t>from primarily cell type evaluation work to inference-based Phenomap building and additional cell type evaluation work.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Cost of Revenue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1E1E1E"/>
        </w:rPr>
        <w:t>The following table summarizes our cost of revenue:</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center"/>
              <w:ind w:left="366"/>
              <w:spacing w:after="0"/>
              <w:rPr>
                <w:sz w:val="20"/>
                <w:szCs w:val="20"/>
                <w:color w:val="auto"/>
              </w:rPr>
            </w:pPr>
            <w:r>
              <w:rPr>
                <w:rFonts w:ascii="Arial" w:cs="Arial" w:eastAsia="Arial" w:hAnsi="Arial"/>
                <w:sz w:val="14"/>
                <w:szCs w:val="14"/>
                <w:b w:val="1"/>
                <w:bCs w:val="1"/>
                <w:color w:val="auto"/>
                <w:w w:val="97"/>
              </w:rPr>
              <w:t>Years ended December 31,</w:t>
            </w:r>
          </w:p>
        </w:tc>
        <w:tc>
          <w:tcPr>
            <w:tcW w:w="6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right"/>
              <w:ind w:right="483"/>
              <w:spacing w:after="0"/>
              <w:rPr>
                <w:sz w:val="20"/>
                <w:szCs w:val="20"/>
                <w:color w:val="auto"/>
              </w:rPr>
            </w:pPr>
            <w:r>
              <w:rPr>
                <w:rFonts w:ascii="Arial" w:cs="Arial" w:eastAsia="Arial" w:hAnsi="Arial"/>
                <w:sz w:val="14"/>
                <w:szCs w:val="14"/>
                <w:b w:val="1"/>
                <w:bCs w:val="1"/>
                <w:color w:val="auto"/>
              </w:rPr>
              <w:t>2024 compared to 2023</w:t>
            </w: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2023 compared to 2022</w:t>
            </w:r>
          </w:p>
        </w:tc>
      </w:tr>
      <w:tr>
        <w:trPr>
          <w:trHeight w:val="23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626"/>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w:t>
            </w:r>
          </w:p>
        </w:tc>
      </w:tr>
      <w:tr>
        <w:trPr>
          <w:trHeight w:val="238"/>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45,238</w:t>
            </w:r>
          </w:p>
        </w:tc>
        <w:tc>
          <w:tcPr>
            <w:tcW w:w="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42,587</w:t>
            </w:r>
          </w:p>
        </w:tc>
        <w:tc>
          <w:tcPr>
            <w:tcW w:w="3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48,275</w:t>
            </w:r>
          </w:p>
        </w:tc>
        <w:tc>
          <w:tcPr>
            <w:tcW w:w="1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7"/>
                <w:szCs w:val="17"/>
                <w:color w:val="auto"/>
              </w:rPr>
              <w:t>2,651</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6.2 % $</w:t>
            </w:r>
          </w:p>
        </w:tc>
        <w:tc>
          <w:tcPr>
            <w:tcW w:w="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(5,688)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0"/>
        </w:trPr>
        <w:tc>
          <w:tcPr>
            <w:tcW w:w="3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1E1E1E"/>
        </w:rPr>
        <w:t xml:space="preserve">Cost of revenue consists of the Company’s costs to </w:t>
      </w:r>
      <w:r>
        <w:rPr>
          <w:rFonts w:ascii="Arial" w:cs="Arial" w:eastAsia="Arial" w:hAnsi="Arial"/>
          <w:sz w:val="17"/>
          <w:szCs w:val="17"/>
          <w:color w:val="000000"/>
        </w:rPr>
        <w:t>provide services for drug discovery required under performance obligations with partnership</w:t>
      </w:r>
      <w:r>
        <w:rPr>
          <w:rFonts w:ascii="Arial" w:cs="Arial" w:eastAsia="Arial" w:hAnsi="Arial"/>
          <w:sz w:val="17"/>
          <w:szCs w:val="17"/>
          <w:color w:val="1E1E1E"/>
        </w:rPr>
        <w:t xml:space="preserve"> </w:t>
      </w:r>
      <w:r>
        <w:rPr>
          <w:rFonts w:ascii="Arial" w:cs="Arial" w:eastAsia="Arial" w:hAnsi="Arial"/>
          <w:sz w:val="17"/>
          <w:szCs w:val="17"/>
          <w:color w:val="000000"/>
        </w:rPr>
        <w:t>customers. These primarily include materials costs, service hours performed by our employees and depreciation of property and equipment.</w:t>
      </w:r>
    </w:p>
    <w:p>
      <w:pPr>
        <w:spacing w:after="0" w:line="172"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1E1E1E"/>
        </w:rPr>
        <w:t xml:space="preserve">For the year ended December 31, 2024, the increase in cost of revenue compared to the prior year was due to our Exscientia acquisition for which our results now also include additional customers. </w:t>
      </w:r>
      <w:r>
        <w:rPr>
          <w:rFonts w:ascii="Arial" w:cs="Arial" w:eastAsia="Arial" w:hAnsi="Arial"/>
          <w:sz w:val="17"/>
          <w:szCs w:val="17"/>
          <w:color w:val="000000"/>
        </w:rPr>
        <w:t>For the year ended December 31, 2023, the decrease in</w:t>
      </w:r>
      <w:r>
        <w:rPr>
          <w:rFonts w:ascii="Arial" w:cs="Arial" w:eastAsia="Arial" w:hAnsi="Arial"/>
          <w:sz w:val="17"/>
          <w:szCs w:val="17"/>
          <w:color w:val="1E1E1E"/>
        </w:rPr>
        <w:t xml:space="preserve"> cost of revenue compared to the prior year was due to our partnership with Bayer, for which less brute-force work was required. </w:t>
      </w:r>
      <w:r>
        <w:rPr>
          <w:rFonts w:ascii="Arial" w:cs="Arial" w:eastAsia="Arial" w:hAnsi="Arial"/>
          <w:sz w:val="17"/>
          <w:szCs w:val="17"/>
          <w:color w:val="000000"/>
        </w:rPr>
        <w:t>For the year ended December 31, 2022, the increase in</w:t>
      </w:r>
      <w:r>
        <w:rPr>
          <w:rFonts w:ascii="Arial" w:cs="Arial" w:eastAsia="Arial" w:hAnsi="Arial"/>
          <w:sz w:val="17"/>
          <w:szCs w:val="17"/>
          <w:color w:val="1E1E1E"/>
        </w:rPr>
        <w:t xml:space="preserve"> </w:t>
      </w:r>
      <w:r>
        <w:rPr>
          <w:rFonts w:ascii="Arial" w:cs="Arial" w:eastAsia="Arial" w:hAnsi="Arial"/>
          <w:sz w:val="17"/>
          <w:szCs w:val="17"/>
          <w:color w:val="000000"/>
        </w:rPr>
        <w:t xml:space="preserve">cost of revenue </w:t>
      </w:r>
      <w:r>
        <w:rPr>
          <w:rFonts w:ascii="Arial" w:cs="Arial" w:eastAsia="Arial" w:hAnsi="Arial"/>
          <w:sz w:val="17"/>
          <w:szCs w:val="17"/>
          <w:color w:val="1E1E1E"/>
        </w:rPr>
        <w:t>compared to the prior year was due to our strategic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Research and Development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1E1E1E"/>
        </w:rPr>
        <w:t>The following table summarizes our components of research and development expense: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8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7"/>
                <w:szCs w:val="17"/>
                <w:color w:val="auto"/>
              </w:rPr>
            </w:pPr>
          </w:p>
        </w:tc>
        <w:tc>
          <w:tcPr>
            <w:tcW w:w="2160" w:type="dxa"/>
            <w:vAlign w:val="bottom"/>
            <w:gridSpan w:val="2"/>
          </w:tcPr>
          <w:p>
            <w:pPr>
              <w:jc w:val="right"/>
              <w:ind w:right="464"/>
              <w:spacing w:after="0"/>
              <w:rPr>
                <w:sz w:val="20"/>
                <w:szCs w:val="20"/>
                <w:color w:val="auto"/>
              </w:rPr>
            </w:pPr>
            <w:r>
              <w:rPr>
                <w:rFonts w:ascii="Arial" w:cs="Arial" w:eastAsia="Arial" w:hAnsi="Arial"/>
                <w:sz w:val="14"/>
                <w:szCs w:val="14"/>
                <w:b w:val="1"/>
                <w:bCs w:val="1"/>
                <w:color w:val="auto"/>
              </w:rPr>
              <w:t>2024 compared to 2023</w:t>
            </w:r>
          </w:p>
        </w:tc>
        <w:tc>
          <w:tcPr>
            <w:tcW w:w="1940" w:type="dxa"/>
            <w:vAlign w:val="bottom"/>
            <w:gridSpan w:val="2"/>
          </w:tcPr>
          <w:p>
            <w:pPr>
              <w:jc w:val="right"/>
              <w:ind w:right="244"/>
              <w:spacing w:after="0"/>
              <w:rPr>
                <w:sz w:val="20"/>
                <w:szCs w:val="20"/>
                <w:color w:val="auto"/>
              </w:rPr>
            </w:pPr>
            <w:r>
              <w:rPr>
                <w:rFonts w:ascii="Arial" w:cs="Arial" w:eastAsia="Arial" w:hAnsi="Arial"/>
                <w:sz w:val="14"/>
                <w:szCs w:val="14"/>
                <w:b w:val="1"/>
                <w:bCs w:val="1"/>
                <w:color w:val="auto"/>
              </w:rPr>
              <w:t>2023 compared to 2022</w:t>
            </w:r>
          </w:p>
        </w:tc>
      </w:tr>
      <w:tr>
        <w:trPr>
          <w:trHeight w:val="21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w:t>
            </w:r>
          </w:p>
        </w:tc>
      </w:tr>
      <w:tr>
        <w:trPr>
          <w:trHeight w:val="199"/>
        </w:trPr>
        <w:tc>
          <w:tcPr>
            <w:tcW w:w="3640" w:type="dxa"/>
            <w:vAlign w:val="bottom"/>
          </w:tcPr>
          <w:p>
            <w:pPr>
              <w:ind w:left="20"/>
              <w:spacing w:after="0"/>
              <w:rPr>
                <w:sz w:val="20"/>
                <w:szCs w:val="20"/>
                <w:color w:val="auto"/>
              </w:rPr>
            </w:pPr>
            <w:r>
              <w:rPr>
                <w:rFonts w:ascii="Arial" w:cs="Arial" w:eastAsia="Arial" w:hAnsi="Arial"/>
                <w:sz w:val="15"/>
                <w:szCs w:val="15"/>
                <w:color w:val="auto"/>
              </w:rPr>
              <w:t>Research and development expenses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36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Platform</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142,644</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96,796</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41,765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45,848</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47.4 % $</w:t>
            </w:r>
          </w:p>
        </w:tc>
        <w:tc>
          <w:tcPr>
            <w:tcW w:w="106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55,031</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&gt;100%</w:t>
            </w:r>
          </w:p>
        </w:tc>
      </w:tr>
      <w:tr>
        <w:trPr>
          <w:trHeight w:val="205"/>
        </w:trPr>
        <w:tc>
          <w:tcPr>
            <w:tcW w:w="3640" w:type="dxa"/>
            <w:vAlign w:val="bottom"/>
          </w:tcPr>
          <w:p>
            <w:pPr>
              <w:ind w:left="120"/>
              <w:spacing w:after="0"/>
              <w:rPr>
                <w:sz w:val="20"/>
                <w:szCs w:val="20"/>
                <w:color w:val="auto"/>
              </w:rPr>
            </w:pPr>
            <w:r>
              <w:rPr>
                <w:rFonts w:ascii="Arial" w:cs="Arial" w:eastAsia="Arial" w:hAnsi="Arial"/>
                <w:sz w:val="15"/>
                <w:szCs w:val="15"/>
                <w:color w:val="auto"/>
              </w:rPr>
              <w:t>Discovery</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69,957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62,142</w:t>
            </w: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52,358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25"/>
              <w:spacing w:after="0"/>
              <w:rPr>
                <w:sz w:val="20"/>
                <w:szCs w:val="20"/>
                <w:color w:val="auto"/>
              </w:rPr>
            </w:pPr>
            <w:r>
              <w:rPr>
                <w:rFonts w:ascii="Arial" w:cs="Arial" w:eastAsia="Arial" w:hAnsi="Arial"/>
                <w:sz w:val="15"/>
                <w:szCs w:val="15"/>
                <w:color w:val="auto"/>
              </w:rPr>
              <w:t>7,815</w:t>
            </w:r>
          </w:p>
        </w:tc>
        <w:tc>
          <w:tcPr>
            <w:tcW w:w="1120" w:type="dxa"/>
            <w:vAlign w:val="bottom"/>
          </w:tcPr>
          <w:p>
            <w:pPr>
              <w:jc w:val="right"/>
              <w:ind w:right="164"/>
              <w:spacing w:after="0"/>
              <w:rPr>
                <w:sz w:val="20"/>
                <w:szCs w:val="20"/>
                <w:color w:val="auto"/>
              </w:rPr>
            </w:pPr>
            <w:r>
              <w:rPr>
                <w:rFonts w:ascii="Arial" w:cs="Arial" w:eastAsia="Arial" w:hAnsi="Arial"/>
                <w:sz w:val="15"/>
                <w:szCs w:val="15"/>
                <w:color w:val="auto"/>
              </w:rPr>
              <w:t>12.6 %</w:t>
            </w:r>
          </w:p>
        </w:tc>
        <w:tc>
          <w:tcPr>
            <w:tcW w:w="1060" w:type="dxa"/>
            <w:vAlign w:val="bottom"/>
          </w:tcPr>
          <w:p>
            <w:pPr>
              <w:jc w:val="right"/>
              <w:ind w:right="245"/>
              <w:spacing w:after="0"/>
              <w:rPr>
                <w:sz w:val="20"/>
                <w:szCs w:val="20"/>
                <w:color w:val="auto"/>
              </w:rPr>
            </w:pPr>
            <w:r>
              <w:rPr>
                <w:rFonts w:ascii="Arial" w:cs="Arial" w:eastAsia="Arial" w:hAnsi="Arial"/>
                <w:sz w:val="15"/>
                <w:szCs w:val="15"/>
                <w:color w:val="auto"/>
              </w:rPr>
              <w:t>9,784</w:t>
            </w:r>
          </w:p>
        </w:tc>
        <w:tc>
          <w:tcPr>
            <w:tcW w:w="880" w:type="dxa"/>
            <w:vAlign w:val="bottom"/>
          </w:tcPr>
          <w:p>
            <w:pPr>
              <w:jc w:val="right"/>
              <w:spacing w:after="0"/>
              <w:rPr>
                <w:sz w:val="20"/>
                <w:szCs w:val="20"/>
                <w:color w:val="auto"/>
              </w:rPr>
            </w:pPr>
            <w:r>
              <w:rPr>
                <w:rFonts w:ascii="Arial" w:cs="Arial" w:eastAsia="Arial" w:hAnsi="Arial"/>
                <w:sz w:val="15"/>
                <w:szCs w:val="15"/>
                <w:color w:val="auto"/>
              </w:rPr>
              <w:t>18.7 %</w:t>
            </w:r>
          </w:p>
        </w:tc>
      </w:tr>
      <w:tr>
        <w:trPr>
          <w:trHeight w:val="207"/>
        </w:trPr>
        <w:tc>
          <w:tcPr>
            <w:tcW w:w="36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Clinical</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62,916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57,564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46,820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5,352</w:t>
            </w:r>
          </w:p>
        </w:tc>
        <w:tc>
          <w:tcPr>
            <w:tcW w:w="11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9.3 %</w:t>
            </w:r>
          </w:p>
        </w:tc>
        <w:tc>
          <w:tcPr>
            <w:tcW w:w="106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10,744</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22.9 %</w:t>
            </w:r>
          </w:p>
        </w:tc>
      </w:tr>
      <w:tr>
        <w:trPr>
          <w:trHeight w:val="205"/>
        </w:trPr>
        <w:tc>
          <w:tcPr>
            <w:tcW w:w="3640" w:type="dxa"/>
            <w:vAlign w:val="bottom"/>
          </w:tcPr>
          <w:p>
            <w:pPr>
              <w:ind w:left="120"/>
              <w:spacing w:after="0"/>
              <w:rPr>
                <w:sz w:val="20"/>
                <w:szCs w:val="20"/>
                <w:color w:val="auto"/>
              </w:rPr>
            </w:pPr>
            <w:r>
              <w:rPr>
                <w:rFonts w:ascii="Arial" w:cs="Arial" w:eastAsia="Arial" w:hAnsi="Arial"/>
                <w:sz w:val="15"/>
                <w:szCs w:val="15"/>
                <w:color w:val="auto"/>
              </w:rPr>
              <w:t>Stock based compensation</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37,331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22,761</w:t>
            </w: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10,524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25"/>
              <w:spacing w:after="0"/>
              <w:rPr>
                <w:sz w:val="20"/>
                <w:szCs w:val="20"/>
                <w:color w:val="auto"/>
              </w:rPr>
            </w:pPr>
            <w:r>
              <w:rPr>
                <w:rFonts w:ascii="Arial" w:cs="Arial" w:eastAsia="Arial" w:hAnsi="Arial"/>
                <w:sz w:val="15"/>
                <w:szCs w:val="15"/>
                <w:color w:val="auto"/>
              </w:rPr>
              <w:t>14,570</w:t>
            </w:r>
          </w:p>
        </w:tc>
        <w:tc>
          <w:tcPr>
            <w:tcW w:w="1120" w:type="dxa"/>
            <w:vAlign w:val="bottom"/>
          </w:tcPr>
          <w:p>
            <w:pPr>
              <w:jc w:val="right"/>
              <w:ind w:right="164"/>
              <w:spacing w:after="0"/>
              <w:rPr>
                <w:sz w:val="20"/>
                <w:szCs w:val="20"/>
                <w:color w:val="auto"/>
              </w:rPr>
            </w:pPr>
            <w:r>
              <w:rPr>
                <w:rFonts w:ascii="Arial" w:cs="Arial" w:eastAsia="Arial" w:hAnsi="Arial"/>
                <w:sz w:val="15"/>
                <w:szCs w:val="15"/>
                <w:color w:val="auto"/>
              </w:rPr>
              <w:t>64.0 %</w:t>
            </w:r>
          </w:p>
        </w:tc>
        <w:tc>
          <w:tcPr>
            <w:tcW w:w="1060" w:type="dxa"/>
            <w:vAlign w:val="bottom"/>
          </w:tcPr>
          <w:p>
            <w:pPr>
              <w:jc w:val="right"/>
              <w:ind w:right="245"/>
              <w:spacing w:after="0"/>
              <w:rPr>
                <w:sz w:val="20"/>
                <w:szCs w:val="20"/>
                <w:color w:val="auto"/>
              </w:rPr>
            </w:pPr>
            <w:r>
              <w:rPr>
                <w:rFonts w:ascii="Arial" w:cs="Arial" w:eastAsia="Arial" w:hAnsi="Arial"/>
                <w:sz w:val="15"/>
                <w:szCs w:val="15"/>
                <w:color w:val="auto"/>
              </w:rPr>
              <w:t>12,237</w:t>
            </w:r>
          </w:p>
        </w:tc>
        <w:tc>
          <w:tcPr>
            <w:tcW w:w="880" w:type="dxa"/>
            <w:vAlign w:val="bottom"/>
          </w:tcPr>
          <w:p>
            <w:pPr>
              <w:jc w:val="right"/>
              <w:spacing w:after="0"/>
              <w:rPr>
                <w:sz w:val="20"/>
                <w:szCs w:val="20"/>
                <w:color w:val="auto"/>
              </w:rPr>
            </w:pPr>
            <w:r>
              <w:rPr>
                <w:rFonts w:ascii="Arial" w:cs="Arial" w:eastAsia="Arial" w:hAnsi="Arial"/>
                <w:sz w:val="15"/>
                <w:szCs w:val="15"/>
                <w:color w:val="auto"/>
              </w:rPr>
              <w:t>&gt;100%</w:t>
            </w:r>
          </w:p>
        </w:tc>
      </w:tr>
      <w:tr>
        <w:trPr>
          <w:trHeight w:val="206"/>
        </w:trPr>
        <w:tc>
          <w:tcPr>
            <w:tcW w:w="3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1,963</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4,229</w:t>
            </w:r>
          </w:p>
        </w:tc>
        <w:tc>
          <w:tcPr>
            <w:tcW w:w="2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rPr>
              <w:t>(390)</w:t>
            </w:r>
          </w:p>
        </w:tc>
        <w:tc>
          <w:tcPr>
            <w:tcW w:w="11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(19.9)%</w:t>
            </w:r>
          </w:p>
        </w:tc>
        <w:tc>
          <w:tcPr>
            <w:tcW w:w="10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rPr>
              <w:t>(2,266)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(53.6)%</w:t>
            </w:r>
          </w:p>
        </w:tc>
      </w:tr>
      <w:tr>
        <w:trPr>
          <w:trHeight w:val="199"/>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 research and development expenses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314,421</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241,226</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155,696</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73,195</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30.3 % $</w:t>
            </w:r>
          </w:p>
        </w:tc>
        <w:tc>
          <w:tcPr>
            <w:tcW w:w="10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85,530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54.9 %</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40"/>
        <w:spacing w:after="0" w:line="290" w:lineRule="auto"/>
        <w:rPr>
          <w:sz w:val="20"/>
          <w:szCs w:val="20"/>
          <w:color w:val="auto"/>
        </w:rPr>
      </w:pPr>
      <w:r>
        <w:rPr>
          <w:rFonts w:ascii="Arial" w:cs="Arial" w:eastAsia="Arial" w:hAnsi="Arial"/>
          <w:sz w:val="17"/>
          <w:szCs w:val="17"/>
          <w:color w:val="1E1E1E"/>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172" w:lineRule="exact"/>
        <w:rPr>
          <w:sz w:val="20"/>
          <w:szCs w:val="20"/>
          <w:color w:val="auto"/>
        </w:rPr>
      </w:pPr>
    </w:p>
    <w:p>
      <w:pPr>
        <w:ind w:left="920" w:hanging="298"/>
        <w:spacing w:after="0"/>
        <w:tabs>
          <w:tab w:leader="none" w:pos="920" w:val="left"/>
        </w:tabs>
        <w:numPr>
          <w:ilvl w:val="0"/>
          <w:numId w:val="133"/>
        </w:numPr>
        <w:rPr>
          <w:rFonts w:ascii="Arial" w:cs="Arial" w:eastAsia="Arial" w:hAnsi="Arial"/>
          <w:sz w:val="17"/>
          <w:szCs w:val="17"/>
          <w:color w:val="1E1E1E"/>
        </w:rPr>
      </w:pPr>
      <w:r>
        <w:rPr>
          <w:rFonts w:ascii="Arial" w:cs="Arial" w:eastAsia="Arial" w:hAnsi="Arial"/>
          <w:sz w:val="17"/>
          <w:szCs w:val="17"/>
          <w:color w:val="1E1E1E"/>
        </w:rPr>
        <w:t>costs to develop and operate our platform;</w:t>
      </w:r>
    </w:p>
    <w:p>
      <w:pPr>
        <w:spacing w:after="0" w:line="26" w:lineRule="exact"/>
        <w:rPr>
          <w:rFonts w:ascii="Arial" w:cs="Arial" w:eastAsia="Arial" w:hAnsi="Arial"/>
          <w:sz w:val="17"/>
          <w:szCs w:val="17"/>
          <w:color w:val="1E1E1E"/>
        </w:rPr>
      </w:pPr>
    </w:p>
    <w:p>
      <w:pPr>
        <w:ind w:left="920" w:hanging="298"/>
        <w:spacing w:after="0"/>
        <w:tabs>
          <w:tab w:leader="none" w:pos="920" w:val="left"/>
        </w:tabs>
        <w:numPr>
          <w:ilvl w:val="0"/>
          <w:numId w:val="133"/>
        </w:numPr>
        <w:rPr>
          <w:rFonts w:ascii="Arial" w:cs="Arial" w:eastAsia="Arial" w:hAnsi="Arial"/>
          <w:sz w:val="17"/>
          <w:szCs w:val="17"/>
          <w:color w:val="1E1E1E"/>
        </w:rPr>
      </w:pPr>
      <w:r>
        <w:rPr>
          <w:rFonts w:ascii="Arial" w:cs="Arial" w:eastAsia="Arial" w:hAnsi="Arial"/>
          <w:sz w:val="17"/>
          <w:szCs w:val="17"/>
          <w:color w:val="1E1E1E"/>
        </w:rPr>
        <w:t>costs of discovery efforts which may lead to development candidates, including research materials and external research;</w:t>
      </w:r>
    </w:p>
    <w:p>
      <w:pPr>
        <w:spacing w:after="0" w:line="10" w:lineRule="exact"/>
        <w:rPr>
          <w:rFonts w:ascii="Arial" w:cs="Arial" w:eastAsia="Arial" w:hAnsi="Arial"/>
          <w:sz w:val="17"/>
          <w:szCs w:val="17"/>
          <w:color w:val="1E1E1E"/>
        </w:rPr>
      </w:pPr>
    </w:p>
    <w:p>
      <w:pPr>
        <w:ind w:left="920" w:hanging="298"/>
        <w:spacing w:after="0"/>
        <w:tabs>
          <w:tab w:leader="none" w:pos="920" w:val="left"/>
        </w:tabs>
        <w:numPr>
          <w:ilvl w:val="0"/>
          <w:numId w:val="133"/>
        </w:numPr>
        <w:rPr>
          <w:rFonts w:ascii="Arial" w:cs="Arial" w:eastAsia="Arial" w:hAnsi="Arial"/>
          <w:sz w:val="17"/>
          <w:szCs w:val="17"/>
          <w:color w:val="1E1E1E"/>
        </w:rPr>
      </w:pPr>
      <w:r>
        <w:rPr>
          <w:rFonts w:ascii="Arial" w:cs="Arial" w:eastAsia="Arial" w:hAnsi="Arial"/>
          <w:sz w:val="17"/>
          <w:szCs w:val="17"/>
          <w:color w:val="1E1E1E"/>
        </w:rPr>
        <w:t>costs for clinical development of our investigational products;</w:t>
      </w:r>
    </w:p>
    <w:p>
      <w:pPr>
        <w:spacing w:after="0" w:line="10" w:lineRule="exact"/>
        <w:rPr>
          <w:rFonts w:ascii="Arial" w:cs="Arial" w:eastAsia="Arial" w:hAnsi="Arial"/>
          <w:sz w:val="17"/>
          <w:szCs w:val="17"/>
          <w:color w:val="1E1E1E"/>
        </w:rPr>
      </w:pPr>
    </w:p>
    <w:p>
      <w:pPr>
        <w:ind w:left="940" w:right="440" w:hanging="318"/>
        <w:spacing w:after="0" w:line="253" w:lineRule="auto"/>
        <w:tabs>
          <w:tab w:leader="none" w:pos="936" w:val="left"/>
        </w:tabs>
        <w:numPr>
          <w:ilvl w:val="0"/>
          <w:numId w:val="133"/>
        </w:numPr>
        <w:rPr>
          <w:rFonts w:ascii="Arial" w:cs="Arial" w:eastAsia="Arial" w:hAnsi="Arial"/>
          <w:sz w:val="17"/>
          <w:szCs w:val="17"/>
          <w:color w:val="1E1E1E"/>
        </w:rPr>
      </w:pPr>
      <w:r>
        <w:rPr>
          <w:rFonts w:ascii="Arial" w:cs="Arial" w:eastAsia="Arial" w:hAnsi="Arial"/>
          <w:sz w:val="17"/>
          <w:szCs w:val="17"/>
          <w:color w:val="1E1E1E"/>
        </w:rPr>
        <w:t>costs for materials and supplies associated with the manufacture of active pharmaceutical ingredients, investigational products for preclinical testing and clinical trials;</w:t>
      </w:r>
    </w:p>
    <w:p>
      <w:pPr>
        <w:ind w:left="940" w:right="140" w:hanging="318"/>
        <w:spacing w:after="0" w:line="253" w:lineRule="auto"/>
        <w:tabs>
          <w:tab w:leader="none" w:pos="936" w:val="left"/>
        </w:tabs>
        <w:numPr>
          <w:ilvl w:val="0"/>
          <w:numId w:val="133"/>
        </w:numPr>
        <w:rPr>
          <w:rFonts w:ascii="Arial" w:cs="Arial" w:eastAsia="Arial" w:hAnsi="Arial"/>
          <w:sz w:val="17"/>
          <w:szCs w:val="17"/>
          <w:color w:val="1E1E1E"/>
        </w:rPr>
      </w:pPr>
      <w:r>
        <w:rPr>
          <w:rFonts w:ascii="Arial" w:cs="Arial" w:eastAsia="Arial" w:hAnsi="Arial"/>
          <w:sz w:val="17"/>
          <w:szCs w:val="17"/>
          <w:color w:val="1E1E1E"/>
        </w:rPr>
        <w:t>personnel-related expenses, including salaries, benefits, bonuses and stock-based compensation for employees engaged in research and development functions;</w:t>
      </w:r>
    </w:p>
    <w:p>
      <w:pPr>
        <w:ind w:left="920" w:hanging="298"/>
        <w:spacing w:after="0"/>
        <w:tabs>
          <w:tab w:leader="none" w:pos="920" w:val="left"/>
        </w:tabs>
        <w:numPr>
          <w:ilvl w:val="0"/>
          <w:numId w:val="133"/>
        </w:numPr>
        <w:rPr>
          <w:rFonts w:ascii="Arial" w:cs="Arial" w:eastAsia="Arial" w:hAnsi="Arial"/>
          <w:sz w:val="17"/>
          <w:szCs w:val="17"/>
          <w:color w:val="1E1E1E"/>
        </w:rPr>
      </w:pPr>
      <w:r>
        <w:rPr>
          <w:rFonts w:ascii="Arial" w:cs="Arial" w:eastAsia="Arial" w:hAnsi="Arial"/>
          <w:sz w:val="17"/>
          <w:szCs w:val="17"/>
          <w:color w:val="1E1E1E"/>
        </w:rPr>
        <w:t>costs associated with operating our digital infrastructure; and</w:t>
      </w:r>
    </w:p>
    <w:p>
      <w:pPr>
        <w:spacing w:after="0" w:line="10" w:lineRule="exact"/>
        <w:rPr>
          <w:rFonts w:ascii="Arial" w:cs="Arial" w:eastAsia="Arial" w:hAnsi="Arial"/>
          <w:sz w:val="17"/>
          <w:szCs w:val="17"/>
          <w:color w:val="1E1E1E"/>
        </w:rPr>
      </w:pPr>
    </w:p>
    <w:p>
      <w:pPr>
        <w:ind w:left="940" w:right="900" w:hanging="318"/>
        <w:spacing w:after="0" w:line="270" w:lineRule="auto"/>
        <w:tabs>
          <w:tab w:leader="none" w:pos="936" w:val="left"/>
        </w:tabs>
        <w:numPr>
          <w:ilvl w:val="0"/>
          <w:numId w:val="133"/>
        </w:numPr>
        <w:rPr>
          <w:rFonts w:ascii="Arial" w:cs="Arial" w:eastAsia="Arial" w:hAnsi="Arial"/>
          <w:sz w:val="17"/>
          <w:szCs w:val="17"/>
          <w:color w:val="1E1E1E"/>
        </w:rPr>
      </w:pPr>
      <w:r>
        <w:rPr>
          <w:rFonts w:ascii="Arial" w:cs="Arial" w:eastAsia="Arial" w:hAnsi="Arial"/>
          <w:sz w:val="17"/>
          <w:szCs w:val="17"/>
          <w:color w:val="1E1E1E"/>
        </w:rPr>
        <w:t>other direct and allocated expenses incurred as a result of research and development activities, including those for facilities, depreciation, amortization and insurance.</w:t>
      </w:r>
    </w:p>
    <w:p>
      <w:pPr>
        <w:spacing w:after="0" w:line="18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1E1E1E"/>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45"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1E1E1E"/>
        </w:rPr>
        <w:t>Significant components of research and development expense include the following allocated by development phase: Platform, which refers primarily to expenses related to screening of product candidates through hit identification; Discovery, which refers primarily to expenses related to hit identification through development of candidates; and Clinical, which refers primarily to expenses related to development of candidates and beyond.</w:t>
      </w: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17"/>
          <w:szCs w:val="17"/>
          <w:color w:val="1E1E1E"/>
        </w:rPr>
        <w:t xml:space="preserve">For the year ended December 31, 2024, the increase in research and development expenses compared to the prior year was </w:t>
      </w:r>
      <w:r>
        <w:rPr>
          <w:rFonts w:ascii="Arial" w:cs="Arial" w:eastAsia="Arial" w:hAnsi="Arial"/>
          <w:sz w:val="17"/>
          <w:szCs w:val="17"/>
          <w:color w:val="000000"/>
        </w:rPr>
        <w:t>driven by our platform</w:t>
      </w:r>
      <w:r>
        <w:rPr>
          <w:rFonts w:ascii="Arial" w:cs="Arial" w:eastAsia="Arial" w:hAnsi="Arial"/>
          <w:sz w:val="17"/>
          <w:szCs w:val="17"/>
          <w:color w:val="1E1E1E"/>
        </w:rPr>
        <w:t xml:space="preserve"> </w:t>
      </w:r>
      <w:r>
        <w:rPr>
          <w:rFonts w:ascii="Arial" w:cs="Arial" w:eastAsia="Arial" w:hAnsi="Arial"/>
          <w:sz w:val="17"/>
          <w:szCs w:val="17"/>
          <w:color w:val="000000"/>
        </w:rPr>
        <w:t>and personnel costs as we continue to expand and upgrade our platform, including our chemical technology, machine learning and transcriptomics platform.</w:t>
      </w:r>
    </w:p>
    <w:p>
      <w:pPr>
        <w:spacing w:after="0" w:line="24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1E1E1E"/>
        </w:rPr>
        <w:t>For the year ended December 31, 2023, the increase in research and development expenses compared to the prior year was primarily due to increased platform costs as we have expanded and upgraded our capabilities in platform including our chemical technology, machine learning and transcriptomics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General and Administrative Expense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1E1E1E"/>
        </w:rPr>
        <w:t>The following table summarizes our general and administrative expense: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7"/>
              </w:rPr>
              <w:t>Years ended December 31,</w:t>
            </w:r>
          </w:p>
        </w:tc>
        <w:tc>
          <w:tcPr>
            <w:tcW w:w="200" w:type="dxa"/>
            <w:vAlign w:val="bottom"/>
          </w:tcPr>
          <w:p>
            <w:pPr>
              <w:spacing w:after="0"/>
              <w:rPr>
                <w:sz w:val="17"/>
                <w:szCs w:val="17"/>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2024 compared to 2023</w:t>
            </w:r>
          </w:p>
        </w:tc>
        <w:tc>
          <w:tcPr>
            <w:tcW w:w="1940" w:type="dxa"/>
            <w:vAlign w:val="bottom"/>
            <w:gridSpan w:val="2"/>
          </w:tcPr>
          <w:p>
            <w:pPr>
              <w:ind w:left="100"/>
              <w:spacing w:after="0"/>
              <w:rPr>
                <w:sz w:val="20"/>
                <w:szCs w:val="20"/>
                <w:color w:val="auto"/>
              </w:rPr>
            </w:pPr>
            <w:r>
              <w:rPr>
                <w:rFonts w:ascii="Arial" w:cs="Arial" w:eastAsia="Arial" w:hAnsi="Arial"/>
                <w:sz w:val="14"/>
                <w:szCs w:val="14"/>
                <w:b w:val="1"/>
                <w:bCs w:val="1"/>
                <w:color w:val="auto"/>
              </w:rPr>
              <w:t>2023 compared to 2022</w:t>
            </w:r>
          </w:p>
        </w:tc>
      </w:tr>
      <w:tr>
        <w:trPr>
          <w:trHeight w:val="21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w:t>
            </w:r>
          </w:p>
        </w:tc>
      </w:tr>
      <w:tr>
        <w:trPr>
          <w:trHeight w:val="224"/>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Total general and administrative expenses</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178,184</w:t>
            </w:r>
          </w:p>
        </w:tc>
        <w:tc>
          <w:tcPr>
            <w:tcW w:w="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110,822</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81,599</w:t>
            </w:r>
          </w:p>
        </w:tc>
        <w:tc>
          <w:tcPr>
            <w:tcW w:w="2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rPr>
              <w:t>67,362</w:t>
            </w:r>
          </w:p>
        </w:tc>
        <w:tc>
          <w:tcPr>
            <w:tcW w:w="11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60.8 % $</w:t>
            </w:r>
          </w:p>
        </w:tc>
        <w:tc>
          <w:tcPr>
            <w:tcW w:w="10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29,223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35.8 %</w:t>
            </w:r>
          </w:p>
        </w:tc>
      </w:tr>
      <w:tr>
        <w:trPr>
          <w:trHeight w:val="20"/>
        </w:trPr>
        <w:tc>
          <w:tcPr>
            <w:tcW w:w="3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1E1E1E"/>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18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1E1E1E"/>
        </w:rPr>
        <w:t xml:space="preserve">For the year ended December 31, 2024, the increase in general and administrative expense compared to the prior year was primarily driven by increases in salaries and wages of $ 21.1 million, transaction costs of </w:t>
      </w:r>
      <w:r>
        <w:rPr>
          <w:rFonts w:ascii="Arial" w:cs="Arial" w:eastAsia="Arial" w:hAnsi="Arial"/>
          <w:sz w:val="17"/>
          <w:szCs w:val="17"/>
          <w:color w:val="000000"/>
        </w:rPr>
        <w:t>$20.5 million and the inclusion of</w:t>
      </w:r>
      <w:r>
        <w:rPr>
          <w:rFonts w:ascii="Arial" w:cs="Arial" w:eastAsia="Arial" w:hAnsi="Arial"/>
          <w:sz w:val="17"/>
          <w:szCs w:val="17"/>
          <w:color w:val="1E1E1E"/>
        </w:rPr>
        <w:t xml:space="preserve"> Exscientia’s results of </w:t>
      </w:r>
      <w:r>
        <w:rPr>
          <w:rFonts w:ascii="Arial" w:cs="Arial" w:eastAsia="Arial" w:hAnsi="Arial"/>
          <w:sz w:val="17"/>
          <w:szCs w:val="17"/>
          <w:color w:val="000000"/>
        </w:rPr>
        <w:t>$11.3 million.</w:t>
      </w:r>
      <w:r>
        <w:rPr>
          <w:rFonts w:ascii="Arial" w:cs="Arial" w:eastAsia="Arial" w:hAnsi="Arial"/>
          <w:sz w:val="17"/>
          <w:szCs w:val="17"/>
          <w:color w:val="1E1E1E"/>
        </w:rPr>
        <w:t xml:space="preserve"> We also had increases in software and lease expense.</w:t>
      </w:r>
    </w:p>
    <w:p>
      <w:pPr>
        <w:spacing w:after="0" w:line="189"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1E1E1E"/>
        </w:rPr>
        <w:t>For the year ended December 31, 2023, the increase in general and administrative expense compared to the prior year was primarily driven by an increase in salaries and wages of $12.4 million and increases in legal, software and depreciation expense.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Other Income, Net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1E1E1E"/>
        </w:rPr>
        <w:t>The following table summarizes our components of other income, net: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244"/>
              <w:spacing w:after="0"/>
              <w:rPr>
                <w:sz w:val="20"/>
                <w:szCs w:val="20"/>
                <w:color w:val="auto"/>
              </w:rPr>
            </w:pPr>
            <w:r>
              <w:rPr>
                <w:rFonts w:ascii="Arial" w:cs="Arial" w:eastAsia="Arial" w:hAnsi="Arial"/>
                <w:sz w:val="14"/>
                <w:szCs w:val="14"/>
                <w:b w:val="1"/>
                <w:bCs w:val="1"/>
                <w:color w:val="auto"/>
              </w:rPr>
              <w:t>2024 compared to 2023</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244"/>
              <w:spacing w:after="0"/>
              <w:rPr>
                <w:sz w:val="20"/>
                <w:szCs w:val="20"/>
                <w:color w:val="auto"/>
              </w:rPr>
            </w:pPr>
            <w:r>
              <w:rPr>
                <w:rFonts w:ascii="Arial" w:cs="Arial" w:eastAsia="Arial" w:hAnsi="Arial"/>
                <w:sz w:val="14"/>
                <w:szCs w:val="14"/>
                <w:b w:val="1"/>
                <w:bCs w:val="1"/>
                <w:color w:val="auto"/>
              </w:rPr>
              <w:t>2023 compared to 2022</w:t>
            </w:r>
          </w:p>
        </w:tc>
      </w:tr>
      <w:tr>
        <w:trPr>
          <w:trHeight w:val="218"/>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w:t>
            </w:r>
          </w:p>
        </w:tc>
      </w:tr>
      <w:tr>
        <w:trPr>
          <w:trHeight w:val="200"/>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15,758</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19,116</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(3,358)</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12,862</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&gt;100%</w:t>
            </w:r>
          </w:p>
        </w:tc>
      </w:tr>
      <w:tr>
        <w:trPr>
          <w:trHeight w:val="205"/>
        </w:trPr>
        <w:tc>
          <w:tcPr>
            <w:tcW w:w="30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(1,572)</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(97)</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auto"/>
              </w:rPr>
              <w:t>(1,475)</w:t>
            </w:r>
          </w:p>
        </w:tc>
        <w:tc>
          <w:tcPr>
            <w:tcW w:w="880" w:type="dxa"/>
            <w:vAlign w:val="bottom"/>
          </w:tcPr>
          <w:p>
            <w:pPr>
              <w:jc w:val="right"/>
              <w:spacing w:after="0"/>
              <w:rPr>
                <w:sz w:val="20"/>
                <w:szCs w:val="20"/>
                <w:color w:val="auto"/>
              </w:rPr>
            </w:pPr>
            <w:r>
              <w:rPr>
                <w:rFonts w:ascii="Arial" w:cs="Arial" w:eastAsia="Arial" w:hAnsi="Arial"/>
                <w:sz w:val="15"/>
                <w:szCs w:val="15"/>
                <w:color w:val="auto"/>
              </w:rPr>
              <w:t>&gt;100%</w:t>
            </w:r>
          </w:p>
        </w:tc>
        <w:tc>
          <w:tcPr>
            <w:tcW w:w="220" w:type="dxa"/>
            <w:vAlign w:val="bottom"/>
          </w:tcPr>
          <w:p>
            <w:pPr>
              <w:spacing w:after="0"/>
              <w:rPr>
                <w:sz w:val="17"/>
                <w:szCs w:val="17"/>
                <w:color w:val="auto"/>
              </w:rPr>
            </w:pPr>
          </w:p>
        </w:tc>
        <w:tc>
          <w:tcPr>
            <w:tcW w:w="1060" w:type="dxa"/>
            <w:vAlign w:val="bottom"/>
          </w:tcPr>
          <w:p>
            <w:pPr>
              <w:jc w:val="right"/>
              <w:ind w:right="186"/>
              <w:spacing w:after="0"/>
              <w:rPr>
                <w:sz w:val="20"/>
                <w:szCs w:val="20"/>
                <w:color w:val="auto"/>
              </w:rPr>
            </w:pPr>
            <w:r>
              <w:rPr>
                <w:rFonts w:ascii="Arial" w:cs="Arial" w:eastAsia="Arial" w:hAnsi="Arial"/>
                <w:sz w:val="15"/>
                <w:szCs w:val="15"/>
                <w:color w:val="auto"/>
              </w:rPr>
              <w:t>(42)</w:t>
            </w:r>
          </w:p>
        </w:tc>
        <w:tc>
          <w:tcPr>
            <w:tcW w:w="900" w:type="dxa"/>
            <w:vAlign w:val="bottom"/>
          </w:tcPr>
          <w:p>
            <w:pPr>
              <w:jc w:val="right"/>
              <w:spacing w:after="0"/>
              <w:rPr>
                <w:sz w:val="20"/>
                <w:szCs w:val="20"/>
                <w:color w:val="auto"/>
              </w:rPr>
            </w:pPr>
            <w:r>
              <w:rPr>
                <w:rFonts w:ascii="Arial" w:cs="Arial" w:eastAsia="Arial" w:hAnsi="Arial"/>
                <w:sz w:val="15"/>
                <w:szCs w:val="15"/>
                <w:color w:val="auto"/>
              </w:rPr>
              <w:t>78.4 %</w:t>
            </w:r>
          </w:p>
        </w:tc>
      </w:tr>
      <w:tr>
        <w:trPr>
          <w:trHeight w:val="206"/>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(1,087)</w:t>
            </w:r>
          </w:p>
        </w:tc>
        <w:tc>
          <w:tcPr>
            <w:tcW w:w="3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2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1,117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rPr>
              <w:t>(1,139)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9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 income, net</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14,216</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17,932</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6,251</w:t>
            </w: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(3,716)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11,681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&gt;100%</w:t>
            </w: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229"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1E1E1E"/>
        </w:rPr>
        <w:t xml:space="preserve">For the year ended December 31, 2024, the </w:t>
      </w:r>
      <w:r>
        <w:rPr>
          <w:rFonts w:ascii="Arial" w:cs="Arial" w:eastAsia="Arial" w:hAnsi="Arial"/>
          <w:sz w:val="17"/>
          <w:szCs w:val="17"/>
          <w:color w:val="000000"/>
        </w:rPr>
        <w:t>decrease in interest income compared to the prior year related to a decrease in earnings on cash and</w:t>
      </w:r>
      <w:r>
        <w:rPr>
          <w:rFonts w:ascii="Arial" w:cs="Arial" w:eastAsia="Arial" w:hAnsi="Arial"/>
          <w:sz w:val="17"/>
          <w:szCs w:val="17"/>
          <w:color w:val="1E1E1E"/>
        </w:rPr>
        <w:t xml:space="preserve"> </w:t>
      </w:r>
      <w:r>
        <w:rPr>
          <w:rFonts w:ascii="Arial" w:cs="Arial" w:eastAsia="Arial" w:hAnsi="Arial"/>
          <w:sz w:val="17"/>
          <w:szCs w:val="17"/>
          <w:color w:val="000000"/>
        </w:rPr>
        <w:t>cash equivalents in money market funds.</w:t>
      </w:r>
    </w:p>
    <w:p>
      <w:pPr>
        <w:spacing w:after="0" w:line="172"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1E1E1E"/>
        </w:rPr>
        <w:t xml:space="preserve">For the year ended December 31, 2023, the increase in other income </w:t>
      </w:r>
      <w:r>
        <w:rPr>
          <w:rFonts w:ascii="Arial" w:cs="Arial" w:eastAsia="Arial" w:hAnsi="Arial"/>
          <w:sz w:val="17"/>
          <w:szCs w:val="17"/>
          <w:color w:val="000000"/>
        </w:rPr>
        <w:t>compared</w:t>
      </w:r>
      <w:r>
        <w:rPr>
          <w:rFonts w:ascii="Arial" w:cs="Arial" w:eastAsia="Arial" w:hAnsi="Arial"/>
          <w:sz w:val="17"/>
          <w:szCs w:val="17"/>
          <w:color w:val="1E1E1E"/>
        </w:rPr>
        <w:t xml:space="preserve"> to the prior year was driven by an increase in interest income related to earnings on cash and cash equivalents in money market funds</w:t>
      </w:r>
      <w:r>
        <w:rPr>
          <w:rFonts w:ascii="Arial" w:cs="Arial" w:eastAsia="Arial" w:hAnsi="Arial"/>
          <w:sz w:val="17"/>
          <w:szCs w:val="17"/>
          <w:color w:val="000000"/>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Liquidity and Capital Resources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Sources of Liquidity</w:t>
      </w:r>
    </w:p>
    <w:p>
      <w:pPr>
        <w:spacing w:after="0" w:line="243"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1E1E1E"/>
        </w:rPr>
        <w:t>We have not yet commercialized any products and do not expect to generate revenue from the sales of any product candidates for at least several years. Cash and cash equivalents totaled $594.3 million and $391.6 million as of December 31, 2024 and 2023, respectively.</w:t>
      </w:r>
    </w:p>
    <w:p>
      <w:pPr>
        <w:spacing w:after="0" w:line="17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1E1E1E"/>
        </w:rPr>
        <w:t>We have incurred operating losses and experienced negative operating cash flows and we anticipate that the Company will continue to incur losses for at least the foreseeable future. Our net loss was $463.7 million, $328.1 million and $239.5 million during the years ended December 31, 2024, 2023 and 2022, respectively. As of December 31, 2024, we had an accumulated deficit of $1.4 billion.</w:t>
      </w:r>
    </w:p>
    <w:p>
      <w:pPr>
        <w:spacing w:after="0" w:line="189"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1E1E1E"/>
        </w:rPr>
        <w:t>We have financed our operations through the private placements of preferred stock and Class A common stock issuances. As of December 31, 2024, we have received net proceeds of $448.9 million from the sale of preferred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1E1E1E"/>
        </w:rPr>
        <w:t>stock and $1.0 billion from Class A common stock issuances. See Note 8, “Common Stock” to the Consolidated Financial Statements for additional details on Class A common stock issuances. Additionally, as of December 31, 2024, we have received proceeds of $217.0 million from our strategic partnerships. See Note 9, “Collaborative Development Contracts” to the Consolidated Financial Statements for additional details on our partnerships.</w:t>
      </w:r>
    </w:p>
    <w:p>
      <w:pPr>
        <w:spacing w:after="0" w:line="200" w:lineRule="exact"/>
        <w:rPr>
          <w:sz w:val="20"/>
          <w:szCs w:val="20"/>
          <w:color w:val="auto"/>
        </w:rPr>
      </w:pPr>
    </w:p>
    <w:p>
      <w:pPr>
        <w:spacing w:after="0" w:line="202" w:lineRule="exact"/>
        <w:rPr>
          <w:sz w:val="20"/>
          <w:szCs w:val="20"/>
          <w:color w:val="auto"/>
        </w:rPr>
      </w:pPr>
    </w:p>
    <w:p>
      <w:pPr>
        <w:ind w:right="1080"/>
        <w:spacing w:after="0" w:line="290" w:lineRule="auto"/>
        <w:rPr>
          <w:sz w:val="20"/>
          <w:szCs w:val="20"/>
          <w:color w:val="auto"/>
        </w:rPr>
      </w:pPr>
      <w:r>
        <w:rPr>
          <w:rFonts w:ascii="Arial" w:cs="Arial" w:eastAsia="Arial" w:hAnsi="Arial"/>
          <w:sz w:val="17"/>
          <w:szCs w:val="17"/>
          <w:color w:val="1E1E1E"/>
        </w:rPr>
        <w:t xml:space="preserve">We noted the change in Exscientia plc’s (Exscientia) cash, cash equivalents and short term bank deposits from </w:t>
      </w:r>
      <w:r>
        <w:rPr>
          <w:rFonts w:ascii="Arial" w:cs="Arial" w:eastAsia="Arial" w:hAnsi="Arial"/>
          <w:sz w:val="17"/>
          <w:szCs w:val="17"/>
          <w:color w:val="000000"/>
        </w:rPr>
        <w:t>December 31, 2023 to</w:t>
      </w:r>
      <w:r>
        <w:rPr>
          <w:rFonts w:ascii="Arial" w:cs="Arial" w:eastAsia="Arial" w:hAnsi="Arial"/>
          <w:sz w:val="17"/>
          <w:szCs w:val="17"/>
          <w:color w:val="1E1E1E"/>
        </w:rPr>
        <w:t xml:space="preserve"> </w:t>
      </w:r>
      <w:r>
        <w:rPr>
          <w:rFonts w:ascii="Arial" w:cs="Arial" w:eastAsia="Arial" w:hAnsi="Arial"/>
          <w:sz w:val="17"/>
          <w:szCs w:val="17"/>
          <w:color w:val="000000"/>
        </w:rPr>
        <w:t>November 20, 2024, the date of the close of the acquisition, was $184 million. There were no material financings during this period.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40" w:type="dxa"/>
            <w:vAlign w:val="bottom"/>
            <w:tcBorders>
              <w:bottom w:val="single" w:sz="8" w:color="auto"/>
            </w:tcBorders>
            <w:gridSpan w:val="2"/>
          </w:tcPr>
          <w:p>
            <w:pPr>
              <w:jc w:val="center"/>
              <w:ind w:left="1554"/>
              <w:spacing w:after="0"/>
              <w:rPr>
                <w:sz w:val="20"/>
                <w:szCs w:val="20"/>
                <w:color w:val="auto"/>
              </w:rPr>
            </w:pPr>
            <w:r>
              <w:rPr>
                <w:rFonts w:ascii="Arial" w:cs="Arial" w:eastAsia="Arial" w:hAnsi="Arial"/>
                <w:sz w:val="17"/>
                <w:szCs w:val="17"/>
                <w:b w:val="1"/>
                <w:bCs w:val="1"/>
                <w:color w:val="auto"/>
              </w:rPr>
              <w:t>November 20, 2024</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December 31, 2023</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Change</w:t>
            </w: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040" w:type="dxa"/>
            <w:vAlign w:val="bottom"/>
            <w:shd w:val="clear" w:color="auto" w:fill="CCEEFF"/>
          </w:tcPr>
          <w:p>
            <w:pPr>
              <w:jc w:val="right"/>
              <w:ind w:right="12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277,104</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259,463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Short term bank deposits</w:t>
            </w:r>
          </w:p>
        </w:tc>
        <w:tc>
          <w:tcPr>
            <w:tcW w:w="30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103,586</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 GBP</w:t>
            </w:r>
          </w:p>
        </w:tc>
        <w:tc>
          <w:tcPr>
            <w:tcW w:w="3040" w:type="dxa"/>
            <w:vAlign w:val="bottom"/>
            <w:shd w:val="clear" w:color="auto" w:fill="CCEEFF"/>
          </w:tcPr>
          <w:p>
            <w:pPr>
              <w:jc w:val="center"/>
              <w:ind w:left="2374"/>
              <w:spacing w:after="0"/>
              <w:rPr>
                <w:sz w:val="20"/>
                <w:szCs w:val="20"/>
                <w:color w:val="auto"/>
              </w:rPr>
            </w:pPr>
            <w:r>
              <w:rPr>
                <w:rFonts w:ascii="Arial" w:cs="Arial" w:eastAsia="Arial" w:hAnsi="Arial"/>
                <w:sz w:val="17"/>
                <w:szCs w:val="17"/>
                <w:color w:val="auto"/>
              </w:rPr>
              <w:t>N/A</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363,049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GBP to USD rate</w:t>
            </w:r>
          </w:p>
        </w:tc>
        <w:tc>
          <w:tcPr>
            <w:tcW w:w="3040" w:type="dxa"/>
            <w:vAlign w:val="bottom"/>
            <w:tcBorders>
              <w:bottom w:val="single" w:sz="8" w:color="auto"/>
            </w:tcBorders>
          </w:tcPr>
          <w:p>
            <w:pPr>
              <w:jc w:val="center"/>
              <w:ind w:left="2374"/>
              <w:spacing w:after="0"/>
              <w:rPr>
                <w:sz w:val="20"/>
                <w:szCs w:val="20"/>
                <w:color w:val="auto"/>
              </w:rPr>
            </w:pPr>
            <w:r>
              <w:rPr>
                <w:rFonts w:ascii="Arial" w:cs="Arial" w:eastAsia="Arial" w:hAnsi="Arial"/>
                <w:sz w:val="17"/>
                <w:szCs w:val="17"/>
                <w:color w:val="auto"/>
              </w:rPr>
              <w:t>N/A</w:t>
            </w: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37"/>
        </w:trPr>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 USD</w:t>
            </w:r>
          </w:p>
        </w:tc>
        <w:tc>
          <w:tcPr>
            <w:tcW w:w="3040" w:type="dxa"/>
            <w:vAlign w:val="bottom"/>
            <w:tcBorders>
              <w:bottom w:val="single" w:sz="8" w:color="auto"/>
            </w:tcBorders>
            <w:shd w:val="clear" w:color="auto" w:fill="CCEEFF"/>
          </w:tcPr>
          <w:p>
            <w:pPr>
              <w:jc w:val="right"/>
              <w:ind w:right="12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277,104</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461,072</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(183,968)</w:t>
            </w:r>
          </w:p>
        </w:tc>
      </w:tr>
      <w:tr>
        <w:trPr>
          <w:trHeight w:val="20"/>
        </w:trPr>
        <w:tc>
          <w:tcPr>
            <w:tcW w:w="374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December 31, 2023 amounts from the above table are from Exscientia’s 20-F Annual Filing. We noted that Exscientia reported their results using International Financial Reporting Standards (IFRS) but that there are no IFRS to U.S. GAAP differences that would impact the measurement of Exscientia’s December 31, 2023 cash and cash equivalents and short term bank deposits amounts. We believe this information is useful to investors as it helps provide additional information on Exscientia’s liquidity prior and up-to the acquisition. We believe that it may provide a more complete understanding of the Company’s liquidity and can facilitate analysis of the Company’s results.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Cash Flows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1E1E1E"/>
        </w:rPr>
        <w:t>The following table is a summary of the 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auto"/>
            </w:tcBorders>
          </w:tcPr>
          <w:p>
            <w:pPr>
              <w:spacing w:after="0"/>
              <w:rPr>
                <w:sz w:val="17"/>
                <w:szCs w:val="17"/>
                <w:color w:val="auto"/>
              </w:rPr>
            </w:pPr>
          </w:p>
        </w:tc>
      </w:tr>
      <w:tr>
        <w:trPr>
          <w:trHeight w:val="218"/>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r>
      <w:tr>
        <w:trPr>
          <w:trHeight w:val="21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used in operating activities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center"/>
              <w:ind w:left="241"/>
              <w:spacing w:after="0"/>
              <w:rPr>
                <w:sz w:val="20"/>
                <w:szCs w:val="20"/>
                <w:color w:val="auto"/>
              </w:rPr>
            </w:pPr>
            <w:r>
              <w:rPr>
                <w:rFonts w:ascii="Arial" w:cs="Arial" w:eastAsia="Arial" w:hAnsi="Arial"/>
                <w:sz w:val="17"/>
                <w:szCs w:val="17"/>
                <w:color w:val="auto"/>
              </w:rPr>
              <w:t>(359,174)</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(287,780)</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(83,524)</w:t>
            </w:r>
          </w:p>
        </w:tc>
      </w:tr>
      <w:tr>
        <w:trPr>
          <w:trHeight w:val="219"/>
        </w:trPr>
        <w:tc>
          <w:tcPr>
            <w:tcW w:w="6920" w:type="dxa"/>
            <w:vAlign w:val="bottom"/>
          </w:tcPr>
          <w:p>
            <w:pPr>
              <w:ind w:left="20"/>
              <w:spacing w:after="0"/>
              <w:rPr>
                <w:sz w:val="20"/>
                <w:szCs w:val="20"/>
                <w:color w:val="auto"/>
              </w:rPr>
            </w:pPr>
            <w:r>
              <w:rPr>
                <w:rFonts w:ascii="Arial" w:cs="Arial" w:eastAsia="Arial" w:hAnsi="Arial"/>
                <w:sz w:val="17"/>
                <w:szCs w:val="17"/>
                <w:color w:val="auto"/>
              </w:rPr>
              <w:t>Cash provided by (used in) investing activities</w:t>
            </w:r>
          </w:p>
        </w:tc>
        <w:tc>
          <w:tcPr>
            <w:tcW w:w="340" w:type="dxa"/>
            <w:vAlign w:val="bottom"/>
          </w:tcPr>
          <w:p>
            <w:pPr>
              <w:spacing w:after="0"/>
              <w:rPr>
                <w:sz w:val="19"/>
                <w:szCs w:val="19"/>
                <w:color w:val="auto"/>
              </w:rPr>
            </w:pPr>
          </w:p>
        </w:tc>
        <w:tc>
          <w:tcPr>
            <w:tcW w:w="1100" w:type="dxa"/>
            <w:vAlign w:val="bottom"/>
          </w:tcPr>
          <w:p>
            <w:pPr>
              <w:jc w:val="center"/>
              <w:ind w:left="241"/>
              <w:spacing w:after="0"/>
              <w:rPr>
                <w:sz w:val="20"/>
                <w:szCs w:val="20"/>
                <w:color w:val="auto"/>
              </w:rPr>
            </w:pPr>
            <w:r>
              <w:rPr>
                <w:rFonts w:ascii="Arial" w:cs="Arial" w:eastAsia="Arial" w:hAnsi="Arial"/>
                <w:sz w:val="17"/>
                <w:szCs w:val="17"/>
                <w:color w:val="auto"/>
              </w:rPr>
              <w:t>260,059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(10,228)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193,249</w:t>
            </w:r>
          </w:p>
        </w:tc>
      </w:tr>
      <w:tr>
        <w:trPr>
          <w:trHeight w:val="219"/>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241"/>
              <w:spacing w:after="0"/>
              <w:rPr>
                <w:sz w:val="20"/>
                <w:szCs w:val="20"/>
                <w:color w:val="auto"/>
              </w:rPr>
            </w:pPr>
            <w:r>
              <w:rPr>
                <w:rFonts w:ascii="Arial" w:cs="Arial" w:eastAsia="Arial" w:hAnsi="Arial"/>
                <w:sz w:val="17"/>
                <w:szCs w:val="17"/>
                <w:color w:val="auto"/>
              </w:rPr>
              <w:t>304,120</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140,133</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154,345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1E1E1E"/>
        </w:rPr>
        <w:t>Operating Activities</w:t>
      </w:r>
    </w:p>
    <w:p>
      <w:pPr>
        <w:spacing w:after="0" w:line="25"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1E1E1E"/>
        </w:rPr>
        <w:t xml:space="preserve">Cash used by operating activities increased during the year ended December 31, 2024 </w:t>
      </w:r>
      <w:r>
        <w:rPr>
          <w:rFonts w:ascii="Arial" w:cs="Arial" w:eastAsia="Arial" w:hAnsi="Arial"/>
          <w:sz w:val="17"/>
          <w:szCs w:val="17"/>
          <w:color w:val="000000"/>
        </w:rPr>
        <w:t>as a result of higher costs incurred for research and</w:t>
      </w:r>
      <w:r>
        <w:rPr>
          <w:rFonts w:ascii="Arial" w:cs="Arial" w:eastAsia="Arial" w:hAnsi="Arial"/>
          <w:sz w:val="17"/>
          <w:szCs w:val="17"/>
          <w:color w:val="1E1E1E"/>
        </w:rPr>
        <w:t xml:space="preserve"> </w:t>
      </w:r>
      <w:r>
        <w:rPr>
          <w:rFonts w:ascii="Arial" w:cs="Arial" w:eastAsia="Arial" w:hAnsi="Arial"/>
          <w:sz w:val="17"/>
          <w:szCs w:val="17"/>
          <w:color w:val="000000"/>
        </w:rPr>
        <w:t xml:space="preserve">development and general and administrative due to the Company’s expansion and upgraded capabilities. Additionally, cash used increased as a result of our acquisition of Exscientia. </w:t>
      </w:r>
      <w:r>
        <w:rPr>
          <w:rFonts w:ascii="Arial" w:cs="Arial" w:eastAsia="Arial" w:hAnsi="Arial"/>
          <w:sz w:val="17"/>
          <w:szCs w:val="17"/>
          <w:color w:val="1E1E1E"/>
        </w:rPr>
        <w:t>See Note 4, “Acquisitions” to the Consolidated Financial Statements for additional details</w:t>
      </w:r>
      <w:r>
        <w:rPr>
          <w:rFonts w:ascii="Arial" w:cs="Arial" w:eastAsia="Arial" w:hAnsi="Arial"/>
          <w:sz w:val="17"/>
          <w:szCs w:val="17"/>
          <w:color w:val="008080"/>
        </w:rPr>
        <w:t>.</w:t>
      </w:r>
    </w:p>
    <w:p>
      <w:pPr>
        <w:spacing w:after="0" w:line="197"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1E1E1E"/>
        </w:rPr>
        <w:t xml:space="preserve">Cash used by operating activities </w:t>
      </w:r>
      <w:r>
        <w:rPr>
          <w:rFonts w:ascii="Arial" w:cs="Arial" w:eastAsia="Arial" w:hAnsi="Arial"/>
          <w:sz w:val="17"/>
          <w:szCs w:val="17"/>
          <w:color w:val="000000"/>
        </w:rPr>
        <w:t>increased</w:t>
      </w:r>
      <w:r>
        <w:rPr>
          <w:rFonts w:ascii="Arial" w:cs="Arial" w:eastAsia="Arial" w:hAnsi="Arial"/>
          <w:sz w:val="17"/>
          <w:szCs w:val="17"/>
          <w:color w:val="1E1E1E"/>
        </w:rPr>
        <w:t xml:space="preserve"> during the year ended December 31, 2023 as a result of an upfront payment of $150.0 million from our strategic partnership with Roche received during the </w:t>
      </w:r>
      <w:r>
        <w:rPr>
          <w:rFonts w:ascii="Arial" w:cs="Arial" w:eastAsia="Arial" w:hAnsi="Arial"/>
          <w:sz w:val="17"/>
          <w:szCs w:val="17"/>
          <w:color w:val="000000"/>
        </w:rPr>
        <w:t>year ended December 31, 2022.</w:t>
      </w:r>
    </w:p>
    <w:p>
      <w:pPr>
        <w:spacing w:after="0" w:line="172"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1E1E1E"/>
        </w:rPr>
        <w:t xml:space="preserve">Cash used by operating activities during the </w:t>
      </w:r>
      <w:r>
        <w:rPr>
          <w:rFonts w:ascii="Arial" w:cs="Arial" w:eastAsia="Arial" w:hAnsi="Arial"/>
          <w:sz w:val="17"/>
          <w:szCs w:val="17"/>
          <w:color w:val="000000"/>
        </w:rPr>
        <w:t>year ended December 31, 2022</w:t>
      </w:r>
      <w:r>
        <w:rPr>
          <w:rFonts w:ascii="Arial" w:cs="Arial" w:eastAsia="Arial" w:hAnsi="Arial"/>
          <w:sz w:val="17"/>
          <w:szCs w:val="17"/>
          <w:color w:val="1E1E1E"/>
        </w:rPr>
        <w:t xml:space="preserve"> included an upfront payment of $150.0 million from our strategic partnership with Roche. That cash inflow was offset by cash used for cost of revenue, research and development and general and administrative expenses.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1E1E1E"/>
        </w:rPr>
        <w:t>Investing Activities</w:t>
      </w:r>
    </w:p>
    <w:p>
      <w:pPr>
        <w:spacing w:after="0" w:line="2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1E1E1E"/>
        </w:rPr>
        <w:t xml:space="preserve">Cash provided by investing activities during the year ended December 31, 2024 consisted of $ 277.1 million as part of the Exscientia acquisition. This was partially offset by property and equipment purchases of $13.7 million, which included $2.9 million to upgrade the BioHive-2 supercomputer and lab equipment purchases. </w:t>
      </w:r>
      <w:r>
        <w:rPr>
          <w:rFonts w:ascii="Arial" w:cs="Arial" w:eastAsia="Arial" w:hAnsi="Arial"/>
          <w:sz w:val="17"/>
          <w:szCs w:val="17"/>
          <w:color w:val="000000"/>
        </w:rPr>
        <w:t>Additionally, investing activities included</w:t>
      </w:r>
      <w:r>
        <w:rPr>
          <w:rFonts w:ascii="Arial" w:cs="Arial" w:eastAsia="Arial" w:hAnsi="Arial"/>
          <w:sz w:val="17"/>
          <w:szCs w:val="17"/>
          <w:color w:val="1E1E1E"/>
        </w:rPr>
        <w:t xml:space="preserve"> the </w:t>
      </w:r>
      <w:r>
        <w:rPr>
          <w:rFonts w:ascii="Arial" w:cs="Arial" w:eastAsia="Arial" w:hAnsi="Arial"/>
          <w:sz w:val="17"/>
          <w:szCs w:val="17"/>
          <w:color w:val="000000"/>
        </w:rPr>
        <w:t>purchase of an intangible asset of</w:t>
      </w:r>
      <w:r>
        <w:rPr>
          <w:rFonts w:ascii="Arial" w:cs="Arial" w:eastAsia="Arial" w:hAnsi="Arial"/>
          <w:sz w:val="17"/>
          <w:szCs w:val="17"/>
          <w:color w:val="1E1E1E"/>
        </w:rPr>
        <w:t xml:space="preserve"> $3.0 million </w:t>
      </w:r>
      <w:r>
        <w:rPr>
          <w:rFonts w:ascii="Arial" w:cs="Arial" w:eastAsia="Arial" w:hAnsi="Arial"/>
          <w:sz w:val="17"/>
          <w:szCs w:val="17"/>
          <w:color w:val="000000"/>
        </w:rPr>
        <w:t>from Helix.</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8" w:name="page179"/>
    <w:bookmarkEnd w:id="178"/>
    <w:p>
      <w:pPr>
        <w:ind w:left="100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1E1E1E"/>
        </w:rPr>
        <w:t>Cash used by investing activities during the year ended December 31, 2023 consisted primarily of purchases of property and equipment of $12.0 million, which includes $1.7 million for a project to upgrade the BioHive supercomputer and lab equipment purchases. The cash used was partially offset by $1.8 million of net cash acquired in the acquisition of a business.</w:t>
      </w:r>
    </w:p>
    <w:p>
      <w:pPr>
        <w:spacing w:after="0" w:line="240"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1E1E1E"/>
        </w:rPr>
        <w:t xml:space="preserve">Cash provided by investing activities during the </w:t>
      </w:r>
      <w:r>
        <w:rPr>
          <w:rFonts w:ascii="Arial" w:cs="Arial" w:eastAsia="Arial" w:hAnsi="Arial"/>
          <w:sz w:val="17"/>
          <w:szCs w:val="17"/>
          <w:color w:val="000000"/>
        </w:rPr>
        <w:t>year ended December 31, 2022</w:t>
      </w:r>
      <w:r>
        <w:rPr>
          <w:rFonts w:ascii="Arial" w:cs="Arial" w:eastAsia="Arial" w:hAnsi="Arial"/>
          <w:sz w:val="17"/>
          <w:szCs w:val="17"/>
          <w:color w:val="1E1E1E"/>
        </w:rPr>
        <w:t xml:space="preserve"> was driven by sales and maturities of investments of $230.6 million, partially offset by the purchases of property and equipment of $37.1 million.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1E1E1E"/>
        </w:rPr>
        <w:t>Financing Activities</w:t>
      </w:r>
    </w:p>
    <w:p>
      <w:pPr>
        <w:spacing w:after="0" w:line="25" w:lineRule="exact"/>
        <w:rPr>
          <w:sz w:val="20"/>
          <w:szCs w:val="20"/>
          <w:color w:val="auto"/>
        </w:rPr>
      </w:pPr>
    </w:p>
    <w:p>
      <w:pPr>
        <w:spacing w:after="0" w:line="261" w:lineRule="auto"/>
        <w:rPr>
          <w:sz w:val="20"/>
          <w:szCs w:val="20"/>
          <w:color w:val="auto"/>
        </w:rPr>
      </w:pPr>
      <w:r>
        <w:rPr>
          <w:rFonts w:ascii="Arial" w:cs="Arial" w:eastAsia="Arial" w:hAnsi="Arial"/>
          <w:sz w:val="17"/>
          <w:szCs w:val="17"/>
          <w:color w:val="1E1E1E"/>
        </w:rPr>
        <w:t xml:space="preserve">Cash provided by financing activities during the year ended December 31, 2024 primarily included proceeds of $300.4 million from Class A common stock issuances related to our </w:t>
      </w:r>
      <w:r>
        <w:rPr>
          <w:rFonts w:ascii="Arial" w:cs="Arial" w:eastAsia="Arial" w:hAnsi="Arial"/>
          <w:sz w:val="17"/>
          <w:szCs w:val="17"/>
          <w:color w:val="000000"/>
        </w:rPr>
        <w:t>June 2024</w:t>
      </w:r>
      <w:r>
        <w:rPr>
          <w:rFonts w:ascii="Arial" w:cs="Arial" w:eastAsia="Arial" w:hAnsi="Arial"/>
          <w:sz w:val="17"/>
          <w:szCs w:val="17"/>
          <w:color w:val="1E1E1E"/>
        </w:rPr>
        <w:t xml:space="preserve"> public offering of Class A common stock and our at-the-market offering (ATM). Financing inflows also included proceeds from equity incentive plans of $8.1 million.</w:t>
      </w:r>
    </w:p>
    <w:p>
      <w:pPr>
        <w:spacing w:after="0" w:line="197"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1E1E1E"/>
        </w:rPr>
        <w:t>Cash provided by financing activities during the year ended December 31, 2023 primarily included proceeds of $128.1 million from common stock issuances. Financing inflows also included proceeds from equity incentive plans of $12.8 million.</w:t>
      </w:r>
    </w:p>
    <w:p>
      <w:pPr>
        <w:spacing w:after="0" w:line="172"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1E1E1E"/>
        </w:rPr>
        <w:t xml:space="preserve">Cash provided by financing activities during the </w:t>
      </w:r>
      <w:r>
        <w:rPr>
          <w:rFonts w:ascii="Arial" w:cs="Arial" w:eastAsia="Arial" w:hAnsi="Arial"/>
          <w:sz w:val="17"/>
          <w:szCs w:val="17"/>
          <w:color w:val="000000"/>
        </w:rPr>
        <w:t>year ended December 31, 2022</w:t>
      </w:r>
      <w:r>
        <w:rPr>
          <w:rFonts w:ascii="Arial" w:cs="Arial" w:eastAsia="Arial" w:hAnsi="Arial"/>
          <w:sz w:val="17"/>
          <w:szCs w:val="17"/>
          <w:color w:val="1E1E1E"/>
        </w:rPr>
        <w:t xml:space="preserve"> primarily included $143.7 million of net proceeds from the 2022 Private Placement. Financing cash flows also included proceeds from equity incentive plans of $10.7 million.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 and Policies</w:t>
      </w: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U.S. generally accepted accounting principles (GAAP). The preparation of our consolidated financial statements and related disclosures requires us to make estimates and assumptions that affect the reported amounts of assets and liabilities and expenses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we believe that the following accounting policies are those most critical to the judgments and estimates used in the preparation of our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have generated revenue from our contracts with partners. Our partnerships often contain multiple components, including research and development services, licenses, options to obtain development and commercialization rights and options to obtain additional research and development services. Such arrangements may provide for various types of payments to us, including upfront fees, technical, development, regulatory and commercial milestone payments, licensing fees, option exercise fees and royalty and milestone payments on product sales. Determining how to recognize revenue from these partnerships involves judgment about whether promised goods and services are distinct from one another or should be accounted for as combined performance obligations, how to estimate and allocate various payment streams to performance obligations and how to measure performance on each performance obligation. Because of these judgments, payments are often not commensurate with the timing of revenue recognition.</w:t>
      </w:r>
    </w:p>
    <w:p>
      <w:pPr>
        <w:spacing w:after="0" w:line="20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Our operating revenue has primarily been generated through research and development agreements. Revenue from research and development agreements is recognized as we satisfy the performance obligation by transferring the promised services to the customer. We recognize revenue over time by measuring the progress toward complete satisfaction of the relevant performance obligation using an appropriate input or output method based on the services promised to the customer. This method of recognizing revenue requires us to make estimates to determine the progress towards completion. A significant change in these estimates could have a material effect on the timing and amount of revenue recognized in future periods.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Goodwill and Intangible Assets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have acquired and may continue to acquire significant intangible assets and goodwill in connection with business combinations. Amounts allocated to intangible assets and goodwill are based upon fair value estimates. We make estimates of fair value based upon assumptions believed to be reasonable and that of a market participant. These estimates are based on available historical information as well as future expectations and the estimates are inherently uncertain. The use of alternative estimates and assumptions could increase or decrease the estimated fair values, the amounts allocated to identifiable intangible assets acquired, future amortization expense and the value of goodwill.</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As part of the process of preparing our financial statements, we are required to estimate our expenses resulting from our obligations under contracts with vendors and clinical research organizations. The financial terms of these contracts are subject to negotiations, which vary from contract to contract and may result in payment terms that do not match the periods over which materials or services are provided under such contracts. Our objective is to reflect the appropriate expenses in our financial statements by matching those expenses with the period in which services are performed and efforts are expended. We account for these expenses according to the timing of various aspects of the expenses and determine accrual estimates by taking into account discussions with applicable personnel and outside service providers as to the progress of clinical trials, or the services completed. During the course of a clinical trial, we adjust our clinical expense recognition if actual results differ from estimates. We make estimates of our accrued expenses as of each balance sheet date based on the facts and circumstances known to us at that time. Our clinical trial accruals are dependent upon the timely and accurate reporting of contract research organizations and other third-party vendors. Although we do not expect estimates to be materially different from amounts actually incurred, our understanding of the anticipated status and timing of services performed relative to the actual status and timing of services performed may vary and may result in reporting amounts that are too high or too low for any particular period.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measure stock options and other stock-based awards granted to employees, directors and non-employees based on their fair value on the date of grant and recognize the compensation expense over the requisite service period. We recognize the impact of forfeitures on stock-based compensation expenses as forfeitures occur. We generally apply the straight-line method of expense recognition to awards.</w:t>
      </w:r>
    </w:p>
    <w:p>
      <w:pPr>
        <w:spacing w:after="0" w:line="18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grant date fair value of stock options is estimated using the Black-Scholes option-pricing model, which requires inputs for the expected term, stock price volatility, dividend yield and the risk-free interest rate of the options. If any assumptions used in the Black-Scholes option-pricing model change significantly, stock-compensation for future awards may differ materially compared with the awards granted previously.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material cash requirements include the following contractual obligations:</w:t>
      </w:r>
    </w:p>
    <w:p>
      <w:pPr>
        <w:spacing w:after="0" w:line="24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December 31, 2024, the Company had $27.4 million of debt outstanding. This balance is related to notes payable for tenant improvement allowances and the financing agreement for the supercomputer upgrade project. See Note 5, “Leases” to the Consolidated Financial Statements for additional details on the supercomputer lease.</w:t>
      </w:r>
    </w:p>
    <w:p>
      <w:pPr>
        <w:spacing w:after="0" w:line="189"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As of December 31, 2024, the Company had $101.2 million of future lease commitments. See Note 5 “Leases” to the Consolidated Financial Statements for additional detail on the Company’s leases.</w:t>
      </w:r>
    </w:p>
    <w:p>
      <w:pPr>
        <w:spacing w:after="0" w:line="172"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As of December 31, 2024, the Company had $297.5 million of future purchase obligations, $149.9 million of which are expected to be payable within the next year. These commitments primarily related to third-party research services, materials and supplies for research and development activities.</w:t>
      </w:r>
    </w:p>
    <w:p>
      <w:pPr>
        <w:spacing w:after="0" w:line="189"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As of December 31, 2024, the Company had $53.7 million remaining of its Gates Foundation Private Placement Commitment. Concurrent with the Exscientia’s IPO on October 5, 2021, the Company completed a private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placement to the Gates Foundation for the sale of 1,590,909 ADSs at the initial offering price of $22.00 per ADS, for gross proceeds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approximately $35.0 million. Under the terms of the Company’s agreement with the Gates Foundation, the Group is committed to spending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$70.0 million over a multi-year period to the research, discovery, and development of small molecule anti-infective therapeutics for future pandemic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preparedness, with a specific focus on developing therapeutics that can be applied against multiple species of coronaviridae, influenza,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paramyxoviridae (the “Pandemic Preparedness Program”). The Group had incurred $16.3 million relating to the Pandemic Preparedness Program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as at December 31, 2024, with a total outstanding commitment of $53.7 million.</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Recently Issued and Adopted Accounting Pronouncements</w:t>
      </w:r>
    </w:p>
    <w:p>
      <w:pPr>
        <w:spacing w:after="0" w:line="245"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See Note 2, “Summary of Significant Accounting Policies” to the Consolidated Financial Statements for information regarding recently issued and adopted accounting pronouncements.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Item 7a. Quantitative and Qualitative Disclosures About Market Risk.</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43" w:lineRule="exact"/>
        <w:rPr>
          <w:sz w:val="20"/>
          <w:szCs w:val="20"/>
          <w:color w:val="auto"/>
        </w:rPr>
      </w:pPr>
    </w:p>
    <w:p>
      <w:pPr>
        <w:jc w:val="both"/>
        <w:ind w:right="160"/>
        <w:spacing w:after="0" w:line="265" w:lineRule="auto"/>
        <w:rPr>
          <w:sz w:val="20"/>
          <w:szCs w:val="20"/>
          <w:color w:val="auto"/>
        </w:rPr>
      </w:pPr>
      <w:r>
        <w:rPr>
          <w:rFonts w:ascii="Arial" w:cs="Arial" w:eastAsia="Arial" w:hAnsi="Arial"/>
          <w:sz w:val="17"/>
          <w:szCs w:val="17"/>
          <w:color w:val="auto"/>
        </w:rPr>
        <w:t>We are exposed to market risk related to changes in interest rates on our investment portfolio of cash and cash equivalents. As of December 31, 2024, our cash and cash equivalents consisted of money market funds and bank deposits. Our primary exposure to market risk is interest income sensitivity, which is affected by changes in interest rates. A hypothetical 100 basis point decrease in interest rates as of December 31, 2024 would have an insignificant effect on net loss in the ensuing year.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employees and our operations are primarily located in the United States, United Kingdom and Canada and our expenses are primarily denominated in U.S. dollars, Great British pounds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not have had a material effect on our financial results during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236220</wp:posOffset>
            </wp:positionV>
            <wp:extent cx="7164070" cy="87966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4070" cy="879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Recursion Pharmaceuticals, Inc.</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4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 xml:space="preserve">We have audited the accompanying consolidated balance sheet of Recursion Pharmaceuticals, Inc. and its subsidiaries (the "Company") as of December 31, 2024, and the related consolidated statements of operations, of comprehensive loss, of stockholders’ equity and of cash flows for the year then ended,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2024, and the results of its operations and its cash flows for the year then ended in conformity with accounting principles generally accepted in the United States of America. Also in our opinion, the Company did not maintain, in all material respects, effective internal control over financial reporting as of December 31, 2024,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 because a material weakness in internal control over financial reporting existed as of that date related to the Company not designing and maintaining effective controls over the estimated costs and time to completion and controls to validate the completeness and accuracy of data used to calculate revenue and unearned revenue related to its license agreement.</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Annual Report on Internal Control Over Financial Reporting appearing under Item 9A. We considered this material weakness in determining the nature, timing, and extent of audit tests applied in our audit of the 2024 consolidated financial statements, and our opinion regarding the effectiveness of the Company’s internal control over financial reporting does not affect our opinion on those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43"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As described in Management’s Annual Report on Internal Control Over Financial Reporting, management has excluded Exscientia plc from its assessment of internal control over financial reporting as of December 31, 2024 because it was acquired by the Company in a purchase business combination during 2024. We have also excluded Exscientia plc from our audit of internal control over financial reporting. Exscientia plc is a wholly-owned subsidiary whose total assets and total net loss excluded from management’s assessment and our audit of internal control over financial reporting represent 27% and 4%, respectively, of the related consolidated financial statement amounts as of and for the year ended December 31, 2024.</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4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Exscientia plc – Valuation of Platform Technology and In-Process Research and Development</w:t>
      </w:r>
    </w:p>
    <w:p>
      <w:pPr>
        <w:spacing w:after="0" w:line="24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As described in Note 4 to the consolidated financial statements, on November 20, 2024, the Company acquired all of the equity interests of Exscientia plc for $630.1 million. Of the acquired intangible assets, $182.0 million of platform technology and $129.0 million of in-process research and development (IPR&amp;D) were recorded. The fair value of each intangible asset was based on the present value of future discounted cash flows prepared under the multi-period excess earnings method, with the significant inputs being the estimates of future revenues, future expenses, discount rate, and probabilities of technological and regulatory success.</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platform technology and IPR&amp;D acquired in the acquisition of Exscientia plc is a critical audit matter are (i) the significant judgment by management when developing the fair value estimate of platform technology and IPR&amp;D acquired; (ii) a high degree of auditor judgment, subjectivity, and effort in performing procedures and evaluating management’s significant assumptions related to (a) future revenues, future expenses, and discount rate for platform technology and (b) future revenues, future expenses, discount rate, and probabilities of technological and regulatory success for IPR&amp;D; and (iii) the audit effort involved the use of professionals with specialized skill and knowledge.</w:t>
      </w:r>
    </w:p>
    <w:p>
      <w:pPr>
        <w:spacing w:after="0" w:line="199"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platform technology and IPR&amp;D acquired. These procedures also included, among others (i) reading the purchase agreement; (ii) testing management’s process for developing the fair value estimate of platform technology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IPR&amp;D acquired; (iii) evaluating the appropriateness of the multi-period excess earnings methods used by management; (iv) testing the completeness and accuracy of the underlying data used in the multi-period excess earnings methods; and (v) evaluating the reasonableness of the significant assumptions used by management related to (a) future revenues, future expenses, and discount rate for platform technology and (b) future revenues, future expenses, discount rate, and probabilities of technological and regulatory success for IPR&amp;D. Evaluating management’s assumptions related to (a) future revenues and future expenses for platform technology and (b) future revenues, future expenses, and probabilities of technological and regulatory success for IPR&amp;D involved considering (i) the current and past performance of the Exscientia plc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methods and (ii) the reasonableness of the discount rate assumptions for platform technology and IPR&amp;D.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Seattle, Washington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2024.</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186" w:name="page187"/>
    <w:bookmarkEnd w:id="186"/>
    <w:p>
      <w:pPr>
        <w:ind w:left="100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Recursion Pharmaceuticals, Inc.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have audited the accompanying consolidated balance sheet of Recursion Pharmaceuticals, Inc. (the Company) as of December 31, 2023, the related consolidated statements of operations,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each of the two years in the period ended December 31, 2023, in conformity with U.S. generally accepted accounting principles.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served as the Company’s auditor from 2017 to 2024.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Salt Lake City, Utah</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February 29, 2024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except for Note 15, as to which the date is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E1E1E"/>
        </w:rPr>
        <w:t>Recursion Pharmaceuticals,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E1E1E"/>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1E1E1E"/>
        </w:rPr>
        <w:t>(in thousands, except share and per share amounts)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0"/>
        </w:trPr>
        <w:tc>
          <w:tcPr>
            <w:tcW w:w="858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80" w:type="dxa"/>
            <w:vAlign w:val="bottom"/>
          </w:tcPr>
          <w:p>
            <w:pPr>
              <w:ind w:left="120"/>
              <w:spacing w:after="0"/>
              <w:rPr>
                <w:sz w:val="20"/>
                <w:szCs w:val="20"/>
                <w:color w:val="auto"/>
              </w:rPr>
            </w:pPr>
            <w:r>
              <w:rPr>
                <w:rFonts w:ascii="Arial" w:cs="Arial" w:eastAsia="Arial" w:hAnsi="Arial"/>
                <w:sz w:val="15"/>
                <w:szCs w:val="15"/>
                <w:b w:val="1"/>
                <w:bCs w:val="1"/>
                <w:color w:val="auto"/>
              </w:rPr>
              <w:t>Current assets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and cash equivalents</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594,350</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391,565</w:t>
            </w:r>
          </w:p>
        </w:tc>
        <w:tc>
          <w:tcPr>
            <w:tcW w:w="0" w:type="dxa"/>
            <w:vAlign w:val="bottom"/>
          </w:tcPr>
          <w:p>
            <w:pPr>
              <w:spacing w:after="0"/>
              <w:rPr>
                <w:sz w:val="1"/>
                <w:szCs w:val="1"/>
                <w:color w:val="auto"/>
              </w:rPr>
            </w:pPr>
          </w:p>
        </w:tc>
      </w:tr>
      <w:tr>
        <w:trPr>
          <w:trHeight w:val="205"/>
        </w:trPr>
        <w:tc>
          <w:tcPr>
            <w:tcW w:w="8580" w:type="dxa"/>
            <w:vAlign w:val="bottom"/>
          </w:tcPr>
          <w:p>
            <w:pPr>
              <w:ind w:left="120"/>
              <w:spacing w:after="0"/>
              <w:rPr>
                <w:sz w:val="20"/>
                <w:szCs w:val="20"/>
                <w:color w:val="auto"/>
              </w:rPr>
            </w:pPr>
            <w:r>
              <w:rPr>
                <w:rFonts w:ascii="Arial" w:cs="Arial" w:eastAsia="Arial" w:hAnsi="Arial"/>
                <w:sz w:val="15"/>
                <w:szCs w:val="15"/>
                <w:color w:val="auto"/>
              </w:rPr>
              <w:t>Restricted cash</w:t>
            </w: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3,045</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3,231</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receivables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49,166</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3,094</w:t>
            </w:r>
          </w:p>
        </w:tc>
        <w:tc>
          <w:tcPr>
            <w:tcW w:w="0" w:type="dxa"/>
            <w:vAlign w:val="bottom"/>
          </w:tcPr>
          <w:p>
            <w:pPr>
              <w:spacing w:after="0"/>
              <w:rPr>
                <w:sz w:val="1"/>
                <w:szCs w:val="1"/>
                <w:color w:val="auto"/>
              </w:rPr>
            </w:pPr>
          </w:p>
        </w:tc>
      </w:tr>
      <w:tr>
        <w:trPr>
          <w:trHeight w:val="205"/>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Other current assets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67,708</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40,247</w:t>
            </w:r>
          </w:p>
        </w:tc>
        <w:tc>
          <w:tcPr>
            <w:tcW w:w="0" w:type="dxa"/>
            <w:vAlign w:val="bottom"/>
          </w:tcPr>
          <w:p>
            <w:pPr>
              <w:spacing w:after="0"/>
              <w:rPr>
                <w:sz w:val="1"/>
                <w:szCs w:val="1"/>
                <w:color w:val="auto"/>
              </w:rPr>
            </w:pPr>
          </w:p>
        </w:tc>
      </w:tr>
      <w:tr>
        <w:trPr>
          <w:trHeight w:val="200"/>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Total current assets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714,269</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438,137</w:t>
            </w: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Restricted cash, non-current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5,629</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6,629</w:t>
            </w:r>
          </w:p>
        </w:tc>
        <w:tc>
          <w:tcPr>
            <w:tcW w:w="0" w:type="dxa"/>
            <w:vAlign w:val="bottom"/>
          </w:tcPr>
          <w:p>
            <w:pPr>
              <w:spacing w:after="0"/>
              <w:rPr>
                <w:sz w:val="1"/>
                <w:szCs w:val="1"/>
                <w:color w:val="auto"/>
              </w:rPr>
            </w:pPr>
          </w:p>
        </w:tc>
      </w:tr>
      <w:tr>
        <w:trPr>
          <w:trHeight w:val="205"/>
        </w:trPr>
        <w:tc>
          <w:tcPr>
            <w:tcW w:w="8580" w:type="dxa"/>
            <w:vAlign w:val="bottom"/>
          </w:tcPr>
          <w:p>
            <w:pPr>
              <w:ind w:left="120"/>
              <w:spacing w:after="0"/>
              <w:rPr>
                <w:sz w:val="20"/>
                <w:szCs w:val="20"/>
                <w:color w:val="auto"/>
              </w:rPr>
            </w:pPr>
            <w:r>
              <w:rPr>
                <w:rFonts w:ascii="Arial" w:cs="Arial" w:eastAsia="Arial" w:hAnsi="Arial"/>
                <w:sz w:val="15"/>
                <w:szCs w:val="15"/>
                <w:color w:val="auto"/>
              </w:rPr>
              <w:t>Property and equipment, net</w:t>
            </w: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141,063</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86,510</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lease right-of-use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65,877</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33,663</w:t>
            </w:r>
          </w:p>
        </w:tc>
        <w:tc>
          <w:tcPr>
            <w:tcW w:w="0" w:type="dxa"/>
            <w:vAlign w:val="bottom"/>
          </w:tcPr>
          <w:p>
            <w:pPr>
              <w:spacing w:after="0"/>
              <w:rPr>
                <w:sz w:val="1"/>
                <w:szCs w:val="1"/>
                <w:color w:val="auto"/>
              </w:rPr>
            </w:pPr>
          </w:p>
        </w:tc>
      </w:tr>
      <w:tr>
        <w:trPr>
          <w:trHeight w:val="205"/>
        </w:trPr>
        <w:tc>
          <w:tcPr>
            <w:tcW w:w="8580" w:type="dxa"/>
            <w:vAlign w:val="bottom"/>
          </w:tcPr>
          <w:p>
            <w:pPr>
              <w:ind w:left="120"/>
              <w:spacing w:after="0"/>
              <w:rPr>
                <w:sz w:val="20"/>
                <w:szCs w:val="20"/>
                <w:color w:val="auto"/>
              </w:rPr>
            </w:pPr>
            <w:r>
              <w:rPr>
                <w:rFonts w:ascii="Arial" w:cs="Arial" w:eastAsia="Arial" w:hAnsi="Arial"/>
                <w:sz w:val="15"/>
                <w:szCs w:val="15"/>
                <w:color w:val="auto"/>
              </w:rPr>
              <w:t>Financing lease right-of-use assets</w:t>
            </w: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26,273</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Intangible assets,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335,855</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36,443</w:t>
            </w:r>
          </w:p>
        </w:tc>
        <w:tc>
          <w:tcPr>
            <w:tcW w:w="0" w:type="dxa"/>
            <w:vAlign w:val="bottom"/>
          </w:tcPr>
          <w:p>
            <w:pPr>
              <w:spacing w:after="0"/>
              <w:rPr>
                <w:sz w:val="1"/>
                <w:szCs w:val="1"/>
                <w:color w:val="auto"/>
              </w:rPr>
            </w:pPr>
          </w:p>
        </w:tc>
      </w:tr>
      <w:tr>
        <w:trPr>
          <w:trHeight w:val="205"/>
        </w:trPr>
        <w:tc>
          <w:tcPr>
            <w:tcW w:w="8580" w:type="dxa"/>
            <w:vAlign w:val="bottom"/>
          </w:tcPr>
          <w:p>
            <w:pPr>
              <w:ind w:left="120"/>
              <w:spacing w:after="0"/>
              <w:rPr>
                <w:sz w:val="20"/>
                <w:szCs w:val="20"/>
                <w:color w:val="auto"/>
              </w:rPr>
            </w:pPr>
            <w:r>
              <w:rPr>
                <w:rFonts w:ascii="Arial" w:cs="Arial" w:eastAsia="Arial" w:hAnsi="Arial"/>
                <w:sz w:val="15"/>
                <w:szCs w:val="15"/>
                <w:color w:val="auto"/>
              </w:rPr>
              <w:t>Goodwill</w:t>
            </w: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148,873</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52,056</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tax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1,934</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Other assets, non-current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8,825</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225"/>
        </w:trPr>
        <w:tc>
          <w:tcPr>
            <w:tcW w:w="8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Total assets</w:t>
            </w:r>
          </w:p>
        </w:tc>
        <w:tc>
          <w:tcPr>
            <w:tcW w:w="3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1,448,598</w:t>
            </w: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653,699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8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120"/>
              <w:spacing w:after="0"/>
              <w:rPr>
                <w:sz w:val="20"/>
                <w:szCs w:val="20"/>
                <w:color w:val="auto"/>
              </w:rPr>
            </w:pPr>
            <w:r>
              <w:rPr>
                <w:rFonts w:ascii="Arial" w:cs="Arial" w:eastAsia="Arial" w:hAnsi="Arial"/>
                <w:sz w:val="15"/>
                <w:szCs w:val="15"/>
                <w:b w:val="1"/>
                <w:bCs w:val="1"/>
                <w:color w:val="auto"/>
              </w:rPr>
              <w:t>Current liabilities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Accounts payable</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21,613</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3,953</w:t>
            </w:r>
          </w:p>
        </w:tc>
        <w:tc>
          <w:tcPr>
            <w:tcW w:w="0" w:type="dxa"/>
            <w:vAlign w:val="bottom"/>
          </w:tcPr>
          <w:p>
            <w:pPr>
              <w:spacing w:after="0"/>
              <w:rPr>
                <w:sz w:val="1"/>
                <w:szCs w:val="1"/>
                <w:color w:val="auto"/>
              </w:rPr>
            </w:pPr>
          </w:p>
        </w:tc>
      </w:tr>
      <w:tr>
        <w:trPr>
          <w:trHeight w:val="205"/>
        </w:trPr>
        <w:tc>
          <w:tcPr>
            <w:tcW w:w="8580" w:type="dxa"/>
            <w:vAlign w:val="bottom"/>
          </w:tcPr>
          <w:p>
            <w:pPr>
              <w:ind w:left="120"/>
              <w:spacing w:after="0"/>
              <w:rPr>
                <w:sz w:val="20"/>
                <w:szCs w:val="20"/>
                <w:color w:val="auto"/>
              </w:rPr>
            </w:pPr>
            <w:r>
              <w:rPr>
                <w:rFonts w:ascii="Arial" w:cs="Arial" w:eastAsia="Arial" w:hAnsi="Arial"/>
                <w:sz w:val="15"/>
                <w:szCs w:val="15"/>
                <w:color w:val="auto"/>
              </w:rPr>
              <w:t>Accrued expenses and other liabilities</w:t>
            </w: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81,872</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46,635</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Unearned revenue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61,767</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36,426</w:t>
            </w:r>
          </w:p>
        </w:tc>
        <w:tc>
          <w:tcPr>
            <w:tcW w:w="0" w:type="dxa"/>
            <w:vAlign w:val="bottom"/>
          </w:tcPr>
          <w:p>
            <w:pPr>
              <w:spacing w:after="0"/>
              <w:rPr>
                <w:sz w:val="1"/>
                <w:szCs w:val="1"/>
                <w:color w:val="auto"/>
              </w:rPr>
            </w:pPr>
          </w:p>
        </w:tc>
      </w:tr>
      <w:tr>
        <w:trPr>
          <w:trHeight w:val="205"/>
        </w:trPr>
        <w:tc>
          <w:tcPr>
            <w:tcW w:w="8580" w:type="dxa"/>
            <w:vAlign w:val="bottom"/>
          </w:tcPr>
          <w:p>
            <w:pPr>
              <w:ind w:left="120"/>
              <w:spacing w:after="0"/>
              <w:rPr>
                <w:sz w:val="20"/>
                <w:szCs w:val="20"/>
                <w:color w:val="auto"/>
              </w:rPr>
            </w:pPr>
            <w:r>
              <w:rPr>
                <w:rFonts w:ascii="Arial" w:cs="Arial" w:eastAsia="Arial" w:hAnsi="Arial"/>
                <w:sz w:val="15"/>
                <w:szCs w:val="15"/>
                <w:color w:val="auto"/>
              </w:rPr>
              <w:t>Operating lease liabilities</w:t>
            </w: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13,795</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6,116</w:t>
            </w:r>
          </w:p>
        </w:tc>
        <w:tc>
          <w:tcPr>
            <w:tcW w:w="0" w:type="dxa"/>
            <w:vAlign w:val="bottom"/>
          </w:tcPr>
          <w:p>
            <w:pPr>
              <w:spacing w:after="0"/>
              <w:rPr>
                <w:sz w:val="1"/>
                <w:szCs w:val="1"/>
                <w:color w:val="auto"/>
              </w:rPr>
            </w:pPr>
          </w:p>
        </w:tc>
      </w:tr>
      <w:tr>
        <w:trPr>
          <w:trHeight w:val="206"/>
        </w:trPr>
        <w:tc>
          <w:tcPr>
            <w:tcW w:w="8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Notes payable and financing lease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8,425</w:t>
            </w: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00"/>
        </w:trPr>
        <w:tc>
          <w:tcPr>
            <w:tcW w:w="8580" w:type="dxa"/>
            <w:vAlign w:val="bottom"/>
          </w:tcPr>
          <w:p>
            <w:pPr>
              <w:ind w:left="120"/>
              <w:spacing w:after="0"/>
              <w:rPr>
                <w:sz w:val="20"/>
                <w:szCs w:val="20"/>
                <w:color w:val="auto"/>
              </w:rPr>
            </w:pPr>
            <w:r>
              <w:rPr>
                <w:rFonts w:ascii="Arial" w:cs="Arial" w:eastAsia="Arial" w:hAnsi="Arial"/>
                <w:sz w:val="15"/>
                <w:szCs w:val="15"/>
                <w:b w:val="1"/>
                <w:bCs w:val="1"/>
                <w:color w:val="auto"/>
              </w:rPr>
              <w:t>Total current liabilities</w:t>
            </w: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187,472</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93,171</w:t>
            </w:r>
          </w:p>
        </w:tc>
        <w:tc>
          <w:tcPr>
            <w:tcW w:w="0" w:type="dxa"/>
            <w:vAlign w:val="bottom"/>
          </w:tcPr>
          <w:p>
            <w:pPr>
              <w:spacing w:after="0"/>
              <w:rPr>
                <w:sz w:val="1"/>
                <w:szCs w:val="1"/>
                <w:color w:val="auto"/>
              </w:rPr>
            </w:pPr>
          </w:p>
        </w:tc>
      </w:tr>
      <w:tr>
        <w:trPr>
          <w:trHeight w:val="142"/>
        </w:trPr>
        <w:tc>
          <w:tcPr>
            <w:tcW w:w="8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8580" w:type="dxa"/>
            <w:vAlign w:val="bottom"/>
          </w:tcPr>
          <w:p>
            <w:pPr>
              <w:ind w:left="120"/>
              <w:spacing w:after="0"/>
              <w:rPr>
                <w:sz w:val="20"/>
                <w:szCs w:val="20"/>
                <w:color w:val="auto"/>
              </w:rPr>
            </w:pPr>
            <w:r>
              <w:rPr>
                <w:rFonts w:ascii="Arial" w:cs="Arial" w:eastAsia="Arial" w:hAnsi="Arial"/>
                <w:sz w:val="15"/>
                <w:szCs w:val="15"/>
                <w:color w:val="auto"/>
              </w:rPr>
              <w:t>Unearned revenue, non-current</w:t>
            </w: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118,765</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51,238</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lease liabilities, non-current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67,250</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43,414</w:t>
            </w:r>
          </w:p>
        </w:tc>
        <w:tc>
          <w:tcPr>
            <w:tcW w:w="0" w:type="dxa"/>
            <w:vAlign w:val="bottom"/>
          </w:tcPr>
          <w:p>
            <w:pPr>
              <w:spacing w:after="0"/>
              <w:rPr>
                <w:sz w:val="1"/>
                <w:szCs w:val="1"/>
                <w:color w:val="auto"/>
              </w:rPr>
            </w:pPr>
          </w:p>
        </w:tc>
      </w:tr>
      <w:tr>
        <w:trPr>
          <w:trHeight w:val="205"/>
        </w:trPr>
        <w:tc>
          <w:tcPr>
            <w:tcW w:w="8580" w:type="dxa"/>
            <w:vAlign w:val="bottom"/>
          </w:tcPr>
          <w:p>
            <w:pPr>
              <w:ind w:left="120"/>
              <w:spacing w:after="0"/>
              <w:rPr>
                <w:sz w:val="20"/>
                <w:szCs w:val="20"/>
                <w:color w:val="auto"/>
              </w:rPr>
            </w:pPr>
            <w:r>
              <w:rPr>
                <w:rFonts w:ascii="Arial" w:cs="Arial" w:eastAsia="Arial" w:hAnsi="Arial"/>
                <w:sz w:val="15"/>
                <w:szCs w:val="15"/>
                <w:color w:val="auto"/>
              </w:rPr>
              <w:t>Notes payable and financing lease liabilities, non-current</w:t>
            </w: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19,022</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1,101</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tax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16,575</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1,339</w:t>
            </w:r>
          </w:p>
        </w:tc>
        <w:tc>
          <w:tcPr>
            <w:tcW w:w="0" w:type="dxa"/>
            <w:vAlign w:val="bottom"/>
          </w:tcPr>
          <w:p>
            <w:pPr>
              <w:spacing w:after="0"/>
              <w:rPr>
                <w:sz w:val="1"/>
                <w:szCs w:val="1"/>
                <w:color w:val="auto"/>
              </w:rPr>
            </w:pPr>
          </w:p>
        </w:tc>
      </w:tr>
      <w:tr>
        <w:trPr>
          <w:trHeight w:val="205"/>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Other liabilities, non-current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4,732</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Total liabilities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413,816</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190,263</w:t>
            </w:r>
          </w:p>
        </w:tc>
        <w:tc>
          <w:tcPr>
            <w:tcW w:w="0" w:type="dxa"/>
            <w:vAlign w:val="bottom"/>
          </w:tcPr>
          <w:p>
            <w:pPr>
              <w:spacing w:after="0"/>
              <w:rPr>
                <w:sz w:val="1"/>
                <w:szCs w:val="1"/>
                <w:color w:val="auto"/>
              </w:rPr>
            </w:pPr>
          </w:p>
        </w:tc>
      </w:tr>
      <w:tr>
        <w:trPr>
          <w:trHeight w:val="90"/>
        </w:trPr>
        <w:tc>
          <w:tcPr>
            <w:tcW w:w="8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Commitments and contingencies (Note 7)</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8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Stockholders’ equity</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580" w:type="dxa"/>
            <w:vAlign w:val="bottom"/>
          </w:tcPr>
          <w:p>
            <w:pPr>
              <w:ind w:left="120"/>
              <w:spacing w:after="0"/>
              <w:rPr>
                <w:sz w:val="20"/>
                <w:szCs w:val="20"/>
                <w:color w:val="auto"/>
              </w:rPr>
            </w:pPr>
            <w:r>
              <w:rPr>
                <w:rFonts w:ascii="Arial" w:cs="Arial" w:eastAsia="Arial" w:hAnsi="Arial"/>
                <w:sz w:val="15"/>
                <w:szCs w:val="15"/>
                <w:color w:val="auto"/>
              </w:rPr>
              <w:t>Common stock, $0.00001 par value; 2,000,000,000 shares (Class A 1,989,032,117 and Class B 10,967,883) authorized as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20"/>
              <w:spacing w:after="0"/>
              <w:rPr>
                <w:sz w:val="20"/>
                <w:szCs w:val="20"/>
                <w:color w:val="auto"/>
              </w:rPr>
            </w:pPr>
            <w:r>
              <w:rPr>
                <w:rFonts w:ascii="Arial" w:cs="Arial" w:eastAsia="Arial" w:hAnsi="Arial"/>
                <w:sz w:val="15"/>
                <w:szCs w:val="15"/>
                <w:color w:val="auto"/>
              </w:rPr>
              <w:t>of December 31, 2024 and December 31, 2023; 396,802,394 shares (Class A 389,547,223, Class B 6,958,575 and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580" w:type="dxa"/>
            <w:vAlign w:val="bottom"/>
          </w:tcPr>
          <w:p>
            <w:pPr>
              <w:ind w:left="320"/>
              <w:spacing w:after="0"/>
              <w:rPr>
                <w:sz w:val="20"/>
                <w:szCs w:val="20"/>
                <w:color w:val="auto"/>
              </w:rPr>
            </w:pPr>
            <w:r>
              <w:rPr>
                <w:rFonts w:ascii="Arial" w:cs="Arial" w:eastAsia="Arial" w:hAnsi="Arial"/>
                <w:sz w:val="15"/>
                <w:szCs w:val="15"/>
                <w:color w:val="auto"/>
              </w:rPr>
              <w:t>Exchangeable 296,596) and 234,270,384 (Class A 226,264,764 and Class B 7,544,871 and Exchangeable 460,749)</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580" w:type="dxa"/>
            <w:vAlign w:val="bottom"/>
          </w:tcPr>
          <w:p>
            <w:pPr>
              <w:ind w:left="320"/>
              <w:spacing w:after="0"/>
              <w:rPr>
                <w:sz w:val="20"/>
                <w:szCs w:val="20"/>
                <w:color w:val="auto"/>
              </w:rPr>
            </w:pPr>
            <w:r>
              <w:rPr>
                <w:rFonts w:ascii="Arial" w:cs="Arial" w:eastAsia="Arial" w:hAnsi="Arial"/>
                <w:sz w:val="15"/>
                <w:szCs w:val="15"/>
                <w:color w:val="auto"/>
              </w:rPr>
              <w:t>issued and outstanding as of December 31, 2024 and December 31, 2023, respectively</w:t>
            </w:r>
          </w:p>
        </w:tc>
        <w:tc>
          <w:tcPr>
            <w:tcW w:w="320" w:type="dxa"/>
            <w:vAlign w:val="bottom"/>
          </w:tcPr>
          <w:p>
            <w:pPr>
              <w:spacing w:after="0"/>
              <w:rPr>
                <w:sz w:val="17"/>
                <w:szCs w:val="17"/>
                <w:color w:val="auto"/>
              </w:rPr>
            </w:pPr>
          </w:p>
        </w:tc>
        <w:tc>
          <w:tcPr>
            <w:tcW w:w="1020" w:type="dxa"/>
            <w:vAlign w:val="bottom"/>
            <w:vMerge w:val="restart"/>
          </w:tcPr>
          <w:p>
            <w:pPr>
              <w:jc w:val="right"/>
              <w:ind w:right="3"/>
              <w:spacing w:after="0"/>
              <w:rPr>
                <w:sz w:val="20"/>
                <w:szCs w:val="20"/>
                <w:color w:val="auto"/>
              </w:rPr>
            </w:pPr>
            <w:r>
              <w:rPr>
                <w:rFonts w:ascii="Arial" w:cs="Arial" w:eastAsia="Arial" w:hAnsi="Arial"/>
                <w:sz w:val="15"/>
                <w:szCs w:val="15"/>
                <w:color w:val="auto"/>
              </w:rPr>
              <w:t>4</w:t>
            </w:r>
          </w:p>
        </w:tc>
        <w:tc>
          <w:tcPr>
            <w:tcW w:w="4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78"/>
        </w:trPr>
        <w:tc>
          <w:tcPr>
            <w:tcW w:w="8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Additional paid-in capital</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2,473,698</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1,431,056</w:t>
            </w:r>
          </w:p>
        </w:tc>
        <w:tc>
          <w:tcPr>
            <w:tcW w:w="0" w:type="dxa"/>
            <w:vAlign w:val="bottom"/>
          </w:tcPr>
          <w:p>
            <w:pPr>
              <w:spacing w:after="0"/>
              <w:rPr>
                <w:sz w:val="1"/>
                <w:szCs w:val="1"/>
                <w:color w:val="auto"/>
              </w:rPr>
            </w:pPr>
          </w:p>
        </w:tc>
      </w:tr>
      <w:tr>
        <w:trPr>
          <w:trHeight w:val="205"/>
        </w:trPr>
        <w:tc>
          <w:tcPr>
            <w:tcW w:w="8580" w:type="dxa"/>
            <w:vAlign w:val="bottom"/>
          </w:tcPr>
          <w:p>
            <w:pPr>
              <w:ind w:left="120"/>
              <w:spacing w:after="0"/>
              <w:rPr>
                <w:sz w:val="20"/>
                <w:szCs w:val="20"/>
                <w:color w:val="auto"/>
              </w:rPr>
            </w:pPr>
            <w:r>
              <w:rPr>
                <w:rFonts w:ascii="Arial" w:cs="Arial" w:eastAsia="Arial" w:hAnsi="Arial"/>
                <w:sz w:val="15"/>
                <w:szCs w:val="15"/>
                <w:color w:val="auto"/>
              </w:rPr>
              <w:t>Accumulated deficit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(1,431,283)</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(967,622)</w:t>
            </w:r>
          </w:p>
        </w:tc>
        <w:tc>
          <w:tcPr>
            <w:tcW w:w="0" w:type="dxa"/>
            <w:vAlign w:val="bottom"/>
          </w:tcPr>
          <w:p>
            <w:pPr>
              <w:spacing w:after="0"/>
              <w:rPr>
                <w:sz w:val="1"/>
                <w:szCs w:val="1"/>
                <w:color w:val="auto"/>
              </w:rPr>
            </w:pPr>
          </w:p>
        </w:tc>
      </w:tr>
      <w:tr>
        <w:trPr>
          <w:trHeight w:val="206"/>
        </w:trPr>
        <w:tc>
          <w:tcPr>
            <w:tcW w:w="8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loss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(7,637)</w:t>
            </w: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8580" w:type="dxa"/>
            <w:vAlign w:val="bottom"/>
          </w:tcPr>
          <w:p>
            <w:pPr>
              <w:ind w:left="120"/>
              <w:spacing w:after="0"/>
              <w:rPr>
                <w:sz w:val="20"/>
                <w:szCs w:val="20"/>
                <w:color w:val="auto"/>
              </w:rPr>
            </w:pPr>
            <w:r>
              <w:rPr>
                <w:rFonts w:ascii="Arial" w:cs="Arial" w:eastAsia="Arial" w:hAnsi="Arial"/>
                <w:sz w:val="15"/>
                <w:szCs w:val="15"/>
                <w:b w:val="1"/>
                <w:bCs w:val="1"/>
                <w:color w:val="auto"/>
              </w:rPr>
              <w:t>Total stockholders’ equity</w:t>
            </w:r>
          </w:p>
        </w:tc>
        <w:tc>
          <w:tcPr>
            <w:tcW w:w="32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1,034,782</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463,436</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Total liabilities and stockholders’ equity</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1,448,598</w:t>
            </w: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653,699</w:t>
            </w:r>
          </w:p>
        </w:tc>
        <w:tc>
          <w:tcPr>
            <w:tcW w:w="0" w:type="dxa"/>
            <w:vAlign w:val="bottom"/>
          </w:tcPr>
          <w:p>
            <w:pPr>
              <w:spacing w:after="0"/>
              <w:rPr>
                <w:sz w:val="1"/>
                <w:szCs w:val="1"/>
                <w:color w:val="auto"/>
              </w:rPr>
            </w:pPr>
          </w:p>
        </w:tc>
      </w:tr>
      <w:tr>
        <w:trPr>
          <w:trHeight w:val="20"/>
        </w:trPr>
        <w:tc>
          <w:tcPr>
            <w:tcW w:w="8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See the accompanying notes to these consolidated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88" w:name="page189"/>
    <w:bookmarkEnd w:id="188"/>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8"/>
              </w:rPr>
              <w:t>Table of Contents</w:t>
            </w:r>
          </w:p>
        </w:tc>
      </w:tr>
      <w:tr>
        <w:trPr>
          <w:trHeight w:val="760"/>
        </w:trPr>
        <w:tc>
          <w:tcPr>
            <w:tcW w:w="3200" w:type="dxa"/>
            <w:vAlign w:val="bottom"/>
          </w:tcPr>
          <w:p>
            <w:pPr>
              <w:spacing w:after="0"/>
              <w:rPr>
                <w:sz w:val="24"/>
                <w:szCs w:val="24"/>
                <w:color w:val="auto"/>
              </w:rPr>
            </w:pPr>
          </w:p>
        </w:tc>
        <w:tc>
          <w:tcPr>
            <w:tcW w:w="3840" w:type="dxa"/>
            <w:vAlign w:val="bottom"/>
            <w:gridSpan w:val="2"/>
          </w:tcPr>
          <w:p>
            <w:pPr>
              <w:jc w:val="center"/>
              <w:ind w:left="914"/>
              <w:spacing w:after="0"/>
              <w:rPr>
                <w:sz w:val="20"/>
                <w:szCs w:val="20"/>
                <w:color w:val="auto"/>
              </w:rPr>
            </w:pPr>
            <w:r>
              <w:rPr>
                <w:rFonts w:ascii="Arial" w:cs="Arial" w:eastAsia="Arial" w:hAnsi="Arial"/>
                <w:sz w:val="17"/>
                <w:szCs w:val="17"/>
                <w:b w:val="1"/>
                <w:bCs w:val="1"/>
                <w:color w:val="1E1E1E"/>
              </w:rPr>
              <w:t>Recursion Pharmaceuticals, Inc.</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8"/>
        </w:trPr>
        <w:tc>
          <w:tcPr>
            <w:tcW w:w="3200" w:type="dxa"/>
            <w:vAlign w:val="bottom"/>
          </w:tcPr>
          <w:p>
            <w:pPr>
              <w:spacing w:after="0"/>
              <w:rPr>
                <w:sz w:val="18"/>
                <w:szCs w:val="18"/>
                <w:color w:val="auto"/>
              </w:rPr>
            </w:pPr>
          </w:p>
        </w:tc>
        <w:tc>
          <w:tcPr>
            <w:tcW w:w="4980" w:type="dxa"/>
            <w:vAlign w:val="bottom"/>
            <w:gridSpan w:val="3"/>
          </w:tcPr>
          <w:p>
            <w:pPr>
              <w:jc w:val="center"/>
              <w:ind w:right="34"/>
              <w:spacing w:after="0"/>
              <w:rPr>
                <w:sz w:val="20"/>
                <w:szCs w:val="20"/>
                <w:color w:val="auto"/>
              </w:rPr>
            </w:pPr>
            <w:r>
              <w:rPr>
                <w:rFonts w:ascii="Arial" w:cs="Arial" w:eastAsia="Arial" w:hAnsi="Arial"/>
                <w:sz w:val="17"/>
                <w:szCs w:val="17"/>
                <w:b w:val="1"/>
                <w:bCs w:val="1"/>
                <w:color w:val="1E1E1E"/>
              </w:rPr>
              <w:t>Consolidated Statements of Operations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6"/>
        </w:trPr>
        <w:tc>
          <w:tcPr>
            <w:tcW w:w="3200" w:type="dxa"/>
            <w:vAlign w:val="bottom"/>
          </w:tcPr>
          <w:p>
            <w:pPr>
              <w:spacing w:after="0"/>
              <w:rPr>
                <w:sz w:val="20"/>
                <w:szCs w:val="20"/>
                <w:color w:val="auto"/>
              </w:rPr>
            </w:pPr>
          </w:p>
        </w:tc>
        <w:tc>
          <w:tcPr>
            <w:tcW w:w="4980" w:type="dxa"/>
            <w:vAlign w:val="bottom"/>
            <w:gridSpan w:val="3"/>
          </w:tcPr>
          <w:p>
            <w:pPr>
              <w:jc w:val="center"/>
              <w:ind w:right="34"/>
              <w:spacing w:after="0"/>
              <w:rPr>
                <w:sz w:val="20"/>
                <w:szCs w:val="20"/>
                <w:color w:val="auto"/>
              </w:rPr>
            </w:pPr>
            <w:r>
              <w:rPr>
                <w:rFonts w:ascii="Arial" w:cs="Arial" w:eastAsia="Arial" w:hAnsi="Arial"/>
                <w:sz w:val="17"/>
                <w:szCs w:val="17"/>
                <w:b w:val="1"/>
                <w:bCs w:val="1"/>
                <w:i w:val="1"/>
                <w:iCs w:val="1"/>
                <w:color w:val="1E1E1E"/>
              </w:rPr>
              <w:t>(in thousands, except share and per share amounts)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71"/>
        </w:trPr>
        <w:tc>
          <w:tcPr>
            <w:tcW w:w="3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5"/>
          </w:tcPr>
          <w:p>
            <w:pPr>
              <w:jc w:val="right"/>
              <w:ind w:right="1114"/>
              <w:spacing w:after="0"/>
              <w:rPr>
                <w:sz w:val="20"/>
                <w:szCs w:val="20"/>
                <w:color w:val="auto"/>
              </w:rPr>
            </w:pPr>
            <w:r>
              <w:rPr>
                <w:rFonts w:ascii="Arial" w:cs="Arial" w:eastAsia="Arial" w:hAnsi="Arial"/>
                <w:sz w:val="17"/>
                <w:szCs w:val="17"/>
                <w:b w:val="1"/>
                <w:bCs w:val="1"/>
                <w:color w:val="auto"/>
              </w:rPr>
              <w:t>Years ended December 31,</w:t>
            </w:r>
          </w:p>
        </w:tc>
      </w:tr>
      <w:tr>
        <w:trPr>
          <w:trHeight w:val="250"/>
        </w:trPr>
        <w:tc>
          <w:tcPr>
            <w:tcW w:w="32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2024</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06"/>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Revenue</w:t>
            </w:r>
          </w:p>
        </w:tc>
        <w:tc>
          <w:tcPr>
            <w:tcW w:w="3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3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revenue</w:t>
            </w:r>
          </w:p>
        </w:tc>
        <w:tc>
          <w:tcPr>
            <w:tcW w:w="3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58,488</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43,876</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39,681</w:t>
            </w:r>
          </w:p>
        </w:tc>
      </w:tr>
      <w:tr>
        <w:trPr>
          <w:trHeight w:val="219"/>
        </w:trPr>
        <w:tc>
          <w:tcPr>
            <w:tcW w:w="32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Grant revenue</w:t>
            </w:r>
          </w:p>
        </w:tc>
        <w:tc>
          <w:tcPr>
            <w:tcW w:w="3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r>
      <w:tr>
        <w:trPr>
          <w:trHeight w:val="212"/>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3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58,839</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44,575</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39,843</w:t>
            </w:r>
          </w:p>
        </w:tc>
      </w:tr>
      <w:tr>
        <w:trPr>
          <w:trHeight w:val="245"/>
        </w:trPr>
        <w:tc>
          <w:tcPr>
            <w:tcW w:w="32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3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3200" w:type="dxa"/>
            <w:vAlign w:val="bottom"/>
          </w:tcPr>
          <w:p>
            <w:pPr>
              <w:ind w:left="120"/>
              <w:spacing w:after="0"/>
              <w:rPr>
                <w:sz w:val="20"/>
                <w:szCs w:val="20"/>
                <w:color w:val="auto"/>
              </w:rPr>
            </w:pPr>
            <w:r>
              <w:rPr>
                <w:rFonts w:ascii="Arial" w:cs="Arial" w:eastAsia="Arial" w:hAnsi="Arial"/>
                <w:sz w:val="17"/>
                <w:szCs w:val="17"/>
                <w:color w:val="auto"/>
              </w:rPr>
              <w:t>Cost of revenue</w:t>
            </w:r>
          </w:p>
        </w:tc>
        <w:tc>
          <w:tcPr>
            <w:tcW w:w="3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45,238</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42,587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48,275</w:t>
            </w:r>
          </w:p>
        </w:tc>
      </w:tr>
      <w:tr>
        <w:trPr>
          <w:trHeight w:val="219"/>
        </w:trPr>
        <w:tc>
          <w:tcPr>
            <w:tcW w:w="3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3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314,421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241,226</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155,696</w:t>
            </w:r>
          </w:p>
        </w:tc>
      </w:tr>
      <w:tr>
        <w:trPr>
          <w:trHeight w:val="219"/>
        </w:trPr>
        <w:tc>
          <w:tcPr>
            <w:tcW w:w="32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General and administrative</w:t>
            </w:r>
          </w:p>
        </w:tc>
        <w:tc>
          <w:tcPr>
            <w:tcW w:w="3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178,184</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110,822</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81,599</w:t>
            </w:r>
          </w:p>
        </w:tc>
      </w:tr>
      <w:tr>
        <w:trPr>
          <w:trHeight w:val="212"/>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costs and expenses</w:t>
            </w:r>
          </w:p>
        </w:tc>
        <w:tc>
          <w:tcPr>
            <w:tcW w:w="3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537,843</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394,635</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285,570</w:t>
            </w:r>
          </w:p>
        </w:tc>
      </w:tr>
      <w:tr>
        <w:trPr>
          <w:trHeight w:val="245"/>
        </w:trPr>
        <w:tc>
          <w:tcPr>
            <w:tcW w:w="320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12"/>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Loss from operations</w:t>
            </w:r>
          </w:p>
        </w:tc>
        <w:tc>
          <w:tcPr>
            <w:tcW w:w="3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(479,004)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(350,060)</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(245,727)</w:t>
            </w:r>
          </w:p>
        </w:tc>
      </w:tr>
      <w:tr>
        <w:trPr>
          <w:trHeight w:val="219"/>
        </w:trPr>
        <w:tc>
          <w:tcPr>
            <w:tcW w:w="32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 income, net</w:t>
            </w:r>
          </w:p>
        </w:tc>
        <w:tc>
          <w:tcPr>
            <w:tcW w:w="3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14,216</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17,932</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6,251</w:t>
            </w:r>
          </w:p>
        </w:tc>
      </w:tr>
      <w:tr>
        <w:trPr>
          <w:trHeight w:val="212"/>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Loss before income tax benefit</w:t>
            </w:r>
          </w:p>
        </w:tc>
        <w:tc>
          <w:tcPr>
            <w:tcW w:w="3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(464,788)</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(332,128)</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(239,476)</w:t>
            </w:r>
          </w:p>
        </w:tc>
      </w:tr>
      <w:tr>
        <w:trPr>
          <w:trHeight w:val="219"/>
        </w:trPr>
        <w:tc>
          <w:tcPr>
            <w:tcW w:w="32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Income tax benefit</w:t>
            </w:r>
          </w:p>
        </w:tc>
        <w:tc>
          <w:tcPr>
            <w:tcW w:w="3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4,062</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38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(463,661)</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(328,066)</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(239,476)</w:t>
            </w: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3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2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Per share data</w:t>
            </w:r>
          </w:p>
        </w:tc>
        <w:tc>
          <w:tcPr>
            <w:tcW w:w="34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160"/>
        </w:trPr>
        <w:tc>
          <w:tcPr>
            <w:tcW w:w="7040" w:type="dxa"/>
            <w:vAlign w:val="bottom"/>
            <w:gridSpan w:val="3"/>
          </w:tcPr>
          <w:p>
            <w:pPr>
              <w:ind w:left="20"/>
              <w:spacing w:after="0" w:line="161" w:lineRule="exact"/>
              <w:rPr>
                <w:sz w:val="20"/>
                <w:szCs w:val="20"/>
                <w:color w:val="auto"/>
              </w:rPr>
            </w:pPr>
            <w:r>
              <w:rPr>
                <w:rFonts w:ascii="Arial" w:cs="Arial" w:eastAsia="Arial" w:hAnsi="Arial"/>
                <w:sz w:val="17"/>
                <w:szCs w:val="17"/>
                <w:b w:val="1"/>
                <w:bCs w:val="1"/>
                <w:color w:val="auto"/>
              </w:rPr>
              <w:t>Net loss per share of Class A, B and Exchangeable common stock, basic and</w:t>
            </w: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2"/>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diluted</w:t>
            </w:r>
          </w:p>
        </w:tc>
        <w:tc>
          <w:tcPr>
            <w:tcW w:w="3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9"/>
        </w:trPr>
        <w:tc>
          <w:tcPr>
            <w:tcW w:w="704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7"/>
                <w:szCs w:val="17"/>
                <w:b w:val="1"/>
                <w:bCs w:val="1"/>
                <w:color w:val="auto"/>
              </w:rPr>
              <w:t>Weighted-average shares (Class A, B and Exchangeable) outstanding, basic</w:t>
            </w:r>
          </w:p>
        </w:tc>
        <w:tc>
          <w:tcPr>
            <w:tcW w:w="1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32"/>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and diluted</w:t>
            </w:r>
          </w:p>
        </w:tc>
        <w:tc>
          <w:tcPr>
            <w:tcW w:w="34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274,207,146</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207,853,702</w:t>
            </w: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175,537,487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See the accompanying notes to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9" w:name="page190"/>
    <w:bookmarkEnd w:id="189"/>
    <w:tbl>
      <w:tblPr>
        <w:tblLayout w:type="fixed"/>
        <w:tblInd w:w="0" w:type="dxa"/>
        <w:tblCellMar>
          <w:top w:w="0" w:type="dxa"/>
          <w:left w:w="0" w:type="dxa"/>
          <w:bottom w:w="0" w:type="dxa"/>
          <w:right w:w="0" w:type="dxa"/>
        </w:tblCellMar>
      </w:tblPr>
      <w:tr>
        <w:trPr>
          <w:trHeight w:val="195"/>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73"/>
        </w:trPr>
        <w:tc>
          <w:tcPr>
            <w:tcW w:w="1220" w:type="dxa"/>
            <w:vAlign w:val="bottom"/>
            <w:tcBorders>
              <w:top w:val="single" w:sz="8" w:color="0000FF"/>
            </w:tcBorders>
          </w:tcPr>
          <w:p>
            <w:pPr>
              <w:spacing w:after="0"/>
              <w:rPr>
                <w:sz w:val="24"/>
                <w:szCs w:val="24"/>
                <w:color w:val="auto"/>
              </w:rPr>
            </w:pPr>
          </w:p>
        </w:tc>
        <w:tc>
          <w:tcPr>
            <w:tcW w:w="2040" w:type="dxa"/>
            <w:vAlign w:val="bottom"/>
          </w:tcPr>
          <w:p>
            <w:pPr>
              <w:spacing w:after="0"/>
              <w:rPr>
                <w:sz w:val="24"/>
                <w:szCs w:val="24"/>
                <w:color w:val="auto"/>
              </w:rPr>
            </w:pPr>
          </w:p>
        </w:tc>
        <w:tc>
          <w:tcPr>
            <w:tcW w:w="3820" w:type="dxa"/>
            <w:vAlign w:val="bottom"/>
            <w:gridSpan w:val="2"/>
          </w:tcPr>
          <w:p>
            <w:pPr>
              <w:jc w:val="center"/>
              <w:ind w:left="814"/>
              <w:spacing w:after="0"/>
              <w:rPr>
                <w:sz w:val="20"/>
                <w:szCs w:val="20"/>
                <w:color w:val="auto"/>
              </w:rPr>
            </w:pPr>
            <w:r>
              <w:rPr>
                <w:rFonts w:ascii="Arial" w:cs="Arial" w:eastAsia="Arial" w:hAnsi="Arial"/>
                <w:sz w:val="17"/>
                <w:szCs w:val="17"/>
                <w:b w:val="1"/>
                <w:bCs w:val="1"/>
                <w:color w:val="1E1E1E"/>
              </w:rPr>
              <w:t>Recursion Pharmaceuticals, Inc.</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8"/>
        </w:trPr>
        <w:tc>
          <w:tcPr>
            <w:tcW w:w="1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20" w:type="dxa"/>
            <w:vAlign w:val="bottom"/>
            <w:gridSpan w:val="3"/>
          </w:tcPr>
          <w:p>
            <w:pPr>
              <w:jc w:val="center"/>
              <w:ind w:right="94"/>
              <w:spacing w:after="0"/>
              <w:rPr>
                <w:sz w:val="20"/>
                <w:szCs w:val="20"/>
                <w:color w:val="auto"/>
              </w:rPr>
            </w:pPr>
            <w:r>
              <w:rPr>
                <w:rFonts w:ascii="Arial" w:cs="Arial" w:eastAsia="Arial" w:hAnsi="Arial"/>
                <w:sz w:val="17"/>
                <w:szCs w:val="17"/>
                <w:b w:val="1"/>
                <w:bCs w:val="1"/>
                <w:color w:val="1E1E1E"/>
              </w:rPr>
              <w:t>Consolidated Statements of Comprehensive Loss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6"/>
        </w:trPr>
        <w:tc>
          <w:tcPr>
            <w:tcW w:w="1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20" w:type="dxa"/>
            <w:vAlign w:val="bottom"/>
            <w:gridSpan w:val="2"/>
          </w:tcPr>
          <w:p>
            <w:pPr>
              <w:jc w:val="center"/>
              <w:ind w:left="834"/>
              <w:spacing w:after="0"/>
              <w:rPr>
                <w:sz w:val="20"/>
                <w:szCs w:val="20"/>
                <w:color w:val="auto"/>
              </w:rPr>
            </w:pPr>
            <w:r>
              <w:rPr>
                <w:rFonts w:ascii="Arial" w:cs="Arial" w:eastAsia="Arial" w:hAnsi="Arial"/>
                <w:sz w:val="17"/>
                <w:szCs w:val="17"/>
                <w:b w:val="1"/>
                <w:bCs w:val="1"/>
                <w:i w:val="1"/>
                <w:iCs w:val="1"/>
                <w:color w:val="1E1E1E"/>
              </w:rPr>
              <w:t>(in thousands)</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97"/>
        </w:trPr>
        <w:tc>
          <w:tcPr>
            <w:tcW w:w="1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b w:val="1"/>
                <w:bCs w:val="1"/>
                <w:color w:val="auto"/>
              </w:rPr>
              <w:t>Years ended December 31,</w:t>
            </w:r>
          </w:p>
        </w:tc>
        <w:tc>
          <w:tcPr>
            <w:tcW w:w="1080" w:type="dxa"/>
            <w:vAlign w:val="bottom"/>
            <w:tcBorders>
              <w:bottom w:val="single" w:sz="8" w:color="auto"/>
            </w:tcBorders>
          </w:tcPr>
          <w:p>
            <w:pPr>
              <w:spacing w:after="0"/>
              <w:rPr>
                <w:sz w:val="24"/>
                <w:szCs w:val="24"/>
                <w:color w:val="auto"/>
              </w:rPr>
            </w:pPr>
          </w:p>
        </w:tc>
      </w:tr>
      <w:tr>
        <w:trPr>
          <w:trHeight w:val="251"/>
        </w:trPr>
        <w:tc>
          <w:tcPr>
            <w:tcW w:w="122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33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2024</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2023</w:t>
            </w: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1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33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(463,661)</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(328,066)</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(239,476)</w:t>
            </w:r>
          </w:p>
        </w:tc>
      </w:tr>
      <w:tr>
        <w:trPr>
          <w:trHeight w:val="258"/>
        </w:trPr>
        <w:tc>
          <w:tcPr>
            <w:tcW w:w="3260" w:type="dxa"/>
            <w:vAlign w:val="bottom"/>
            <w:gridSpan w:val="2"/>
          </w:tcPr>
          <w:p>
            <w:pPr>
              <w:spacing w:after="0"/>
              <w:rPr>
                <w:sz w:val="22"/>
                <w:szCs w:val="22"/>
                <w:color w:val="auto"/>
              </w:rPr>
            </w:pPr>
          </w:p>
        </w:tc>
        <w:tc>
          <w:tcPr>
            <w:tcW w:w="3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loss:</w:t>
            </w:r>
          </w:p>
        </w:tc>
        <w:tc>
          <w:tcPr>
            <w:tcW w:w="3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260" w:type="dxa"/>
            <w:vAlign w:val="bottom"/>
            <w:gridSpan w:val="2"/>
          </w:tcPr>
          <w:p>
            <w:pPr>
              <w:ind w:left="20"/>
              <w:spacing w:after="0"/>
              <w:rPr>
                <w:sz w:val="20"/>
                <w:szCs w:val="20"/>
                <w:color w:val="auto"/>
              </w:rPr>
            </w:pPr>
            <w:r>
              <w:rPr>
                <w:rFonts w:ascii="Arial" w:cs="Arial" w:eastAsia="Arial" w:hAnsi="Arial"/>
                <w:sz w:val="17"/>
                <w:szCs w:val="17"/>
                <w:color w:val="auto"/>
              </w:rPr>
              <w:t>Currency translation adjustments</w:t>
            </w:r>
          </w:p>
        </w:tc>
        <w:tc>
          <w:tcPr>
            <w:tcW w:w="3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(7,637)</w:t>
            </w:r>
          </w:p>
        </w:tc>
        <w:tc>
          <w:tcPr>
            <w:tcW w:w="3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Unrealized gain on investments</w:t>
            </w:r>
          </w:p>
        </w:tc>
        <w:tc>
          <w:tcPr>
            <w:tcW w:w="3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19"/>
        </w:trPr>
        <w:tc>
          <w:tcPr>
            <w:tcW w:w="708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color w:val="auto"/>
              </w:rPr>
              <w:t>Net realized loss on investments reclassified into net loss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12"/>
        </w:trPr>
        <w:tc>
          <w:tcPr>
            <w:tcW w:w="3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33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(7,637)</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12"/>
        </w:trPr>
        <w:tc>
          <w:tcPr>
            <w:tcW w:w="32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Comprehensive loss</w:t>
            </w:r>
          </w:p>
        </w:tc>
        <w:tc>
          <w:tcPr>
            <w:tcW w:w="382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(471,298)</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(328,066)</w:t>
            </w: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(239,350)</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See the accompanying notes to these consolidated financial statements.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90" w:name="page191"/>
    <w:bookmarkEnd w:id="190"/>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1E1E1E"/>
        </w:rPr>
        <w:t>Recursion Pharmaceuticals, Inc.</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1E1E1E"/>
        </w:rPr>
        <w:t>Consolidated Statements of Stockholders’ Equity</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i w:val="1"/>
          <w:iCs w:val="1"/>
          <w:color w:val="1E1E1E"/>
        </w:rPr>
        <w:t>(in thousands, except share amounts)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spacing w:after="0"/>
              <w:rPr>
                <w:sz w:val="14"/>
                <w:szCs w:val="14"/>
                <w:color w:val="auto"/>
              </w:rPr>
            </w:pPr>
          </w:p>
        </w:tc>
        <w:tc>
          <w:tcPr>
            <w:tcW w:w="2320" w:type="dxa"/>
            <w:vAlign w:val="bottom"/>
            <w:gridSpan w:val="2"/>
          </w:tcPr>
          <w:p>
            <w:pPr>
              <w:jc w:val="right"/>
              <w:ind w:right="583"/>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32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rPr>
              <w:t>(Class A, B and Exchangeable)</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 Paid-in-</w:t>
            </w:r>
          </w:p>
        </w:tc>
        <w:tc>
          <w:tcPr>
            <w:tcW w:w="180" w:type="dxa"/>
            <w:vAlign w:val="bottom"/>
          </w:tcPr>
          <w:p>
            <w:pPr>
              <w:spacing w:after="0"/>
              <w:rPr>
                <w:sz w:val="17"/>
                <w:szCs w:val="17"/>
                <w:color w:val="auto"/>
              </w:rPr>
            </w:pPr>
          </w:p>
        </w:tc>
        <w:tc>
          <w:tcPr>
            <w:tcW w:w="1140" w:type="dxa"/>
            <w:vAlign w:val="bottom"/>
          </w:tcPr>
          <w:p>
            <w:pPr>
              <w:jc w:val="right"/>
              <w:ind w:right="143"/>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1380" w:type="dxa"/>
            <w:vAlign w:val="bottom"/>
          </w:tcPr>
          <w:p>
            <w:pPr>
              <w:jc w:val="right"/>
              <w:ind w:right="43"/>
              <w:spacing w:after="0"/>
              <w:rPr>
                <w:sz w:val="20"/>
                <w:szCs w:val="20"/>
                <w:color w:val="auto"/>
              </w:rPr>
            </w:pPr>
            <w:r>
              <w:rPr>
                <w:rFonts w:ascii="Arial" w:cs="Arial" w:eastAsia="Arial" w:hAnsi="Arial"/>
                <w:sz w:val="14"/>
                <w:szCs w:val="14"/>
                <w:b w:val="1"/>
                <w:bCs w:val="1"/>
                <w:color w:val="auto"/>
                <w:w w:val="97"/>
              </w:rPr>
              <w:t>Accumulated other</w:t>
            </w:r>
          </w:p>
        </w:tc>
        <w:tc>
          <w:tcPr>
            <w:tcW w:w="160" w:type="dxa"/>
            <w:vAlign w:val="bottom"/>
          </w:tcPr>
          <w:p>
            <w:pPr>
              <w:spacing w:after="0"/>
              <w:rPr>
                <w:sz w:val="17"/>
                <w:szCs w:val="17"/>
                <w:color w:val="auto"/>
              </w:rPr>
            </w:pPr>
          </w:p>
        </w:tc>
        <w:tc>
          <w:tcPr>
            <w:tcW w:w="1200" w:type="dxa"/>
            <w:vAlign w:val="bottom"/>
          </w:tcPr>
          <w:p>
            <w:pPr>
              <w:jc w:val="right"/>
              <w:ind w:right="143"/>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5"/>
        </w:trPr>
        <w:tc>
          <w:tcPr>
            <w:tcW w:w="3340" w:type="dxa"/>
            <w:vAlign w:val="bottom"/>
          </w:tcPr>
          <w:p>
            <w:pPr>
              <w:spacing w:after="0"/>
              <w:rPr>
                <w:sz w:val="3"/>
                <w:szCs w:val="3"/>
                <w:color w:val="auto"/>
              </w:rPr>
            </w:pPr>
          </w:p>
        </w:tc>
        <w:tc>
          <w:tcPr>
            <w:tcW w:w="136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Shares</w:t>
            </w:r>
          </w:p>
        </w:tc>
        <w:tc>
          <w:tcPr>
            <w:tcW w:w="9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Deficit</w:t>
            </w:r>
          </w:p>
        </w:tc>
        <w:tc>
          <w:tcPr>
            <w:tcW w:w="1500" w:type="dxa"/>
            <w:vAlign w:val="bottom"/>
            <w:gridSpan w:val="2"/>
            <w:vMerge w:val="restart"/>
          </w:tcPr>
          <w:p>
            <w:pPr>
              <w:jc w:val="right"/>
              <w:ind w:right="3"/>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3"/>
                <w:szCs w:val="3"/>
                <w:color w:val="auto"/>
              </w:rPr>
            </w:pPr>
          </w:p>
        </w:tc>
        <w:tc>
          <w:tcPr>
            <w:tcW w:w="120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77"/>
        </w:trPr>
        <w:tc>
          <w:tcPr>
            <w:tcW w:w="334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13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170,272,462</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943,142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542,938</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Net loss</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(239,476)</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(239,476)</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w:t>
            </w:r>
          </w:p>
        </w:tc>
        <w:tc>
          <w:tcPr>
            <w:tcW w:w="13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Common stock issuance for private placement,</w:t>
            </w:r>
          </w:p>
        </w:tc>
        <w:tc>
          <w:tcPr>
            <w:tcW w:w="1360" w:type="dxa"/>
            <w:vAlign w:val="bottom"/>
            <w:vMerge w:val="restart"/>
          </w:tcPr>
          <w:p>
            <w:pPr>
              <w:jc w:val="right"/>
              <w:ind w:right="84"/>
              <w:spacing w:after="0"/>
              <w:rPr>
                <w:sz w:val="20"/>
                <w:szCs w:val="20"/>
                <w:color w:val="auto"/>
              </w:rPr>
            </w:pPr>
            <w:r>
              <w:rPr>
                <w:rFonts w:ascii="Arial" w:cs="Arial" w:eastAsia="Arial" w:hAnsi="Arial"/>
                <w:sz w:val="15"/>
                <w:szCs w:val="15"/>
                <w:color w:val="auto"/>
              </w:rPr>
              <w:t>15,336,734</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143,711</w:t>
            </w: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5"/>
                <w:szCs w:val="15"/>
                <w:color w:val="auto"/>
              </w:rPr>
              <w:t>143,711</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net of issuance costs</w:t>
            </w:r>
          </w:p>
        </w:tc>
        <w:tc>
          <w:tcPr>
            <w:tcW w:w="13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 exercises and other</w:t>
            </w:r>
          </w:p>
        </w:tc>
        <w:tc>
          <w:tcPr>
            <w:tcW w:w="13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5,413,668</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10,598</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Stock based compensation</w:t>
            </w:r>
          </w:p>
        </w:tc>
        <w:tc>
          <w:tcPr>
            <w:tcW w:w="1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27,909</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27,909</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2022</w:t>
            </w:r>
          </w:p>
        </w:tc>
        <w:tc>
          <w:tcPr>
            <w:tcW w:w="13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191,022,864</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1,125,360</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(639,556)</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485,806</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Net loss</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(328,066)</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(328,066)</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 exercises and other</w:t>
            </w:r>
          </w:p>
        </w:tc>
        <w:tc>
          <w:tcPr>
            <w:tcW w:w="13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9,058,817</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12,831</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53,503</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53,503</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Common stock sales issuances, net of issuance</w:t>
            </w:r>
          </w:p>
        </w:tc>
        <w:tc>
          <w:tcPr>
            <w:tcW w:w="13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19,658,963</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128,093</w:t>
            </w: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128,093</w:t>
            </w: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w:t>
            </w:r>
          </w:p>
        </w:tc>
        <w:tc>
          <w:tcPr>
            <w:tcW w:w="13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Class A shares and stock options issued for</w:t>
            </w:r>
          </w:p>
        </w:tc>
        <w:tc>
          <w:tcPr>
            <w:tcW w:w="1360" w:type="dxa"/>
            <w:vAlign w:val="bottom"/>
            <w:vMerge w:val="restart"/>
          </w:tcPr>
          <w:p>
            <w:pPr>
              <w:jc w:val="right"/>
              <w:ind w:right="84"/>
              <w:spacing w:after="0"/>
              <w:rPr>
                <w:sz w:val="20"/>
                <w:szCs w:val="20"/>
                <w:color w:val="auto"/>
              </w:rPr>
            </w:pPr>
            <w:r>
              <w:rPr>
                <w:rFonts w:ascii="Arial" w:cs="Arial" w:eastAsia="Arial" w:hAnsi="Arial"/>
                <w:sz w:val="15"/>
                <w:szCs w:val="15"/>
                <w:color w:val="auto"/>
              </w:rPr>
              <w:t>11,303,838</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89,269</w:t>
            </w: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5"/>
                <w:szCs w:val="15"/>
                <w:color w:val="auto"/>
              </w:rPr>
              <w:t>89,269</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acquisitions</w:t>
            </w:r>
          </w:p>
        </w:tc>
        <w:tc>
          <w:tcPr>
            <w:tcW w:w="13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Common stock issued for Tempus agreement</w:t>
            </w:r>
          </w:p>
        </w:tc>
        <w:tc>
          <w:tcPr>
            <w:tcW w:w="13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3,225,902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22,000</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22,000</w:t>
            </w:r>
          </w:p>
        </w:tc>
        <w:tc>
          <w:tcPr>
            <w:tcW w:w="0" w:type="dxa"/>
            <w:vAlign w:val="bottom"/>
          </w:tcPr>
          <w:p>
            <w:pPr>
              <w:spacing w:after="0"/>
              <w:rPr>
                <w:sz w:val="1"/>
                <w:szCs w:val="1"/>
                <w:color w:val="auto"/>
              </w:rPr>
            </w:pPr>
          </w:p>
        </w:tc>
      </w:tr>
      <w:tr>
        <w:trPr>
          <w:trHeight w:val="200"/>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Balance as of December 31, 2023</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234,270,384</w:t>
            </w:r>
          </w:p>
        </w:tc>
        <w:tc>
          <w:tcPr>
            <w:tcW w:w="960" w:type="dxa"/>
            <w:vAlign w:val="bottom"/>
          </w:tcPr>
          <w:p>
            <w:pPr>
              <w:jc w:val="right"/>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1,431,056</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(967,622)</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463,436</w:t>
            </w: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3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(463,661)</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(463,661)</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Other comprehensive loss</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(7,637)</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(7,637)</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 exercises and other</w:t>
            </w:r>
          </w:p>
        </w:tc>
        <w:tc>
          <w:tcPr>
            <w:tcW w:w="13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11,359,808</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8,299</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3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81,688</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81,688</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Common stock sales issuances, net of issuance</w:t>
            </w:r>
          </w:p>
        </w:tc>
        <w:tc>
          <w:tcPr>
            <w:tcW w:w="13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45,535,390</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300,532</w:t>
            </w: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300,533</w:t>
            </w: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w:t>
            </w:r>
          </w:p>
        </w:tc>
        <w:tc>
          <w:tcPr>
            <w:tcW w:w="13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5"/>
                <w:szCs w:val="15"/>
                <w:color w:val="auto"/>
              </w:rPr>
              <w:t>Class A shares and stock compensation issued</w:t>
            </w:r>
          </w:p>
        </w:tc>
        <w:tc>
          <w:tcPr>
            <w:tcW w:w="1360" w:type="dxa"/>
            <w:vAlign w:val="bottom"/>
            <w:vMerge w:val="restart"/>
          </w:tcPr>
          <w:p>
            <w:pPr>
              <w:jc w:val="right"/>
              <w:ind w:right="84"/>
              <w:spacing w:after="0"/>
              <w:rPr>
                <w:sz w:val="20"/>
                <w:szCs w:val="20"/>
                <w:color w:val="auto"/>
              </w:rPr>
            </w:pPr>
            <w:r>
              <w:rPr>
                <w:rFonts w:ascii="Arial" w:cs="Arial" w:eastAsia="Arial" w:hAnsi="Arial"/>
                <w:sz w:val="15"/>
                <w:szCs w:val="15"/>
                <w:color w:val="auto"/>
              </w:rPr>
              <w:t>102,138,419</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630,123</w:t>
            </w: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5"/>
                <w:szCs w:val="15"/>
                <w:color w:val="auto"/>
              </w:rPr>
              <w:t>630,124</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for acquisitions</w:t>
            </w:r>
          </w:p>
        </w:tc>
        <w:tc>
          <w:tcPr>
            <w:tcW w:w="13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Common stock issued for Tempus agreement</w:t>
            </w:r>
          </w:p>
        </w:tc>
        <w:tc>
          <w:tcPr>
            <w:tcW w:w="13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3,498,393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22,000</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22,000</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December 31, 2024</w:t>
            </w:r>
          </w:p>
        </w:tc>
        <w:tc>
          <w:tcPr>
            <w:tcW w:w="13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396,802,394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2,473,698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(1,431,283)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1,034,782</w:t>
            </w: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1E1E1E"/>
        </w:rPr>
        <w:t>See the accompanying notes to these consolidated financial statements.</w:t>
      </w:r>
    </w:p>
    <w:p>
      <w:pPr>
        <w:sectPr>
          <w:pgSz w:w="11900" w:h="16838" w:orient="portrait"/>
          <w:cols w:equalWidth="0" w:num="1">
            <w:col w:w="11180"/>
          </w:cols>
          <w:pgMar w:left="38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77470</wp:posOffset>
            </wp:positionV>
            <wp:extent cx="7164070" cy="419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80" w:top="136" w:right="33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E1E1E"/>
        </w:rPr>
        <w:t>Recursion Pharmaceuticals,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E1E1E"/>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1E1E1E"/>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2023</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02"/>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(463,661)</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(328,066)</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(239,476)</w:t>
            </w:r>
          </w:p>
        </w:tc>
        <w:tc>
          <w:tcPr>
            <w:tcW w:w="0" w:type="dxa"/>
            <w:vAlign w:val="bottom"/>
          </w:tcPr>
          <w:p>
            <w:pPr>
              <w:spacing w:after="0"/>
              <w:rPr>
                <w:sz w:val="1"/>
                <w:szCs w:val="1"/>
                <w:color w:val="auto"/>
              </w:rPr>
            </w:pPr>
          </w:p>
        </w:tc>
      </w:tr>
      <w:tr>
        <w:trPr>
          <w:trHeight w:val="205"/>
        </w:trPr>
        <w:tc>
          <w:tcPr>
            <w:tcW w:w="7340" w:type="dxa"/>
            <w:vAlign w:val="bottom"/>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36,494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24,402</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11,756</w:t>
            </w:r>
          </w:p>
        </w:tc>
        <w:tc>
          <w:tcPr>
            <w:tcW w:w="0" w:type="dxa"/>
            <w:vAlign w:val="bottom"/>
          </w:tcPr>
          <w:p>
            <w:pPr>
              <w:spacing w:after="0"/>
              <w:rPr>
                <w:sz w:val="1"/>
                <w:szCs w:val="1"/>
                <w:color w:val="auto"/>
              </w:rPr>
            </w:pPr>
          </w:p>
        </w:tc>
      </w:tr>
      <w:tr>
        <w:trPr>
          <w:trHeight w:val="205"/>
        </w:trPr>
        <w:tc>
          <w:tcPr>
            <w:tcW w:w="7340" w:type="dxa"/>
            <w:vAlign w:val="bottom"/>
          </w:tcPr>
          <w:p>
            <w:pPr>
              <w:ind w:left="120"/>
              <w:spacing w:after="0"/>
              <w:rPr>
                <w:sz w:val="20"/>
                <w:szCs w:val="20"/>
                <w:color w:val="auto"/>
              </w:rPr>
            </w:pPr>
            <w:r>
              <w:rPr>
                <w:rFonts w:ascii="Arial" w:cs="Arial" w:eastAsia="Arial" w:hAnsi="Arial"/>
                <w:sz w:val="15"/>
                <w:szCs w:val="15"/>
                <w:color w:val="auto"/>
              </w:rPr>
              <w:t>Stock-based compensation</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81,688</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53,503</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27,909</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Asset impairment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2,806</w:t>
            </w:r>
          </w:p>
        </w:tc>
        <w:tc>
          <w:tcPr>
            <w:tcW w:w="0" w:type="dxa"/>
            <w:vAlign w:val="bottom"/>
          </w:tcPr>
          <w:p>
            <w:pPr>
              <w:spacing w:after="0"/>
              <w:rPr>
                <w:sz w:val="1"/>
                <w:szCs w:val="1"/>
                <w:color w:val="auto"/>
              </w:rPr>
            </w:pPr>
          </w:p>
        </w:tc>
      </w:tr>
      <w:tr>
        <w:trPr>
          <w:trHeight w:val="205"/>
        </w:trPr>
        <w:tc>
          <w:tcPr>
            <w:tcW w:w="7340" w:type="dxa"/>
            <w:vAlign w:val="bottom"/>
          </w:tcPr>
          <w:p>
            <w:pPr>
              <w:ind w:left="120"/>
              <w:spacing w:after="0"/>
              <w:rPr>
                <w:sz w:val="20"/>
                <w:szCs w:val="20"/>
                <w:color w:val="auto"/>
              </w:rPr>
            </w:pPr>
            <w:r>
              <w:rPr>
                <w:rFonts w:ascii="Arial" w:cs="Arial" w:eastAsia="Arial" w:hAnsi="Arial"/>
                <w:sz w:val="15"/>
                <w:szCs w:val="15"/>
                <w:color w:val="auto"/>
              </w:rPr>
              <w:t>Lease expense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16,616</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8,063</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7,730</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net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3,387</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w:t>
            </w:r>
          </w:p>
        </w:tc>
        <w:tc>
          <w:tcPr>
            <w:tcW w:w="0" w:type="dxa"/>
            <w:vAlign w:val="bottom"/>
          </w:tcPr>
          <w:p>
            <w:pPr>
              <w:spacing w:after="0"/>
              <w:rPr>
                <w:sz w:val="1"/>
                <w:szCs w:val="1"/>
                <w:color w:val="auto"/>
              </w:rPr>
            </w:pPr>
          </w:p>
        </w:tc>
      </w:tr>
      <w:tr>
        <w:trPr>
          <w:trHeight w:val="205"/>
        </w:trPr>
        <w:tc>
          <w:tcPr>
            <w:tcW w:w="7340" w:type="dxa"/>
            <w:vAlign w:val="bottom"/>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receivables and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(6,071)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(7,756)</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5"/>
        </w:trPr>
        <w:tc>
          <w:tcPr>
            <w:tcW w:w="7340" w:type="dxa"/>
            <w:vAlign w:val="bottom"/>
          </w:tcPr>
          <w:p>
            <w:pPr>
              <w:ind w:left="320"/>
              <w:spacing w:after="0"/>
              <w:rPr>
                <w:sz w:val="20"/>
                <w:szCs w:val="20"/>
                <w:color w:val="auto"/>
              </w:rPr>
            </w:pPr>
            <w:r>
              <w:rPr>
                <w:rFonts w:ascii="Arial" w:cs="Arial" w:eastAsia="Arial" w:hAnsi="Arial"/>
                <w:sz w:val="15"/>
                <w:szCs w:val="15"/>
                <w:color w:val="auto"/>
              </w:rPr>
              <w:t>Unearned revenue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(28,038)</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(41,076)</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110,320</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6,435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0" w:type="dxa"/>
            <w:vAlign w:val="bottom"/>
          </w:tcPr>
          <w:p>
            <w:pPr>
              <w:spacing w:after="0"/>
              <w:rPr>
                <w:sz w:val="1"/>
                <w:szCs w:val="1"/>
                <w:color w:val="auto"/>
              </w:rPr>
            </w:pPr>
          </w:p>
        </w:tc>
      </w:tr>
      <w:tr>
        <w:trPr>
          <w:trHeight w:val="205"/>
        </w:trPr>
        <w:tc>
          <w:tcPr>
            <w:tcW w:w="7340" w:type="dxa"/>
            <w:vAlign w:val="bottom"/>
          </w:tcPr>
          <w:p>
            <w:pPr>
              <w:ind w:left="320"/>
              <w:spacing w:after="0"/>
              <w:rPr>
                <w:sz w:val="20"/>
                <w:szCs w:val="20"/>
                <w:color w:val="auto"/>
              </w:rPr>
            </w:pPr>
            <w:r>
              <w:rPr>
                <w:rFonts w:ascii="Arial" w:cs="Arial" w:eastAsia="Arial" w:hAnsi="Arial"/>
                <w:sz w:val="15"/>
                <w:szCs w:val="15"/>
                <w:color w:val="auto"/>
              </w:rPr>
              <w:t>Accrued development expense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(264)</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2,705</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522</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6,719</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w:t>
            </w:r>
          </w:p>
        </w:tc>
        <w:tc>
          <w:tcPr>
            <w:tcW w:w="0" w:type="dxa"/>
            <w:vAlign w:val="bottom"/>
          </w:tcPr>
          <w:p>
            <w:pPr>
              <w:spacing w:after="0"/>
              <w:rPr>
                <w:sz w:val="1"/>
                <w:szCs w:val="1"/>
                <w:color w:val="auto"/>
              </w:rPr>
            </w:pPr>
          </w:p>
        </w:tc>
      </w:tr>
      <w:tr>
        <w:trPr>
          <w:trHeight w:val="205"/>
        </w:trPr>
        <w:tc>
          <w:tcPr>
            <w:tcW w:w="73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Lease liabilities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(15,582)</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(9,862)</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(7,110)</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operating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(359,174)</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(287,780)</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(83,524)</w:t>
            </w:r>
          </w:p>
        </w:tc>
        <w:tc>
          <w:tcPr>
            <w:tcW w:w="0" w:type="dxa"/>
            <w:vAlign w:val="bottom"/>
          </w:tcPr>
          <w:p>
            <w:pPr>
              <w:spacing w:after="0"/>
              <w:rPr>
                <w:sz w:val="1"/>
                <w:szCs w:val="1"/>
                <w:color w:val="auto"/>
              </w:rPr>
            </w:pPr>
          </w:p>
        </w:tc>
      </w:tr>
      <w:tr>
        <w:trPr>
          <w:trHeight w:val="103"/>
        </w:trPr>
        <w:tc>
          <w:tcPr>
            <w:tcW w:w="7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40" w:type="dxa"/>
            <w:vAlign w:val="bottom"/>
          </w:tcPr>
          <w:p>
            <w:pPr>
              <w:ind w:left="120"/>
              <w:spacing w:after="0"/>
              <w:rPr>
                <w:sz w:val="20"/>
                <w:szCs w:val="20"/>
                <w:color w:val="auto"/>
              </w:rPr>
            </w:pPr>
            <w:r>
              <w:rPr>
                <w:rFonts w:ascii="Arial" w:cs="Arial" w:eastAsia="Arial" w:hAnsi="Arial"/>
                <w:sz w:val="15"/>
                <w:szCs w:val="15"/>
                <w:color w:val="auto"/>
              </w:rPr>
              <w:t>Net cash acquired in the acquisition of a business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277,104</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1,844</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Purchases of property and equipment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(13,695)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(11,955)</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(37,059)</w:t>
            </w:r>
          </w:p>
        </w:tc>
        <w:tc>
          <w:tcPr>
            <w:tcW w:w="0" w:type="dxa"/>
            <w:vAlign w:val="bottom"/>
          </w:tcPr>
          <w:p>
            <w:pPr>
              <w:spacing w:after="0"/>
              <w:rPr>
                <w:sz w:val="1"/>
                <w:szCs w:val="1"/>
                <w:color w:val="auto"/>
              </w:rPr>
            </w:pPr>
          </w:p>
        </w:tc>
      </w:tr>
      <w:tr>
        <w:trPr>
          <w:trHeight w:val="205"/>
        </w:trPr>
        <w:tc>
          <w:tcPr>
            <w:tcW w:w="7340" w:type="dxa"/>
            <w:vAlign w:val="bottom"/>
          </w:tcPr>
          <w:p>
            <w:pPr>
              <w:ind w:left="120"/>
              <w:spacing w:after="0"/>
              <w:rPr>
                <w:sz w:val="20"/>
                <w:szCs w:val="20"/>
                <w:color w:val="auto"/>
              </w:rPr>
            </w:pPr>
            <w:r>
              <w:rPr>
                <w:rFonts w:ascii="Arial" w:cs="Arial" w:eastAsia="Arial" w:hAnsi="Arial"/>
                <w:sz w:val="15"/>
                <w:szCs w:val="15"/>
                <w:color w:val="auto"/>
              </w:rPr>
              <w:t>Purchases of intangible assets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(3,350)</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(597)</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6"/>
        </w:trPr>
        <w:tc>
          <w:tcPr>
            <w:tcW w:w="7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Sales and maturities of investments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230,608</w:t>
            </w:r>
          </w:p>
        </w:tc>
        <w:tc>
          <w:tcPr>
            <w:tcW w:w="0" w:type="dxa"/>
            <w:vAlign w:val="bottom"/>
          </w:tcPr>
          <w:p>
            <w:pPr>
              <w:spacing w:after="0"/>
              <w:rPr>
                <w:sz w:val="1"/>
                <w:szCs w:val="1"/>
                <w:color w:val="auto"/>
              </w:rPr>
            </w:pPr>
          </w:p>
        </w:tc>
      </w:tr>
      <w:tr>
        <w:trPr>
          <w:trHeight w:val="200"/>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Net cash provided by (used in) investing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260,059</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(10,228)</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193,249</w:t>
            </w:r>
          </w:p>
        </w:tc>
        <w:tc>
          <w:tcPr>
            <w:tcW w:w="0" w:type="dxa"/>
            <w:vAlign w:val="bottom"/>
          </w:tcPr>
          <w:p>
            <w:pPr>
              <w:spacing w:after="0"/>
              <w:rPr>
                <w:sz w:val="1"/>
                <w:szCs w:val="1"/>
                <w:color w:val="auto"/>
              </w:rPr>
            </w:pPr>
          </w:p>
        </w:tc>
      </w:tr>
      <w:tr>
        <w:trPr>
          <w:trHeight w:val="103"/>
        </w:trPr>
        <w:tc>
          <w:tcPr>
            <w:tcW w:w="73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issuance of common shares, net of issuance costs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300,417</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128,093</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143,711</w:t>
            </w:r>
          </w:p>
        </w:tc>
        <w:tc>
          <w:tcPr>
            <w:tcW w:w="0" w:type="dxa"/>
            <w:vAlign w:val="bottom"/>
          </w:tcPr>
          <w:p>
            <w:pPr>
              <w:spacing w:after="0"/>
              <w:rPr>
                <w:sz w:val="1"/>
                <w:szCs w:val="1"/>
                <w:color w:val="auto"/>
              </w:rPr>
            </w:pPr>
          </w:p>
        </w:tc>
      </w:tr>
      <w:tr>
        <w:trPr>
          <w:trHeight w:val="205"/>
        </w:trPr>
        <w:tc>
          <w:tcPr>
            <w:tcW w:w="7340" w:type="dxa"/>
            <w:vAlign w:val="bottom"/>
          </w:tcPr>
          <w:p>
            <w:pPr>
              <w:ind w:left="120"/>
              <w:spacing w:after="0"/>
              <w:rPr>
                <w:sz w:val="20"/>
                <w:szCs w:val="20"/>
                <w:color w:val="auto"/>
              </w:rPr>
            </w:pPr>
            <w:r>
              <w:rPr>
                <w:rFonts w:ascii="Arial" w:cs="Arial" w:eastAsia="Arial" w:hAnsi="Arial"/>
                <w:sz w:val="15"/>
                <w:szCs w:val="15"/>
                <w:color w:val="auto"/>
              </w:rPr>
              <w:t>Proceeds from equity incentive plans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8,143</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12,806</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10,724</w:t>
            </w:r>
          </w:p>
        </w:tc>
        <w:tc>
          <w:tcPr>
            <w:tcW w:w="0" w:type="dxa"/>
            <w:vAlign w:val="bottom"/>
          </w:tcPr>
          <w:p>
            <w:pPr>
              <w:spacing w:after="0"/>
              <w:rPr>
                <w:sz w:val="1"/>
                <w:szCs w:val="1"/>
                <w:color w:val="auto"/>
              </w:rPr>
            </w:pPr>
          </w:p>
        </w:tc>
      </w:tr>
      <w:tr>
        <w:trPr>
          <w:trHeight w:val="206"/>
        </w:trPr>
        <w:tc>
          <w:tcPr>
            <w:tcW w:w="7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Repayment of long-term debt and finance lease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(4,440)</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(766)</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0"/>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Net cash provided by financing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304,120</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140,133</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154,345</w:t>
            </w:r>
          </w:p>
        </w:tc>
        <w:tc>
          <w:tcPr>
            <w:tcW w:w="0" w:type="dxa"/>
            <w:vAlign w:val="bottom"/>
          </w:tcPr>
          <w:p>
            <w:pPr>
              <w:spacing w:after="0"/>
              <w:rPr>
                <w:sz w:val="1"/>
                <w:szCs w:val="1"/>
                <w:color w:val="auto"/>
              </w:rPr>
            </w:pPr>
          </w:p>
        </w:tc>
      </w:tr>
      <w:tr>
        <w:trPr>
          <w:trHeight w:val="103"/>
        </w:trPr>
        <w:tc>
          <w:tcPr>
            <w:tcW w:w="73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Effect of exchange rate changes on cash, cash equivalents and restricted cash</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(3,406)</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188</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(307)</w:t>
            </w:r>
          </w:p>
        </w:tc>
        <w:tc>
          <w:tcPr>
            <w:tcW w:w="0" w:type="dxa"/>
            <w:vAlign w:val="bottom"/>
          </w:tcPr>
          <w:p>
            <w:pPr>
              <w:spacing w:after="0"/>
              <w:rPr>
                <w:sz w:val="1"/>
                <w:szCs w:val="1"/>
                <w:color w:val="auto"/>
              </w:rPr>
            </w:pPr>
          </w:p>
        </w:tc>
      </w:tr>
      <w:tr>
        <w:trPr>
          <w:trHeight w:val="91"/>
        </w:trPr>
        <w:tc>
          <w:tcPr>
            <w:tcW w:w="7340" w:type="dxa"/>
            <w:vAlign w:val="bottom"/>
            <w:tcBorders>
              <w:bottom w:val="single" w:sz="8" w:color="auto"/>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Net change in cash, cash equivalents and restricted cash</w:t>
            </w:r>
          </w:p>
        </w:tc>
        <w:tc>
          <w:tcPr>
            <w:tcW w:w="2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201,599</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(157,687)</w:t>
            </w:r>
          </w:p>
        </w:tc>
        <w:tc>
          <w:tcPr>
            <w:tcW w:w="4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263,763</w:t>
            </w:r>
          </w:p>
        </w:tc>
        <w:tc>
          <w:tcPr>
            <w:tcW w:w="0" w:type="dxa"/>
            <w:vAlign w:val="bottom"/>
          </w:tcPr>
          <w:p>
            <w:pPr>
              <w:spacing w:after="0"/>
              <w:rPr>
                <w:sz w:val="1"/>
                <w:szCs w:val="1"/>
                <w:color w:val="auto"/>
              </w:rPr>
            </w:pPr>
          </w:p>
        </w:tc>
      </w:tr>
      <w:tr>
        <w:trPr>
          <w:trHeight w:val="57"/>
        </w:trPr>
        <w:tc>
          <w:tcPr>
            <w:tcW w:w="7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401,425</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559,112</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295,349</w:t>
            </w:r>
          </w:p>
        </w:tc>
        <w:tc>
          <w:tcPr>
            <w:tcW w:w="0" w:type="dxa"/>
            <w:vAlign w:val="bottom"/>
          </w:tcPr>
          <w:p>
            <w:pPr>
              <w:spacing w:after="0"/>
              <w:rPr>
                <w:sz w:val="1"/>
                <w:szCs w:val="1"/>
                <w:color w:val="auto"/>
              </w:rPr>
            </w:pPr>
          </w:p>
        </w:tc>
      </w:tr>
      <w:tr>
        <w:trPr>
          <w:trHeight w:val="200"/>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603,024</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401,425</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559,112</w:t>
            </w:r>
          </w:p>
        </w:tc>
        <w:tc>
          <w:tcPr>
            <w:tcW w:w="0" w:type="dxa"/>
            <w:vAlign w:val="bottom"/>
          </w:tcPr>
          <w:p>
            <w:pPr>
              <w:spacing w:after="0"/>
              <w:rPr>
                <w:sz w:val="1"/>
                <w:szCs w:val="1"/>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340" w:type="dxa"/>
            <w:vAlign w:val="bottom"/>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information</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Issuance of shares for the acquisitions of businesses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630,124</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89,269</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340" w:type="dxa"/>
            <w:vAlign w:val="bottom"/>
          </w:tcPr>
          <w:p>
            <w:pPr>
              <w:ind w:left="120"/>
              <w:spacing w:after="0"/>
              <w:rPr>
                <w:sz w:val="20"/>
                <w:szCs w:val="20"/>
                <w:color w:val="auto"/>
              </w:rPr>
            </w:pPr>
            <w:r>
              <w:rPr>
                <w:rFonts w:ascii="Arial" w:cs="Arial" w:eastAsia="Arial" w:hAnsi="Arial"/>
                <w:sz w:val="15"/>
                <w:szCs w:val="15"/>
                <w:color w:val="auto"/>
              </w:rPr>
              <w:t>Issuance of shares for Tempus agreement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22,000</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22,000</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Accrued property and equipment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2,439</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w:t>
            </w:r>
          </w:p>
        </w:tc>
        <w:tc>
          <w:tcPr>
            <w:tcW w:w="0" w:type="dxa"/>
            <w:vAlign w:val="bottom"/>
          </w:tcPr>
          <w:p>
            <w:pPr>
              <w:spacing w:after="0"/>
              <w:rPr>
                <w:sz w:val="1"/>
                <w:szCs w:val="1"/>
                <w:color w:val="auto"/>
              </w:rPr>
            </w:pPr>
          </w:p>
        </w:tc>
      </w:tr>
      <w:tr>
        <w:trPr>
          <w:trHeight w:val="205"/>
        </w:trPr>
        <w:tc>
          <w:tcPr>
            <w:tcW w:w="7340" w:type="dxa"/>
            <w:vAlign w:val="bottom"/>
          </w:tcPr>
          <w:p>
            <w:pPr>
              <w:ind w:left="120"/>
              <w:spacing w:after="0"/>
              <w:rPr>
                <w:sz w:val="20"/>
                <w:szCs w:val="20"/>
                <w:color w:val="auto"/>
              </w:rPr>
            </w:pPr>
            <w:r>
              <w:rPr>
                <w:rFonts w:ascii="Arial" w:cs="Arial" w:eastAsia="Arial" w:hAnsi="Arial"/>
                <w:sz w:val="15"/>
                <w:szCs w:val="15"/>
                <w:color w:val="auto"/>
              </w:rPr>
              <w:t>Purchase of an intangible asset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6,000</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See the accompanying notes to these consolidated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92" w:name="page193"/>
    <w:bookmarkEnd w:id="192"/>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E1E1E"/>
        </w:rPr>
        <w:t>Recursion Pharmaceuticals,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1.</w:t>
        <w:tab/>
        <w:t>Description of the Business</w:t>
      </w:r>
    </w:p>
    <w:p>
      <w:pPr>
        <w:spacing w:after="0" w:line="22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 xml:space="preserve">Recursion Pharmaceutical, Inc. (Recursion, the Company, we or our) is a clinical stage TechBio company decoding biology and chemistry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hypotheses into validated insights and novel chemistry.</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of December 31, 2024, the Company had an accumulated deficit of $1.4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 has funded its operations to date primarily through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December 31, 2024,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199"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Recursion believes that the Company’s existing cash and cash equivalents will be sufficient to fund the Company’s operating expenses and capital expenditures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consolidated financial statements have been prepared in accordance with U.S. generally accepted accounting principles (GAAP), which requires the Company to make estimates and assumptions that affect reported amounts and related disclosures. Actual results could differ from those amounts. Significant estimates and assumptions include the estimated progress towards the satisfaction of performance obligations to record revenue, the valuation of goodwill and intangible assets, accrued research and development expenses and the fair value of stock-based awards issued.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financial statements include the accounts of Recursion and its wholly-owned subsidiaries that the Company controls.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43"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Recursion operates and is managed as a single operating segment. The Company’s chief operating decision maker is its Chief Executive Officer, who allocates resources and assesses performance at the consolidated level.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43"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These financial instruments are primarily held at several financial institutions that management believes are of high credit quality. Recursion’s primary bank accounts significantly exceed the federally insured limits.</w:t>
      </w:r>
    </w:p>
    <w:p>
      <w:pPr>
        <w:spacing w:after="0" w:line="1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Company is dependent on third-party suppliers for certain research and development activities including preclinical and clinical testing. In particular, the Company relies on and expects to continue to rely on a small number of these suppliers. These activities could be adversely affected by a significant interruption to Recursion’s third-party suppliers including a delay in the Company’s preclinical and clinical testing and the supply of certain consumable products and compounds.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243"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Cash and cash equivalents includes bank deposits held in checking accounts and money market funds. Short-term highly liquid investments with maturities of three months or less at the time of purchase are classified as cash and cash equivalents.</w:t>
      </w:r>
    </w:p>
    <w:p>
      <w:pPr>
        <w:spacing w:after="0" w:line="17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Recursion also holds restricted cash as required by a lease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43" w:lineRule="exact"/>
        <w:rPr>
          <w:sz w:val="20"/>
          <w:szCs w:val="20"/>
          <w:color w:val="auto"/>
        </w:rPr>
      </w:pPr>
    </w:p>
    <w:p>
      <w:pPr>
        <w:ind w:right="840"/>
        <w:spacing w:after="0" w:line="263" w:lineRule="auto"/>
        <w:rPr>
          <w:sz w:val="20"/>
          <w:szCs w:val="20"/>
          <w:color w:val="auto"/>
        </w:rPr>
      </w:pPr>
      <w:r>
        <w:rPr>
          <w:rFonts w:ascii="Arial" w:cs="Arial" w:eastAsia="Arial" w:hAnsi="Arial"/>
          <w:sz w:val="17"/>
          <w:szCs w:val="17"/>
          <w:color w:val="auto"/>
        </w:rPr>
        <w:t>Property and equipment is carried at acquisition cost less accumulated depreciation. The cost of normal, recurring or periodic repairs and maintenance activities related to property and equipment are expensed as incurred.</w:t>
      </w:r>
    </w:p>
    <w:p>
      <w:pPr>
        <w:ind w:right="480"/>
        <w:spacing w:after="0" w:line="270" w:lineRule="auto"/>
        <w:rPr>
          <w:sz w:val="20"/>
          <w:szCs w:val="20"/>
          <w:color w:val="auto"/>
        </w:rPr>
      </w:pPr>
      <w:r>
        <w:rPr>
          <w:rFonts w:ascii="Arial" w:cs="Arial" w:eastAsia="Arial" w:hAnsi="Arial"/>
          <w:sz w:val="17"/>
          <w:szCs w:val="17"/>
          <w:color w:val="auto"/>
        </w:rPr>
        <w:t>Depreciation is computed using the straight-line method based on the estimated useful lives of the assets. The estimated useful lives by asset classification are generally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and Office Equipment</w:t>
            </w:r>
          </w:p>
        </w:tc>
        <w:tc>
          <w:tcPr>
            <w:tcW w:w="7200" w:type="dxa"/>
            <w:vAlign w:val="bottom"/>
            <w:shd w:val="clear" w:color="auto" w:fill="CCEEFF"/>
          </w:tcPr>
          <w:p>
            <w:pPr>
              <w:ind w:left="900"/>
              <w:spacing w:after="0"/>
              <w:rPr>
                <w:sz w:val="20"/>
                <w:szCs w:val="20"/>
                <w:color w:val="auto"/>
              </w:rPr>
            </w:pPr>
            <w:r>
              <w:rPr>
                <w:rFonts w:ascii="Arial" w:cs="Arial" w:eastAsia="Arial" w:hAnsi="Arial"/>
                <w:sz w:val="17"/>
                <w:szCs w:val="17"/>
                <w:color w:val="auto"/>
              </w:rPr>
              <w:t>5 years</w:t>
            </w:r>
          </w:p>
        </w:tc>
      </w:tr>
      <w:tr>
        <w:trPr>
          <w:trHeight w:val="240"/>
        </w:trPr>
        <w:tc>
          <w:tcPr>
            <w:tcW w:w="3380" w:type="dxa"/>
            <w:vAlign w:val="bottom"/>
          </w:tcPr>
          <w:p>
            <w:pPr>
              <w:ind w:left="20"/>
              <w:spacing w:after="0"/>
              <w:rPr>
                <w:sz w:val="20"/>
                <w:szCs w:val="20"/>
                <w:color w:val="auto"/>
              </w:rPr>
            </w:pPr>
            <w:r>
              <w:rPr>
                <w:rFonts w:ascii="Arial" w:cs="Arial" w:eastAsia="Arial" w:hAnsi="Arial"/>
                <w:sz w:val="17"/>
                <w:szCs w:val="17"/>
                <w:color w:val="auto"/>
              </w:rPr>
              <w:t>Lab Equipment</w:t>
            </w:r>
          </w:p>
        </w:tc>
        <w:tc>
          <w:tcPr>
            <w:tcW w:w="7200" w:type="dxa"/>
            <w:vAlign w:val="bottom"/>
          </w:tcPr>
          <w:p>
            <w:pPr>
              <w:ind w:left="900"/>
              <w:spacing w:after="0"/>
              <w:rPr>
                <w:sz w:val="20"/>
                <w:szCs w:val="20"/>
                <w:color w:val="auto"/>
              </w:rPr>
            </w:pPr>
            <w:r>
              <w:rPr>
                <w:rFonts w:ascii="Arial" w:cs="Arial" w:eastAsia="Arial" w:hAnsi="Arial"/>
                <w:sz w:val="17"/>
                <w:szCs w:val="17"/>
                <w:color w:val="auto"/>
              </w:rPr>
              <w:t>7 years</w:t>
            </w:r>
          </w:p>
        </w:tc>
      </w:tr>
      <w:tr>
        <w:trPr>
          <w:trHeight w:val="25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7200" w:type="dxa"/>
            <w:vAlign w:val="bottom"/>
            <w:shd w:val="clear" w:color="auto" w:fill="CCEEFF"/>
          </w:tcPr>
          <w:p>
            <w:pPr>
              <w:ind w:left="900"/>
              <w:spacing w:after="0"/>
              <w:rPr>
                <w:sz w:val="20"/>
                <w:szCs w:val="20"/>
                <w:color w:val="auto"/>
              </w:rPr>
            </w:pPr>
            <w:r>
              <w:rPr>
                <w:rFonts w:ascii="Arial" w:cs="Arial" w:eastAsia="Arial" w:hAnsi="Arial"/>
                <w:sz w:val="17"/>
                <w:szCs w:val="17"/>
                <w:color w:val="auto"/>
              </w:rPr>
              <w:t>Lesser of 15 years or the remainder of the lease</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are reviewed for impairment as discussed below under Long-Lived Assets Impairment.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Long-Lived Assets Impairment</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7"/>
          <w:szCs w:val="17"/>
          <w:color w:val="1E1E1E"/>
        </w:rPr>
        <w:t>The Compa</w:t>
      </w:r>
      <w:r>
        <w:rPr>
          <w:rFonts w:ascii="Arial" w:cs="Arial" w:eastAsia="Arial" w:hAnsi="Arial"/>
          <w:sz w:val="17"/>
          <w:szCs w:val="17"/>
          <w:color w:val="000000"/>
        </w:rPr>
        <w:t>ny reviews the carrying amounts of long-lived assets, including property and equipment, intangible assets and right-of-use leased assets</w:t>
      </w:r>
      <w:r>
        <w:rPr>
          <w:rFonts w:ascii="Arial" w:cs="Arial" w:eastAsia="Arial" w:hAnsi="Arial"/>
          <w:sz w:val="17"/>
          <w:szCs w:val="17"/>
          <w:color w:val="1E1E1E"/>
        </w:rPr>
        <w:t xml:space="preserve"> </w:t>
      </w:r>
      <w:r>
        <w:rPr>
          <w:rFonts w:ascii="Arial" w:cs="Arial" w:eastAsia="Arial" w:hAnsi="Arial"/>
          <w:sz w:val="17"/>
          <w:szCs w:val="17"/>
          <w:color w:val="000000"/>
        </w:rPr>
        <w:t>for potential impairment when events or changes in circumstances indicate the carrying amount of an asset group may not be recoverable. In evaluating recoverability, Recursion groups assets and liabilities at the lowest level such that the identifiable cash flows relating to the group are largely independent of the cash flows of other assets and liabilities. The Company then compares the carrying amount of the asset group with the projected undiscounted future cash flows to be generated by the asset group. If the undiscounted cash flows of the asset group is lower than its respective carrying value, an impairment charge is recorded as the amount by which the carrying amount of the asset group exceeds the fair value.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Indefinite Intangible Assets Impairment</w:t>
      </w:r>
    </w:p>
    <w:p>
      <w:pPr>
        <w:spacing w:after="0" w:line="243"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Goodwill represents the excess of the aggregate fair value of the consideration transferred in a business combination over the fair value of the assets acquired, net of liabilities assumed. Indefinite-lived intangible assets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primarily include in-process research and development (IPR&amp;D) acquired in business combinations with indefinite lives.</w:t>
      </w:r>
    </w:p>
    <w:p>
      <w:pPr>
        <w:spacing w:after="0" w:line="24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Company performs its annual goodwill and indefinite-lived intangible assets impairment test in the fourth quarter, or more frequently if an interim triggering event occurs that may indicate potential impairment. The Company has the option to first assess qualitative factors to determine whether it is more likely than not that the fair value is less than its carrying amount. Some of the factors considered in the qualitative assessment include general macro-economic conditions, conditions specific to the industry and market, cost factors, the overall financial performance and whether there have been sustained declines in the Company's share price. If the Company concludes it is more likely than not that the fair value of the reporting unit or IPR&amp;D is less than its carrying amount, a quantitative impairment test is performed.</w:t>
      </w:r>
    </w:p>
    <w:p>
      <w:pPr>
        <w:spacing w:after="0" w:line="199"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For its quantitative impairment tests, the Company uses an estimated future cash flow approach that requires significant judgment with respect to future volume, revenue and expense growth rates, changes in working capital use, the selection of an appropriate discount rate and other assumptions and estimates. The estimates and assumptions used are consistent with the Company's business plans and a market participant's views. The use of alternative estimates and assumptions could increase or decrease projected cash flows and the estimated fair value.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4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Results of operations of acquired companies are included in the Recursion results of operations as of the respective acquisition dates. The purchase price of each acquisition is allocated to the net assets acquired based on estimates of their fair values at the date of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 Legal costs, due diligence costs, business valuation costs and all other business acquisition costs are expensed when incurred.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Accruals for Research and Development Expenses and Clinical Trials</w:t>
      </w:r>
    </w:p>
    <w:p>
      <w:pPr>
        <w:spacing w:after="0" w:line="24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As part of the process of preparing its financial statements, the Company is required to estimate its expenses resulting from obligations under contracts with vendors and clinical research organizations. The financial terms of these contracts are subject to negotiations, which vary from contract to contract and may result in payment terms that do not match the periods over which materials or services are provided for under such contracts. The Company’s policy is to record these expenses during the period in which services are performed and efforts are expended. The Company determines accrual estimates by taking into account discussions with applicable personnel and outside service providers as to the progress of clinical trials, or the services completed. During the course of a clinical trial, the Company adjusts its clinical expense recognition if actual results differ from its estimates. The Company makes estimates of its accrued expenses as of each Consolidated Balance Sheet date based on the facts and circumstances known to it at that time. The actual expenses could be different from the amounts accrued.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Company rents facilities under operating lease agreements and recognizes rent expense on a straight-line basis over the term of the lease. Certain lease agreements contain tenant improvement allowances, rent holidays, scheduled rent increases and renewal options. Rent holidays and scheduled rent increases are included in the determination of rent expense. Certain leases also include provisions for variable lease payments which are based on, but not limited to, maintenance, insurance, taxes and usage-based amounts. Recursion recognizes these costs as they are incurred.</w:t>
      </w:r>
    </w:p>
    <w:p>
      <w:pPr>
        <w:spacing w:after="0" w:line="196"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Right-of-use assets and lease liabilities are recognized based on the present value of lease payments over the lease term at the lease commencement date. Present value is determined using an incremental borrowing rate when the rate implicit in the lease is not readily determinable. The incremental borrowing rate is equal to the rate of interest that Recursion would have to pay to borrow on a collateralized basis over a similar term in an amount equal to the lease payments in a similar economic environment. Renewals are not included in the determination of the lease term unless they are determined to be reasonably certain to be exercised at the commencement date of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lease. The Company recognizes rent expense beginning on the date the Company obtains the legal right to use and control the leased space.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Recursion classifies leases as operating or finance at the lease commencement date.</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w:t>
      </w:r>
      <w:r>
        <w:rPr>
          <w:rFonts w:ascii="Arial" w:cs="Arial" w:eastAsia="Arial" w:hAnsi="Arial"/>
          <w:sz w:val="17"/>
          <w:szCs w:val="17"/>
          <w:color w:val="1E1E1E"/>
        </w:rPr>
        <w:t>mpany has elected to apply the practical expedient for short-term leases whereby Recursion does not recognize a lease liability and right-of-use asset for leases with a term of less than 12 months. The Company has also elected to not separate consideration in the contract between lease and non-lease components of a contract that contains a lease. Right-of-use assets and lease liabilities are remeasured upon certain remeasurement events using the present value of remaining lease payments and estimated incremental borrowing rate upon lease modification. For operating leases that commenced prior to the Company’s adoption of Topic 842, Recursion measured the lease liabilities and right-of-use assets using the incremental borrowing rate as of January 1, 2022.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Revenue Recognition</w:t>
      </w:r>
    </w:p>
    <w:p>
      <w:pPr>
        <w:spacing w:after="0" w:line="24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Operating revenue has primarily been generated through research and development agreements (see Note 9, “Collaborative Development Contracts” for additional details). Revenue for research and development agreements is recognized as the Company satisfies a performance obligation by transferring the promised services to the customer. The Company recognizes revenue over time by measuring the progress toward complete satisfaction of the relevant performance obligation using an appropriate input or output method based on the services promised to the customer. This method of recognizing revenue requires the Company to make estimates of the work required to complete the performance obligation in order to determine the progress towards completion. A significant change in these estimates could have a material effect on the timing and amount of revenue recognized in future periods.</w:t>
      </w:r>
    </w:p>
    <w:p>
      <w:pPr>
        <w:spacing w:after="0" w:line="199"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 xml:space="preserve">The Company may also provide </w:t>
      </w:r>
      <w:r>
        <w:rPr>
          <w:rFonts w:ascii="Arial" w:cs="Arial" w:eastAsia="Arial" w:hAnsi="Arial"/>
          <w:sz w:val="17"/>
          <w:szCs w:val="17"/>
          <w:color w:val="1E1E1E"/>
        </w:rPr>
        <w:t>options</w:t>
      </w:r>
      <w:r>
        <w:rPr>
          <w:rFonts w:ascii="Arial" w:cs="Arial" w:eastAsia="Arial" w:hAnsi="Arial"/>
          <w:sz w:val="17"/>
          <w:szCs w:val="17"/>
          <w:color w:val="auto"/>
        </w:rPr>
        <w:t xml:space="preserve"> in its agreements under which a partner could request that Recursion provide additional services in the future. Recursion evaluates whether these options are material rights at the inception of the agreement. If the Company determines an option is a material right, Recursion will consider the option a separate performance obligation.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4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 xml:space="preserve">Cost of revenue consists of the Company’s costs to provide services for drug discovery required </w:t>
      </w:r>
      <w:r>
        <w:rPr>
          <w:rFonts w:ascii="Arial" w:cs="Arial" w:eastAsia="Arial" w:hAnsi="Arial"/>
          <w:sz w:val="17"/>
          <w:szCs w:val="17"/>
          <w:color w:val="1E1E1E"/>
        </w:rPr>
        <w:t>under</w:t>
      </w:r>
      <w:r>
        <w:rPr>
          <w:rFonts w:ascii="Arial" w:cs="Arial" w:eastAsia="Arial" w:hAnsi="Arial"/>
          <w:sz w:val="17"/>
          <w:szCs w:val="17"/>
          <w:color w:val="auto"/>
        </w:rPr>
        <w:t xml:space="preserve"> performance obligations with partnership customers. These primarily include materials costs, service hours performed by the Company’s employees, costs from third party contract research organizations and depreciation of property and equipment. Consumables purchased to be used in the future to satisfy performance obligations are recognized on the Consolidated Balance Sheet until consumed.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Research and </w:t>
      </w:r>
      <w:r>
        <w:rPr>
          <w:rFonts w:ascii="Arial" w:cs="Arial" w:eastAsia="Arial" w:hAnsi="Arial"/>
          <w:sz w:val="17"/>
          <w:szCs w:val="17"/>
          <w:b w:val="1"/>
          <w:bCs w:val="1"/>
          <w:color w:val="1E1E1E"/>
        </w:rPr>
        <w:t>Development</w:t>
      </w:r>
    </w:p>
    <w:p>
      <w:pPr>
        <w:spacing w:after="0" w:line="24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 xml:space="preserve">Research and development expenses comprise of costs incurred in performing research and development activities other than those performed pursuant to contracts with customers, including drug discovery and development studies, external research and the purchase of laboratory supplies. The Company recognizes expenses associated with third-party contracted services based on the completion of activities as specified in the applicable contracts. Upon the termination of contracts with third-parties, the Company’s financial obligations are generally limited to costs incurred or committed to date. Any advance payments </w:t>
      </w:r>
      <w:r>
        <w:rPr>
          <w:rFonts w:ascii="Arial" w:cs="Arial" w:eastAsia="Arial" w:hAnsi="Arial"/>
          <w:sz w:val="17"/>
          <w:szCs w:val="17"/>
          <w:color w:val="1E1E1E"/>
        </w:rPr>
        <w:t>for goods</w:t>
      </w:r>
      <w:r>
        <w:rPr>
          <w:rFonts w:ascii="Arial" w:cs="Arial" w:eastAsia="Arial" w:hAnsi="Arial"/>
          <w:sz w:val="17"/>
          <w:szCs w:val="17"/>
          <w:color w:val="auto"/>
        </w:rPr>
        <w:t xml:space="preserve"> or services to be used or rendered in future research and product development activities are classified as prepaid expenses until the goods or services are rendered.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Stock-Based Compensation</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7"/>
          <w:szCs w:val="17"/>
          <w:color w:val="1E1E1E"/>
        </w:rPr>
        <w:t xml:space="preserve">The Company </w:t>
      </w:r>
      <w:r>
        <w:rPr>
          <w:rFonts w:ascii="Arial" w:cs="Arial" w:eastAsia="Arial" w:hAnsi="Arial"/>
          <w:sz w:val="17"/>
          <w:szCs w:val="17"/>
          <w:color w:val="000000"/>
        </w:rPr>
        <w:t>issues stock-based awards to employees and non-employees, generally in the form of stock options and restricted stock units</w:t>
      </w:r>
      <w:r>
        <w:rPr>
          <w:rFonts w:ascii="Arial" w:cs="Arial" w:eastAsia="Arial" w:hAnsi="Arial"/>
          <w:sz w:val="17"/>
          <w:szCs w:val="17"/>
          <w:color w:val="1E1E1E"/>
        </w:rPr>
        <w:t xml:space="preserve"> </w:t>
      </w:r>
      <w:r>
        <w:rPr>
          <w:rFonts w:ascii="Arial" w:cs="Arial" w:eastAsia="Arial" w:hAnsi="Arial"/>
          <w:sz w:val="17"/>
          <w:szCs w:val="17"/>
          <w:color w:val="000000"/>
        </w:rPr>
        <w:t xml:space="preserve">(RSUs). Most of the Company’s stock-based awards have been made to employees. Recursion measures compensation expense for equity awards at their grant-date fair value and recognizes compensation expense over the requisite service period, generally on a straight-line basis. For stock-based awards with a performance </w:t>
      </w:r>
      <w:r>
        <w:rPr>
          <w:rFonts w:ascii="Arial" w:cs="Arial" w:eastAsia="Arial" w:hAnsi="Arial"/>
          <w:sz w:val="17"/>
          <w:szCs w:val="17"/>
          <w:color w:val="1E1E1E"/>
        </w:rPr>
        <w:t>condition</w:t>
      </w:r>
      <w:r>
        <w:rPr>
          <w:rFonts w:ascii="Arial" w:cs="Arial" w:eastAsia="Arial" w:hAnsi="Arial"/>
          <w:sz w:val="17"/>
          <w:szCs w:val="17"/>
          <w:color w:val="000000"/>
        </w:rPr>
        <w:t>, Recursion recognizes stock-based compensation expense based on the probable outcome of the performance condition. Awards generally vest over four years for employees. Recursion recognizes the impact of forfeitures on stock-based compensation expense as they occur.</w:t>
      </w:r>
    </w:p>
    <w:p>
      <w:pPr>
        <w:spacing w:after="0" w:line="199"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The grant date fair value of stock options is estimated using the Black-Scholes option pricing model, which requires inputs for the expected term, stock price volatility, dividend yield and the risk-free interest rate of the options.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6" w:name="page197"/>
    <w:bookmarkEnd w:id="196"/>
    <w:p>
      <w:pPr>
        <w:ind w:left="100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expected term is based on the simplified method since the Company does not have sufficient historical exercise data to estimate the expected term. The volatility is based on an average peer historical volatility over the expected term of the option. The expected dividend yield is assumed to be zero as Recursion has never paid dividends and does not have current plans to pay dividends. The risk-free interest rate is based on the rates available at the time of the grant for zero-coupon U.S. government issues with a remaining term equal to the option's expected term.</w:t>
      </w:r>
    </w:p>
    <w:p>
      <w:pPr>
        <w:spacing w:after="0" w:line="19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grant date fair value of RSUs is determined using the market price of the Company’s common stock at grant date. For stock-based awards with a market condition, the grant date fair value is determined using a Monte Carlo simulation and stock-based compensation expense is recognized using the accelerated attribution method over the implied service period. When a market condition is satisfied in a period before the end of the implied service period, any remaining unrecognized compensation cost is recognized. Stock-based compensation is recorded in cost of revenue, research and development expense and general and administrative expense based on the role of the employee.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Income taxes are accounted for under the asset and liability method. Provisions for federal, state and foreign income taxes are calculated on reported pretax losses based on current tax laws. Deferred taxes are recognized using enacted tax rates on the future tax consequences of temporary differences, which are the differences between the financial statement carrying amounts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196"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For uncertain tax positions, Recursion determines whether the position is more-likely-than-not to be sustained upon examination based on the technical merits of the position. Any tax position that meets the more-likely-than-not recognition threshold is measured and recognized in the Consolidated Financial Statements at the largest amount that is greater than 50% likely of being realized upon ultimate settlement.</w:t>
      </w:r>
    </w:p>
    <w:p>
      <w:pPr>
        <w:spacing w:after="0" w:line="1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Recursion receives certain cash refundable research and development tax credits including the research and development expenditure credit (RDEC) in the United Kingdom. The Company records these as “Research and Development” in the Consolidated </w:t>
      </w:r>
      <w:r>
        <w:rPr>
          <w:rFonts w:ascii="Arial" w:cs="Arial" w:eastAsia="Arial" w:hAnsi="Arial"/>
          <w:sz w:val="17"/>
          <w:szCs w:val="17"/>
          <w:color w:val="1E1E1E"/>
        </w:rPr>
        <w:t>Statements of Operations as the</w:t>
      </w:r>
      <w:r>
        <w:rPr>
          <w:rFonts w:ascii="Arial" w:cs="Arial" w:eastAsia="Arial" w:hAnsi="Arial"/>
          <w:sz w:val="17"/>
          <w:szCs w:val="17"/>
          <w:color w:val="auto"/>
        </w:rPr>
        <w:t xml:space="preserve"> </w:t>
      </w:r>
      <w:r>
        <w:rPr>
          <w:rFonts w:ascii="Arial" w:cs="Arial" w:eastAsia="Arial" w:hAnsi="Arial"/>
          <w:sz w:val="17"/>
          <w:szCs w:val="17"/>
          <w:color w:val="1E1E1E"/>
        </w:rPr>
        <w:t xml:space="preserve">credit is earned. The amount included in the Consolidated Statements of Operations for the </w:t>
      </w:r>
      <w:r>
        <w:rPr>
          <w:rFonts w:ascii="Arial" w:cs="Arial" w:eastAsia="Arial" w:hAnsi="Arial"/>
          <w:sz w:val="17"/>
          <w:szCs w:val="17"/>
          <w:color w:val="000000"/>
        </w:rPr>
        <w:t>year ended December 31, 2024</w:t>
      </w:r>
      <w:r>
        <w:rPr>
          <w:rFonts w:ascii="Arial" w:cs="Arial" w:eastAsia="Arial" w:hAnsi="Arial"/>
          <w:sz w:val="17"/>
          <w:szCs w:val="17"/>
          <w:color w:val="1E1E1E"/>
        </w:rPr>
        <w:t xml:space="preserve"> was insignificant. The Company records the amount receivable in “Other receivables” on the Consolidated Balance Sheet.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4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functional currency for several of Recursion’s foreign subsidiaries is the applicable local currency. Revenues and expenses for non-U.S. dollar functional currency entities are translated into U.S. dollars using average currency exchange rates for the period. Assets and liabilities for such entities are translated using exchange rates at the balance sheet date. Foreign currency translation adjustments are reflected in stockholders’ equity as a component of other comprehensive loss. Foreign currency transaction gains and losses on transactions not denominated in functional currency are recorded in “Other income, net” in the Consolidated Statements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Recently Adopted Accounting Pronouncements</w:t>
      </w:r>
    </w:p>
    <w:p>
      <w:pPr>
        <w:spacing w:after="0" w:line="24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 xml:space="preserve">In November 2023, the FASB issued ASU No. 2023-7, </w:t>
      </w:r>
      <w:r>
        <w:rPr>
          <w:rFonts w:ascii="Arial" w:cs="Arial" w:eastAsia="Arial" w:hAnsi="Arial"/>
          <w:sz w:val="17"/>
          <w:szCs w:val="17"/>
          <w:i w:val="1"/>
          <w:iCs w:val="1"/>
          <w:color w:val="auto"/>
        </w:rPr>
        <w:t>Segment Reporting (Topic 280)</w:t>
      </w:r>
      <w:r>
        <w:rPr>
          <w:rFonts w:ascii="Arial" w:cs="Arial" w:eastAsia="Arial" w:hAnsi="Arial"/>
          <w:sz w:val="17"/>
          <w:szCs w:val="17"/>
          <w:color w:val="auto"/>
        </w:rPr>
        <w:t>. The standard requires new disclosures related to ASC 280 including: disclosing significant segment expenses by category, requiring all the ASC 280 disclosures for companies with a single reportable segment and requiring ASC 280 disclosures for interim financial statements. Recursion adopted the standard for the annual period ending December 31, 2024. Recursion applied the amendments retrospectively to each prior reporting period presented. The adoption of this standard did not impact Recursion’s consolidated balance sheet and statement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Recent Accounting Pronouncements Not Yet Adopted</w:t>
      </w:r>
    </w:p>
    <w:p>
      <w:pPr>
        <w:spacing w:after="0" w:line="24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 xml:space="preserve">In November 2024, the Financial Accounting Standards Board (FASB) issued Accounting Standards Update (ASU) No. 2024-03, </w:t>
      </w:r>
      <w:r>
        <w:rPr>
          <w:rFonts w:ascii="Arial" w:cs="Arial" w:eastAsia="Arial" w:hAnsi="Arial"/>
          <w:sz w:val="17"/>
          <w:szCs w:val="17"/>
          <w:i w:val="1"/>
          <w:iCs w:val="1"/>
          <w:color w:val="auto"/>
        </w:rPr>
        <w:t>Disaggregation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Income Statement Expenses (Topic 220)</w:t>
      </w:r>
      <w:r>
        <w:rPr>
          <w:rFonts w:ascii="Arial" w:cs="Arial" w:eastAsia="Arial" w:hAnsi="Arial"/>
          <w:sz w:val="17"/>
          <w:szCs w:val="17"/>
          <w:color w:val="auto"/>
        </w:rPr>
        <w:t>. The standard requires new disclosures in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520"/>
        <w:spacing w:after="0" w:line="262" w:lineRule="auto"/>
        <w:rPr>
          <w:sz w:val="20"/>
          <w:szCs w:val="20"/>
          <w:color w:val="auto"/>
        </w:rPr>
      </w:pPr>
      <w:r>
        <w:rPr>
          <w:rFonts w:ascii="Arial" w:cs="Arial" w:eastAsia="Arial" w:hAnsi="Arial"/>
          <w:sz w:val="17"/>
          <w:szCs w:val="17"/>
          <w:color w:val="auto"/>
        </w:rPr>
        <w:t>the notes to the financial statements about certain caption expenses presented on the face of the Income Statement including information on: purchases of inventory; employee compensation; depreciation and intangible asset amortization. Recursion must also disclose a qualitative description of the amounts remaining in expense captions that are not separately disaggregated. This standard will be effective for Recursion starting the annual period ending December 31, 2027. Early adoption is permitted. The amendments can be applied on a prospective or retrospective basis. Recursion is currently assessing the impact of adopting this guidance on its consolidated financial statements.</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In March 2024, the SEC issued rule 33-11275, </w:t>
      </w:r>
      <w:r>
        <w:rPr>
          <w:rFonts w:ascii="Arial" w:cs="Arial" w:eastAsia="Arial" w:hAnsi="Arial"/>
          <w:sz w:val="17"/>
          <w:szCs w:val="17"/>
          <w:i w:val="1"/>
          <w:iCs w:val="1"/>
          <w:color w:val="auto"/>
        </w:rPr>
        <w:t>The Enhancement and Standardization of Climate-Related Disclosures for Investors</w:t>
      </w:r>
      <w:r>
        <w:rPr>
          <w:rFonts w:ascii="Arial" w:cs="Arial" w:eastAsia="Arial" w:hAnsi="Arial"/>
          <w:sz w:val="17"/>
          <w:szCs w:val="17"/>
          <w:color w:val="auto"/>
        </w:rPr>
        <w:t>. The new rule requires Recursion to provide certain disclosures in the footnotes to the financial statements of climate-related information. These disclosures include the impact of severe weather and other natural conditions on the Company’s consolidated balance sheet and statement of operations, to the extent they are material. Recursion will also need to disclose a rollforward of the beginning and ending balances of its carbon offsets and renewable energy credits or certificates (RECs), if they are a material component of meeting the Company’s climate-related targets and goals. Additionally, the Company will need to disclose whether and, if so, how severe weather events and other natural conditions and disclosed climate-related targets or transition plans materially affected estimates and assumptions in the financial statements. The final rule’s effective dates, if adopted, will be phased in depending on the disclosure requirement starting the annual period ending December 31, 2025. In April 2024, the SEC voluntarily stayed implementation of the new climate-related disclosure requirements pending judicial review. The Company is currently evaluating the impact this rule will have on its consolidated financial statements and related disclosures.</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 xml:space="preserve">In December 2023, the FASB issued ASU No. 2023-9, </w:t>
      </w:r>
      <w:r>
        <w:rPr>
          <w:rFonts w:ascii="Arial" w:cs="Arial" w:eastAsia="Arial" w:hAnsi="Arial"/>
          <w:sz w:val="17"/>
          <w:szCs w:val="17"/>
          <w:i w:val="1"/>
          <w:iCs w:val="1"/>
          <w:color w:val="auto"/>
        </w:rPr>
        <w:t>Income Taxes (Topic 740)</w:t>
      </w:r>
      <w:r>
        <w:rPr>
          <w:rFonts w:ascii="Arial" w:cs="Arial" w:eastAsia="Arial" w:hAnsi="Arial"/>
          <w:sz w:val="17"/>
          <w:szCs w:val="17"/>
          <w:color w:val="auto"/>
        </w:rPr>
        <w:t>. The new standard updates disclosure requirements for Accounting Standards Codification (ASC) 740 primarily by requiring additional information in the income tax rate reconciliation and additional disclosures about income taxes paid. This standard will be effective for Recursion starting the annual period ending December 31, 2025. The amendments can be applied on a prospective or retrospective basis. The adoption of this standard will not impact Recursion’s consolidated balance sheet and statement of operations.</w:t>
      </w:r>
    </w:p>
    <w:p>
      <w:pPr>
        <w:spacing w:after="0" w:line="194"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3.</w:t>
        <w:tab/>
        <w:t>Supplemental Financial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Tempus agreement</w:t>
      </w:r>
    </w:p>
    <w:p>
      <w:pPr>
        <w:spacing w:after="0" w:line="2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In November 2023, Recursion entered into a five-year agreement (the Tempus Agreement) with Tempus Labs, Inc. (“Tempus”) to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w:t>
      </w:r>
    </w:p>
    <w:p>
      <w:pPr>
        <w:spacing w:after="0" w:line="2"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Recursion is making annual payments, ranging between $22.0 million and $42.0 million, up to $160.0 million 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w:t>
      </w:r>
    </w:p>
    <w:p>
      <w:pPr>
        <w:spacing w:after="0" w:line="19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Recursion is expensing the record purchases based on a contractually agreed price as “Research and Development” expenses in the Consolidated Statements of Operations as the records are downloaded. To the extent that the Recursion payments to Tempus are greater than or less than the records purchased amount, Recursion records the applicable amount to “Other Current Assets” or “Accrued Expenses and Other Liabilities” on the Consolidated Balance Sheet, respectively. As of December 31, 2024, Recursion had recorded $29.6 million within “Other Current Assets” on the Consolidated Balance Sheet related to the Tempus agreement.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80" w:lineRule="exact"/>
        <w:rPr>
          <w:sz w:val="20"/>
          <w:szCs w:val="20"/>
          <w:color w:val="auto"/>
        </w:rPr>
      </w:pPr>
    </w:p>
    <w:p>
      <w:pPr>
        <w:ind w:left="9040"/>
        <w:spacing w:after="0"/>
        <w:rPr>
          <w:sz w:val="20"/>
          <w:szCs w:val="20"/>
          <w:color w:val="auto"/>
        </w:rPr>
      </w:pPr>
      <w:r>
        <w:rPr>
          <w:rFonts w:ascii="Arial" w:cs="Arial" w:eastAsia="Arial" w:hAnsi="Arial"/>
          <w:sz w:val="17"/>
          <w:szCs w:val="17"/>
          <w:b w:val="1"/>
          <w:bCs w:val="1"/>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Lab equipment</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100,928</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60,096</w:t>
            </w:r>
          </w:p>
        </w:tc>
      </w:tr>
      <w:tr>
        <w:trPr>
          <w:trHeight w:val="219"/>
        </w:trPr>
        <w:tc>
          <w:tcPr>
            <w:tcW w:w="79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72,727</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45,929</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and Office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27,365</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22,126</w:t>
            </w:r>
          </w:p>
        </w:tc>
      </w:tr>
      <w:tr>
        <w:trPr>
          <w:trHeight w:val="21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Construction in progress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2,714</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3,231</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gross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203,734</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131,382</w:t>
            </w:r>
          </w:p>
        </w:tc>
      </w:tr>
      <w:tr>
        <w:trPr>
          <w:trHeight w:val="21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(62,671)</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(44,872)</w:t>
            </w:r>
          </w:p>
        </w:tc>
      </w:tr>
      <w:tr>
        <w:trPr>
          <w:trHeight w:val="237"/>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141,063</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86,510</w:t>
            </w:r>
          </w:p>
        </w:tc>
      </w:tr>
      <w:tr>
        <w:trPr>
          <w:trHeight w:val="20"/>
        </w:trPr>
        <w:tc>
          <w:tcPr>
            <w:tcW w:w="7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Depreciation expense on property and equipment was $18.3 million, $15.9 million and $11.4 million during the years ended December 31, 2024</w:t>
      </w:r>
      <w:r>
        <w:rPr>
          <w:rFonts w:ascii="Arial" w:cs="Arial" w:eastAsia="Arial" w:hAnsi="Arial"/>
          <w:sz w:val="17"/>
          <w:szCs w:val="17"/>
          <w:color w:val="1E1E1E"/>
        </w:rPr>
        <w:t>,</w:t>
      </w:r>
      <w:r>
        <w:rPr>
          <w:rFonts w:ascii="Arial" w:cs="Arial" w:eastAsia="Arial" w:hAnsi="Arial"/>
          <w:sz w:val="17"/>
          <w:szCs w:val="17"/>
          <w:color w:val="auto"/>
        </w:rPr>
        <w:t xml:space="preserve"> </w:t>
      </w:r>
      <w:r>
        <w:rPr>
          <w:rFonts w:ascii="Arial" w:cs="Arial" w:eastAsia="Arial" w:hAnsi="Arial"/>
          <w:sz w:val="17"/>
          <w:szCs w:val="17"/>
          <w:color w:val="1E1E1E"/>
        </w:rPr>
        <w:t xml:space="preserve">2023 and 2022, respectively. The Company recorded an impairment of $1.2 million during the </w:t>
      </w:r>
      <w:r>
        <w:rPr>
          <w:rFonts w:ascii="Arial" w:cs="Arial" w:eastAsia="Arial" w:hAnsi="Arial"/>
          <w:sz w:val="17"/>
          <w:szCs w:val="17"/>
          <w:color w:val="000000"/>
        </w:rPr>
        <w:t>year ended December 31, 2023</w:t>
      </w:r>
      <w:r>
        <w:rPr>
          <w:rFonts w:ascii="Arial" w:cs="Arial" w:eastAsia="Arial" w:hAnsi="Arial"/>
          <w:sz w:val="17"/>
          <w:szCs w:val="17"/>
          <w:color w:val="1E1E1E"/>
        </w:rPr>
        <w:t>, related to construction projects for leasehold improvements as the Company no longer intended to use them. The impairments were recorded in “General and Administrative” in the Consolidated Statements of Operations. The increase in each category of property and equipment from the prior year was primarily driven by the Exscientia acquisition. See Note 4, “Acquisitions” for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 and Other Liabilities</w:t>
      </w:r>
    </w:p>
    <w:p>
      <w:pPr>
        <w:spacing w:after="0" w:line="280" w:lineRule="exact"/>
        <w:rPr>
          <w:sz w:val="20"/>
          <w:szCs w:val="20"/>
          <w:color w:val="auto"/>
        </w:rPr>
      </w:pPr>
    </w:p>
    <w:p>
      <w:pPr>
        <w:ind w:left="8980"/>
        <w:spacing w:after="0"/>
        <w:rPr>
          <w:sz w:val="20"/>
          <w:szCs w:val="20"/>
          <w:color w:val="auto"/>
        </w:rPr>
      </w:pPr>
      <w:r>
        <w:rPr>
          <w:rFonts w:ascii="Arial" w:cs="Arial" w:eastAsia="Arial" w:hAnsi="Arial"/>
          <w:sz w:val="17"/>
          <w:szCs w:val="17"/>
          <w:b w:val="1"/>
          <w:bCs w:val="1"/>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r>
      <w:tr>
        <w:trPr>
          <w:trHeight w:val="21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50,853</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22,888</w:t>
            </w: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color w:val="auto"/>
              </w:rPr>
              <w:t>Accrued development expenses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5,812</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6,077</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early discovery expenses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2,570</w:t>
            </w: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color w:val="auto"/>
              </w:rPr>
              <w:t>Accrued professional fees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787</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1,582</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construction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w:t>
            </w: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color w:val="auto"/>
              </w:rPr>
              <w:t>Materials received not invoiced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1,590</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2,432</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Helix fee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Accrued other expenses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16,735</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8,647</w:t>
            </w:r>
          </w:p>
        </w:tc>
      </w:tr>
      <w:tr>
        <w:trPr>
          <w:trHeight w:val="237"/>
        </w:trPr>
        <w:tc>
          <w:tcPr>
            <w:tcW w:w="7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Accrued expense and other liabilities</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81,872</w:t>
            </w:r>
          </w:p>
        </w:tc>
        <w:tc>
          <w:tcPr>
            <w:tcW w:w="4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46,635</w:t>
            </w:r>
          </w:p>
        </w:tc>
      </w:tr>
      <w:tr>
        <w:trPr>
          <w:trHeight w:val="20"/>
        </w:trPr>
        <w:tc>
          <w:tcPr>
            <w:tcW w:w="7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For the year ended December 31, 2024, the increase in accrued compensation from the prior year was driven by the Company’s acquisition of Exscientia. See Note 4, “Acquisitions” for additional information on the acquisition.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net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7"/>
                <w:szCs w:val="17"/>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12"/>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2024</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15,758</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19,116</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6,254</w:t>
            </w:r>
          </w:p>
        </w:tc>
      </w:tr>
      <w:tr>
        <w:trPr>
          <w:trHeight w:val="21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expense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(1,572)</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r>
      <w:tr>
        <w:trPr>
          <w:trHeight w:val="237"/>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Interest income, net</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14,186</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19,019</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6,199</w:t>
            </w:r>
          </w:p>
        </w:tc>
      </w:tr>
      <w:tr>
        <w:trPr>
          <w:trHeight w:val="20"/>
        </w:trPr>
        <w:tc>
          <w:tcPr>
            <w:tcW w:w="6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For the years ended December 31, 2024, 2023 and 2022, interest income primarily related to earnings on cash and cash equivalents in money market funds. Interest expense primarily related to the Company’s supercomputer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financing lease. Interest income, net was included in “Other income, net” on the Consolidated Statements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Acquisitions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Exscientia plc</w:t>
      </w:r>
    </w:p>
    <w:p>
      <w:pPr>
        <w:spacing w:after="0" w:line="24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On November 20, 2024, Recursion acquired all of the outstanding equity interests of Exscientia plc (“Exscientia”), a United Kingdom based public company that was registered on the Nasdaq Global Select Market. Exscientia is a drug design company utilizing its artificial intelligence platform to efficiently design and develop differentiated medicines for diseases with high unmet patient needs. Their focus is on utilizing their platform to develop best in class molecules with improvements to known or likely points of failure to improve the probability of developmental success. The Company believes the combination of the Recursion and Exscientia platforms and pipelines will position it to be a leader of the AI-enabled drug discovery and development space.</w:t>
      </w:r>
    </w:p>
    <w:p>
      <w:pPr>
        <w:spacing w:after="0" w:line="19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acquisition of Exscientia was accounted for as a business combination using the acquisition method of accounting. The consideration transferred of approximately $630.1 million consisted of $616.9 million in Recursion Class A shares and $13.2 million related to the portion of Exscientia share based awards that were replaced with Recursion share based awards that is attributable to pre-combination service. Approximately 102.1 million Recursion Class A shares were issued in exchange for Exscientia ordinary shares using a fixed exchange ratio of one Exscientia ordinary share converts to 0.7729 Recursion Class A shares (the “Exchange Ratio”). In addition, Recursion replaced all outstanding Exscientia share based awards with Recursion share based awards wherein the vesting schedule and other applicable terms were carried over except for the exercise price of share options which were adjusted using the 0.7729 exchange ratio. This included Exscientia’s stock options and restricted stock units. Recursion used $6.04, the Company’s share price on November 20, 2024 to calculate the consideration transferred. See Note 10, “Stock-Based Compensation” for additional information on the Exscientia share based awards.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assets acquired and liabilities assumed as of the acquisition date:</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440" w:type="dxa"/>
            <w:vAlign w:val="bottom"/>
            <w:tcBorders>
              <w:top w:val="single" w:sz="8" w:color="auto"/>
            </w:tcBorders>
            <w:shd w:val="clear" w:color="auto" w:fill="CCEEFF"/>
          </w:tcPr>
          <w:p>
            <w:pPr>
              <w:jc w:val="right"/>
              <w:ind w:right="574"/>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277,104</w:t>
            </w:r>
          </w:p>
        </w:tc>
      </w:tr>
      <w:tr>
        <w:trPr>
          <w:trHeight w:val="219"/>
        </w:trPr>
        <w:tc>
          <w:tcPr>
            <w:tcW w:w="6360" w:type="dxa"/>
            <w:vAlign w:val="bottom"/>
          </w:tcPr>
          <w:p>
            <w:pPr>
              <w:ind w:left="20"/>
              <w:spacing w:after="0"/>
              <w:rPr>
                <w:sz w:val="20"/>
                <w:szCs w:val="20"/>
                <w:color w:val="auto"/>
              </w:rPr>
            </w:pPr>
            <w:r>
              <w:rPr>
                <w:rFonts w:ascii="Arial" w:cs="Arial" w:eastAsia="Arial" w:hAnsi="Arial"/>
                <w:sz w:val="17"/>
                <w:szCs w:val="17"/>
                <w:color w:val="auto"/>
              </w:rPr>
              <w:t>Other receivables</w:t>
            </w:r>
          </w:p>
        </w:tc>
        <w:tc>
          <w:tcPr>
            <w:tcW w:w="3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48,408</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3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12,843</w:t>
            </w:r>
          </w:p>
        </w:tc>
      </w:tr>
      <w:tr>
        <w:trPr>
          <w:trHeight w:val="219"/>
        </w:trPr>
        <w:tc>
          <w:tcPr>
            <w:tcW w:w="636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3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61,961</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20,271</w:t>
            </w:r>
          </w:p>
        </w:tc>
      </w:tr>
      <w:tr>
        <w:trPr>
          <w:trHeight w:val="219"/>
        </w:trPr>
        <w:tc>
          <w:tcPr>
            <w:tcW w:w="6360" w:type="dxa"/>
            <w:vAlign w:val="bottom"/>
          </w:tcPr>
          <w:p>
            <w:pPr>
              <w:ind w:left="20"/>
              <w:spacing w:after="0"/>
              <w:rPr>
                <w:sz w:val="20"/>
                <w:szCs w:val="20"/>
                <w:color w:val="auto"/>
              </w:rPr>
            </w:pPr>
            <w:r>
              <w:rPr>
                <w:rFonts w:ascii="Arial" w:cs="Arial" w:eastAsia="Arial" w:hAnsi="Arial"/>
                <w:sz w:val="17"/>
                <w:szCs w:val="17"/>
                <w:color w:val="auto"/>
              </w:rPr>
              <w:t>Intangible assets, technology</w:t>
            </w:r>
          </w:p>
        </w:tc>
        <w:tc>
          <w:tcPr>
            <w:tcW w:w="3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182,000</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indefinite-lived</w:t>
            </w:r>
          </w:p>
        </w:tc>
        <w:tc>
          <w:tcPr>
            <w:tcW w:w="3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129,000</w:t>
            </w:r>
          </w:p>
        </w:tc>
      </w:tr>
      <w:tr>
        <w:trPr>
          <w:trHeight w:val="219"/>
        </w:trPr>
        <w:tc>
          <w:tcPr>
            <w:tcW w:w="636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3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1,934</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non-current</w:t>
            </w:r>
          </w:p>
        </w:tc>
        <w:tc>
          <w:tcPr>
            <w:tcW w:w="3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r>
      <w:tr>
        <w:trPr>
          <w:trHeight w:val="219"/>
        </w:trPr>
        <w:tc>
          <w:tcPr>
            <w:tcW w:w="6360" w:type="dxa"/>
            <w:vAlign w:val="bottom"/>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3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(40,780)</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3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(21,679)</w:t>
            </w:r>
          </w:p>
        </w:tc>
      </w:tr>
      <w:tr>
        <w:trPr>
          <w:trHeight w:val="219"/>
        </w:trPr>
        <w:tc>
          <w:tcPr>
            <w:tcW w:w="63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3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(120,905)</w:t>
            </w:r>
          </w:p>
        </w:tc>
      </w:tr>
      <w:tr>
        <w:trPr>
          <w:trHeight w:val="219"/>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3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(18,698)</w:t>
            </w:r>
          </w:p>
        </w:tc>
      </w:tr>
      <w:tr>
        <w:trPr>
          <w:trHeight w:val="212"/>
        </w:trPr>
        <w:tc>
          <w:tcPr>
            <w:tcW w:w="6360" w:type="dxa"/>
            <w:vAlign w:val="bottom"/>
          </w:tcPr>
          <w:p>
            <w:pPr>
              <w:ind w:left="20"/>
              <w:spacing w:after="0"/>
              <w:rPr>
                <w:sz w:val="20"/>
                <w:szCs w:val="20"/>
                <w:color w:val="auto"/>
              </w:rPr>
            </w:pPr>
            <w:r>
              <w:rPr>
                <w:rFonts w:ascii="Arial" w:cs="Arial" w:eastAsia="Arial" w:hAnsi="Arial"/>
                <w:sz w:val="17"/>
                <w:szCs w:val="17"/>
                <w:color w:val="auto"/>
              </w:rPr>
              <w:t>Total identifiable net assets</w:t>
            </w:r>
          </w:p>
        </w:tc>
        <w:tc>
          <w:tcPr>
            <w:tcW w:w="3440" w:type="dxa"/>
            <w:vAlign w:val="bottom"/>
          </w:tcPr>
          <w:p>
            <w:pPr>
              <w:jc w:val="right"/>
              <w:ind w:right="57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532,389</w:t>
            </w:r>
          </w:p>
        </w:tc>
      </w:tr>
      <w:tr>
        <w:trPr>
          <w:trHeight w:val="219"/>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97,735</w:t>
            </w:r>
          </w:p>
        </w:tc>
      </w:tr>
      <w:tr>
        <w:trPr>
          <w:trHeight w:val="212"/>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assets acquired and liabilities assumed</w:t>
            </w:r>
          </w:p>
        </w:tc>
        <w:tc>
          <w:tcPr>
            <w:tcW w:w="34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630,124</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Acquired contract liabilities in the scope of ASC 606 are an exception to the ASC 805 fair value measurement principle and were measured as if Recursion had originated the acquired contract. Two acquired customer contracts had contract liabilities and for each contract Recursion reassessed the identification of performance obligations, determination of transaction price, allocation of transaction price, and measure of progress for each performance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obligation as if Recursion has been party to the original contract and recognized the resulting contract liability as a liability assumed. No contract assets in the scope of ASC 606 were acquired.</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intangible assets of Exscientia consist of the Exscientia artificial intelligence platform and four clinical stage oncology in process research and development (IPR&amp;D) assets. The operating system is a critical tool used for both designing molecules for fulfilling collaboration agreements and Exscientia’s own research and development projects. The fair value of each intangible asset was valued based on the present value of future discounted cash flows prepared under the multi-period excess earnings method with the significant inputs being the estimates of future revenues, future expenses, the discount rate of 10.5% and probabilities of technological and regulatory success. The platform asset is being amortized on a straight line basis over a six year useful life. The IPR&amp;D assets have been assigned an indefinite useful life and will be tested for impairment prospectively and, if regulatory approval is achieved, will be assigned a useful life and amortization will commence.</w:t>
      </w:r>
    </w:p>
    <w:p>
      <w:pPr>
        <w:spacing w:after="0" w:line="199"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Goodwill was calculated based on the excess of the consideration transferred over net assets acquired. The goodwill recognized represents the assembled workforce, future research and development projects enabled by the platform that do not yet have sufficient substance to meet the definition of in-process research and development assets and expected synergies such as the integration of Recursion and Exscientia platforms. The goodwill is not deductible for tax purposes.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As the business combination occurred in November 2024, Recursion is still finalizing the allocation of the purchase price to assets acquired and liabilities assumed. The preliminary purchase price allocation reflected in the December 31, 2024 balance sheet is based on the current best estimate of management and subject to change. The Company will finalize the amounts recognized as the information necessary to complete the analysis is obtained and management estimates are further refined. The primary areas subject to finalization are the valuation of intangible assets, right-of-use assets, property and equipment and the valuation of tax assets and liabilities. The Company expects to finalize the purchase price allocation soon but will do so no later than one year from the acquisition date. External specialists have been engaged to assist with certain elements of applying the acquisition method of accounting.</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Recursion’s consolidated statement of operations for the year ended December 31, 2024 includes $1.1 million of revenue and $29.3 million of operating loss from Exscientia operations. The following unaudited pro forma summary presents consolidated revenue and earnings of Recursion as if the Exscientia business combination had occurred on January 1, 2023.</w:t>
      </w:r>
    </w:p>
    <w:p>
      <w:pPr>
        <w:spacing w:after="0" w:line="1" w:lineRule="exact"/>
        <w:rPr>
          <w:sz w:val="20"/>
          <w:szCs w:val="20"/>
          <w:color w:val="auto"/>
        </w:rPr>
      </w:pPr>
    </w:p>
    <w:p>
      <w:pPr>
        <w:ind w:left="8420"/>
        <w:spacing w:after="0"/>
        <w:rPr>
          <w:sz w:val="20"/>
          <w:szCs w:val="20"/>
          <w:color w:val="auto"/>
        </w:rPr>
      </w:pPr>
      <w:r>
        <w:rPr>
          <w:rFonts w:ascii="Arial" w:cs="Arial" w:eastAsia="Arial" w:hAnsi="Arial"/>
          <w:sz w:val="17"/>
          <w:szCs w:val="17"/>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2023</w:t>
            </w: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82,643</w:t>
            </w:r>
          </w:p>
        </w:tc>
        <w:tc>
          <w:tcPr>
            <w:tcW w:w="4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72,504</w:t>
            </w:r>
          </w:p>
        </w:tc>
      </w:tr>
      <w:tr>
        <w:trPr>
          <w:trHeight w:val="226"/>
        </w:trPr>
        <w:tc>
          <w:tcPr>
            <w:tcW w:w="770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678,717</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548,716</w:t>
            </w:r>
          </w:p>
        </w:tc>
      </w:tr>
    </w:tbl>
    <w:p>
      <w:pPr>
        <w:spacing w:after="0" w:line="299"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The unaudited pro forma amounts have been calculated after converting the Exscientia financial information to U.S. GAAP, applying Recursion accounting policies, and applying the acquisition method of accounting at January 1, 2023.</w:t>
      </w:r>
    </w:p>
    <w:p>
      <w:pPr>
        <w:spacing w:after="0" w:line="17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Recursion incurred approximately $20.5 million of transaction costs which are presented in general and administrative expenses in the statement of operations for the year ended December 31, 2024 and are reflected in the pro forma operating loss for the year ended December 31, 2023. Recursion did not have any material, nonrecurring pro forma adjustments directly attributable to the Exscientia business combination that are included in the pro forma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Valence Discovery Inc.</w:t>
      </w:r>
    </w:p>
    <w:p>
      <w:pPr>
        <w:spacing w:after="0" w:line="24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On May 16, 2023, Recursion acquired all of the outstanding equity interests in Valence Discovery Inc. (Valence), a privately-held machine learning (ML) / artificial intelligence (AI) digital chemistry company. The integration of Valence’s AI-based chemistry engine into Recursion’s operating system will allow Recursion to expand its technology-enabled drug discovery process. This will accelerate Recursion’s digital chemistry capabilities and its drug discovery process.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acquisition of Valence was accounted for as a business combination using the acquisition method of accounting. The aggregate upfront consideration for the acquisition of Valence consisted of 2.2 million shares of Recursion Class A common stock, 4.4 million shares of a subsidiary of Recursion, exchangeable for shares of Recursion’s Class A common stock, 792 thousand shares issuable upon exercise of stock options held by Valence equity award holders and deferred liabilities for additional consideration.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total consideration:</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Fair value of Recursion Class A common stock</w:t>
            </w:r>
          </w:p>
        </w:tc>
        <w:tc>
          <w:tcPr>
            <w:tcW w:w="1020" w:type="dxa"/>
            <w:vAlign w:val="bottom"/>
            <w:tcBorders>
              <w:top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11,096</w:t>
            </w:r>
          </w:p>
        </w:tc>
      </w:tr>
      <w:tr>
        <w:trPr>
          <w:trHeight w:val="219"/>
        </w:trPr>
        <w:tc>
          <w:tcPr>
            <w:tcW w:w="8860" w:type="dxa"/>
            <w:vAlign w:val="bottom"/>
          </w:tcPr>
          <w:p>
            <w:pPr>
              <w:ind w:left="20"/>
              <w:spacing w:after="0"/>
              <w:rPr>
                <w:sz w:val="20"/>
                <w:szCs w:val="20"/>
                <w:color w:val="auto"/>
              </w:rPr>
            </w:pPr>
            <w:r>
              <w:rPr>
                <w:rFonts w:ascii="Arial" w:cs="Arial" w:eastAsia="Arial" w:hAnsi="Arial"/>
                <w:sz w:val="17"/>
                <w:szCs w:val="17"/>
                <w:color w:val="auto"/>
              </w:rPr>
              <w:t>Fair value of Exchangeable stock</w:t>
            </w: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22,473</w:t>
            </w: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equity awards issued to Valance equity award holders</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w:t>
            </w:r>
          </w:p>
        </w:tc>
      </w:tr>
      <w:tr>
        <w:trPr>
          <w:trHeight w:val="21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Deferred liabilities for additional consideration</w:t>
            </w: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w:t>
            </w:r>
          </w:p>
        </w:tc>
      </w:tr>
      <w:tr>
        <w:trPr>
          <w:trHeight w:val="237"/>
        </w:trPr>
        <w:tc>
          <w:tcPr>
            <w:tcW w:w="8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consideration</w:t>
            </w:r>
          </w:p>
        </w:tc>
        <w:tc>
          <w:tcPr>
            <w:tcW w:w="102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35,898</w:t>
            </w:r>
          </w:p>
        </w:tc>
      </w:tr>
      <w:tr>
        <w:trPr>
          <w:trHeight w:val="20"/>
        </w:trPr>
        <w:tc>
          <w:tcPr>
            <w:tcW w:w="88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503"/>
        </w:trPr>
        <w:tc>
          <w:tcPr>
            <w:tcW w:w="8860" w:type="dxa"/>
            <w:vAlign w:val="bottom"/>
          </w:tcPr>
          <w:p>
            <w:pPr>
              <w:spacing w:after="0"/>
              <w:rPr>
                <w:sz w:val="20"/>
                <w:szCs w:val="20"/>
                <w:color w:val="auto"/>
              </w:rPr>
            </w:pPr>
            <w:r>
              <w:rPr>
                <w:rFonts w:ascii="Arial" w:cs="Arial" w:eastAsia="Arial" w:hAnsi="Arial"/>
                <w:sz w:val="17"/>
                <w:szCs w:val="17"/>
                <w:color w:val="auto"/>
              </w:rPr>
              <w:t>The following table summarizes the fair value of assets acquired and liabilities assumed as of the acquisition date:</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8"/>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3"/>
        </w:trPr>
        <w:tc>
          <w:tcPr>
            <w:tcW w:w="8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02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4,235</w:t>
            </w:r>
          </w:p>
        </w:tc>
      </w:tr>
      <w:tr>
        <w:trPr>
          <w:trHeight w:val="219"/>
        </w:trPr>
        <w:tc>
          <w:tcPr>
            <w:tcW w:w="8860" w:type="dxa"/>
            <w:vAlign w:val="bottom"/>
          </w:tcPr>
          <w:p>
            <w:pPr>
              <w:ind w:left="20"/>
              <w:spacing w:after="0"/>
              <w:rPr>
                <w:sz w:val="20"/>
                <w:szCs w:val="20"/>
                <w:color w:val="auto"/>
              </w:rPr>
            </w:pPr>
            <w:r>
              <w:rPr>
                <w:rFonts w:ascii="Arial" w:cs="Arial" w:eastAsia="Arial" w:hAnsi="Arial"/>
                <w:sz w:val="17"/>
                <w:szCs w:val="17"/>
                <w:color w:val="auto"/>
              </w:rPr>
              <w:t>Other receivables</w:t>
            </w: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536</w:t>
            </w: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 - technology</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r>
      <w:tr>
        <w:trPr>
          <w:trHeight w:val="219"/>
        </w:trPr>
        <w:tc>
          <w:tcPr>
            <w:tcW w:w="8860" w:type="dxa"/>
            <w:vAlign w:val="bottom"/>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(872)</w:t>
            </w:r>
          </w:p>
        </w:tc>
      </w:tr>
      <w:tr>
        <w:trPr>
          <w:trHeight w:val="219"/>
        </w:trPr>
        <w:tc>
          <w:tcPr>
            <w:tcW w:w="8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10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(3,265)</w:t>
            </w:r>
          </w:p>
        </w:tc>
      </w:tr>
      <w:tr>
        <w:trPr>
          <w:trHeight w:val="212"/>
        </w:trPr>
        <w:tc>
          <w:tcPr>
            <w:tcW w:w="8860" w:type="dxa"/>
            <w:vAlign w:val="bottom"/>
          </w:tcPr>
          <w:p>
            <w:pPr>
              <w:ind w:left="20"/>
              <w:spacing w:after="0"/>
              <w:rPr>
                <w:sz w:val="20"/>
                <w:szCs w:val="20"/>
                <w:color w:val="auto"/>
              </w:rPr>
            </w:pPr>
            <w:r>
              <w:rPr>
                <w:rFonts w:ascii="Arial" w:cs="Arial" w:eastAsia="Arial" w:hAnsi="Arial"/>
                <w:sz w:val="17"/>
                <w:szCs w:val="17"/>
                <w:color w:val="auto"/>
              </w:rPr>
              <w:t>Total identifiable net assets</w:t>
            </w:r>
          </w:p>
        </w:tc>
        <w:tc>
          <w:tcPr>
            <w:tcW w:w="102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15,634</w:t>
            </w:r>
          </w:p>
        </w:tc>
      </w:tr>
      <w:tr>
        <w:trPr>
          <w:trHeight w:val="219"/>
        </w:trPr>
        <w:tc>
          <w:tcPr>
            <w:tcW w:w="8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0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20,264</w:t>
            </w:r>
          </w:p>
        </w:tc>
      </w:tr>
      <w:tr>
        <w:trPr>
          <w:trHeight w:val="212"/>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assets acquired and liabilities assumed</w:t>
            </w: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35,898</w:t>
            </w:r>
          </w:p>
        </w:tc>
      </w:tr>
      <w:tr>
        <w:trPr>
          <w:trHeight w:val="20"/>
        </w:trPr>
        <w:tc>
          <w:tcPr>
            <w:tcW w:w="8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intangible asset is related to Valence’s ML and AI digital chemistry platform. The estimated fair value of the intangible asset was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 is being amortized on a straight-line basis over its four year useful life.</w:t>
      </w:r>
    </w:p>
    <w:p>
      <w:pPr>
        <w:spacing w:after="0" w:line="19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Goodwill was calculated as the excess of the consideration transferred over the net assets recognized. The goodwill recognized represents the assembled workforce and expected synergies, including the ability to: (i) leverage Valence’s digital chemistry platform across Recursion’s business;</w:t>
      </w:r>
    </w:p>
    <w:p>
      <w:pPr>
        <w:ind w:right="80" w:firstLine="3"/>
        <w:spacing w:after="0" w:line="261" w:lineRule="auto"/>
        <w:tabs>
          <w:tab w:leader="none" w:pos="23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leverage Valence’s ML and AI capabilities; (iii) integrate Recursion’s data and operating system into Valence’s platform; and (iv) accelerate Recursion’s pipeline. Goodwill was also impacted by the establishment of a deferred tax liability for the acquired identifiable intangible assets which have no tax basis. The goodwill is not deductible for tax purposes.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Recursion’s consolidated statement of operations does not include significant revenue generated from Valence’s operations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 and 2023. Operating losses associated with Valence’s operations were $12.4 million and $6.8 million for the years ended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 and 2023, respectively. The Company has finalized the amounts recognized disclosed in the above tables.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Cyclica Inc</w:t>
      </w:r>
      <w:r>
        <w:rPr>
          <w:rFonts w:ascii="Arial" w:cs="Arial" w:eastAsia="Arial" w:hAnsi="Arial"/>
          <w:sz w:val="17"/>
          <w:szCs w:val="17"/>
          <w:b w:val="1"/>
          <w:bCs w:val="1"/>
          <w:color w:val="auto"/>
        </w:rPr>
        <w:t>.</w:t>
      </w:r>
    </w:p>
    <w:p>
      <w:pPr>
        <w:spacing w:after="0" w:line="245"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On May 25, 2023, Recursion acquired all of the outstanding equity interests in Cyclica Inc. (Cyclica), a privately-held Company that has built a digital chemistry software suite which enables mechanism of action deconvolution and generative chemistry suggestions based on desired targets. Cyclica’s platform is expected to enhance the optimization of Recursion’s compounds for efficacy while minimizing liabilities through generative machine learning approaches.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7164070"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acquisition of Cyclica was accounted for as a business combination using the acquisition method of accounting. The aggregate upfront consideration for the acquisition of Cyclica consisted of 5.8 million shares of Recursion Class A common stock, cash payments, 1.0 million shares issuable upon exercise of stock options held by Cyclica equity award holders and deferred liabilities for additional consideration. Approximately 167 thousand of the aforementioned shares of Class A common stock consideration had not yet been issued as of December 31, 2024.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total consideration:</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Fair value of Recursion Class A common stock</w:t>
            </w:r>
          </w:p>
        </w:tc>
        <w:tc>
          <w:tcPr>
            <w:tcW w:w="2720" w:type="dxa"/>
            <w:vAlign w:val="bottom"/>
            <w:tcBorders>
              <w:top w:val="single" w:sz="8" w:color="auto"/>
            </w:tcBorders>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49,915</w:t>
            </w:r>
          </w:p>
        </w:tc>
      </w:tr>
      <w:tr>
        <w:trPr>
          <w:trHeight w:val="219"/>
        </w:trPr>
        <w:tc>
          <w:tcPr>
            <w:tcW w:w="6900" w:type="dxa"/>
            <w:vAlign w:val="bottom"/>
          </w:tcPr>
          <w:p>
            <w:pPr>
              <w:ind w:left="20"/>
              <w:spacing w:after="0"/>
              <w:rPr>
                <w:sz w:val="20"/>
                <w:szCs w:val="20"/>
                <w:color w:val="auto"/>
              </w:rPr>
            </w:pPr>
            <w:r>
              <w:rPr>
                <w:rFonts w:ascii="Arial" w:cs="Arial" w:eastAsia="Arial" w:hAnsi="Arial"/>
                <w:sz w:val="17"/>
                <w:szCs w:val="17"/>
                <w:color w:val="auto"/>
              </w:rPr>
              <w:t>Cash</w:t>
            </w:r>
          </w:p>
        </w:tc>
        <w:tc>
          <w:tcPr>
            <w:tcW w:w="2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6,505</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equity awards issued to Cyclica equity award holders</w:t>
            </w:r>
          </w:p>
        </w:tc>
        <w:tc>
          <w:tcPr>
            <w:tcW w:w="27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3,852</w:t>
            </w:r>
          </w:p>
        </w:tc>
      </w:tr>
      <w:tr>
        <w:trPr>
          <w:trHeight w:val="21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Deferred liabilities for additional consideration</w:t>
            </w:r>
          </w:p>
        </w:tc>
        <w:tc>
          <w:tcPr>
            <w:tcW w:w="27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r>
      <w:tr>
        <w:trPr>
          <w:trHeight w:val="237"/>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consideration</w:t>
            </w:r>
          </w:p>
        </w:tc>
        <w:tc>
          <w:tcPr>
            <w:tcW w:w="272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60,617</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assets acquired and liabilities assumed as of the acquisition date:</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3540" w:type="dxa"/>
            <w:vAlign w:val="bottom"/>
            <w:tcBorders>
              <w:top w:val="single" w:sz="8" w:color="auto"/>
            </w:tcBorders>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2,429</w:t>
            </w:r>
          </w:p>
        </w:tc>
      </w:tr>
      <w:tr>
        <w:trPr>
          <w:trHeight w:val="219"/>
        </w:trPr>
        <w:tc>
          <w:tcPr>
            <w:tcW w:w="60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5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1,685</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receivables</w:t>
            </w:r>
          </w:p>
        </w:tc>
        <w:tc>
          <w:tcPr>
            <w:tcW w:w="35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r>
      <w:tr>
        <w:trPr>
          <w:trHeight w:val="219"/>
        </w:trPr>
        <w:tc>
          <w:tcPr>
            <w:tcW w:w="608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35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35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r>
      <w:tr>
        <w:trPr>
          <w:trHeight w:val="219"/>
        </w:trPr>
        <w:tc>
          <w:tcPr>
            <w:tcW w:w="6080" w:type="dxa"/>
            <w:vAlign w:val="bottom"/>
          </w:tcPr>
          <w:p>
            <w:pPr>
              <w:ind w:left="20"/>
              <w:spacing w:after="0"/>
              <w:rPr>
                <w:sz w:val="20"/>
                <w:szCs w:val="20"/>
                <w:color w:val="auto"/>
              </w:rPr>
            </w:pPr>
            <w:r>
              <w:rPr>
                <w:rFonts w:ascii="Arial" w:cs="Arial" w:eastAsia="Arial" w:hAnsi="Arial"/>
                <w:sz w:val="17"/>
                <w:szCs w:val="17"/>
                <w:color w:val="auto"/>
              </w:rPr>
              <w:t>Intangible assets - technology</w:t>
            </w:r>
          </w:p>
        </w:tc>
        <w:tc>
          <w:tcPr>
            <w:tcW w:w="35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28,000</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35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r>
      <w:tr>
        <w:trPr>
          <w:trHeight w:val="219"/>
        </w:trPr>
        <w:tc>
          <w:tcPr>
            <w:tcW w:w="6080" w:type="dxa"/>
            <w:vAlign w:val="bottom"/>
          </w:tcPr>
          <w:p>
            <w:pPr>
              <w:ind w:left="20"/>
              <w:spacing w:after="0"/>
              <w:rPr>
                <w:sz w:val="20"/>
                <w:szCs w:val="20"/>
                <w:color w:val="auto"/>
              </w:rPr>
            </w:pPr>
            <w:r>
              <w:rPr>
                <w:rFonts w:ascii="Arial" w:cs="Arial" w:eastAsia="Arial" w:hAnsi="Arial"/>
                <w:sz w:val="17"/>
                <w:szCs w:val="17"/>
                <w:color w:val="auto"/>
              </w:rPr>
              <w:t>Unearned revenue</w:t>
            </w:r>
          </w:p>
        </w:tc>
        <w:tc>
          <w:tcPr>
            <w:tcW w:w="35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(1,754)</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5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(2,075)</w:t>
            </w:r>
          </w:p>
        </w:tc>
      </w:tr>
      <w:tr>
        <w:trPr>
          <w:trHeight w:val="219"/>
        </w:trPr>
        <w:tc>
          <w:tcPr>
            <w:tcW w:w="6080" w:type="dxa"/>
            <w:vAlign w:val="bottom"/>
          </w:tcPr>
          <w:p>
            <w:pPr>
              <w:ind w:left="20"/>
              <w:spacing w:after="0"/>
              <w:rPr>
                <w:sz w:val="20"/>
                <w:szCs w:val="20"/>
                <w:color w:val="auto"/>
              </w:rPr>
            </w:pPr>
            <w:r>
              <w:rPr>
                <w:rFonts w:ascii="Arial" w:cs="Arial" w:eastAsia="Arial" w:hAnsi="Arial"/>
                <w:sz w:val="17"/>
                <w:szCs w:val="17"/>
                <w:color w:val="auto"/>
              </w:rPr>
              <w:t>Other liabilities, current</w:t>
            </w:r>
          </w:p>
        </w:tc>
        <w:tc>
          <w:tcPr>
            <w:tcW w:w="35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19"/>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liabilities, non-current</w:t>
            </w:r>
          </w:p>
        </w:tc>
        <w:tc>
          <w:tcPr>
            <w:tcW w:w="35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212"/>
        </w:trPr>
        <w:tc>
          <w:tcPr>
            <w:tcW w:w="6080" w:type="dxa"/>
            <w:vAlign w:val="bottom"/>
          </w:tcPr>
          <w:p>
            <w:pPr>
              <w:ind w:left="20"/>
              <w:spacing w:after="0"/>
              <w:rPr>
                <w:sz w:val="20"/>
                <w:szCs w:val="20"/>
                <w:color w:val="auto"/>
              </w:rPr>
            </w:pPr>
            <w:r>
              <w:rPr>
                <w:rFonts w:ascii="Arial" w:cs="Arial" w:eastAsia="Arial" w:hAnsi="Arial"/>
                <w:sz w:val="17"/>
                <w:szCs w:val="17"/>
                <w:color w:val="auto"/>
              </w:rPr>
              <w:t>Total identifiable net assets</w:t>
            </w:r>
          </w:p>
        </w:tc>
        <w:tc>
          <w:tcPr>
            <w:tcW w:w="3540" w:type="dxa"/>
            <w:vAlign w:val="bottom"/>
          </w:tcPr>
          <w:p>
            <w:pPr>
              <w:jc w:val="right"/>
              <w:ind w:right="67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29,627</w:t>
            </w:r>
          </w:p>
        </w:tc>
      </w:tr>
      <w:tr>
        <w:trPr>
          <w:trHeight w:val="219"/>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5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30,990</w:t>
            </w:r>
          </w:p>
        </w:tc>
      </w:tr>
      <w:tr>
        <w:trPr>
          <w:trHeight w:val="212"/>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assets acquired and liabilities assumed</w:t>
            </w:r>
          </w:p>
        </w:tc>
        <w:tc>
          <w:tcPr>
            <w:tcW w:w="354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60,617</w:t>
            </w: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intangible assets are related to Cyclica’s digital chemistry platforms. The estimated fair value of the intangible assets was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assets are being amortized on a straight-line basis over their three-year useful lives.</w:t>
      </w:r>
    </w:p>
    <w:p>
      <w:pPr>
        <w:spacing w:after="0" w:line="19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Goodwill was calculated as the excess of the consideration transferred over the net assets recognized. The goodwill recognized represents the assembled workforce and expected synergies, including the ability to: (i) leverage Cyclica’s digital chemistry platform across Recursion’s business;</w:t>
      </w:r>
    </w:p>
    <w:p>
      <w:pPr>
        <w:ind w:right="100" w:firstLine="3"/>
        <w:spacing w:after="0" w:line="261" w:lineRule="auto"/>
        <w:tabs>
          <w:tab w:leader="none" w:pos="23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leverage Cyclica’s ML and AI capabilities; (iii) integrate Recursion’s data and operating system into Cyclica’s platform; and (iv) accelerate Recursion’s pipeline. Goodwill was also impacted by the establishment of a deferred tax liability for the acquired identifiable intangible assets. The goodwill is not deductible for tax purposes.</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Recursion’s consolidated statement of operations included $0.3 million net revenue and $14.7 million operating losses associated with Cyclica’s operations for the year ended December 31, 2024. Recursion’s consolidated statement of operations included immaterial net revenue and $ 9.6 million operating losses for the year ended December 31, 2023. The Company has finalized the amounts recognized disclosed in the above tables.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7164070" cy="419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 forma financial information</w:t>
      </w:r>
    </w:p>
    <w:p>
      <w:pPr>
        <w:spacing w:after="0" w:line="243"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The following table presents the unaudited pro forma combined results of operations of Recursion, Valence and Cyclica as if the acquisitions had occurred on January 1, 2022:</w:t>
      </w:r>
    </w:p>
    <w:p>
      <w:pPr>
        <w:spacing w:after="0" w:line="209" w:lineRule="exact"/>
        <w:rPr>
          <w:sz w:val="20"/>
          <w:szCs w:val="20"/>
          <w:color w:val="auto"/>
        </w:rPr>
      </w:pPr>
    </w:p>
    <w:p>
      <w:pPr>
        <w:ind w:left="8380"/>
        <w:spacing w:after="0"/>
        <w:rPr>
          <w:sz w:val="20"/>
          <w:szCs w:val="20"/>
          <w:color w:val="auto"/>
        </w:rPr>
      </w:pPr>
      <w:r>
        <w:rPr>
          <w:rFonts w:ascii="Arial" w:cs="Arial" w:eastAsia="Arial" w:hAnsi="Arial"/>
          <w:sz w:val="17"/>
          <w:szCs w:val="17"/>
          <w:b w:val="1"/>
          <w:bCs w:val="1"/>
          <w:color w:val="auto"/>
        </w:rPr>
        <w:t>Years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2022</w:t>
            </w: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44,861</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40,517</w:t>
            </w:r>
          </w:p>
        </w:tc>
      </w:tr>
      <w:tr>
        <w:trPr>
          <w:trHeight w:val="21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loss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(336,603)</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(273,889)</w:t>
            </w:r>
          </w:p>
        </w:tc>
      </w:tr>
    </w:tbl>
    <w:p>
      <w:pPr>
        <w:spacing w:after="0" w:line="305"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unaudited pro forma financial information was prepared using the acquisition method of accounting and was based on the historical financial information of Recursion, Valence and Cyclica. In order to reflect the occurrence of the acquisitions on January 1, 2022 as required, the unaudited pro forma financial information includes adjustments to reflect the incremental amortization expense to be incurred based on the fair values of the identifiable intangible assets acquired and the additional stock compensation expense associated with the issuance of equity compensation related to the acquisitions. The unaudited pro forma financial information is not necessarily indicative of what the consolidated results of operations would have been had the acquisitions been completed on January 1, 2022. In addition, the unaudited pro forma financial information is not a projection of the future results of operations of the combined company nor does it reflect the expected realization of any cost savings or synergies associated with the acquisitions.</w:t>
      </w:r>
    </w:p>
    <w:p>
      <w:pPr>
        <w:spacing w:after="0" w:line="19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5.</w:t>
        <w:tab/>
        <w:t>Leases</w:t>
      </w:r>
    </w:p>
    <w:p>
      <w:pPr>
        <w:spacing w:after="0" w:line="245"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The Company has entered into various long-term real estate operating leases primarily related to office, research and development, operating activities and an equipment financing lease related to the supercomputer. The Company’s leases have remaining terms from under one year to eight years and some of those leases include options that provide Recursion with the ability to extend the lease term, generally for five years. The options are included in the lease term when it is reasonably certain that the option will be exercised.</w:t>
      </w:r>
    </w:p>
    <w:p>
      <w:pPr>
        <w:spacing w:after="0" w:line="194"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For the year ended December 31, 2024, Recursion entered into lease modifications resulting in a decrease to the right-of-use asset and lease liability of $3.1 million. The modifications had no impact to the Consolidated Statements of Operations. For the year ended December 31, 2023, Recursion entered into lease modifications resulting in a decrease to the right-of-use assets and lease liabilities of $3.4 million. The modifications resulted in an insignificant impact to the Consolidated Statements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Exscientia Acquisition</w:t>
      </w:r>
    </w:p>
    <w:p>
      <w:pPr>
        <w:spacing w:after="0" w:line="243"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In November 2024, Recursion acquired Exscientia as part of a business combination. As part of that transaction Recursion obtained several new leases as discussed below. Each lease was recognized and measured at fair value on the acquisition date as if the acquired leases were new leases by applying ASC 842 - Leases. See Note 4, “Acquisitions” for additional information on the acquisition.</w:t>
      </w:r>
    </w:p>
    <w:p>
      <w:pPr>
        <w:spacing w:after="0" w:line="189" w:lineRule="exact"/>
        <w:rPr>
          <w:sz w:val="20"/>
          <w:szCs w:val="20"/>
          <w:color w:val="auto"/>
        </w:rPr>
      </w:pPr>
    </w:p>
    <w:p>
      <w:pPr>
        <w:jc w:val="both"/>
        <w:ind w:right="180"/>
        <w:spacing w:after="0" w:line="265" w:lineRule="auto"/>
        <w:rPr>
          <w:sz w:val="20"/>
          <w:szCs w:val="20"/>
          <w:color w:val="auto"/>
        </w:rPr>
      </w:pPr>
      <w:r>
        <w:rPr>
          <w:rFonts w:ascii="Arial" w:cs="Arial" w:eastAsia="Arial" w:hAnsi="Arial"/>
          <w:sz w:val="17"/>
          <w:szCs w:val="17"/>
          <w:color w:val="auto"/>
        </w:rPr>
        <w:t>The Company has an operating lease agreement for lab space at Milton Park in Oxfordshire, England with approximately 20,151 square feet (the “Milton Park Lease”). The right of use began in November 2024, when control of the asset was obtained. The Milton Park Lease remaining term is seven years with a five year renewal option. Total fixed payments are expected to be approximately $3.8 million with additional variable expenses including building service charges.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has an operating lease agreement for lab and office space at The Schrödinger Building in Oxford, England with approximately 36,632 square feet (the “Schrödinger Building Lease”). The right of use began in November 2024, when control of the asset was obtained. The Schrödinger Building lease was separated into multiple leases. For some of those components the remaining term is three years. For the other components, the remaining term is four years. Total fixed payments are expected to be approximately $6.3 million with additional variable expenses including building service charges.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280"/>
        <w:spacing w:after="0" w:line="271" w:lineRule="auto"/>
        <w:rPr>
          <w:sz w:val="20"/>
          <w:szCs w:val="20"/>
          <w:color w:val="auto"/>
        </w:rPr>
      </w:pPr>
      <w:r>
        <w:rPr>
          <w:rFonts w:ascii="Arial" w:cs="Arial" w:eastAsia="Arial" w:hAnsi="Arial"/>
          <w:sz w:val="17"/>
          <w:szCs w:val="17"/>
          <w:color w:val="auto"/>
        </w:rPr>
        <w:t>The Company has an operating lease agreement for lab and office space in Vienna, Austria with approximately 54,992 square feet (the “Vienna Lease”). The right of use began in November 2024, when control of the asset was obtained. The Vienna lease remaining term is five years. Total fixed payments are expected to be approximately $6.3 million with additional variable expenses including building service charges.</w:t>
      </w:r>
    </w:p>
    <w:p>
      <w:pPr>
        <w:spacing w:after="0" w:line="18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has an operating lease agreement for office space in Dundee, Scotland with approximately 8,876 square feet (the “Dundee Lease”). The right of use began in November 2024, when control of the asset was obtained. The Dundee lease remaining term is two years. Total fixed payments are expected to be approximately $0.3 million with additional variable expenses including building service charges.</w:t>
      </w:r>
    </w:p>
    <w:p>
      <w:pPr>
        <w:spacing w:after="0" w:line="189"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The Company has an operating lease agreement for office space in Boston, Massachusetts with approximately 9,662 square feet (the “Boston Lease”). The right of use began in November 2024, when control of the asset was obtained. The Boston lease remaining term is five years with a five year renewal option. Total fixed payments are expected to be approximately $4.0 million with additional variable expenses including building service charges.</w:t>
      </w:r>
    </w:p>
    <w:p>
      <w:pPr>
        <w:spacing w:after="0" w:line="19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Company has an operating lease agreement for office space in Miami, Florida with approximately 7,680 square feet (the “Strata Miami Lease”). The right of use began in November 2024, when control of the asset was obtained. The Strata Miami lease remaining term is seven years with two five year renewal options. Total fixed payments are expected to be approximately $3.6 million with additional variable expenses including building service charges.</w:t>
      </w:r>
    </w:p>
    <w:p>
      <w:pPr>
        <w:spacing w:after="0" w:line="19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Company has an operating lease agreement for office space in Miami, Florida with approximately 2,707 square feet (the “Biscayne Miami Lease”). The right of use began in November 2024, when control of the asset was obtained. The Biscayne Miami lease remaining term is four years with two five year renewal options. Total fixed payments are expected to be approximately $0.7 million with additional variable expenses including building service charges.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Leases</w:t>
      </w:r>
    </w:p>
    <w:p>
      <w:pPr>
        <w:spacing w:after="0" w:line="24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 September 2024, the Company entered into an operating lease agreement for office space in New York, New York with approximately 11,655 square feet (the “New York Lease”). The right of use began in September 2024, when control of the asset was obtained. The New York Lease term is four years with a potential for a three or six year renewal option. Total fixed payments are expected to be approximately $6.9 million with additional variable expenses, including building expenses.</w:t>
      </w:r>
    </w:p>
    <w:p>
      <w:pPr>
        <w:spacing w:after="0" w:line="194"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In May 2024, the Company entered into a financing lease agreement for the supercomputer equipment (the “Supercomputer Lease”). The right of use began in May 2024, when control of the asset was obtained and the lease term is three years with two additional renewal options for a one or two year period. Total fixed payments are expected to be approximately $34.0 million.</w:t>
      </w:r>
    </w:p>
    <w:p>
      <w:pPr>
        <w:spacing w:after="0" w:line="18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 February 2024, the Company entered into an operating lease agreement related to the supercomputer for the exclusive use of physical space in a data center of approximately 1,851 square feet (the “Data Center Lease”). The right of use began in April 2024 and the lease term is five years with a five year renewal option. The lease includes provisions for escalating rent payments. Total fixed lease payments are expected to be approximately $13.0 million with additional variable expenses, including utilities and tax expenses.</w:t>
      </w:r>
    </w:p>
    <w:p>
      <w:pPr>
        <w:spacing w:after="0" w:line="19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January 2024, the Company entered into an operating lease agreement for office space in London, England with approximately 6,792 square feet (the “London Lease”). The right of use began in January 2024, when control of the asset was obtained. The London Lease term is five years with a five year renewal option. The London Lease includes provisions for escalating rent payments. Total fixed payments are expected to be approximately $7.9 million, additionally there will be variable expenses including building service charges related to the lease.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lease cost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7"/>
                <w:szCs w:val="17"/>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1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ind w:left="640"/>
              <w:spacing w:after="0"/>
              <w:rPr>
                <w:sz w:val="20"/>
                <w:szCs w:val="20"/>
                <w:color w:val="auto"/>
              </w:rPr>
            </w:pPr>
            <w:r>
              <w:rPr>
                <w:rFonts w:ascii="Arial" w:cs="Arial" w:eastAsia="Arial" w:hAnsi="Arial"/>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12,078</w:t>
            </w:r>
          </w:p>
        </w:tc>
        <w:tc>
          <w:tcPr>
            <w:tcW w:w="106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8,144</w:t>
            </w:r>
          </w:p>
        </w:tc>
        <w:tc>
          <w:tcPr>
            <w:tcW w:w="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7,793</w:t>
            </w:r>
          </w:p>
        </w:tc>
      </w:tr>
      <w:tr>
        <w:trPr>
          <w:trHeight w:val="219"/>
        </w:trPr>
        <w:tc>
          <w:tcPr>
            <w:tcW w:w="6280" w:type="dxa"/>
            <w:vAlign w:val="bottom"/>
          </w:tcPr>
          <w:p>
            <w:pPr>
              <w:ind w:left="20"/>
              <w:spacing w:after="0"/>
              <w:rPr>
                <w:sz w:val="20"/>
                <w:szCs w:val="20"/>
                <w:color w:val="auto"/>
              </w:rPr>
            </w:pPr>
            <w:r>
              <w:rPr>
                <w:rFonts w:ascii="Arial" w:cs="Arial" w:eastAsia="Arial" w:hAnsi="Arial"/>
                <w:sz w:val="17"/>
                <w:szCs w:val="17"/>
                <w:color w:val="auto"/>
              </w:rPr>
              <w:t>Finance lease cost:</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Amortization of leased assets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4,042</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280" w:type="dxa"/>
            <w:vAlign w:val="bottom"/>
          </w:tcPr>
          <w:p>
            <w:pPr>
              <w:ind w:left="120"/>
              <w:spacing w:after="0"/>
              <w:rPr>
                <w:sz w:val="20"/>
                <w:szCs w:val="20"/>
                <w:color w:val="auto"/>
              </w:rPr>
            </w:pPr>
            <w:r>
              <w:rPr>
                <w:rFonts w:ascii="Arial" w:cs="Arial" w:eastAsia="Arial" w:hAnsi="Arial"/>
                <w:sz w:val="17"/>
                <w:szCs w:val="17"/>
                <w:color w:val="auto"/>
              </w:rPr>
              <w:t>Interest on lease liabilities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1,487</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3,330</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r>
      <w:tr>
        <w:trPr>
          <w:trHeight w:val="21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Short-term lease cost</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21,145</w:t>
            </w:r>
          </w:p>
        </w:tc>
        <w:tc>
          <w:tcPr>
            <w:tcW w:w="106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10,399</w:t>
            </w:r>
          </w:p>
        </w:tc>
        <w:tc>
          <w:tcPr>
            <w:tcW w:w="4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8,863</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03"/>
        </w:trPr>
        <w:tc>
          <w:tcPr>
            <w:tcW w:w="6280" w:type="dxa"/>
            <w:vAlign w:val="bottom"/>
          </w:tcPr>
          <w:p>
            <w:pPr>
              <w:spacing w:after="0"/>
              <w:rPr>
                <w:sz w:val="20"/>
                <w:szCs w:val="20"/>
                <w:color w:val="auto"/>
              </w:rPr>
            </w:pPr>
            <w:r>
              <w:rPr>
                <w:rFonts w:ascii="Arial" w:cs="Arial" w:eastAsia="Arial" w:hAnsi="Arial"/>
                <w:sz w:val="17"/>
                <w:szCs w:val="17"/>
                <w:color w:val="auto"/>
              </w:rPr>
              <w:t>Supplemental balance sheet information related to leases were:</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75"/>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7"/>
                <w:szCs w:val="17"/>
                <w:b w:val="1"/>
                <w:bCs w:val="1"/>
                <w:color w:val="auto"/>
              </w:rPr>
              <w:t>December 31, 2024</w:t>
            </w:r>
          </w:p>
        </w:tc>
        <w:tc>
          <w:tcPr>
            <w:tcW w:w="228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7"/>
                <w:szCs w:val="17"/>
                <w:b w:val="1"/>
                <w:bCs w:val="1"/>
                <w:color w:val="auto"/>
              </w:rPr>
              <w:t>December 31, 2023</w:t>
            </w:r>
          </w:p>
        </w:tc>
      </w:tr>
      <w:tr>
        <w:trPr>
          <w:trHeight w:val="212"/>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right-of-use assets</w:t>
            </w:r>
          </w:p>
        </w:tc>
        <w:tc>
          <w:tcPr>
            <w:tcW w:w="1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65,877</w:t>
            </w:r>
          </w:p>
        </w:tc>
        <w:tc>
          <w:tcPr>
            <w:tcW w:w="6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33,663</w:t>
            </w:r>
          </w:p>
        </w:tc>
      </w:tr>
      <w:tr>
        <w:trPr>
          <w:trHeight w:val="219"/>
        </w:trPr>
        <w:tc>
          <w:tcPr>
            <w:tcW w:w="62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Financing lease right-of-use assets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26,273</w:t>
            </w: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r>
      <w:tr>
        <w:trPr>
          <w:trHeight w:val="237"/>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lease right-of-use assets</w:t>
            </w:r>
          </w:p>
        </w:tc>
        <w:tc>
          <w:tcPr>
            <w:tcW w:w="10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92,150</w:t>
            </w:r>
          </w:p>
        </w:tc>
        <w:tc>
          <w:tcPr>
            <w:tcW w:w="6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33,663</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6280" w:type="dxa"/>
            <w:vAlign w:val="bottom"/>
          </w:tcPr>
          <w:p>
            <w:pPr>
              <w:ind w:left="120"/>
              <w:spacing w:after="0"/>
              <w:rPr>
                <w:sz w:val="20"/>
                <w:szCs w:val="20"/>
                <w:color w:val="auto"/>
              </w:rPr>
            </w:pPr>
            <w:r>
              <w:rPr>
                <w:rFonts w:ascii="Arial" w:cs="Arial" w:eastAsia="Arial" w:hAnsi="Arial"/>
                <w:sz w:val="17"/>
                <w:szCs w:val="17"/>
                <w:color w:val="auto"/>
              </w:rPr>
              <w:t>Current liabilities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6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lease liabilities</w:t>
            </w:r>
          </w:p>
        </w:tc>
        <w:tc>
          <w:tcPr>
            <w:tcW w:w="1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8,311</w:t>
            </w:r>
          </w:p>
        </w:tc>
        <w:tc>
          <w:tcPr>
            <w:tcW w:w="6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r>
      <w:tr>
        <w:trPr>
          <w:trHeight w:val="219"/>
        </w:trPr>
        <w:tc>
          <w:tcPr>
            <w:tcW w:w="6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Operating lease liabilities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13,795</w:t>
            </w: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6,116</w:t>
            </w: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lease liabilities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22,106</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6,116</w:t>
            </w:r>
          </w:p>
        </w:tc>
      </w:tr>
      <w:tr>
        <w:trPr>
          <w:trHeight w:val="219"/>
        </w:trPr>
        <w:tc>
          <w:tcPr>
            <w:tcW w:w="6280" w:type="dxa"/>
            <w:vAlign w:val="bottom"/>
          </w:tcPr>
          <w:p>
            <w:pPr>
              <w:ind w:left="120"/>
              <w:spacing w:after="0"/>
              <w:rPr>
                <w:sz w:val="20"/>
                <w:szCs w:val="20"/>
                <w:color w:val="auto"/>
              </w:rPr>
            </w:pPr>
            <w:r>
              <w:rPr>
                <w:rFonts w:ascii="Arial" w:cs="Arial" w:eastAsia="Arial" w:hAnsi="Arial"/>
                <w:sz w:val="17"/>
                <w:szCs w:val="17"/>
                <w:color w:val="auto"/>
              </w:rPr>
              <w:t>Non-current liabilities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6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lease liabilities, non-current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18,338</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r>
      <w:tr>
        <w:trPr>
          <w:trHeight w:val="219"/>
        </w:trPr>
        <w:tc>
          <w:tcPr>
            <w:tcW w:w="6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Operating lease liabilities, non-current</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67,250</w:t>
            </w: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43,414</w:t>
            </w:r>
          </w:p>
        </w:tc>
      </w:tr>
      <w:tr>
        <w:trPr>
          <w:trHeight w:val="212"/>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non-current lease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85,588</w:t>
            </w:r>
          </w:p>
        </w:tc>
        <w:tc>
          <w:tcPr>
            <w:tcW w:w="6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43,414</w:t>
            </w:r>
          </w:p>
        </w:tc>
      </w:tr>
      <w:tr>
        <w:trPr>
          <w:trHeight w:val="21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lease liabilities</w:t>
            </w:r>
          </w:p>
        </w:tc>
        <w:tc>
          <w:tcPr>
            <w:tcW w:w="104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107,694</w:t>
            </w:r>
          </w:p>
        </w:tc>
        <w:tc>
          <w:tcPr>
            <w:tcW w:w="6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49,530</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leases were:</w:t>
      </w:r>
    </w:p>
    <w:p>
      <w:pPr>
        <w:spacing w:after="0" w:line="280" w:lineRule="exact"/>
        <w:rPr>
          <w:sz w:val="20"/>
          <w:szCs w:val="20"/>
          <w:color w:val="auto"/>
        </w:rPr>
      </w:pPr>
    </w:p>
    <w:p>
      <w:pPr>
        <w:ind w:left="8140"/>
        <w:spacing w:after="0"/>
        <w:rPr>
          <w:sz w:val="20"/>
          <w:szCs w:val="20"/>
          <w:color w:val="auto"/>
        </w:rPr>
      </w:pPr>
      <w:r>
        <w:rPr>
          <w:rFonts w:ascii="Arial" w:cs="Arial" w:eastAsia="Arial" w:hAnsi="Arial"/>
          <w:sz w:val="17"/>
          <w:szCs w:val="17"/>
          <w:b w:val="1"/>
          <w:bCs w:val="1"/>
          <w:color w:val="auto"/>
        </w:rPr>
        <w:t>Years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2022</w:t>
            </w:r>
          </w:p>
        </w:tc>
      </w:tr>
      <w:tr>
        <w:trPr>
          <w:trHeight w:val="212"/>
        </w:trPr>
        <w:tc>
          <w:tcPr>
            <w:tcW w:w="7200" w:type="dxa"/>
            <w:vAlign w:val="bottom"/>
          </w:tcPr>
          <w:p>
            <w:pPr>
              <w:ind w:left="20"/>
              <w:spacing w:after="0"/>
              <w:rPr>
                <w:sz w:val="20"/>
                <w:szCs w:val="20"/>
                <w:color w:val="auto"/>
              </w:rPr>
            </w:pPr>
            <w:r>
              <w:rPr>
                <w:rFonts w:ascii="Arial" w:cs="Arial" w:eastAsia="Arial" w:hAnsi="Arial"/>
                <w:sz w:val="17"/>
                <w:szCs w:val="17"/>
                <w:color w:val="auto"/>
              </w:rPr>
              <w:t>Cash paid for amount included in the measurement of lease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cash flows from operating leases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14,095</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9,862</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7,110</w:t>
            </w:r>
          </w:p>
        </w:tc>
      </w:tr>
      <w:tr>
        <w:trPr>
          <w:trHeight w:val="219"/>
        </w:trPr>
        <w:tc>
          <w:tcPr>
            <w:tcW w:w="7200" w:type="dxa"/>
            <w:vAlign w:val="bottom"/>
          </w:tcPr>
          <w:p>
            <w:pPr>
              <w:ind w:left="20"/>
              <w:spacing w:after="0"/>
              <w:rPr>
                <w:sz w:val="20"/>
                <w:szCs w:val="20"/>
                <w:color w:val="auto"/>
              </w:rPr>
            </w:pPr>
            <w:r>
              <w:rPr>
                <w:rFonts w:ascii="Arial" w:cs="Arial" w:eastAsia="Arial" w:hAnsi="Arial"/>
                <w:sz w:val="17"/>
                <w:szCs w:val="17"/>
                <w:color w:val="auto"/>
              </w:rPr>
              <w:t>Operating cash flows from financing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1,487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cash flows from financing leases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3,666</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7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additions and modifications: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720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19,455</w:t>
            </w:r>
          </w:p>
        </w:tc>
        <w:tc>
          <w:tcPr>
            <w:tcW w:w="3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4,968</w:t>
            </w:r>
          </w:p>
        </w:tc>
        <w:tc>
          <w:tcPr>
            <w:tcW w:w="3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3,950</w:t>
            </w:r>
          </w:p>
        </w:tc>
      </w:tr>
      <w:tr>
        <w:trPr>
          <w:trHeight w:val="219"/>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Financing leases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30,315</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Lease term and discount rates were:</w:t>
      </w:r>
    </w:p>
    <w:p>
      <w:pPr>
        <w:spacing w:after="0" w:line="280" w:lineRule="exact"/>
        <w:rPr>
          <w:sz w:val="20"/>
          <w:szCs w:val="20"/>
          <w:color w:val="auto"/>
        </w:rPr>
      </w:pPr>
    </w:p>
    <w:p>
      <w:pPr>
        <w:ind w:left="8380"/>
        <w:spacing w:after="0"/>
        <w:rPr>
          <w:sz w:val="20"/>
          <w:szCs w:val="20"/>
          <w:color w:val="auto"/>
        </w:rPr>
      </w:pPr>
      <w:r>
        <w:rPr>
          <w:rFonts w:ascii="Arial" w:cs="Arial" w:eastAsia="Arial" w:hAnsi="Arial"/>
          <w:sz w:val="17"/>
          <w:szCs w:val="17"/>
          <w:b w:val="1"/>
          <w:bCs w:val="1"/>
          <w:color w:val="auto"/>
        </w:rPr>
        <w:t>Years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7"/>
                <w:szCs w:val="17"/>
                <w:b w:val="1"/>
                <w:bCs w:val="1"/>
                <w:color w:val="auto"/>
              </w:rPr>
              <w:t>2024</w:t>
            </w:r>
          </w:p>
        </w:tc>
        <w:tc>
          <w:tcPr>
            <w:tcW w:w="14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b w:val="1"/>
                <w:bCs w:val="1"/>
                <w:color w:val="auto"/>
              </w:rPr>
              <w:t>2023</w:t>
            </w:r>
          </w:p>
        </w:tc>
      </w:tr>
      <w:tr>
        <w:trPr>
          <w:trHeight w:val="212"/>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Operating leases</w:t>
            </w: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20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5.3</w:t>
            </w:r>
          </w:p>
        </w:tc>
        <w:tc>
          <w:tcPr>
            <w:tcW w:w="1440" w:type="dxa"/>
            <w:vAlign w:val="bottom"/>
            <w:shd w:val="clear" w:color="auto" w:fill="CCEEFF"/>
          </w:tcPr>
          <w:p>
            <w:pPr>
              <w:ind w:left="960"/>
              <w:spacing w:after="0"/>
              <w:rPr>
                <w:sz w:val="20"/>
                <w:szCs w:val="20"/>
                <w:color w:val="auto"/>
              </w:rPr>
            </w:pPr>
            <w:r>
              <w:rPr>
                <w:rFonts w:ascii="Arial" w:cs="Arial" w:eastAsia="Arial" w:hAnsi="Arial"/>
                <w:sz w:val="17"/>
                <w:szCs w:val="17"/>
                <w:color w:val="auto"/>
              </w:rPr>
              <w:t>6.7</w:t>
            </w:r>
          </w:p>
        </w:tc>
      </w:tr>
      <w:tr>
        <w:trPr>
          <w:trHeight w:val="219"/>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Weighted-average discount rate</w:t>
            </w:r>
          </w:p>
        </w:tc>
        <w:tc>
          <w:tcPr>
            <w:tcW w:w="2080" w:type="dxa"/>
            <w:vAlign w:val="bottom"/>
            <w:tcBorders>
              <w:bottom w:val="single" w:sz="8" w:color="auto"/>
            </w:tcBorders>
          </w:tcPr>
          <w:p>
            <w:pPr>
              <w:ind w:left="1280"/>
              <w:spacing w:after="0"/>
              <w:rPr>
                <w:sz w:val="20"/>
                <w:szCs w:val="20"/>
                <w:color w:val="auto"/>
              </w:rPr>
            </w:pPr>
            <w:r>
              <w:rPr>
                <w:rFonts w:ascii="Arial" w:cs="Arial" w:eastAsia="Arial" w:hAnsi="Arial"/>
                <w:sz w:val="17"/>
                <w:szCs w:val="17"/>
                <w:color w:val="auto"/>
              </w:rPr>
              <w:t>7.7 %</w:t>
            </w:r>
          </w:p>
        </w:tc>
        <w:tc>
          <w:tcPr>
            <w:tcW w:w="144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7.8 %</w:t>
            </w:r>
          </w:p>
        </w:tc>
      </w:tr>
      <w:tr>
        <w:trPr>
          <w:trHeight w:val="212"/>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Finance leases</w:t>
            </w:r>
          </w:p>
        </w:tc>
        <w:tc>
          <w:tcPr>
            <w:tcW w:w="2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9"/>
        </w:trPr>
        <w:tc>
          <w:tcPr>
            <w:tcW w:w="7720" w:type="dxa"/>
            <w:vAlign w:val="bottom"/>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2080" w:type="dxa"/>
            <w:vAlign w:val="bottom"/>
          </w:tcPr>
          <w:p>
            <w:pPr>
              <w:ind w:left="1280"/>
              <w:spacing w:after="0"/>
              <w:rPr>
                <w:sz w:val="20"/>
                <w:szCs w:val="20"/>
                <w:color w:val="auto"/>
              </w:rPr>
            </w:pPr>
            <w:r>
              <w:rPr>
                <w:rFonts w:ascii="Arial" w:cs="Arial" w:eastAsia="Arial" w:hAnsi="Arial"/>
                <w:sz w:val="17"/>
                <w:szCs w:val="17"/>
                <w:color w:val="auto"/>
              </w:rPr>
              <w:t>2.6</w:t>
            </w:r>
          </w:p>
        </w:tc>
        <w:tc>
          <w:tcPr>
            <w:tcW w:w="1440" w:type="dxa"/>
            <w:vAlign w:val="bottom"/>
          </w:tcPr>
          <w:p>
            <w:pPr>
              <w:ind w:left="960"/>
              <w:spacing w:after="0"/>
              <w:rPr>
                <w:sz w:val="20"/>
                <w:szCs w:val="20"/>
                <w:color w:val="auto"/>
              </w:rPr>
            </w:pPr>
            <w:r>
              <w:rPr>
                <w:rFonts w:ascii="Arial" w:cs="Arial" w:eastAsia="Arial" w:hAnsi="Arial"/>
                <w:sz w:val="17"/>
                <w:szCs w:val="17"/>
                <w:color w:val="auto"/>
              </w:rPr>
              <w:t>0.0</w:t>
            </w:r>
          </w:p>
        </w:tc>
      </w:tr>
      <w:tr>
        <w:trPr>
          <w:trHeight w:val="219"/>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Weighted-average discount rate</w:t>
            </w:r>
          </w:p>
        </w:tc>
        <w:tc>
          <w:tcPr>
            <w:tcW w:w="208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7"/>
                <w:szCs w:val="17"/>
                <w:color w:val="auto"/>
              </w:rPr>
              <w:t>7.6 %</w:t>
            </w:r>
          </w:p>
        </w:tc>
        <w:tc>
          <w:tcPr>
            <w:tcW w:w="144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rPr>
              <w:t>— %</w:t>
            </w:r>
          </w:p>
        </w:tc>
      </w:tr>
      <w:tr>
        <w:trPr>
          <w:trHeight w:val="524"/>
        </w:trPr>
        <w:tc>
          <w:tcPr>
            <w:tcW w:w="7720" w:type="dxa"/>
            <w:vAlign w:val="bottom"/>
          </w:tcPr>
          <w:p>
            <w:pPr>
              <w:spacing w:after="0"/>
              <w:rPr>
                <w:sz w:val="20"/>
                <w:szCs w:val="20"/>
                <w:color w:val="auto"/>
              </w:rPr>
            </w:pPr>
            <w:r>
              <w:rPr>
                <w:rFonts w:ascii="Arial" w:cs="Arial" w:eastAsia="Arial" w:hAnsi="Arial"/>
                <w:sz w:val="17"/>
                <w:szCs w:val="17"/>
                <w:color w:val="auto"/>
              </w:rPr>
              <w:t>Maturities of operating lease liabilities as of December 31, 2024 were:</w:t>
            </w:r>
          </w:p>
        </w:tc>
        <w:tc>
          <w:tcPr>
            <w:tcW w:w="20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Operating leases</w:t>
            </w:r>
          </w:p>
        </w:tc>
        <w:tc>
          <w:tcPr>
            <w:tcW w:w="222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7"/>
                <w:szCs w:val="17"/>
                <w:b w:val="1"/>
                <w:bCs w:val="1"/>
                <w:color w:val="auto"/>
              </w:rPr>
              <w:t>Finance leases</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19,389</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10,055</w:t>
            </w: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2026</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20,450</w:t>
            </w:r>
          </w:p>
        </w:tc>
        <w:tc>
          <w:tcPr>
            <w:tcW w:w="1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10,055</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20,810</w:t>
            </w: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9,707</w:t>
            </w: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2028</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16,790</w:t>
            </w:r>
          </w:p>
        </w:tc>
        <w:tc>
          <w:tcPr>
            <w:tcW w:w="1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2029</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9,254</w:t>
            </w:r>
          </w:p>
        </w:tc>
        <w:tc>
          <w:tcPr>
            <w:tcW w:w="1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14,501</w:t>
            </w:r>
          </w:p>
        </w:tc>
        <w:tc>
          <w:tcPr>
            <w:tcW w:w="1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101,194</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29,817</w:t>
            </w:r>
          </w:p>
        </w:tc>
      </w:tr>
      <w:tr>
        <w:trPr>
          <w:trHeight w:val="21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imputed interest</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(20,149)</w:t>
            </w:r>
          </w:p>
        </w:tc>
        <w:tc>
          <w:tcPr>
            <w:tcW w:w="1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(3,168)</w:t>
            </w:r>
          </w:p>
        </w:tc>
      </w:tr>
      <w:tr>
        <w:trPr>
          <w:trHeight w:val="237"/>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81,045</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26,649</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745"/>
        </w:trPr>
        <w:tc>
          <w:tcPr>
            <w:tcW w:w="6820" w:type="dxa"/>
            <w:vAlign w:val="bottom"/>
          </w:tcPr>
          <w:p>
            <w:pPr>
              <w:spacing w:after="0"/>
              <w:rPr>
                <w:sz w:val="20"/>
                <w:szCs w:val="20"/>
                <w:color w:val="auto"/>
              </w:rPr>
            </w:pPr>
            <w:r>
              <w:rPr>
                <w:rFonts w:ascii="Arial" w:cs="Arial" w:eastAsia="Arial" w:hAnsi="Arial"/>
                <w:sz w:val="17"/>
                <w:szCs w:val="17"/>
                <w:b w:val="1"/>
                <w:bCs w:val="1"/>
                <w:color w:val="auto"/>
              </w:rPr>
              <w:t>Note 6.  Goodwill and Intangible Assets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8"/>
        </w:trPr>
        <w:tc>
          <w:tcPr>
            <w:tcW w:w="6820" w:type="dxa"/>
            <w:vAlign w:val="bottom"/>
          </w:tcPr>
          <w:p>
            <w:pPr>
              <w:spacing w:after="0"/>
              <w:rPr>
                <w:sz w:val="20"/>
                <w:szCs w:val="20"/>
                <w:color w:val="auto"/>
              </w:rPr>
            </w:pPr>
            <w:r>
              <w:rPr>
                <w:rFonts w:ascii="Arial" w:cs="Arial" w:eastAsia="Arial" w:hAnsi="Arial"/>
                <w:sz w:val="17"/>
                <w:szCs w:val="17"/>
                <w:b w:val="1"/>
                <w:bCs w:val="1"/>
                <w:i w:val="1"/>
                <w:iCs w:val="1"/>
                <w:color w:val="auto"/>
              </w:rPr>
              <w:t>Goodwill</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8"/>
        </w:trPr>
        <w:tc>
          <w:tcPr>
            <w:tcW w:w="6820" w:type="dxa"/>
            <w:vAlign w:val="bottom"/>
          </w:tcPr>
          <w:p>
            <w:pPr>
              <w:spacing w:after="0"/>
              <w:rPr>
                <w:sz w:val="20"/>
                <w:szCs w:val="20"/>
                <w:color w:val="auto"/>
              </w:rPr>
            </w:pPr>
            <w:r>
              <w:rPr>
                <w:rFonts w:ascii="Arial" w:cs="Arial" w:eastAsia="Arial" w:hAnsi="Arial"/>
                <w:sz w:val="17"/>
                <w:szCs w:val="17"/>
                <w:color w:val="auto"/>
              </w:rPr>
              <w:t>The following table summarizes the changes in the carrying amount of goodwill:</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8"/>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2022</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1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Additions from acquisitions</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51,255</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2023</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52,056</w:t>
            </w: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Additions from acquisitions</w:t>
            </w: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97,735</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w:t>
            </w:r>
          </w:p>
        </w:tc>
      </w:tr>
      <w:tr>
        <w:trPr>
          <w:trHeight w:val="212"/>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as of December 31, 2024</w:t>
            </w: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148,873</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 xml:space="preserve">The addition to goodwill relates to the acquisition of </w:t>
      </w:r>
      <w:r>
        <w:rPr>
          <w:rFonts w:ascii="Arial" w:cs="Arial" w:eastAsia="Arial" w:hAnsi="Arial"/>
          <w:sz w:val="17"/>
          <w:szCs w:val="17"/>
          <w:color w:val="1E1E1E"/>
        </w:rPr>
        <w:t>Exscientia</w:t>
      </w:r>
      <w:r>
        <w:rPr>
          <w:rFonts w:ascii="Arial" w:cs="Arial" w:eastAsia="Arial" w:hAnsi="Arial"/>
          <w:sz w:val="17"/>
          <w:szCs w:val="17"/>
          <w:color w:val="auto"/>
        </w:rPr>
        <w:t xml:space="preserve"> during the year ended December 31, 2024. The additions to goodwill relate to the acquisitions of Cyclica and Valence during the year ended December 31, 2023. See Note 4, “Acquisitions” for additional details. No goodwill impairment was recorded during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intangible assets: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2024</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December 31, 2023</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20" w:type="dxa"/>
            <w:vAlign w:val="bottom"/>
          </w:tcPr>
          <w:p>
            <w:pPr>
              <w:jc w:val="right"/>
              <w:ind w:right="120"/>
              <w:spacing w:after="0" w:line="139"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160" w:type="dxa"/>
            <w:vAlign w:val="bottom"/>
          </w:tcPr>
          <w:p>
            <w:pPr>
              <w:jc w:val="right"/>
              <w:ind w:right="160"/>
              <w:spacing w:after="0" w:line="139" w:lineRule="exact"/>
              <w:rPr>
                <w:sz w:val="20"/>
                <w:szCs w:val="20"/>
                <w:color w:val="auto"/>
              </w:rPr>
            </w:pPr>
            <w:r>
              <w:rPr>
                <w:rFonts w:ascii="Arial" w:cs="Arial" w:eastAsia="Arial" w:hAnsi="Arial"/>
                <w:sz w:val="14"/>
                <w:szCs w:val="14"/>
                <w:b w:val="1"/>
                <w:bCs w:val="1"/>
                <w:color w:val="auto"/>
              </w:rPr>
              <w:t>Accumulated</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carrying amount</w:t>
            </w:r>
          </w:p>
        </w:tc>
        <w:tc>
          <w:tcPr>
            <w:tcW w:w="180" w:type="dxa"/>
            <w:vAlign w:val="bottom"/>
          </w:tcPr>
          <w:p>
            <w:pPr>
              <w:spacing w:after="0"/>
              <w:rPr>
                <w:sz w:val="12"/>
                <w:szCs w:val="12"/>
                <w:color w:val="auto"/>
              </w:rPr>
            </w:pPr>
          </w:p>
        </w:tc>
        <w:tc>
          <w:tcPr>
            <w:tcW w:w="1240" w:type="dxa"/>
            <w:vAlign w:val="bottom"/>
          </w:tcPr>
          <w:p>
            <w:pPr>
              <w:jc w:val="right"/>
              <w:ind w:right="120"/>
              <w:spacing w:after="0" w:line="139"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380" w:type="dxa"/>
            <w:vAlign w:val="bottom"/>
          </w:tcPr>
          <w:p>
            <w:pPr>
              <w:jc w:val="center"/>
              <w:ind w:right="61"/>
              <w:spacing w:after="0" w:line="139" w:lineRule="exact"/>
              <w:rPr>
                <w:sz w:val="20"/>
                <w:szCs w:val="20"/>
                <w:color w:val="auto"/>
              </w:rPr>
            </w:pPr>
            <w:r>
              <w:rPr>
                <w:rFonts w:ascii="Arial" w:cs="Arial" w:eastAsia="Arial" w:hAnsi="Arial"/>
                <w:sz w:val="14"/>
                <w:szCs w:val="14"/>
                <w:b w:val="1"/>
                <w:bCs w:val="1"/>
                <w:color w:val="auto"/>
              </w:rPr>
              <w:t>Accumulated</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77"/>
        </w:trPr>
        <w:tc>
          <w:tcPr>
            <w:tcW w:w="24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Amortization</w:t>
            </w:r>
          </w:p>
        </w:tc>
        <w:tc>
          <w:tcPr>
            <w:tcW w:w="160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Amortization</w:t>
            </w: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Definite-lived technology</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224,362</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(24,544)</w:t>
            </w: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199,818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44,076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(8,882)</w:t>
            </w: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35,194</w:t>
            </w:r>
          </w:p>
        </w:tc>
        <w:tc>
          <w:tcPr>
            <w:tcW w:w="0" w:type="dxa"/>
            <w:vAlign w:val="bottom"/>
          </w:tcPr>
          <w:p>
            <w:pPr>
              <w:spacing w:after="0"/>
              <w:rPr>
                <w:sz w:val="1"/>
                <w:szCs w:val="1"/>
                <w:color w:val="auto"/>
              </w:rPr>
            </w:pPr>
          </w:p>
        </w:tc>
      </w:tr>
      <w:tr>
        <w:trPr>
          <w:trHeight w:val="177"/>
        </w:trPr>
        <w:tc>
          <w:tcPr>
            <w:tcW w:w="2460" w:type="dxa"/>
            <w:vAlign w:val="bottom"/>
          </w:tcPr>
          <w:p>
            <w:pPr>
              <w:ind w:left="20"/>
              <w:spacing w:after="0" w:line="176" w:lineRule="exact"/>
              <w:rPr>
                <w:sz w:val="20"/>
                <w:szCs w:val="20"/>
                <w:color w:val="auto"/>
              </w:rPr>
            </w:pPr>
            <w:r>
              <w:rPr>
                <w:rFonts w:ascii="Arial" w:cs="Arial" w:eastAsia="Arial" w:hAnsi="Arial"/>
                <w:sz w:val="17"/>
                <w:szCs w:val="17"/>
                <w:color w:val="auto"/>
              </w:rPr>
              <w:t>Definite-lived licensed</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9,350</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(2,088)</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350</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(87)</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177"/>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Indefinite-lived intangible</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128,775</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128,775</w:t>
            </w: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0" w:type="dxa"/>
            <w:vAlign w:val="bottom"/>
          </w:tcPr>
          <w:p>
            <w:pPr>
              <w:spacing w:after="0"/>
              <w:rPr>
                <w:sz w:val="1"/>
                <w:szCs w:val="1"/>
                <w:color w:val="auto"/>
              </w:rPr>
            </w:pPr>
          </w:p>
        </w:tc>
      </w:tr>
      <w:tr>
        <w:trPr>
          <w:trHeight w:val="212"/>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362,487</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(26,632)</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335,855</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(8,969)</w:t>
            </w:r>
          </w:p>
        </w:tc>
        <w:tc>
          <w:tcPr>
            <w:tcW w:w="48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36,443</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The definite-lived intangible assets balance primarily increased during the year ended December 31, 2024 due to the Company’s acquisition. See Note 4, “Acquisitions” for additional details on the intangible assets acquired.</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For the year ended December 31, 2024, the Company entered into a three year licensing agreement with Helix for access to their patient data and use rights for therapeutics development purposes. This data will be used to improve the training of Recursion’s artificial intelligence and machine learning models and is expected to accelerate Recursion’s drug discovery process. Recursion is making annual payments of $3.0 million for a total of $9.0 million, which was recorded in “Intangible Assets, net” on the Consolidated Balance Sheet and included as a licensed intangible asset in the above table. Recursion made the first payment during the year ended December 31, 2024 and recorded the two remaining $3.0 million payments in “Accrued expenses and other liabilities” and “Other liabilities, non-current” on the Consolidated Balance Sheet, respectively. The licensed intangible asset is being amortized on a straight-line basis over its three year useful life.</w:t>
      </w:r>
    </w:p>
    <w:p>
      <w:pPr>
        <w:spacing w:after="0" w:line="199"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Amortization expense was $18.8 million, $8.5 million and $379 thousand during the years ended December 31, 2024, 2023 and 2022, respectively. Amortization expense was primarily included in “Research and Development” in the Consolidated Statements of Operations. Amortization expense for the definite-lived intangible assets will be recognized over approximately the next five years.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estimated annual amortization expense for the definite-lived intangible assets recorded as of December 31, 2024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2029</w:t>
            </w:r>
          </w:p>
        </w:tc>
      </w:tr>
      <w:tr>
        <w:trPr>
          <w:trHeight w:val="212"/>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Estimated annual amortization expense</w:t>
            </w: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46,712</w:t>
            </w:r>
          </w:p>
        </w:tc>
        <w:tc>
          <w:tcPr>
            <w:tcW w:w="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41,005</w:t>
            </w:r>
          </w:p>
        </w:tc>
        <w:tc>
          <w:tcPr>
            <w:tcW w:w="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32,616</w:t>
            </w:r>
          </w:p>
        </w:tc>
        <w:tc>
          <w:tcPr>
            <w:tcW w:w="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30,340</w:t>
            </w:r>
          </w:p>
        </w:tc>
        <w:tc>
          <w:tcPr>
            <w:tcW w:w="3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30,333</w:t>
            </w:r>
          </w:p>
        </w:tc>
      </w:tr>
    </w:tbl>
    <w:p>
      <w:pPr>
        <w:spacing w:after="0" w:line="305" w:lineRule="exact"/>
        <w:rPr>
          <w:sz w:val="20"/>
          <w:szCs w:val="20"/>
          <w:color w:val="auto"/>
        </w:rPr>
      </w:pPr>
    </w:p>
    <w:p>
      <w:pPr>
        <w:jc w:val="both"/>
        <w:ind w:right="340"/>
        <w:spacing w:after="0" w:line="271" w:lineRule="auto"/>
        <w:rPr>
          <w:sz w:val="20"/>
          <w:szCs w:val="20"/>
          <w:color w:val="auto"/>
        </w:rPr>
      </w:pPr>
      <w:r>
        <w:rPr>
          <w:rFonts w:ascii="Arial" w:cs="Arial" w:eastAsia="Arial" w:hAnsi="Arial"/>
          <w:sz w:val="17"/>
          <w:szCs w:val="17"/>
          <w:color w:val="auto"/>
        </w:rPr>
        <w:t>The indefinite-lived intangible assets primarily represent in-process research and development (IPR&amp;D) intangible projects acquired in business combinations. See Note 4, “Acquisitions” for additional details on the intangible assets acquired. No indefinite-lived intangible asset impairment charges were recorded during the years ended December 31, 2024, 2023 and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Note 7. Commitments and Contingencies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Indemnification</w:t>
      </w:r>
    </w:p>
    <w:p>
      <w:pPr>
        <w:spacing w:after="0" w:line="24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1E1E1E"/>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 indemnification obligations. The Company had no liabilities recorded for these agreements as of December 31, 2024 and December 31, 2023, as no amounts were probable.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7164070" cy="419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Employee Agreements</w:t>
      </w:r>
    </w:p>
    <w:p>
      <w:pPr>
        <w:spacing w:after="0" w:line="243"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1E1E1E"/>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Legal Matters</w:t>
      </w:r>
    </w:p>
    <w:p>
      <w:pPr>
        <w:spacing w:after="0" w:line="243"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1E1E1E"/>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7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1E1E1E"/>
        </w:rPr>
        <w:t>In April 2024, a putative class action complaint was filed in the U.S. District Court for the District of New Jersey against Exscientia plc, Andrew Hopkins, Ben R. Taylor and David Nicholson (</w:t>
      </w:r>
      <w:r>
        <w:rPr>
          <w:rFonts w:ascii="Arial" w:cs="Arial" w:eastAsia="Arial" w:hAnsi="Arial"/>
          <w:sz w:val="17"/>
          <w:szCs w:val="17"/>
          <w:i w:val="1"/>
          <w:iCs w:val="1"/>
          <w:color w:val="1E1E1E"/>
        </w:rPr>
        <w:t>Campanile v. Exscientia plc,</w:t>
      </w:r>
      <w:r>
        <w:rPr>
          <w:rFonts w:ascii="Arial" w:cs="Arial" w:eastAsia="Arial" w:hAnsi="Arial"/>
          <w:sz w:val="17"/>
          <w:szCs w:val="17"/>
          <w:color w:val="1E1E1E"/>
        </w:rPr>
        <w:t xml:space="preserve"> Case No. 1:24-cv-05692). In June 2024, a separate complaint was filed against the same defendants in the U.S. District Court for the District of New Jersey (Case 1:24-cv-07181). Both complaints allege that the defendants violated federal securities laws by, among other things, making materially false and misleading statements regarding Exscientia’s business, operations, and prospects. The complaints seek unspecified compensatory damages, as well as an award of reasonable attorneys’ fees and other costs, on behalf of persons and/or entities which purchased Exscientia securities between March 2022 and February 2024. The cases were consolidated and plaintiffs filed an amended complaint on November 11, 2024 against Exscientia plc, Andrew Hopkins, and David Nicholson, and the Company moved to dismiss on January 21, 2025. That motion remains pending. </w:t>
      </w:r>
      <w:r>
        <w:rPr>
          <w:rFonts w:ascii="Arial" w:cs="Arial" w:eastAsia="Arial" w:hAnsi="Arial"/>
          <w:sz w:val="17"/>
          <w:szCs w:val="17"/>
          <w:color w:val="000000"/>
        </w:rPr>
        <w:t>As of December 31, 2024</w:t>
      </w:r>
      <w:r>
        <w:rPr>
          <w:rFonts w:ascii="Arial" w:cs="Arial" w:eastAsia="Arial" w:hAnsi="Arial"/>
          <w:sz w:val="17"/>
          <w:szCs w:val="17"/>
          <w:color w:val="1E1E1E"/>
        </w:rPr>
        <w:t>, the Company had no liability recorded for these events as an unfavorable outcome was not probable.</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7"/>
          <w:szCs w:val="17"/>
          <w:color w:val="1E1E1E"/>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On June 23, 2023, the landlord filed a lawsuit against the Company (</w:t>
      </w:r>
      <w:r>
        <w:rPr>
          <w:rFonts w:ascii="Arial" w:cs="Arial" w:eastAsia="Arial" w:hAnsi="Arial"/>
          <w:sz w:val="17"/>
          <w:szCs w:val="17"/>
          <w:i w:val="1"/>
          <w:iCs w:val="1"/>
          <w:color w:val="1E1E1E"/>
        </w:rPr>
        <w:t>Industry Office SLC, LLC v. Recursion Pharmaceuticals, Inc.</w:t>
      </w:r>
      <w:r>
        <w:rPr>
          <w:rFonts w:ascii="Arial" w:cs="Arial" w:eastAsia="Arial" w:hAnsi="Arial"/>
          <w:sz w:val="17"/>
          <w:szCs w:val="17"/>
          <w:color w:val="1E1E1E"/>
        </w:rPr>
        <w:t xml:space="preserve">, Case No. 230904627), amended in October 2023, in the Third District Court for Salt Lake County, State of Utah (the Court), alleging anticipatory repudiation, breach of contract, and breach of the implied covenant of good faith and fair dealing, and seeks monetary damages and attorney’s fees. </w:t>
      </w:r>
      <w:r>
        <w:rPr>
          <w:rFonts w:ascii="Arial" w:cs="Arial" w:eastAsia="Arial" w:hAnsi="Arial"/>
          <w:sz w:val="17"/>
          <w:szCs w:val="17"/>
          <w:color w:val="000000"/>
        </w:rPr>
        <w:t>As of December 31, 2024</w:t>
      </w:r>
      <w:r>
        <w:rPr>
          <w:rFonts w:ascii="Arial" w:cs="Arial" w:eastAsia="Arial" w:hAnsi="Arial"/>
          <w:sz w:val="17"/>
          <w:szCs w:val="17"/>
          <w:color w:val="1E1E1E"/>
        </w:rPr>
        <w:t>, the Company had no liability recorded for these events as an unfavorable outcome was not probable.</w:t>
      </w:r>
    </w:p>
    <w:p>
      <w:pPr>
        <w:spacing w:after="0" w:line="199"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1E1E1E"/>
        </w:rPr>
        <w:t>In connection with the Industry Lease,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The Company and the landlord are currently engaged in discovery. The Company is unable to estimate the possible amount or range of amounts associated with the Counterclaims.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Pledged Assets</w:t>
      </w:r>
    </w:p>
    <w:p>
      <w:pPr>
        <w:spacing w:after="0" w:line="24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As of </w:t>
      </w:r>
      <w:r>
        <w:rPr>
          <w:rFonts w:ascii="Arial" w:cs="Arial" w:eastAsia="Arial" w:hAnsi="Arial"/>
          <w:sz w:val="17"/>
          <w:szCs w:val="17"/>
          <w:color w:val="1E1E1E"/>
        </w:rPr>
        <w:t>December 31, 2024</w:t>
      </w:r>
      <w:r>
        <w:rPr>
          <w:rFonts w:ascii="Arial" w:cs="Arial" w:eastAsia="Arial" w:hAnsi="Arial"/>
          <w:sz w:val="17"/>
          <w:szCs w:val="17"/>
          <w:color w:val="auto"/>
        </w:rPr>
        <w:t xml:space="preserve">, assets pledged as collateral against finance leases totaled $24.1 million. Assets pledged as collateral are Lab Equipment reported in “Property and Equipment, net” on the Consolidated Balance Sheet. As of </w:t>
      </w:r>
      <w:r>
        <w:rPr>
          <w:rFonts w:ascii="Arial" w:cs="Arial" w:eastAsia="Arial" w:hAnsi="Arial"/>
          <w:sz w:val="17"/>
          <w:szCs w:val="17"/>
          <w:color w:val="1E1E1E"/>
        </w:rPr>
        <w:t>December 31, 2024</w:t>
      </w:r>
      <w:r>
        <w:rPr>
          <w:rFonts w:ascii="Arial" w:cs="Arial" w:eastAsia="Arial" w:hAnsi="Arial"/>
          <w:sz w:val="17"/>
          <w:szCs w:val="17"/>
          <w:color w:val="auto"/>
        </w:rPr>
        <w:t>, the liabilities associated with collateral pledged were solely comprised of a finance lease and had a carrying value of $26.6 million. The collateral pledged under the lease agreement may only be operated by the Company within the continental United States and must maintain a good title. The assets cannot be sold, disposed of or repledged by the Company.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Common Stock</w:t>
      </w:r>
    </w:p>
    <w:p>
      <w:pPr>
        <w:spacing w:after="0" w:line="245"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December 31, 2024 and December 31, 2023, no dividends had been declared.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Public Offering of Common Stock</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June 2024, the Company closed its public offering of Class A common stock and issued 35.4 million shares at a price of $6.50 per share for net proceeds of approximately $216.4 million, after deducting transaction costs of $13.6 million. In connection with the public offering of Class A common stock, the Company entered into an underwriting agreement for the offering and sale of 30.8 million shares. The Company also granted the Underwriters a 30 day option from the date of the underwriting agreement to purchase up to an additional 4.6 million shares of Class A Common Stock, which was exercised in full. The public offering was made pursuant to the Company's effective registration statement on Form S-3 (File No. 333-264845) and a related prospectus supplement and accompanying prospectus dated June 26, 2024.</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At-The-Market Offering</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1E1E1E"/>
        </w:rPr>
        <w:t>August 2023</w:t>
      </w:r>
      <w:r>
        <w:rPr>
          <w:rFonts w:ascii="Arial" w:cs="Arial" w:eastAsia="Arial" w:hAnsi="Arial"/>
          <w:sz w:val="17"/>
          <w:szCs w:val="17"/>
          <w:color w:val="auto"/>
        </w:rPr>
        <w:t>, the Company entered into an Open Market Sales Agreement (the “Sales Agreement”) with Jefferies LLC (the “Sales Agent”), to provide for the offering, issuance and sale of up to an aggregate amount of $300.0 million of its Class A common stock from time to time in “at-the-market (ATM)” offerings. As of December 31, 2024, an amount of $132.8 million remained available for future sales under the Sales Agreement. For the year ended December 31, 2024, the Company has sold 9.9 million shares and received net proceeds of $84.0 million under the agreement. Recursion is not required to sell additional shares under the Sales Agreement. The Company pays the Sales Agent a commission of up to 3% of the aggregate gross proceeds received from all sales of Class A common stock. The Sales Agreement continues until the earlier of selling all shares available under the Sales Agreement or terminated by written notice from either of the parties. The ATM Offering is being made under a prospectus supplement dated August 8, 2023, and related prospectus filed with the Securities and Exchange Commission pursuant to the Company’s automatically effective shelf registration statement on Form S-3ASR (Registration No. 333-264845).</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NVIDIA Private Placement</w:t>
      </w:r>
    </w:p>
    <w:p>
      <w:pPr>
        <w:spacing w:after="0" w:line="24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July 2023, Recursion entered into a Stock Purchase Agreement for a private placement with NVIDIA Corporation (2023 Private Placement), pursuant to which the Company sold an aggregate of 7.7 million shares of the Company’s Class A common stock at a price of $6.49 per share for net proceeds of approximately $49.9 million</w:t>
      </w:r>
      <w:r>
        <w:rPr>
          <w:rFonts w:ascii="Arial" w:cs="Arial" w:eastAsia="Arial" w:hAnsi="Arial"/>
          <w:sz w:val="17"/>
          <w:szCs w:val="17"/>
          <w:color w:val="1E1E1E"/>
        </w:rPr>
        <w: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Valence Acquisition Exchangeable Shares</w:t>
      </w:r>
    </w:p>
    <w:p>
      <w:pPr>
        <w:spacing w:after="0" w:line="243"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May 2023, in connection with the acquisition of Valence, the Company entered into an agreement to issue up to 5.9 million shares of Class A common stock (the “Exchangeable Shares”), that may be issued upon exchange, retraction or redemption of exchangeable shares of a subsidiary of Recursion. Each exchangeable share of the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 require all outstanding exchangeable shares to be exchanged into an equal number of Class A common stock upon the occurrence of certain events and at any time following the seventh anniversary of the closing of the Valence acquisition. The exchangeable shares are substantially the economic equivalent of the Class A shares and classified as common stock within the Company’s stockholders’ equity. The Company’s calculation of weighted-average shares outstanding includes the exchangeable shares. As of December 31, 2024, 4.9 million Exchangeable shares have been redeemed for Class A shares.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E1E1E"/>
        </w:rPr>
        <w:t>2022 Private Placement</w:t>
      </w:r>
    </w:p>
    <w:p>
      <w:pPr>
        <w:spacing w:after="0" w:line="24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1E1E1E"/>
        </w:rPr>
        <w:t>In October 2022, Recursion issued 15.3 million shares of the Company’s Class A common stock at a purchase price of $9.80 per share in a private placement (the 2022 Private Placement) to qualified institutional buyers and institutional accredited investors (the Purchasers) for net proceeds of $143.7 million, after deducting fees and offering costs of $6.6 million.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 Agreements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Tempus agreement</w:t>
      </w:r>
    </w:p>
    <w:p>
      <w:pPr>
        <w:spacing w:after="0" w:line="25"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 xml:space="preserve">In November 2023, in connection with the Tempus Agreement, the Company agreed to prepare and file a registration statement (or a prospectus supplement to an effective registration statement on Form S-3ASR that will become automatically effective upon filing with the SEC pursuant to Rule 462(e)) with the SEC, for resale of the shares of Class A common stock issued or issuable under the Tempus Agreement. A prospectus supplement to a registration statement (File No. 333-264845) was subsequently filed in </w:t>
      </w:r>
      <w:r>
        <w:rPr>
          <w:rFonts w:ascii="Arial" w:cs="Arial" w:eastAsia="Arial" w:hAnsi="Arial"/>
          <w:sz w:val="17"/>
          <w:szCs w:val="17"/>
          <w:color w:val="1E1E1E"/>
        </w:rPr>
        <w:t>December 2023</w:t>
      </w:r>
      <w:r>
        <w:rPr>
          <w:rFonts w:ascii="Arial" w:cs="Arial" w:eastAsia="Arial" w:hAnsi="Arial"/>
          <w:sz w:val="17"/>
          <w:szCs w:val="17"/>
          <w:color w:val="auto"/>
        </w:rPr>
        <w:t xml:space="preserve"> to register shares issued to Tempus for the initial license fee under the Tempus Agreement for resale. In </w:t>
      </w:r>
      <w:r>
        <w:rPr>
          <w:rFonts w:ascii="Arial" w:cs="Arial" w:eastAsia="Arial" w:hAnsi="Arial"/>
          <w:sz w:val="17"/>
          <w:szCs w:val="17"/>
          <w:color w:val="1E1E1E"/>
        </w:rPr>
        <w:t>December 2024</w:t>
      </w:r>
      <w:r>
        <w:rPr>
          <w:rFonts w:ascii="Arial" w:cs="Arial" w:eastAsia="Arial" w:hAnsi="Arial"/>
          <w:sz w:val="17"/>
          <w:szCs w:val="17"/>
          <w:color w:val="auto"/>
        </w:rPr>
        <w:t>, a prospectus supplement to a registration statement (File No. 333-264845) was filed to register shares issued to Tempus in payment for the 2024 annual fee.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NVIDIA Private Placement</w:t>
      </w:r>
    </w:p>
    <w:p>
      <w:pPr>
        <w:spacing w:after="0" w:line="2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1E1E1E"/>
        </w:rPr>
        <w:t>July 2023</w:t>
      </w:r>
      <w:r>
        <w:rPr>
          <w:rFonts w:ascii="Arial" w:cs="Arial" w:eastAsia="Arial" w:hAnsi="Arial"/>
          <w:sz w:val="17"/>
          <w:szCs w:val="17"/>
          <w:color w:val="auto"/>
        </w:rPr>
        <w:t xml:space="preserve">, in connection with the 2023 Private Placement with NVIDIA, the Company entered into a Registration Rights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7"/>
          <w:szCs w:val="17"/>
          <w:color w:val="1E1E1E"/>
        </w:rPr>
        <w:t>August 2023</w:t>
      </w:r>
      <w:r>
        <w:rPr>
          <w:rFonts w:ascii="Arial" w:cs="Arial" w:eastAsia="Arial" w:hAnsi="Arial"/>
          <w:sz w:val="17"/>
          <w:szCs w:val="17"/>
          <w:color w:val="auto"/>
        </w:rPr>
        <w:t xml:space="preserve"> to register the resale of the shares of Class A common stock issued to NVIDIA. The Company has agreed to use commercially reasonable efforts to keep the registration statement continuously effective until such date that all registrable securities under the agreement have been sold. In the event the holders cannot sell their shares due to certain circumstances causing the registration statement to be ineffective, the Company must pay each holder of shares outstanding on the date and each month thereafter 1% of the aggregate purchase price with the maximum payable amount of 5% of the aggregate purchase price. As of December 31, 2024, there was no accrued liability related to this agreement, as it was not probable that a payment would be required.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Acquisitions</w:t>
      </w:r>
    </w:p>
    <w:p>
      <w:pPr>
        <w:spacing w:after="0" w:line="2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November 2024, in connection with the acquisition of Exscientia, the Company entered into a Registration Agreement providing for the registration for resale of the shares of Class A common stock issued for Recursion stock options and RSUs under the assumed Exscientia plans and the Inducement awards. A registration statement on Form S-8 (File No. 333-283347) was filed to register the shares for resale by the holders. The registration statement must remain effective as long as such Recursion stock options and RSUs remain outstanding.</w:t>
      </w:r>
    </w:p>
    <w:p>
      <w:pPr>
        <w:spacing w:after="0" w:line="197"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1E1E1E"/>
        </w:rPr>
        <w:t>May 2023</w:t>
      </w:r>
      <w:r>
        <w:rPr>
          <w:rFonts w:ascii="Arial" w:cs="Arial" w:eastAsia="Arial" w:hAnsi="Arial"/>
          <w:sz w:val="17"/>
          <w:szCs w:val="17"/>
          <w:color w:val="auto"/>
        </w:rPr>
        <w:t>,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 the shares for resale by the holders. The registration statement must remain effective for a period of not less than three years.</w:t>
      </w:r>
    </w:p>
    <w:p>
      <w:pPr>
        <w:spacing w:after="0" w:line="19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1E1E1E"/>
        </w:rPr>
        <w:t>May 2023</w:t>
      </w:r>
      <w:r>
        <w:rPr>
          <w:rFonts w:ascii="Arial" w:cs="Arial" w:eastAsia="Arial" w:hAnsi="Arial"/>
          <w:sz w:val="17"/>
          <w:szCs w:val="17"/>
          <w:color w:val="auto"/>
        </w:rPr>
        <w:t xml:space="preserve">, in connection with the acquisition of Cyclica, the Company entered into a Registration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7"/>
          <w:szCs w:val="17"/>
          <w:color w:val="1E1E1E"/>
        </w:rPr>
        <w:t>June 2023</w:t>
      </w:r>
      <w:r>
        <w:rPr>
          <w:rFonts w:ascii="Arial" w:cs="Arial" w:eastAsia="Arial" w:hAnsi="Arial"/>
          <w:sz w:val="17"/>
          <w:szCs w:val="17"/>
          <w:color w:val="auto"/>
        </w:rPr>
        <w:t xml:space="preserve"> to register the shares for resale by the holders. The registration statement must be continuously effective until the earlier of the date that all shares have been sold thereunder or are able to be publicly sold by relying on Rule 144 of the Securities Act without registration.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2022 Private Placement</w:t>
      </w:r>
    </w:p>
    <w:p>
      <w:pPr>
        <w:spacing w:after="0" w:line="2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1E1E1E"/>
        </w:rPr>
        <w:t>In October 2022, i</w:t>
      </w:r>
      <w:r>
        <w:rPr>
          <w:rFonts w:ascii="Arial" w:cs="Arial" w:eastAsia="Arial" w:hAnsi="Arial"/>
          <w:sz w:val="17"/>
          <w:szCs w:val="17"/>
          <w:color w:val="000000"/>
        </w:rPr>
        <w:t>n connection with the 2022 Private Placement, the Company entered into a Registration Rights Agreement providing for the</w:t>
      </w:r>
      <w:r>
        <w:rPr>
          <w:rFonts w:ascii="Arial" w:cs="Arial" w:eastAsia="Arial" w:hAnsi="Arial"/>
          <w:sz w:val="17"/>
          <w:szCs w:val="17"/>
          <w:color w:val="1E1E1E"/>
        </w:rPr>
        <w:t xml:space="preserve"> </w:t>
      </w:r>
      <w:r>
        <w:rPr>
          <w:rFonts w:ascii="Arial" w:cs="Arial" w:eastAsia="Arial" w:hAnsi="Arial"/>
          <w:sz w:val="17"/>
          <w:szCs w:val="17"/>
          <w:color w:val="000000"/>
        </w:rPr>
        <w:t xml:space="preserve">registration for resale of the shares of Class A common stock issued in such transaction. A prospectus supplement to a registration statement (File No. 333-264845) was subsequently filed in </w:t>
      </w:r>
      <w:r>
        <w:rPr>
          <w:rFonts w:ascii="Arial" w:cs="Arial" w:eastAsia="Arial" w:hAnsi="Arial"/>
          <w:sz w:val="17"/>
          <w:szCs w:val="17"/>
          <w:color w:val="1E1E1E"/>
        </w:rPr>
        <w:t>October 2022</w:t>
      </w:r>
      <w:r>
        <w:rPr>
          <w:rFonts w:ascii="Arial" w:cs="Arial" w:eastAsia="Arial" w:hAnsi="Arial"/>
          <w:sz w:val="17"/>
          <w:szCs w:val="17"/>
          <w:color w:val="000000"/>
        </w:rPr>
        <w:t xml:space="preserve"> to register the resale of the shares of Class A common stock by the Purchasers. The agreement must remain effective until registrable securities covered by the agreement have been publicly sold by the holders or all shares cease to be registrable securities. In the event the holders cannot sell their shares due to certain circumstances causing the agreement to be ineffective, the Company must pay each holder of shares outstanding on the date and each month thereafter 1% of the aggregate purchase price paid by the holder without limit until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agreement is cured. As of December 31, 2024, there was no accrued liability related to this agreement, as it was not probable that a payment would be required.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and B Common Shares Authorization</w:t>
      </w:r>
    </w:p>
    <w:p>
      <w:pPr>
        <w:spacing w:after="0" w:line="24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1E1E1E"/>
        </w:rPr>
        <w:t>April 2021</w:t>
      </w:r>
      <w:r>
        <w:rPr>
          <w:rFonts w:ascii="Arial" w:cs="Arial" w:eastAsia="Arial" w:hAnsi="Arial"/>
          <w:sz w:val="17"/>
          <w:szCs w:val="17"/>
          <w:color w:val="auto"/>
        </w:rPr>
        <w:t>,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00" w:lineRule="exact"/>
        <w:rPr>
          <w:sz w:val="20"/>
          <w:szCs w:val="20"/>
          <w:color w:val="auto"/>
        </w:rPr>
      </w:pPr>
    </w:p>
    <w:p>
      <w:pPr>
        <w:spacing w:after="0" w:line="202"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All Class B common stock is held by Christopher Gibson, Ph.D., the Company’s Chief Executive Officer (CEO), or his affiliates. As of December 31, 2024, Dr. Gibson and his affiliates held outstanding shares of Class B common stock representing approximately 15%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December 31, 2024, Dr. Gibson and his affiliates would hold approximately 16%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Note 9. Collaborative Development Contracts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Sanofi</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Description</w:t>
      </w:r>
    </w:p>
    <w:p>
      <w:pPr>
        <w:spacing w:after="0" w:line="2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January 2022, the Company and Sanofi entered into a collaboration agreement to develop an AI-driven pipeline of precision-engineered medicines. The research is focused on up to 15 novel small molecule candidates across oncology and immunology and utilizes the Company’s AI platform. The Company is leading small molecule drug design and lead optimization activities with Sanofi assuming responsibility for preclinical and clinical development, manufacturing and commercialization.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Pricing</w:t>
      </w:r>
    </w:p>
    <w:p>
      <w:pPr>
        <w:spacing w:after="0" w:line="2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Company received a $100.0 million non-refundable upfront payment. The Company has also received multiple milestone payments related to this agreement of approximately $23.0 million. These related to the advancement of several of the discovery programs within the collaboration and the addition of an existing Company program into the collaboration. Recursion is eligible for additional milestone payments based on performance progress of the collaboration and tiered royalties ranging from high-single-digits to mid-teens. Recursion could earn a maximum of $555.0 million from all research milestones and $1.8 billion from all development and regulatory milestones.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Accounting</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November 2024, Recursion acquired Exscientia as part of an acquisition. See Note 4, “Acquisitions” for additional information. As such, the initial Recursion accounting analysis for this transaction was done as of the business combination date as if Recursion had originated the contract. This agreement represents a transaction with a customer and therefore is accounted for in accordance with ASC 606. Recursion has determined that it has at least eight performance obligations related to the small molecule projects. These performance obligations are for performing research and development services for Sanofi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05"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The Company has determined the transaction price to be $ 137.0 million, for the initial performance obligations, comprised of the upfront payment, several milestones that have been achieved and estimated additional target exercises. Recursion will fully constrain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transaction price was generally allocated to the performance obligations based on the estimated relative stand-alone selling price of each performance obligation as determined using an expected cost plus margin approach. The milestone fees were allocated to related performance obligation as the terms of the variable consideration related specifically to Recursion’s efforts to satisfy the related performance obligation.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number of projects to be performed, the number of substitutions related to those projects, length of time required, service hours performed by Company employees and materials costs. A significant change in these estimates could have a material effect on the timing and amount of revenue recognized in future periods. Recursion is unable to estimate the completion date of the performance obligations due to the current stage of work.</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Merck KGaA (Merck)</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Description</w:t>
      </w:r>
    </w:p>
    <w:p>
      <w:pPr>
        <w:spacing w:after="0" w:line="25"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In September 2023, the Company and Merck entered into a collaboration agreement to discover novel small molecule drug candidates across oncology, neuroinflammation and immunology. The collaboration utilizes the Company’s AI platform and the Company is performing drug design and discovery while Merck will be assuming responsibility for the preclinical and clinical development.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Pricing</w:t>
      </w:r>
    </w:p>
    <w:p>
      <w:pPr>
        <w:spacing w:after="0" w:line="2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Company received a $20.1 million non-refundable upfront payment. Recursion is eligible for additional milestone payments based on performance progress of the collaboration and tiered royalties from the mid-single-digits to low-double-digits. The Company could earn a maximum of $73.0 million for discovery, development and sales milestones per product.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Accounting</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November 2024, Recursion acquired Exscientia as part of an acquisition. See Note 4, “Acquisitions” for additional information. As such, the initial Recursion accounting analysis for this transaction was done as of the business combination date as if Recursion had originated the contract. This agreement represents a transaction with a customer and therefore is accounted for in accordance with ASC 606. Recursion has determined that it has three performance obligations related to each project in the partnership. These performance obligations are for performing research and development services for Merck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05"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The Company has determined the transaction price to be $20.1 million, for the initial performance obligations, comprised of the upfront payment. Recursion will fully constrain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19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number of projects to be performed, the number of substitutions related to those projects, length of time required, service hours performed by Company employees and materials costs. A significant change in these estimates could have a material effect on the timing and amount of revenue recognized in future periods. Recursion was unable to estimate the completion date of the performance obligations due to the current stage of work.</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Roche and Genentech</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Description</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Pricing</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January 2022, Recursion received a $150.0 million non-refundable upfront payment from the Company’s collaboration with Roche. In September 2024, Recursion received a $30.0 million milestone payment (the “acceptance fee”), which was an acceptance fee related to the first accepted neuroscience Phenomap. Recursion is eligible for additional milestone payments based on performance progress of the collaboration. Each of the Phenomaps requested by Roche and created by Recursion may be subject to either an initiation fee, acceptance fee or both. Such fees could exceed $ 250.0 million for 16 accepted Phenomaps. In addition, for a period of time after Roche’s acceptance of certain Phenomaps, Roche will have the option to obtain, subject to payment of an exercise fee, rights to use outside the collaboration the raw images generated in the course of creating those Phenomaps. If Roche exercises its external use option for all 12 eligible Phenomaps, Roche’s associated exercise fee payments to Recursion could exceed $250.0 million. Under the collaboration, Roche may initiate up to 40 programs, each of which, if successfully developed and commercialized, could yield more than $300.0 million in development, commercialization and net revenue milestones for Recursion, as well as tiered royalties on net revenue.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Accounting</w:t>
      </w:r>
    </w:p>
    <w:p>
      <w:pPr>
        <w:spacing w:after="0" w:line="2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This agreement represents a transaction with a customer and therefore is accounted for in accordance with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03"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The Company has determined the transaction price to be $180.0 million, comprised of the upfront payment and the acceptance fee. Prior to the three months ended September 30, 2024, Recursion had fully constrained the $30.0 million variable consideration acceptance fee. As a result of Roche’s acceptance of the neuroscience Phenomap, Recursion is now recognizing the acceptance fee as part of the transaction price over the completion period of one of the neuroscience performance obligations. Recursion has fully constrained the remaining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19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transaction price was generally allocated to the performance obligations based on the estimated relative stand-alone selling price of each performance obligation as determined using an expected cost plus margin approach. The acceptance fee was allocated to one of the neuroscience performance obligations as the terms of the variable consideration related specifically to Recursion’s efforts to satisfy this performance obligation.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provide the services required under the performance obligations. Significant inputs used to determine the total costs included the length of time required, service hours performed by Company employees and materials costs. A significant change in these estimates could have a material effect on the timing and amount of revenue recognized in future periods. Recursion has estimated the completion of the performance obligations by 2026.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Bayer AG</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Description</w:t>
      </w:r>
    </w:p>
    <w:p>
      <w:pPr>
        <w:spacing w:after="0" w:line="2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August 2020, the Company entered into a Research Collaboration and Option Agreement (the Bayer Agreement) with Bayer AG (Bayer) pursuant to which the Company and Bayer initiated research projects related to fibrosis across multiple organ systems, including the lung, liver and heart. Under the agreement, the Company contributed compounds from its proprietary library and Bayer contributed compounds from its proprietary library and contributed scientific expertise throughout the collaboration. The Company worked with Bayer to identify potential candidates for development. Under the agreement, Bayer had the first option for licenses to potential candidates.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Pricing</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October 2020, the Company received a $30.0 million non-refundable upfront payment. Each such license potentially could have resulted in option exercise fees and development and commercial milestone payments payable to the Company, with an aggregate value of up to approximately $100.0 million (for an option on a lead series) or up to approximately $120.0 million (for an option on a development candidate), as well as tiered royalties for each such license, ranging from low- to mid-single digit percentages of sales, depending on commercial success.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Accounting</w:t>
      </w:r>
    </w:p>
    <w:p>
      <w:pPr>
        <w:spacing w:after="0" w:line="2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 determined that it had one performance obligation under the agreement, which was to perform research and development services for Bayer. Recursion determined the transaction price to be $ 30.0 million, comprised of the upfront payment. The Company allocated the amount to the single performance obligation. The Company recognized revenue over time by measuring progress towards completion of the performance obligation. This method of recognizing revenue required the Company to make estimates of the total time to provide the services required under the performance obligation. Recursion completed its performance obligation services in 2023.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Revenue Disclosures</w:t>
      </w:r>
    </w:p>
    <w:p>
      <w:pPr>
        <w:spacing w:after="0" w:line="24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Revenue from one customer exceeded 10% of total revenue, and that one customer represented primarily all of Recursion’s operating revenue during the year ended December 31, 2024. For the years ended December 31, 2023 and 2022, revenue from two customers exceeded 10% of total revenues and those two customers represented primarily all of Recursion’s operating revenue.</w:t>
      </w:r>
    </w:p>
    <w:p>
      <w:pPr>
        <w:spacing w:after="0" w:line="189"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Of the revenue recognized during the year ended December 31, 2024, $32.5 million was included in the unearned revenue balance as of December 31, 2023, and was related to the upfront payments received by the Company for the Roche agreement. Of the revenue recognized during the year ended December 31, 2023, primarily all of it was included in the unearned revenue balance as of December 31, 2022. Revenue recognized during the year ended December 31, 2024 was primarily from the upfront payments and acceptance fee received for the Roche agreement. The recognition of a portion of the upfront payment and acceptance fee decreased the unearned revenue recognized. As of December 31, 2024, the Company had $7.9 million of costs incurred to fulfill a contract on its Consolidated Balance Sheet within “Other Current Assets.”</w:t>
      </w:r>
    </w:p>
    <w:p>
      <w:pPr>
        <w:spacing w:after="0" w:line="199"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Unearned revenue was classified as short-term and long-term on the Consolidated Balance Sheets based on the Company’s estimate of revenue that will be recognized during the next twelve months.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Stock-Based Compensation</w:t>
      </w:r>
    </w:p>
    <w:p>
      <w:pPr>
        <w:spacing w:after="0" w:line="245"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December 31, 2024, 8.9 million shares of Class A common stock were available for grant in the 2021 plan. In 2024, the Board of Directors and the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stockholders of the Company adopted the 2024 Inducement Equity Incentive Plan (the 2024 Plan) as part of the Exscientia acquisition. See Note 4, “Acquisitions” for additional information. As of December 31, 2024, 9.5 million shares of Class A common stock were available for grant in the 2024 plan.</w:t>
      </w:r>
    </w:p>
    <w:p>
      <w:pPr>
        <w:spacing w:after="0" w:line="189"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The following table presents the classification of stock-based compensation expense for employees and non-employees within the Consolidated Statements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b w:val="1"/>
                <w:bCs w:val="1"/>
                <w:color w:val="auto"/>
              </w:rPr>
              <w:t>Years ended December 31,</w:t>
            </w:r>
          </w:p>
        </w:tc>
        <w:tc>
          <w:tcPr>
            <w:tcW w:w="1120" w:type="dxa"/>
            <w:vAlign w:val="bottom"/>
            <w:tcBorders>
              <w:bottom w:val="single" w:sz="8" w:color="auto"/>
            </w:tcBorders>
          </w:tcPr>
          <w:p>
            <w:pPr>
              <w:spacing w:after="0"/>
              <w:rPr>
                <w:sz w:val="19"/>
                <w:szCs w:val="19"/>
                <w:color w:val="auto"/>
              </w:rPr>
            </w:pPr>
          </w:p>
        </w:tc>
      </w:tr>
      <w:tr>
        <w:trPr>
          <w:trHeight w:val="212"/>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2024</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r>
      <w:tr>
        <w:trPr>
          <w:trHeight w:val="212"/>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3,636</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5,326</w:t>
            </w:r>
          </w:p>
        </w:tc>
        <w:tc>
          <w:tcPr>
            <w:tcW w:w="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2,755</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36,184</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21,992</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10,065</w:t>
            </w:r>
          </w:p>
        </w:tc>
      </w:tr>
      <w:tr>
        <w:trPr>
          <w:trHeight w:val="219"/>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39,681</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24,361</w:t>
            </w: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14,052</w:t>
            </w:r>
          </w:p>
        </w:tc>
      </w:tr>
      <w:tr>
        <w:trPr>
          <w:trHeight w:val="212"/>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79,501</w:t>
            </w:r>
          </w:p>
        </w:tc>
        <w:tc>
          <w:tcPr>
            <w:tcW w:w="3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51,679</w:t>
            </w:r>
          </w:p>
        </w:tc>
        <w:tc>
          <w:tcPr>
            <w:tcW w:w="4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26,872</w:t>
            </w: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part of the Exscientia acquisition, Recursion issued replacement grants for the Exscientia legacy awards. Recursion recorded $8.5 million of additional one-time stock compensation expense during the year ended December 31, 2024. See Note 4, “Acquisitions” for additional information on the Exscientia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3"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Stock options are primarily granted to executive leaders at the Company, generally vest over four years and expire no later than 10 years from the date of grant. Stock option activity during the year ended December 31, 2024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20"/>
              <w:spacing w:after="0"/>
              <w:rPr>
                <w:sz w:val="20"/>
                <w:szCs w:val="20"/>
                <w:color w:val="auto"/>
              </w:rPr>
            </w:pPr>
            <w:r>
              <w:rPr>
                <w:rFonts w:ascii="Arial" w:cs="Arial" w:eastAsia="Arial" w:hAnsi="Arial"/>
                <w:sz w:val="14"/>
                <w:szCs w:val="14"/>
                <w:b w:val="1"/>
                <w:bCs w:val="1"/>
                <w:color w:val="auto"/>
                <w:w w:val="97"/>
              </w:rPr>
              <w:t>Weighted-Average</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Weighted-Average</w:t>
            </w:r>
          </w:p>
        </w:tc>
        <w:tc>
          <w:tcPr>
            <w:tcW w:w="260" w:type="dxa"/>
            <w:vAlign w:val="bottom"/>
          </w:tcPr>
          <w:p>
            <w:pPr>
              <w:spacing w:after="0"/>
              <w:rPr>
                <w:sz w:val="14"/>
                <w:szCs w:val="14"/>
                <w:color w:val="auto"/>
              </w:rPr>
            </w:pPr>
          </w:p>
        </w:tc>
        <w:tc>
          <w:tcPr>
            <w:tcW w:w="1260" w:type="dxa"/>
            <w:vAlign w:val="bottom"/>
          </w:tcPr>
          <w:p>
            <w:pPr>
              <w:jc w:val="center"/>
              <w:ind w:right="181"/>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38"/>
        </w:trPr>
        <w:tc>
          <w:tcPr>
            <w:tcW w:w="4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82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380" w:type="dxa"/>
            <w:vAlign w:val="bottom"/>
          </w:tcPr>
          <w:p>
            <w:pPr>
              <w:jc w:val="center"/>
              <w:ind w:right="20"/>
              <w:spacing w:after="0" w:line="139" w:lineRule="exact"/>
              <w:rPr>
                <w:sz w:val="20"/>
                <w:szCs w:val="20"/>
                <w:color w:val="auto"/>
              </w:rPr>
            </w:pPr>
            <w:r>
              <w:rPr>
                <w:rFonts w:ascii="Arial" w:cs="Arial" w:eastAsia="Arial" w:hAnsi="Arial"/>
                <w:sz w:val="14"/>
                <w:szCs w:val="14"/>
                <w:b w:val="1"/>
                <w:bCs w:val="1"/>
                <w:color w:val="auto"/>
                <w:w w:val="97"/>
              </w:rPr>
              <w:t>Exercise</w:t>
            </w:r>
          </w:p>
        </w:tc>
        <w:tc>
          <w:tcPr>
            <w:tcW w:w="2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Remaining Contractual Life (in</w:t>
            </w:r>
          </w:p>
        </w:tc>
        <w:tc>
          <w:tcPr>
            <w:tcW w:w="260" w:type="dxa"/>
            <w:vAlign w:val="bottom"/>
          </w:tcPr>
          <w:p>
            <w:pPr>
              <w:spacing w:after="0"/>
              <w:rPr>
                <w:sz w:val="12"/>
                <w:szCs w:val="12"/>
                <w:color w:val="auto"/>
              </w:rPr>
            </w:pPr>
          </w:p>
        </w:tc>
        <w:tc>
          <w:tcPr>
            <w:tcW w:w="126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0"/>
        </w:trPr>
        <w:tc>
          <w:tcPr>
            <w:tcW w:w="4260" w:type="dxa"/>
            <w:vAlign w:val="bottom"/>
            <w:tcBorders>
              <w:bottom w:val="single" w:sz="8" w:color="auto"/>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9"/>
              </w:rPr>
              <w:t>Price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years)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2023</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14,957,617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72,416</w:t>
            </w:r>
          </w:p>
        </w:tc>
        <w:tc>
          <w:tcPr>
            <w:tcW w:w="0" w:type="dxa"/>
            <w:vAlign w:val="bottom"/>
          </w:tcPr>
          <w:p>
            <w:pPr>
              <w:spacing w:after="0"/>
              <w:rPr>
                <w:sz w:val="1"/>
                <w:szCs w:val="1"/>
                <w:color w:val="auto"/>
              </w:rPr>
            </w:pPr>
          </w:p>
        </w:tc>
      </w:tr>
      <w:tr>
        <w:trPr>
          <w:trHeight w:val="219"/>
        </w:trPr>
        <w:tc>
          <w:tcPr>
            <w:tcW w:w="4260" w:type="dxa"/>
            <w:vAlign w:val="bottom"/>
          </w:tcPr>
          <w:p>
            <w:pPr>
              <w:ind w:left="20"/>
              <w:spacing w:after="0"/>
              <w:rPr>
                <w:sz w:val="20"/>
                <w:szCs w:val="20"/>
                <w:color w:val="auto"/>
              </w:rPr>
            </w:pPr>
            <w:r>
              <w:rPr>
                <w:rFonts w:ascii="Arial" w:cs="Arial" w:eastAsia="Arial" w:hAnsi="Arial"/>
                <w:sz w:val="17"/>
                <w:szCs w:val="17"/>
                <w:color w:val="auto"/>
              </w:rPr>
              <w:t>Granted</w:t>
            </w:r>
          </w:p>
        </w:tc>
        <w:tc>
          <w:tcPr>
            <w:tcW w:w="1820" w:type="dxa"/>
            <w:vAlign w:val="bottom"/>
          </w:tcPr>
          <w:p>
            <w:pPr>
              <w:jc w:val="right"/>
              <w:spacing w:after="0"/>
              <w:rPr>
                <w:sz w:val="20"/>
                <w:szCs w:val="20"/>
                <w:color w:val="auto"/>
              </w:rPr>
            </w:pPr>
            <w:r>
              <w:rPr>
                <w:rFonts w:ascii="Arial" w:cs="Arial" w:eastAsia="Arial" w:hAnsi="Arial"/>
                <w:sz w:val="17"/>
                <w:szCs w:val="17"/>
                <w:color w:val="auto"/>
              </w:rPr>
              <w:t>11,996,483</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3.91</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Cancelled</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(1,129,239)</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2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Exercised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(3,883,366)</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2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25,194</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2024</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21,941,495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62,685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60" w:type="dxa"/>
            <w:vAlign w:val="bottom"/>
            <w:tcBorders>
              <w:bottom w:val="single" w:sz="8" w:color="auto"/>
            </w:tcBorders>
          </w:tcPr>
          <w:p>
            <w:pPr>
              <w:ind w:left="20"/>
              <w:spacing w:after="0" w:line="191" w:lineRule="exact"/>
              <w:rPr>
                <w:sz w:val="20"/>
                <w:szCs w:val="20"/>
                <w:color w:val="auto"/>
              </w:rPr>
            </w:pPr>
            <w:r>
              <w:rPr>
                <w:rFonts w:ascii="Arial" w:cs="Arial" w:eastAsia="Arial" w:hAnsi="Arial"/>
                <w:sz w:val="17"/>
                <w:szCs w:val="17"/>
                <w:color w:val="auto"/>
              </w:rPr>
              <w:t>Exercisable as of December 31, 2024</w:t>
            </w:r>
          </w:p>
        </w:tc>
        <w:tc>
          <w:tcPr>
            <w:tcW w:w="18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12,016,358</w:t>
            </w:r>
          </w:p>
        </w:tc>
        <w:tc>
          <w:tcPr>
            <w:tcW w:w="1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4.97</w:t>
            </w:r>
          </w:p>
        </w:tc>
        <w:tc>
          <w:tcPr>
            <w:tcW w:w="2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6.8</w:t>
            </w:r>
          </w:p>
        </w:tc>
        <w:tc>
          <w:tcPr>
            <w:tcW w:w="26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44,298</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Exscientia acquisition, Recursion granted 5.8 million stock option awards related to the Exscientia legacy awards.</w:t>
      </w:r>
    </w:p>
    <w:p>
      <w:pPr>
        <w:spacing w:after="0" w:line="24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fair value of options granted to employees is calculated on the grant date using the Black-Scholes option valuation model. The weighted-average grant-date fair values of stock options granted during the years ended December 31, 2024, 2023 and 2022 were $5.64, $5.64 and $6.57,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weighted-average assumptions were used to calculate the grant-date fair value of stock options:</w:t>
      </w:r>
    </w:p>
    <w:p>
      <w:pPr>
        <w:spacing w:after="0" w:line="280" w:lineRule="exact"/>
        <w:rPr>
          <w:sz w:val="20"/>
          <w:szCs w:val="20"/>
          <w:color w:val="auto"/>
        </w:rPr>
      </w:pPr>
    </w:p>
    <w:p>
      <w:pPr>
        <w:ind w:left="7760"/>
        <w:spacing w:after="0"/>
        <w:rPr>
          <w:sz w:val="20"/>
          <w:szCs w:val="20"/>
          <w:color w:val="auto"/>
        </w:rPr>
      </w:pPr>
      <w:r>
        <w:rPr>
          <w:rFonts w:ascii="Arial" w:cs="Arial" w:eastAsia="Arial" w:hAnsi="Arial"/>
          <w:sz w:val="17"/>
          <w:szCs w:val="17"/>
          <w:b w:val="1"/>
          <w:bCs w:val="1"/>
          <w:color w:val="auto"/>
        </w:rPr>
        <w:t>Years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2024</w:t>
            </w:r>
          </w:p>
        </w:tc>
        <w:tc>
          <w:tcPr>
            <w:tcW w:w="8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7"/>
                <w:szCs w:val="17"/>
                <w:b w:val="1"/>
                <w:bCs w:val="1"/>
                <w:color w:val="auto"/>
              </w:rPr>
              <w:t>2023</w:t>
            </w: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r>
      <w:tr>
        <w:trPr>
          <w:trHeight w:val="212"/>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4.0</w:t>
            </w:r>
          </w:p>
        </w:tc>
        <w:tc>
          <w:tcPr>
            <w:tcW w:w="16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5.8</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9"/>
        </w:trPr>
        <w:tc>
          <w:tcPr>
            <w:tcW w:w="7520" w:type="dxa"/>
            <w:vAlign w:val="bottom"/>
            <w:gridSpan w:val="2"/>
          </w:tcPr>
          <w:p>
            <w:pPr>
              <w:ind w:left="20"/>
              <w:spacing w:after="0"/>
              <w:rPr>
                <w:sz w:val="20"/>
                <w:szCs w:val="20"/>
                <w:color w:val="auto"/>
              </w:rPr>
            </w:pPr>
            <w:r>
              <w:rPr>
                <w:rFonts w:ascii="Arial" w:cs="Arial" w:eastAsia="Arial" w:hAnsi="Arial"/>
                <w:sz w:val="17"/>
                <w:szCs w:val="17"/>
                <w:color w:val="auto"/>
              </w:rPr>
              <w:t>Expected volatility</w:t>
            </w:r>
          </w:p>
        </w:tc>
        <w:tc>
          <w:tcPr>
            <w:tcW w:w="820" w:type="dxa"/>
            <w:vAlign w:val="bottom"/>
          </w:tcPr>
          <w:p>
            <w:pPr>
              <w:jc w:val="right"/>
              <w:ind w:right="234"/>
              <w:spacing w:after="0"/>
              <w:rPr>
                <w:sz w:val="20"/>
                <w:szCs w:val="20"/>
                <w:color w:val="auto"/>
              </w:rPr>
            </w:pPr>
            <w:r>
              <w:rPr>
                <w:rFonts w:ascii="Arial" w:cs="Arial" w:eastAsia="Arial" w:hAnsi="Arial"/>
                <w:sz w:val="17"/>
                <w:szCs w:val="17"/>
                <w:color w:val="auto"/>
              </w:rPr>
              <w:t>65 %</w:t>
            </w:r>
          </w:p>
        </w:tc>
        <w:tc>
          <w:tcPr>
            <w:tcW w:w="1600" w:type="dxa"/>
            <w:vAlign w:val="bottom"/>
          </w:tcPr>
          <w:p>
            <w:pPr>
              <w:jc w:val="right"/>
              <w:ind w:right="234"/>
              <w:spacing w:after="0"/>
              <w:rPr>
                <w:sz w:val="20"/>
                <w:szCs w:val="20"/>
                <w:color w:val="auto"/>
              </w:rPr>
            </w:pPr>
            <w:r>
              <w:rPr>
                <w:rFonts w:ascii="Arial" w:cs="Arial" w:eastAsia="Arial" w:hAnsi="Arial"/>
                <w:sz w:val="17"/>
                <w:szCs w:val="17"/>
                <w:color w:val="auto"/>
              </w:rPr>
              <w:t>66 %</w:t>
            </w:r>
          </w:p>
        </w:tc>
        <w:tc>
          <w:tcPr>
            <w:tcW w:w="1300" w:type="dxa"/>
            <w:vAlign w:val="bottom"/>
          </w:tcPr>
          <w:p>
            <w:pPr>
              <w:jc w:val="right"/>
              <w:spacing w:after="0"/>
              <w:rPr>
                <w:sz w:val="20"/>
                <w:szCs w:val="20"/>
                <w:color w:val="auto"/>
              </w:rPr>
            </w:pPr>
            <w:r>
              <w:rPr>
                <w:rFonts w:ascii="Arial" w:cs="Arial" w:eastAsia="Arial" w:hAnsi="Arial"/>
                <w:sz w:val="17"/>
                <w:szCs w:val="17"/>
                <w:color w:val="auto"/>
              </w:rPr>
              <w:t>63 %</w:t>
            </w:r>
          </w:p>
        </w:tc>
      </w:tr>
      <w:tr>
        <w:trPr>
          <w:trHeight w:val="21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dividend yield</w:t>
            </w:r>
          </w:p>
        </w:tc>
        <w:tc>
          <w:tcPr>
            <w:tcW w:w="8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r>
      <w:tr>
        <w:trPr>
          <w:trHeight w:val="219"/>
        </w:trPr>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Risk-free interest rate</w:t>
            </w: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4.3 %</w:t>
            </w: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3.6 %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1.9 %</w:t>
            </w:r>
          </w:p>
        </w:tc>
      </w:tr>
    </w:tbl>
    <w:p>
      <w:pPr>
        <w:spacing w:after="0" w:line="293"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As of December 31, 2024, $59.2 million of unrecognized compensation cost related to stock options is expected to be recognized as expense over approximately the next two years.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RSUs</w:t>
      </w:r>
    </w:p>
    <w:p>
      <w:pPr>
        <w:spacing w:after="0" w:line="243"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Recursion’s RSU activity during the year ended December 31,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220" w:type="dxa"/>
            <w:vAlign w:val="bottom"/>
            <w:vMerge w:val="restart"/>
          </w:tcPr>
          <w:p>
            <w:pPr>
              <w:jc w:val="right"/>
              <w:ind w:right="574"/>
              <w:spacing w:after="0"/>
              <w:rPr>
                <w:sz w:val="20"/>
                <w:szCs w:val="20"/>
                <w:color w:val="auto"/>
              </w:rPr>
            </w:pPr>
            <w:r>
              <w:rPr>
                <w:rFonts w:ascii="Arial" w:cs="Arial" w:eastAsia="Arial" w:hAnsi="Arial"/>
                <w:sz w:val="17"/>
                <w:szCs w:val="17"/>
                <w:b w:val="1"/>
                <w:bCs w:val="1"/>
                <w:color w:val="auto"/>
              </w:rPr>
              <w:t>Stock units</w:t>
            </w:r>
          </w:p>
        </w:tc>
        <w:tc>
          <w:tcPr>
            <w:tcW w:w="140" w:type="dxa"/>
            <w:vAlign w:val="bottom"/>
          </w:tcPr>
          <w:p>
            <w:pPr>
              <w:spacing w:after="0"/>
              <w:rPr>
                <w:sz w:val="16"/>
                <w:szCs w:val="16"/>
                <w:color w:val="auto"/>
              </w:rPr>
            </w:pPr>
          </w:p>
        </w:tc>
        <w:tc>
          <w:tcPr>
            <w:tcW w:w="2100" w:type="dxa"/>
            <w:vAlign w:val="bottom"/>
          </w:tcPr>
          <w:p>
            <w:pPr>
              <w:jc w:val="right"/>
              <w:ind w:right="54"/>
              <w:spacing w:after="0"/>
              <w:rPr>
                <w:sz w:val="20"/>
                <w:szCs w:val="20"/>
                <w:color w:val="auto"/>
              </w:rPr>
            </w:pPr>
            <w:r>
              <w:rPr>
                <w:rFonts w:ascii="Arial" w:cs="Arial" w:eastAsia="Arial" w:hAnsi="Arial"/>
                <w:sz w:val="17"/>
                <w:szCs w:val="17"/>
                <w:b w:val="1"/>
                <w:bCs w:val="1"/>
                <w:color w:val="auto"/>
              </w:rPr>
              <w:t>Weighted-average grant</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2023</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15,223,764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Arial" w:cs="Arial" w:eastAsia="Arial" w:hAnsi="Arial"/>
                <w:sz w:val="17"/>
                <w:szCs w:val="17"/>
                <w:color w:val="auto"/>
              </w:rPr>
              <w:t>Granted</w:t>
            </w:r>
          </w:p>
        </w:tc>
        <w:tc>
          <w:tcPr>
            <w:tcW w:w="2220" w:type="dxa"/>
            <w:vAlign w:val="bottom"/>
          </w:tcPr>
          <w:p>
            <w:pPr>
              <w:jc w:val="right"/>
              <w:spacing w:after="0"/>
              <w:rPr>
                <w:sz w:val="20"/>
                <w:szCs w:val="20"/>
                <w:color w:val="auto"/>
              </w:rPr>
            </w:pPr>
            <w:r>
              <w:rPr>
                <w:rFonts w:ascii="Arial" w:cs="Arial" w:eastAsia="Arial" w:hAnsi="Arial"/>
                <w:sz w:val="17"/>
                <w:szCs w:val="17"/>
                <w:color w:val="auto"/>
              </w:rPr>
              <w:t>21,392,796</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7.18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(6,262,525)</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Forfeited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(3,049,806)</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2024</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27,304,229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As part of the Exscientia acquisition, Recursion granted 1.6 million RSU awards related to the Exscientia legacy awards. Additionally, Recursion granted 8.0 million RSU awards as part of a retention program for Exscientia employees.</w:t>
      </w:r>
    </w:p>
    <w:p>
      <w:pPr>
        <w:spacing w:after="0" w:line="172"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The fair market value of RSUs vested was $52.2 million during the year ended December 31, 2024. As of December 31, 2024, $196.1 million of unrecognized compensation cost related to RSUs is expected to be recognized as expense over approximately the next three years.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Employee benefit plans</w:t>
      </w:r>
    </w:p>
    <w:p>
      <w:pPr>
        <w:spacing w:after="0" w:line="245" w:lineRule="exact"/>
        <w:rPr>
          <w:sz w:val="20"/>
          <w:szCs w:val="20"/>
          <w:color w:val="auto"/>
        </w:rPr>
      </w:pPr>
    </w:p>
    <w:p>
      <w:pPr>
        <w:jc w:val="both"/>
        <w:ind w:right="200"/>
        <w:spacing w:after="0" w:line="262" w:lineRule="auto"/>
        <w:rPr>
          <w:sz w:val="20"/>
          <w:szCs w:val="20"/>
          <w:color w:val="auto"/>
        </w:rPr>
      </w:pPr>
      <w:r>
        <w:rPr>
          <w:rFonts w:ascii="Arial" w:cs="Arial" w:eastAsia="Arial" w:hAnsi="Arial"/>
          <w:sz w:val="17"/>
          <w:szCs w:val="17"/>
          <w:color w:val="auto"/>
        </w:rPr>
        <w:t>The Company maintains defined contribution benefit plans for its eligible employees. The plans generally allows employees to make contributions up to a specified percentage of their compensation. The Company generally contributes up to 4% of employee base salary, by matching 100% of the first 4% of annual base salary contributed by each employee. Additionally, the Company generally contributes a certain amount to the defined contribution plans for employees that worked at the Company during the year. Employer expenses were $5.3 million, $3.8 million and $3.6 million during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Income Taxes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consisted of the following components :</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b w:val="1"/>
                <w:bCs w:val="1"/>
                <w:color w:val="auto"/>
              </w:rPr>
              <w:t>Years ended December 31,</w:t>
            </w:r>
          </w:p>
        </w:tc>
        <w:tc>
          <w:tcPr>
            <w:tcW w:w="1080" w:type="dxa"/>
            <w:vAlign w:val="bottom"/>
            <w:tcBorders>
              <w:bottom w:val="single" w:sz="8" w:color="auto"/>
            </w:tcBorders>
          </w:tcPr>
          <w:p>
            <w:pPr>
              <w:spacing w:after="0"/>
              <w:rPr>
                <w:sz w:val="19"/>
                <w:szCs w:val="19"/>
                <w:color w:val="auto"/>
              </w:rPr>
            </w:pPr>
          </w:p>
        </w:tc>
      </w:tr>
      <w:tr>
        <w:trPr>
          <w:trHeight w:val="238"/>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2024</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38"/>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0"/>
        </w:trPr>
        <w:tc>
          <w:tcPr>
            <w:tcW w:w="6640" w:type="dxa"/>
            <w:vAlign w:val="bottom"/>
          </w:tcPr>
          <w:p>
            <w:pPr>
              <w:ind w:left="20"/>
              <w:spacing w:after="0"/>
              <w:rPr>
                <w:sz w:val="20"/>
                <w:szCs w:val="20"/>
                <w:color w:val="auto"/>
              </w:rPr>
            </w:pPr>
            <w:r>
              <w:rPr>
                <w:rFonts w:ascii="Arial" w:cs="Arial" w:eastAsia="Arial" w:hAnsi="Arial"/>
                <w:sz w:val="17"/>
                <w:szCs w:val="17"/>
                <w:color w:val="auto"/>
              </w:rPr>
              <w:t>Federal</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640" w:type="dxa"/>
            <w:vAlign w:val="bottom"/>
            <w:gridSpan w:val="2"/>
          </w:tcPr>
          <w:p>
            <w:pPr>
              <w:jc w:val="right"/>
              <w:ind w:right="254"/>
              <w:spacing w:after="0"/>
              <w:rPr>
                <w:sz w:val="20"/>
                <w:szCs w:val="20"/>
                <w:color w:val="auto"/>
              </w:rPr>
            </w:pPr>
            <w:r>
              <w:rPr>
                <w:rFonts w:ascii="Arial" w:cs="Arial" w:eastAsia="Arial" w:hAnsi="Arial"/>
                <w:sz w:val="17"/>
                <w:szCs w:val="17"/>
                <w:color w:val="auto"/>
              </w:rPr>
              <w:t>— $</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0"/>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Foreign</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Current Tax Expense (Benefit)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7"/>
                <w:szCs w:val="17"/>
                <w:b w:val="1"/>
                <w:bCs w:val="1"/>
                <w:color w:val="auto"/>
              </w:rPr>
              <w:t>Deferred</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5"/>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(80,109)</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(82,707)</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(61,225)</w:t>
            </w:r>
          </w:p>
        </w:tc>
      </w:tr>
      <w:tr>
        <w:trPr>
          <w:trHeight w:val="240"/>
        </w:trPr>
        <w:tc>
          <w:tcPr>
            <w:tcW w:w="6640" w:type="dxa"/>
            <w:vAlign w:val="bottom"/>
          </w:tcPr>
          <w:p>
            <w:pPr>
              <w:ind w:left="20"/>
              <w:spacing w:after="0"/>
              <w:rPr>
                <w:sz w:val="20"/>
                <w:szCs w:val="20"/>
                <w:color w:val="auto"/>
              </w:rPr>
            </w:pPr>
            <w:r>
              <w:rPr>
                <w:rFonts w:ascii="Arial" w:cs="Arial" w:eastAsia="Arial" w:hAnsi="Arial"/>
                <w:sz w:val="17"/>
                <w:szCs w:val="17"/>
                <w:color w:val="auto"/>
              </w:rPr>
              <w:t>State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(11,918)</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(54,634)</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(3,188)</w:t>
            </w:r>
          </w:p>
        </w:tc>
      </w:tr>
      <w:tr>
        <w:trPr>
          <w:trHeight w:val="250"/>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(9,921)</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(4,564)</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r>
      <w:tr>
        <w:trPr>
          <w:trHeight w:val="24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Change in valuation allowance</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100,318</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137,843</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64,884</w:t>
            </w:r>
          </w:p>
        </w:tc>
      </w:tr>
      <w:tr>
        <w:trPr>
          <w:trHeight w:val="238"/>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Deferred Expense (Benefit)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(4,062)</w:t>
            </w: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Income tax expense</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(4,062)</w:t>
            </w: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
        </w:trPr>
        <w:tc>
          <w:tcPr>
            <w:tcW w:w="6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The Company’s effective tax rate of 0.2% during the year ended December 31, 2024,1.2% during the year ended December 31, 2023 and 0% during the year ended December 31, 2022 differs from the statutory U.S. federal rate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Pr>
          <w:p>
            <w:pPr>
              <w:spacing w:after="0"/>
              <w:rPr>
                <w:sz w:val="19"/>
                <w:szCs w:val="19"/>
                <w:color w:val="auto"/>
              </w:rPr>
            </w:pPr>
          </w:p>
        </w:tc>
        <w:tc>
          <w:tcPr>
            <w:tcW w:w="37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7"/>
                <w:szCs w:val="17"/>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r>
      <w:tr>
        <w:trPr>
          <w:trHeight w:val="238"/>
        </w:trPr>
        <w:tc>
          <w:tcPr>
            <w:tcW w:w="6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b w:val="1"/>
                <w:bCs w:val="1"/>
                <w:color w:val="auto"/>
              </w:rPr>
              <w:t>2024</w:t>
            </w:r>
          </w:p>
        </w:tc>
        <w:tc>
          <w:tcPr>
            <w:tcW w:w="1780" w:type="dxa"/>
            <w:vAlign w:val="bottom"/>
            <w:tcBorders>
              <w:bottom w:val="single" w:sz="8" w:color="auto"/>
            </w:tcBorders>
          </w:tcPr>
          <w:p>
            <w:pPr>
              <w:jc w:val="right"/>
              <w:ind w:right="994"/>
              <w:spacing w:after="0"/>
              <w:rPr>
                <w:sz w:val="20"/>
                <w:szCs w:val="20"/>
                <w:color w:val="auto"/>
              </w:rPr>
            </w:pPr>
            <w:r>
              <w:rPr>
                <w:rFonts w:ascii="Arial" w:cs="Arial" w:eastAsia="Arial" w:hAnsi="Arial"/>
                <w:sz w:val="17"/>
                <w:szCs w:val="17"/>
                <w:b w:val="1"/>
                <w:bCs w:val="1"/>
                <w:color w:val="auto"/>
              </w:rPr>
              <w:t>2023</w:t>
            </w: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r>
      <w:tr>
        <w:trPr>
          <w:trHeight w:val="238"/>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Statutory tax rate</w:t>
            </w:r>
          </w:p>
        </w:tc>
        <w:tc>
          <w:tcPr>
            <w:tcW w:w="19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21.0 %</w:t>
            </w:r>
          </w:p>
        </w:tc>
        <w:tc>
          <w:tcPr>
            <w:tcW w:w="17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21.0 %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40"/>
        </w:trPr>
        <w:tc>
          <w:tcPr>
            <w:tcW w:w="6340" w:type="dxa"/>
            <w:vAlign w:val="bottom"/>
          </w:tcPr>
          <w:p>
            <w:pPr>
              <w:ind w:left="20"/>
              <w:spacing w:after="0"/>
              <w:rPr>
                <w:sz w:val="20"/>
                <w:szCs w:val="20"/>
                <w:color w:val="auto"/>
              </w:rPr>
            </w:pPr>
            <w:r>
              <w:rPr>
                <w:rFonts w:ascii="Arial" w:cs="Arial" w:eastAsia="Arial" w:hAnsi="Arial"/>
                <w:sz w:val="17"/>
                <w:szCs w:val="17"/>
                <w:color w:val="auto"/>
              </w:rPr>
              <w:t>R&amp;D credit generation</w:t>
            </w:r>
          </w:p>
        </w:tc>
        <w:tc>
          <w:tcPr>
            <w:tcW w:w="1940" w:type="dxa"/>
            <w:vAlign w:val="bottom"/>
          </w:tcPr>
          <w:p>
            <w:pPr>
              <w:jc w:val="right"/>
              <w:ind w:right="234"/>
              <w:spacing w:after="0"/>
              <w:rPr>
                <w:sz w:val="20"/>
                <w:szCs w:val="20"/>
                <w:color w:val="auto"/>
              </w:rPr>
            </w:pPr>
            <w:r>
              <w:rPr>
                <w:rFonts w:ascii="Arial" w:cs="Arial" w:eastAsia="Arial" w:hAnsi="Arial"/>
                <w:sz w:val="17"/>
                <w:szCs w:val="17"/>
                <w:color w:val="auto"/>
              </w:rPr>
              <w:t>1.5 %</w:t>
            </w:r>
          </w:p>
        </w:tc>
        <w:tc>
          <w:tcPr>
            <w:tcW w:w="1780" w:type="dxa"/>
            <w:vAlign w:val="bottom"/>
          </w:tcPr>
          <w:p>
            <w:pPr>
              <w:jc w:val="right"/>
              <w:ind w:right="374"/>
              <w:spacing w:after="0"/>
              <w:rPr>
                <w:sz w:val="20"/>
                <w:szCs w:val="20"/>
                <w:color w:val="auto"/>
              </w:rPr>
            </w:pPr>
            <w:r>
              <w:rPr>
                <w:rFonts w:ascii="Arial" w:cs="Arial" w:eastAsia="Arial" w:hAnsi="Arial"/>
                <w:sz w:val="17"/>
                <w:szCs w:val="17"/>
                <w:color w:val="auto"/>
              </w:rPr>
              <w:t>3.1 %</w:t>
            </w:r>
          </w:p>
        </w:tc>
        <w:tc>
          <w:tcPr>
            <w:tcW w:w="1180" w:type="dxa"/>
            <w:vAlign w:val="bottom"/>
          </w:tcPr>
          <w:p>
            <w:pPr>
              <w:jc w:val="right"/>
              <w:spacing w:after="0"/>
              <w:rPr>
                <w:sz w:val="20"/>
                <w:szCs w:val="20"/>
                <w:color w:val="auto"/>
              </w:rPr>
            </w:pPr>
            <w:r>
              <w:rPr>
                <w:rFonts w:ascii="Arial" w:cs="Arial" w:eastAsia="Arial" w:hAnsi="Arial"/>
                <w:sz w:val="17"/>
                <w:szCs w:val="17"/>
                <w:color w:val="auto"/>
              </w:rPr>
              <w:t>3.7 %</w:t>
            </w:r>
          </w:p>
        </w:tc>
      </w:tr>
      <w:tr>
        <w:trPr>
          <w:trHeight w:val="25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Orphan drug credit generation</w:t>
            </w:r>
          </w:p>
        </w:tc>
        <w:tc>
          <w:tcPr>
            <w:tcW w:w="19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1.5 %</w:t>
            </w:r>
          </w:p>
        </w:tc>
        <w:tc>
          <w:tcPr>
            <w:tcW w:w="17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2.1 %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40"/>
        </w:trPr>
        <w:tc>
          <w:tcPr>
            <w:tcW w:w="6340" w:type="dxa"/>
            <w:vAlign w:val="bottom"/>
          </w:tcPr>
          <w:p>
            <w:pPr>
              <w:ind w:left="20"/>
              <w:spacing w:after="0"/>
              <w:rPr>
                <w:sz w:val="20"/>
                <w:szCs w:val="20"/>
                <w:color w:val="auto"/>
              </w:rPr>
            </w:pPr>
            <w:r>
              <w:rPr>
                <w:rFonts w:ascii="Arial" w:cs="Arial" w:eastAsia="Arial" w:hAnsi="Arial"/>
                <w:sz w:val="17"/>
                <w:szCs w:val="17"/>
                <w:color w:val="auto"/>
              </w:rPr>
              <w:t>State taxes</w:t>
            </w:r>
          </w:p>
        </w:tc>
        <w:tc>
          <w:tcPr>
            <w:tcW w:w="1940" w:type="dxa"/>
            <w:vAlign w:val="bottom"/>
          </w:tcPr>
          <w:p>
            <w:pPr>
              <w:jc w:val="right"/>
              <w:ind w:right="234"/>
              <w:spacing w:after="0"/>
              <w:rPr>
                <w:sz w:val="20"/>
                <w:szCs w:val="20"/>
                <w:color w:val="auto"/>
              </w:rPr>
            </w:pPr>
            <w:r>
              <w:rPr>
                <w:rFonts w:ascii="Arial" w:cs="Arial" w:eastAsia="Arial" w:hAnsi="Arial"/>
                <w:sz w:val="17"/>
                <w:szCs w:val="17"/>
                <w:color w:val="auto"/>
              </w:rPr>
              <w:t>4.6 %</w:t>
            </w:r>
          </w:p>
        </w:tc>
        <w:tc>
          <w:tcPr>
            <w:tcW w:w="1780" w:type="dxa"/>
            <w:vAlign w:val="bottom"/>
          </w:tcPr>
          <w:p>
            <w:pPr>
              <w:jc w:val="right"/>
              <w:ind w:right="374"/>
              <w:spacing w:after="0"/>
              <w:rPr>
                <w:sz w:val="20"/>
                <w:szCs w:val="20"/>
                <w:color w:val="auto"/>
              </w:rPr>
            </w:pPr>
            <w:r>
              <w:rPr>
                <w:rFonts w:ascii="Arial" w:cs="Arial" w:eastAsia="Arial" w:hAnsi="Arial"/>
                <w:sz w:val="17"/>
                <w:szCs w:val="17"/>
                <w:color w:val="auto"/>
              </w:rPr>
              <w:t>16.4 %</w:t>
            </w:r>
          </w:p>
        </w:tc>
        <w:tc>
          <w:tcPr>
            <w:tcW w:w="118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5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based compensation</w:t>
            </w:r>
          </w:p>
        </w:tc>
        <w:tc>
          <w:tcPr>
            <w:tcW w:w="19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 %</w:t>
            </w:r>
          </w:p>
        </w:tc>
        <w:tc>
          <w:tcPr>
            <w:tcW w:w="17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(0.1)%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0.8 %</w:t>
            </w:r>
          </w:p>
        </w:tc>
      </w:tr>
      <w:tr>
        <w:trPr>
          <w:trHeight w:val="240"/>
        </w:trPr>
        <w:tc>
          <w:tcPr>
            <w:tcW w:w="6340" w:type="dxa"/>
            <w:vAlign w:val="bottom"/>
          </w:tcPr>
          <w:p>
            <w:pPr>
              <w:ind w:left="20"/>
              <w:spacing w:after="0"/>
              <w:rPr>
                <w:sz w:val="20"/>
                <w:szCs w:val="20"/>
                <w:color w:val="auto"/>
              </w:rPr>
            </w:pPr>
            <w:r>
              <w:rPr>
                <w:rFonts w:ascii="Arial" w:cs="Arial" w:eastAsia="Arial" w:hAnsi="Arial"/>
                <w:sz w:val="17"/>
                <w:szCs w:val="17"/>
                <w:color w:val="auto"/>
              </w:rPr>
              <w:t>Uncertain tax positions</w:t>
            </w:r>
          </w:p>
        </w:tc>
        <w:tc>
          <w:tcPr>
            <w:tcW w:w="1940" w:type="dxa"/>
            <w:vAlign w:val="bottom"/>
          </w:tcPr>
          <w:p>
            <w:pPr>
              <w:jc w:val="right"/>
              <w:ind w:right="234"/>
              <w:spacing w:after="0"/>
              <w:rPr>
                <w:sz w:val="20"/>
                <w:szCs w:val="20"/>
                <w:color w:val="auto"/>
              </w:rPr>
            </w:pPr>
            <w:r>
              <w:rPr>
                <w:rFonts w:ascii="Arial" w:cs="Arial" w:eastAsia="Arial" w:hAnsi="Arial"/>
                <w:sz w:val="17"/>
                <w:szCs w:val="17"/>
                <w:color w:val="auto"/>
              </w:rPr>
              <w:t>(0.3)%</w:t>
            </w:r>
          </w:p>
        </w:tc>
        <w:tc>
          <w:tcPr>
            <w:tcW w:w="1780" w:type="dxa"/>
            <w:vAlign w:val="bottom"/>
          </w:tcPr>
          <w:p>
            <w:pPr>
              <w:jc w:val="right"/>
              <w:ind w:right="374"/>
              <w:spacing w:after="0"/>
              <w:rPr>
                <w:sz w:val="20"/>
                <w:szCs w:val="20"/>
                <w:color w:val="auto"/>
              </w:rPr>
            </w:pPr>
            <w:r>
              <w:rPr>
                <w:rFonts w:ascii="Arial" w:cs="Arial" w:eastAsia="Arial" w:hAnsi="Arial"/>
                <w:sz w:val="17"/>
                <w:szCs w:val="17"/>
                <w:color w:val="auto"/>
              </w:rPr>
              <w:t>(0.8)%</w:t>
            </w:r>
          </w:p>
        </w:tc>
        <w:tc>
          <w:tcPr>
            <w:tcW w:w="11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5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9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(2.1)%</w:t>
            </w:r>
          </w:p>
        </w:tc>
        <w:tc>
          <w:tcPr>
            <w:tcW w:w="17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1.0 %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40"/>
        </w:trPr>
        <w:tc>
          <w:tcPr>
            <w:tcW w:w="634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1940" w:type="dxa"/>
            <w:vAlign w:val="bottom"/>
          </w:tcPr>
          <w:p>
            <w:pPr>
              <w:jc w:val="right"/>
              <w:ind w:right="234"/>
              <w:spacing w:after="0"/>
              <w:rPr>
                <w:sz w:val="20"/>
                <w:szCs w:val="20"/>
                <w:color w:val="auto"/>
              </w:rPr>
            </w:pPr>
            <w:r>
              <w:rPr>
                <w:rFonts w:ascii="Arial" w:cs="Arial" w:eastAsia="Arial" w:hAnsi="Arial"/>
                <w:sz w:val="17"/>
                <w:szCs w:val="17"/>
                <w:color w:val="auto"/>
              </w:rPr>
              <w:t>(21.6)%</w:t>
            </w:r>
          </w:p>
        </w:tc>
        <w:tc>
          <w:tcPr>
            <w:tcW w:w="1780" w:type="dxa"/>
            <w:vAlign w:val="bottom"/>
          </w:tcPr>
          <w:p>
            <w:pPr>
              <w:jc w:val="right"/>
              <w:ind w:right="374"/>
              <w:spacing w:after="0"/>
              <w:rPr>
                <w:sz w:val="20"/>
                <w:szCs w:val="20"/>
                <w:color w:val="auto"/>
              </w:rPr>
            </w:pPr>
            <w:r>
              <w:rPr>
                <w:rFonts w:ascii="Arial" w:cs="Arial" w:eastAsia="Arial" w:hAnsi="Arial"/>
                <w:sz w:val="17"/>
                <w:szCs w:val="17"/>
                <w:color w:val="auto"/>
              </w:rPr>
              <w:t>(41.5)%</w:t>
            </w:r>
          </w:p>
        </w:tc>
        <w:tc>
          <w:tcPr>
            <w:tcW w:w="1180" w:type="dxa"/>
            <w:vAlign w:val="bottom"/>
          </w:tcPr>
          <w:p>
            <w:pPr>
              <w:jc w:val="right"/>
              <w:spacing w:after="0"/>
              <w:rPr>
                <w:sz w:val="20"/>
                <w:szCs w:val="20"/>
                <w:color w:val="auto"/>
              </w:rPr>
            </w:pPr>
            <w:r>
              <w:rPr>
                <w:rFonts w:ascii="Arial" w:cs="Arial" w:eastAsia="Arial" w:hAnsi="Arial"/>
                <w:sz w:val="17"/>
                <w:szCs w:val="17"/>
                <w:color w:val="auto"/>
              </w:rPr>
              <w:t>(25.5)%</w:t>
            </w:r>
          </w:p>
        </w:tc>
      </w:tr>
      <w:tr>
        <w:trPr>
          <w:trHeight w:val="250"/>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State impact of rate change</w:t>
            </w:r>
          </w:p>
        </w:tc>
        <w:tc>
          <w:tcPr>
            <w:tcW w:w="19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(4.4)%</w:t>
            </w:r>
          </w:p>
        </w:tc>
        <w:tc>
          <w:tcPr>
            <w:tcW w:w="17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3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Effective tax rate</w:t>
            </w:r>
          </w:p>
        </w:tc>
        <w:tc>
          <w:tcPr>
            <w:tcW w:w="19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0.2 %</w:t>
            </w:r>
          </w:p>
        </w:tc>
        <w:tc>
          <w:tcPr>
            <w:tcW w:w="17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1.2 %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r>
      <w:tr>
        <w:trPr>
          <w:trHeight w:val="24"/>
        </w:trPr>
        <w:tc>
          <w:tcPr>
            <w:tcW w:w="6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7164070" cy="419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deferred tax assets and liabilities were as follows:</w:t>
      </w:r>
    </w:p>
    <w:p>
      <w:pPr>
        <w:spacing w:after="0" w:line="60" w:lineRule="exact"/>
        <w:rPr>
          <w:sz w:val="20"/>
          <w:szCs w:val="20"/>
          <w:color w:val="auto"/>
        </w:rPr>
      </w:pPr>
    </w:p>
    <w:p>
      <w:pPr>
        <w:ind w:left="916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5192395</wp:posOffset>
            </wp:positionH>
            <wp:positionV relativeFrom="paragraph">
              <wp:posOffset>27305</wp:posOffset>
            </wp:positionV>
            <wp:extent cx="19481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948180"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2024</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r>
      <w:tr>
        <w:trPr>
          <w:trHeight w:val="238"/>
        </w:trPr>
        <w:tc>
          <w:tcPr>
            <w:tcW w:w="5680" w:type="dxa"/>
            <w:vAlign w:val="bottom"/>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2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5"/>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Net operating loss carryforwards</w:t>
            </w:r>
          </w:p>
        </w:tc>
        <w:tc>
          <w:tcPr>
            <w:tcW w:w="28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274,421</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117,877</w:t>
            </w:r>
          </w:p>
        </w:tc>
      </w:tr>
      <w:tr>
        <w:trPr>
          <w:trHeight w:val="240"/>
        </w:trPr>
        <w:tc>
          <w:tcPr>
            <w:tcW w:w="5680" w:type="dxa"/>
            <w:vAlign w:val="bottom"/>
          </w:tcPr>
          <w:p>
            <w:pPr>
              <w:spacing w:after="0"/>
              <w:rPr>
                <w:sz w:val="20"/>
                <w:szCs w:val="20"/>
                <w:color w:val="auto"/>
              </w:rPr>
            </w:pPr>
            <w:r>
              <w:rPr>
                <w:rFonts w:ascii="Arial" w:cs="Arial" w:eastAsia="Arial" w:hAnsi="Arial"/>
                <w:sz w:val="17"/>
                <w:szCs w:val="17"/>
                <w:color w:val="auto"/>
              </w:rPr>
              <w:t>Research and development capitalization</w:t>
            </w:r>
          </w:p>
        </w:tc>
        <w:tc>
          <w:tcPr>
            <w:tcW w:w="2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134,363</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105,503</w:t>
            </w:r>
          </w:p>
        </w:tc>
      </w:tr>
      <w:tr>
        <w:trPr>
          <w:trHeight w:val="250"/>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Tax credit carryforwards</w:t>
            </w:r>
          </w:p>
        </w:tc>
        <w:tc>
          <w:tcPr>
            <w:tcW w:w="28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68,811</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50,293</w:t>
            </w:r>
          </w:p>
        </w:tc>
      </w:tr>
      <w:tr>
        <w:trPr>
          <w:trHeight w:val="240"/>
        </w:trPr>
        <w:tc>
          <w:tcPr>
            <w:tcW w:w="5680" w:type="dxa"/>
            <w:vAlign w:val="bottom"/>
          </w:tcPr>
          <w:p>
            <w:pPr>
              <w:spacing w:after="0"/>
              <w:rPr>
                <w:sz w:val="20"/>
                <w:szCs w:val="20"/>
                <w:color w:val="auto"/>
              </w:rPr>
            </w:pPr>
            <w:r>
              <w:rPr>
                <w:rFonts w:ascii="Arial" w:cs="Arial" w:eastAsia="Arial" w:hAnsi="Arial"/>
                <w:sz w:val="17"/>
                <w:szCs w:val="17"/>
                <w:color w:val="auto"/>
              </w:rPr>
              <w:t>Unearned revenue</w:t>
            </w:r>
          </w:p>
        </w:tc>
        <w:tc>
          <w:tcPr>
            <w:tcW w:w="2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19,219</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23,007</w:t>
            </w:r>
          </w:p>
        </w:tc>
      </w:tr>
      <w:tr>
        <w:trPr>
          <w:trHeight w:val="250"/>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Lease liabilities</w:t>
            </w:r>
          </w:p>
        </w:tc>
        <w:tc>
          <w:tcPr>
            <w:tcW w:w="28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23,510</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13,208</w:t>
            </w:r>
          </w:p>
        </w:tc>
      </w:tr>
      <w:tr>
        <w:trPr>
          <w:trHeight w:val="240"/>
        </w:trPr>
        <w:tc>
          <w:tcPr>
            <w:tcW w:w="5680" w:type="dxa"/>
            <w:vAlign w:val="bottom"/>
          </w:tcPr>
          <w:p>
            <w:pPr>
              <w:spacing w:after="0"/>
              <w:rPr>
                <w:sz w:val="20"/>
                <w:szCs w:val="20"/>
                <w:color w:val="auto"/>
              </w:rPr>
            </w:pPr>
            <w:r>
              <w:rPr>
                <w:rFonts w:ascii="Arial" w:cs="Arial" w:eastAsia="Arial" w:hAnsi="Arial"/>
                <w:sz w:val="17"/>
                <w:szCs w:val="17"/>
                <w:color w:val="auto"/>
              </w:rPr>
              <w:t>Reserves and accruals</w:t>
            </w:r>
          </w:p>
        </w:tc>
        <w:tc>
          <w:tcPr>
            <w:tcW w:w="2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5,133</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4,744</w:t>
            </w:r>
          </w:p>
        </w:tc>
      </w:tr>
      <w:tr>
        <w:trPr>
          <w:trHeight w:val="250"/>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28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14,730</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5,080</w:t>
            </w:r>
          </w:p>
        </w:tc>
      </w:tr>
      <w:tr>
        <w:trPr>
          <w:trHeight w:val="240"/>
        </w:trPr>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2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1,175</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r>
      <w:tr>
        <w:trPr>
          <w:trHeight w:val="243"/>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deferred tax assets</w:t>
            </w:r>
          </w:p>
        </w:tc>
        <w:tc>
          <w:tcPr>
            <w:tcW w:w="28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541,362</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320,197</w:t>
            </w:r>
          </w:p>
        </w:tc>
      </w:tr>
      <w:tr>
        <w:trPr>
          <w:trHeight w:val="240"/>
        </w:trPr>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Valuation allowance</w:t>
            </w:r>
          </w:p>
        </w:tc>
        <w:tc>
          <w:tcPr>
            <w:tcW w:w="2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(466,147)</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(304,618)</w:t>
            </w:r>
          </w:p>
        </w:tc>
      </w:tr>
      <w:tr>
        <w:trPr>
          <w:trHeight w:val="238"/>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w:t>
            </w:r>
          </w:p>
        </w:tc>
        <w:tc>
          <w:tcPr>
            <w:tcW w:w="28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75,215</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15,579</w:t>
            </w:r>
          </w:p>
        </w:tc>
      </w:tr>
      <w:tr>
        <w:trPr>
          <w:trHeight w:val="243"/>
        </w:trPr>
        <w:tc>
          <w:tcPr>
            <w:tcW w:w="5680" w:type="dxa"/>
            <w:vAlign w:val="bottom"/>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2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5"/>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28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(19,183)</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(8,942)</w:t>
            </w:r>
          </w:p>
        </w:tc>
      </w:tr>
      <w:tr>
        <w:trPr>
          <w:trHeight w:val="240"/>
        </w:trPr>
        <w:tc>
          <w:tcPr>
            <w:tcW w:w="5680" w:type="dxa"/>
            <w:vAlign w:val="bottom"/>
          </w:tcPr>
          <w:p>
            <w:pPr>
              <w:spacing w:after="0"/>
              <w:rPr>
                <w:sz w:val="20"/>
                <w:szCs w:val="20"/>
                <w:color w:val="auto"/>
              </w:rPr>
            </w:pPr>
            <w:r>
              <w:rPr>
                <w:rFonts w:ascii="Arial" w:cs="Arial" w:eastAsia="Arial" w:hAnsi="Arial"/>
                <w:sz w:val="17"/>
                <w:szCs w:val="17"/>
                <w:color w:val="auto"/>
              </w:rPr>
              <w:t>Definite lived intangibles</w:t>
            </w:r>
          </w:p>
        </w:tc>
        <w:tc>
          <w:tcPr>
            <w:tcW w:w="2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(67,140)</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(5,272)</w:t>
            </w:r>
          </w:p>
        </w:tc>
      </w:tr>
      <w:tr>
        <w:trPr>
          <w:trHeight w:val="245"/>
        </w:trPr>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Depreciable assets</w:t>
            </w:r>
          </w:p>
        </w:tc>
        <w:tc>
          <w:tcPr>
            <w:tcW w:w="28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(5,358)</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(2,704)</w:t>
            </w:r>
          </w:p>
        </w:tc>
      </w:tr>
      <w:tr>
        <w:trPr>
          <w:trHeight w:val="238"/>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Deferred tax liabilities</w:t>
            </w:r>
          </w:p>
        </w:tc>
        <w:tc>
          <w:tcPr>
            <w:tcW w:w="2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(91,681)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(16,918)</w:t>
            </w:r>
          </w:p>
        </w:tc>
      </w:tr>
      <w:tr>
        <w:trPr>
          <w:trHeight w:val="263"/>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deferred tax liability</w:t>
            </w:r>
          </w:p>
        </w:tc>
        <w:tc>
          <w:tcPr>
            <w:tcW w:w="28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(16,466)</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(1,339)</w:t>
            </w: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Significant judgment is required in determining the Company’s provision for income taxes, recording valuation allowances against deferred tax assets and evaluating the Company’s uncertain tax positions. Due to net losses since inception and the uncertainty of realizing the deferred tax assets, the Company has a full valuation allowance against all entities in a net deferred tax asset position. To the extent that the Company generates positive income and expects, with reasonable certainty, to continue to generate positive income, the Company may release all, or a portion of, the valuation allowance in a future period. This release would result in the recognition of all, or a portion of, the Company’s deferred tax assets, resulting in a decrease to income tax expense for the period such release is made. As of December 31, 2024 and 2023 the Company’s valuation allowance was $466.1 million and $304.6 million, respectively, which increased by approximately $161.5 million and $137.8 million during the years ended December 31, 2024 and 2023, respectively.</w:t>
      </w:r>
    </w:p>
    <w:p>
      <w:pPr>
        <w:spacing w:after="0" w:line="20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Net operating losses (NOLs) and tax credit carry-forwards are subject to review and possible adjustment by the Internal Revenue Service (“IRS”) and may become subject to annual limitation due to ownership changes that occur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As of December 31, 2024, the Company was not limited on its NOLs and tax credit carry-forwards. The Company will continue to monitor future ownership changes for potential Section 382 limitations</w:t>
      </w:r>
    </w:p>
    <w:p>
      <w:pPr>
        <w:spacing w:after="0" w:line="199"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As of December 31, 2024 and 2023, the Company had federal NOL carryforwards of $553.2 million and $412.0 million, respectively, available to reduce taxable income, of which $16.3 million expire beginning 2036 and $536.9 million do not expire. The Company had state NOL carryforwards of $1,499.3 million and $398.6 million as of December 31, 2024 and 2023, respectively, available to reduce future state taxable income, of which $1,042.2 million expire beginning 2031 and $457.1 million do not expire. The Company had foreign NOL carryforwards of $439.5 million as of December 31, 2024, available to reduce future foreign taxable income, of which $18.7 million expire beginning 2032 and $420.8 million do not expire.</w:t>
      </w:r>
    </w:p>
    <w:p>
      <w:pPr>
        <w:spacing w:after="0" w:line="19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December 31, 2024, the Company also had federal, state and foreign research and development credit carryforwards of $35.1 million, $10.2 million and $7.1 million respectively. As of December 31, 2023, the Company had federal, state and research and development credit carryforwards of $30.3 million, $6.9 million. The federal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research and development credit carryforwards expire beginning in 2036, the state credit carryforwards expire beginning in 2030 and the foreign credit carryforwards do not expire. The Company also had federal Orphan Drug credits of $24.7 million and $17.9 million as of December 31, 2024 and 2023, respectively, which will begin expiring in 2026.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Reserves for uncertain tax positions against the credit carryforwards were as follows:</w:t>
      </w:r>
    </w:p>
    <w:p>
      <w:pPr>
        <w:spacing w:after="0" w:line="292"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27305</wp:posOffset>
            </wp:positionV>
            <wp:extent cx="19646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2024</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r>
      <w:tr>
        <w:trPr>
          <w:trHeight w:val="238"/>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the beginning of the period</w:t>
            </w:r>
          </w:p>
        </w:tc>
        <w:tc>
          <w:tcPr>
            <w:tcW w:w="2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5,417</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2,762</w:t>
            </w:r>
          </w:p>
        </w:tc>
      </w:tr>
      <w:tr>
        <w:trPr>
          <w:trHeight w:val="240"/>
        </w:trPr>
        <w:tc>
          <w:tcPr>
            <w:tcW w:w="6060" w:type="dxa"/>
            <w:vAlign w:val="bottom"/>
          </w:tcPr>
          <w:p>
            <w:pPr>
              <w:ind w:left="20"/>
              <w:spacing w:after="0"/>
              <w:rPr>
                <w:sz w:val="20"/>
                <w:szCs w:val="20"/>
                <w:color w:val="auto"/>
              </w:rPr>
            </w:pPr>
            <w:r>
              <w:rPr>
                <w:rFonts w:ascii="Arial" w:cs="Arial" w:eastAsia="Arial" w:hAnsi="Arial"/>
                <w:sz w:val="17"/>
                <w:szCs w:val="17"/>
                <w:color w:val="auto"/>
              </w:rPr>
              <w:t>Increases for positions taken in current year</w:t>
            </w:r>
          </w:p>
        </w:tc>
        <w:tc>
          <w:tcPr>
            <w:tcW w:w="2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1,535</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1,726</w:t>
            </w:r>
          </w:p>
        </w:tc>
      </w:tr>
      <w:tr>
        <w:trPr>
          <w:trHeight w:val="245"/>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Increase (decrease) for positions taken in prior year</w:t>
            </w:r>
          </w:p>
        </w:tc>
        <w:tc>
          <w:tcPr>
            <w:tcW w:w="2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929</w:t>
            </w:r>
          </w:p>
        </w:tc>
      </w:tr>
      <w:tr>
        <w:trPr>
          <w:trHeight w:val="238"/>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at the end of the period</w:t>
            </w:r>
          </w:p>
        </w:tc>
        <w:tc>
          <w:tcPr>
            <w:tcW w:w="24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6,749</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5,417</w:t>
            </w:r>
          </w:p>
        </w:tc>
      </w:tr>
      <w:tr>
        <w:trPr>
          <w:trHeight w:val="24"/>
        </w:trPr>
        <w:tc>
          <w:tcPr>
            <w:tcW w:w="60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It is the Company’s policy to include penalties and interest expense related to income taxes as a component of Other income (loss), net as necessary.</w:t>
      </w:r>
    </w:p>
    <w:p>
      <w:pPr>
        <w:spacing w:after="0" w:line="189"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Company files income tax returns in the United States, Canada, United Kingdom, Austria. The Company files state income tax returns in multiple states in the United States among others Utah, California and Massachusetts. The Company is not currently under examination in any of these jurisdictions. The Company is subject to income tax examinations on all federal returns since the 2016 tax return.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Note 13. Net Loss Per Share</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For the years ended December 31, 2024, 2023 and 2022, Recursion calculated net loss per share of Class A, Class B and Exchangeable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For the years ended December 31, 2024, 2023 and 2022, the Company reported a net loss and therefore basic and diluted loss per share were the same.</w:t>
      </w:r>
    </w:p>
    <w:p>
      <w:pPr>
        <w:spacing w:after="0" w:line="19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rights, including the liquidation and dividend rights, of the holders of the Company’s Class A, Class B and the Exchangeable common stock are identical, except with respect to voting. As a result, the undistributed earnings for each period are allocated based on the contractual participation rights of the Class A, Class B common stock and the Exchangeable common stock as if the earnings for the period had been distributed. As the liquidation and dividend rights are identical, the undistributed earnings are allocated on a proportionate basis and the resulting amount per share for Class A, Class B and Exchangeable common stock was the same during the years ended December 31, 2024, 2023 and 2022.</w:t>
      </w:r>
    </w:p>
    <w:p>
      <w:pPr>
        <w:spacing w:after="0" w:line="196"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The following tables set forth the computation of basic and diluted net loss per share of Class A, Class B and Exchangeable common stock during 2024,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380" w:type="dxa"/>
            <w:vAlign w:val="bottom"/>
            <w:gridSpan w:val="4"/>
          </w:tcPr>
          <w:p>
            <w:pPr>
              <w:jc w:val="right"/>
              <w:ind w:right="94"/>
              <w:spacing w:after="0"/>
              <w:rPr>
                <w:sz w:val="20"/>
                <w:szCs w:val="20"/>
                <w:color w:val="auto"/>
              </w:rPr>
            </w:pPr>
            <w:r>
              <w:rPr>
                <w:rFonts w:ascii="Arial" w:cs="Arial" w:eastAsia="Arial" w:hAnsi="Arial"/>
                <w:sz w:val="17"/>
                <w:szCs w:val="17"/>
                <w:b w:val="1"/>
                <w:bCs w:val="1"/>
                <w:color w:val="auto"/>
              </w:rPr>
              <w:t>Years ended December 31,</w:t>
            </w:r>
          </w:p>
        </w:tc>
        <w:tc>
          <w:tcPr>
            <w:tcW w:w="1220" w:type="dxa"/>
            <w:vAlign w:val="bottom"/>
          </w:tcPr>
          <w:p>
            <w:pPr>
              <w:spacing w:after="0"/>
              <w:rPr>
                <w:sz w:val="20"/>
                <w:szCs w:val="20"/>
                <w:color w:val="auto"/>
              </w:rPr>
            </w:pPr>
          </w:p>
        </w:tc>
      </w:tr>
      <w:tr>
        <w:trPr>
          <w:trHeight w:val="271"/>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w:t>
            </w:r>
            <w:r>
              <w:rPr>
                <w:rFonts w:ascii="Arial" w:cs="Arial" w:eastAsia="Arial" w:hAnsi="Arial"/>
                <w:sz w:val="14"/>
                <w:szCs w:val="14"/>
                <w:b w:val="1"/>
                <w:bCs w:val="1"/>
                <w:color w:val="1E1E1E"/>
              </w:rPr>
              <w:t>except share amounts</w:t>
            </w:r>
            <w:r>
              <w:rPr>
                <w:rFonts w:ascii="Arial" w:cs="Arial" w:eastAsia="Arial" w:hAnsi="Arial"/>
                <w:sz w:val="14"/>
                <w:szCs w:val="14"/>
                <w:b w:val="1"/>
                <w:bCs w:val="1"/>
                <w:color w:val="auto"/>
              </w:rPr>
              <w:t>)</w:t>
            </w:r>
          </w:p>
        </w:tc>
        <w:tc>
          <w:tcPr>
            <w:tcW w:w="16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2024</w:t>
            </w: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2"/>
        </w:trPr>
        <w:tc>
          <w:tcPr>
            <w:tcW w:w="500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loss</w:t>
            </w:r>
          </w:p>
        </w:tc>
        <w:tc>
          <w:tcPr>
            <w:tcW w:w="1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(463,661)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(328,066)</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(239,476)</w:t>
            </w:r>
          </w:p>
        </w:tc>
      </w:tr>
      <w:tr>
        <w:trPr>
          <w:trHeight w:val="219"/>
        </w:trPr>
        <w:tc>
          <w:tcPr>
            <w:tcW w:w="500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5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Weighted average common shares outstanding</w:t>
            </w:r>
          </w:p>
        </w:tc>
        <w:tc>
          <w:tcPr>
            <w:tcW w:w="16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274,207,146</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207,853,702</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175,537,487</w:t>
            </w:r>
          </w:p>
        </w:tc>
      </w:tr>
      <w:tr>
        <w:trPr>
          <w:trHeight w:val="212"/>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loss per share, basic and diluted</w:t>
            </w:r>
          </w:p>
        </w:tc>
        <w:tc>
          <w:tcPr>
            <w:tcW w:w="16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7164070" cy="419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1E1E1E"/>
        </w:rPr>
        <w:t>The Company excluded the following potential common shares from the computation of diluted net loss per share for the periods indicated because including them would have had an anti-dilutive effect: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5580" w:type="dxa"/>
            <w:vAlign w:val="bottom"/>
            <w:gridSpan w:val="2"/>
          </w:tcPr>
          <w:p>
            <w:pPr>
              <w:jc w:val="right"/>
              <w:ind w:right="174"/>
              <w:spacing w:after="0"/>
              <w:rPr>
                <w:sz w:val="20"/>
                <w:szCs w:val="20"/>
                <w:color w:val="auto"/>
              </w:rPr>
            </w:pPr>
            <w:r>
              <w:rPr>
                <w:rFonts w:ascii="Arial" w:cs="Arial" w:eastAsia="Arial" w:hAnsi="Arial"/>
                <w:sz w:val="17"/>
                <w:szCs w:val="17"/>
                <w:b w:val="1"/>
                <w:bCs w:val="1"/>
                <w:color w:val="auto"/>
              </w:rPr>
              <w:t>Years ended December 31,</w:t>
            </w:r>
          </w:p>
        </w:tc>
        <w:tc>
          <w:tcPr>
            <w:tcW w:w="1380" w:type="dxa"/>
            <w:vAlign w:val="bottom"/>
          </w:tcPr>
          <w:p>
            <w:pPr>
              <w:spacing w:after="0"/>
              <w:rPr>
                <w:sz w:val="20"/>
                <w:szCs w:val="20"/>
                <w:color w:val="auto"/>
              </w:rPr>
            </w:pPr>
          </w:p>
        </w:tc>
      </w:tr>
      <w:tr>
        <w:trPr>
          <w:trHeight w:val="233"/>
        </w:trPr>
        <w:tc>
          <w:tcPr>
            <w:tcW w:w="428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b w:val="1"/>
                <w:bCs w:val="1"/>
                <w:color w:val="auto"/>
              </w:rPr>
              <w:t>2024</w:t>
            </w:r>
          </w:p>
        </w:tc>
        <w:tc>
          <w:tcPr>
            <w:tcW w:w="194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b w:val="1"/>
                <w:bCs w:val="1"/>
                <w:color w:val="auto"/>
              </w:rPr>
              <w:t>2023</w:t>
            </w: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based compensation</w:t>
            </w:r>
          </w:p>
        </w:tc>
        <w:tc>
          <w:tcPr>
            <w:tcW w:w="36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9,021,895</w:t>
            </w:r>
          </w:p>
        </w:tc>
        <w:tc>
          <w:tcPr>
            <w:tcW w:w="194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9,848,141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10,966,651</w:t>
            </w:r>
          </w:p>
        </w:tc>
      </w:tr>
      <w:tr>
        <w:trPr>
          <w:trHeight w:val="21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Tempus agreement</w:t>
            </w:r>
          </w:p>
        </w:tc>
        <w:tc>
          <w:tcPr>
            <w:tcW w:w="36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7,802,744</w:t>
            </w:r>
          </w:p>
        </w:tc>
        <w:tc>
          <w:tcPr>
            <w:tcW w:w="19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1,073,834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4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16,824,639</w:t>
            </w:r>
          </w:p>
        </w:tc>
        <w:tc>
          <w:tcPr>
            <w:tcW w:w="19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10,921,975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10,966,651</w:t>
            </w:r>
          </w:p>
        </w:tc>
      </w:tr>
      <w:tr>
        <w:trPr>
          <w:trHeight w:val="20"/>
        </w:trPr>
        <w:tc>
          <w:tcPr>
            <w:tcW w:w="4280" w:type="dxa"/>
            <w:vAlign w:val="bottom"/>
            <w:tcBorders>
              <w:top w:val="single" w:sz="8" w:color="CCEEFF"/>
              <w:bottom w:val="single" w:sz="8" w:color="auto"/>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Fair Value Measurements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hierarchy consists of the following three levels:</w:t>
      </w:r>
    </w:p>
    <w:p>
      <w:pPr>
        <w:spacing w:after="0" w:line="243" w:lineRule="exact"/>
        <w:rPr>
          <w:sz w:val="20"/>
          <w:szCs w:val="20"/>
          <w:color w:val="auto"/>
        </w:rPr>
      </w:pPr>
    </w:p>
    <w:p>
      <w:pPr>
        <w:ind w:left="620" w:hanging="307"/>
        <w:spacing w:after="0"/>
        <w:tabs>
          <w:tab w:leader="none" w:pos="6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Level 1 — Valuations based on unadjusted quoted prices in active markets for identical assets that the company has the ability to access;</w:t>
      </w:r>
    </w:p>
    <w:p>
      <w:pPr>
        <w:spacing w:after="0" w:line="26" w:lineRule="exact"/>
        <w:rPr>
          <w:rFonts w:ascii="Arial" w:cs="Arial" w:eastAsia="Arial" w:hAnsi="Arial"/>
          <w:sz w:val="17"/>
          <w:szCs w:val="17"/>
          <w:color w:val="auto"/>
        </w:rPr>
      </w:pPr>
    </w:p>
    <w:p>
      <w:pPr>
        <w:ind w:left="620" w:right="200" w:hanging="307"/>
        <w:spacing w:after="0" w:line="253" w:lineRule="auto"/>
        <w:tabs>
          <w:tab w:leader="none" w:pos="61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ind w:left="620" w:right="620" w:hanging="307"/>
        <w:spacing w:after="0" w:line="270" w:lineRule="auto"/>
        <w:tabs>
          <w:tab w:leader="none" w:pos="61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assets and liabilities that are measured at fair value on a recurring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80"/>
              <w:spacing w:after="0"/>
              <w:rPr>
                <w:sz w:val="20"/>
                <w:szCs w:val="20"/>
                <w:color w:val="auto"/>
              </w:rPr>
            </w:pPr>
            <w:r>
              <w:rPr>
                <w:rFonts w:ascii="Arial" w:cs="Arial" w:eastAsia="Arial" w:hAnsi="Arial"/>
                <w:sz w:val="15"/>
                <w:szCs w:val="15"/>
                <w:b w:val="1"/>
                <w:bCs w:val="1"/>
                <w:color w:val="auto"/>
              </w:rPr>
              <w:t>Basis of fair value measurement</w:t>
            </w:r>
          </w:p>
        </w:tc>
      </w:tr>
      <w:tr>
        <w:trPr>
          <w:trHeight w:val="19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December 31, 2024</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Level 3</w:t>
            </w:r>
          </w:p>
        </w:tc>
      </w:tr>
      <w:tr>
        <w:trPr>
          <w:trHeight w:val="221"/>
        </w:trPr>
        <w:tc>
          <w:tcPr>
            <w:tcW w:w="348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348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
        </w:trPr>
        <w:tc>
          <w:tcPr>
            <w:tcW w:w="3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9"/>
        </w:trPr>
        <w:tc>
          <w:tcPr>
            <w:tcW w:w="3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235,812</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235,812</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 $</w:t>
            </w:r>
          </w:p>
        </w:tc>
        <w:tc>
          <w:tcPr>
            <w:tcW w:w="10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w:t>
            </w:r>
          </w:p>
        </w:tc>
      </w:tr>
      <w:tr>
        <w:trPr>
          <w:trHeight w:val="219"/>
        </w:trPr>
        <w:tc>
          <w:tcPr>
            <w:tcW w:w="3480" w:type="dxa"/>
            <w:vAlign w:val="bottom"/>
          </w:tcPr>
          <w:p>
            <w:pPr>
              <w:ind w:left="220"/>
              <w:spacing w:after="0"/>
              <w:rPr>
                <w:sz w:val="20"/>
                <w:szCs w:val="20"/>
                <w:color w:val="auto"/>
              </w:rPr>
            </w:pPr>
            <w:r>
              <w:rPr>
                <w:rFonts w:ascii="Arial" w:cs="Arial" w:eastAsia="Arial" w:hAnsi="Arial"/>
                <w:sz w:val="17"/>
                <w:szCs w:val="17"/>
                <w:color w:val="auto"/>
              </w:rPr>
              <w:t>Bank deposits</w:t>
            </w:r>
          </w:p>
        </w:tc>
        <w:tc>
          <w:tcPr>
            <w:tcW w:w="18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160,487</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160,487</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8"/>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8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8,675</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8,675</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w:t>
            </w:r>
          </w:p>
        </w:tc>
      </w:tr>
      <w:tr>
        <w:trPr>
          <w:trHeight w:val="21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assets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404,974</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404,974</w:t>
            </w:r>
          </w:p>
        </w:tc>
        <w:tc>
          <w:tcPr>
            <w:tcW w:w="2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 $</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gridSpan w:val="4"/>
          </w:tcPr>
          <w:p>
            <w:pPr>
              <w:spacing w:after="0" w:line="20" w:lineRule="exact"/>
              <w:rPr>
                <w:sz w:val="1"/>
                <w:szCs w:val="1"/>
                <w:color w:val="auto"/>
              </w:rPr>
            </w:pPr>
          </w:p>
        </w:tc>
      </w:tr>
      <w:tr>
        <w:trPr>
          <w:trHeight w:val="546"/>
        </w:trPr>
        <w:tc>
          <w:tcPr>
            <w:tcW w:w="3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ind w:left="580"/>
              <w:spacing w:after="0"/>
              <w:rPr>
                <w:sz w:val="20"/>
                <w:szCs w:val="20"/>
                <w:color w:val="auto"/>
              </w:rPr>
            </w:pPr>
            <w:r>
              <w:rPr>
                <w:rFonts w:ascii="Arial" w:cs="Arial" w:eastAsia="Arial" w:hAnsi="Arial"/>
                <w:sz w:val="15"/>
                <w:szCs w:val="15"/>
                <w:b w:val="1"/>
                <w:bCs w:val="1"/>
                <w:color w:val="auto"/>
              </w:rPr>
              <w:t>Basis of fair value measurement</w:t>
            </w:r>
          </w:p>
        </w:tc>
      </w:tr>
      <w:tr>
        <w:trPr>
          <w:trHeight w:val="19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96"/>
              <w:spacing w:after="0"/>
              <w:rPr>
                <w:sz w:val="20"/>
                <w:szCs w:val="20"/>
                <w:color w:val="auto"/>
              </w:rPr>
            </w:pPr>
            <w:r>
              <w:rPr>
                <w:rFonts w:ascii="Arial" w:cs="Arial" w:eastAsia="Arial" w:hAnsi="Arial"/>
                <w:sz w:val="15"/>
                <w:szCs w:val="15"/>
                <w:b w:val="1"/>
                <w:bCs w:val="1"/>
                <w:color w:val="auto"/>
              </w:rPr>
              <w:t>December 31, 2023</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Level 3</w:t>
            </w:r>
          </w:p>
        </w:tc>
      </w:tr>
      <w:tr>
        <w:trPr>
          <w:trHeight w:val="208"/>
        </w:trPr>
        <w:tc>
          <w:tcPr>
            <w:tcW w:w="348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3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322,653</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322,653</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 $</w:t>
            </w:r>
          </w:p>
        </w:tc>
        <w:tc>
          <w:tcPr>
            <w:tcW w:w="10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w:t>
            </w:r>
          </w:p>
        </w:tc>
      </w:tr>
      <w:tr>
        <w:trPr>
          <w:trHeight w:val="21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cash</w:t>
            </w:r>
          </w:p>
        </w:tc>
        <w:tc>
          <w:tcPr>
            <w:tcW w:w="18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9,860</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9,860</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r>
      <w:tr>
        <w:trPr>
          <w:trHeight w:val="237"/>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332,513</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332,513</w:t>
            </w:r>
          </w:p>
        </w:tc>
        <w:tc>
          <w:tcPr>
            <w:tcW w:w="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 $</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w:t>
            </w:r>
          </w:p>
        </w:tc>
      </w:tr>
      <w:tr>
        <w:trPr>
          <w:trHeight w:val="20"/>
        </w:trPr>
        <w:tc>
          <w:tcPr>
            <w:tcW w:w="3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addition to the financial instruments that are recognized at fair value on the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financial instruments that are not measured at fair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gridSpan w:val="4"/>
          </w:tcPr>
          <w:p>
            <w:pPr>
              <w:ind w:left="1300"/>
              <w:spacing w:after="0"/>
              <w:rPr>
                <w:sz w:val="20"/>
                <w:szCs w:val="20"/>
                <w:color w:val="auto"/>
              </w:rPr>
            </w:pPr>
            <w:r>
              <w:rPr>
                <w:rFonts w:ascii="Arial" w:cs="Arial" w:eastAsia="Arial" w:hAnsi="Arial"/>
                <w:sz w:val="15"/>
                <w:szCs w:val="15"/>
                <w:b w:val="1"/>
                <w:bCs w:val="1"/>
                <w:color w:val="auto"/>
              </w:rPr>
              <w:t>Book values</w:t>
            </w:r>
          </w:p>
        </w:tc>
        <w:tc>
          <w:tcPr>
            <w:tcW w:w="200" w:type="dxa"/>
            <w:vAlign w:val="bottom"/>
          </w:tcPr>
          <w:p>
            <w:pPr>
              <w:spacing w:after="0"/>
              <w:rPr>
                <w:sz w:val="18"/>
                <w:szCs w:val="18"/>
                <w:color w:val="auto"/>
              </w:rPr>
            </w:pPr>
          </w:p>
        </w:tc>
        <w:tc>
          <w:tcPr>
            <w:tcW w:w="3760" w:type="dxa"/>
            <w:vAlign w:val="bottom"/>
            <w:gridSpan w:val="3"/>
          </w:tcPr>
          <w:p>
            <w:pPr>
              <w:jc w:val="right"/>
              <w:ind w:right="1476"/>
              <w:spacing w:after="0"/>
              <w:rPr>
                <w:sz w:val="20"/>
                <w:szCs w:val="20"/>
                <w:color w:val="auto"/>
              </w:rPr>
            </w:pPr>
            <w:r>
              <w:rPr>
                <w:rFonts w:ascii="Arial" w:cs="Arial" w:eastAsia="Arial" w:hAnsi="Arial"/>
                <w:sz w:val="15"/>
                <w:szCs w:val="15"/>
                <w:b w:val="1"/>
                <w:bCs w:val="1"/>
                <w:color w:val="auto"/>
              </w:rPr>
              <w:t>Fair values</w:t>
            </w:r>
          </w:p>
        </w:tc>
      </w:tr>
      <w:tr>
        <w:trPr>
          <w:trHeight w:val="19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5"/>
                <w:szCs w:val="15"/>
                <w:b w:val="1"/>
                <w:bCs w:val="1"/>
                <w:color w:val="auto"/>
              </w:rPr>
              <w:t>December 31, 2024</w:t>
            </w:r>
          </w:p>
        </w:tc>
        <w:tc>
          <w:tcPr>
            <w:tcW w:w="22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December 31, 2023</w:t>
            </w:r>
          </w:p>
        </w:tc>
        <w:tc>
          <w:tcPr>
            <w:tcW w:w="26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rPr>
              <w:t>December 31, 2024</w:t>
            </w:r>
          </w:p>
        </w:tc>
        <w:tc>
          <w:tcPr>
            <w:tcW w:w="22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December 31, 2023</w:t>
            </w:r>
          </w:p>
        </w:tc>
      </w:tr>
      <w:tr>
        <w:trPr>
          <w:trHeight w:val="212"/>
        </w:trPr>
        <w:tc>
          <w:tcPr>
            <w:tcW w:w="308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77"/>
        </w:trPr>
        <w:tc>
          <w:tcPr>
            <w:tcW w:w="30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Notes payable and financing lease</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current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177"/>
        </w:trPr>
        <w:tc>
          <w:tcPr>
            <w:tcW w:w="3080" w:type="dxa"/>
            <w:vAlign w:val="bottom"/>
          </w:tcPr>
          <w:p>
            <w:pPr>
              <w:ind w:left="20"/>
              <w:spacing w:after="0" w:line="176" w:lineRule="exact"/>
              <w:rPr>
                <w:sz w:val="20"/>
                <w:szCs w:val="20"/>
                <w:color w:val="auto"/>
              </w:rPr>
            </w:pPr>
            <w:r>
              <w:rPr>
                <w:rFonts w:ascii="Arial" w:cs="Arial" w:eastAsia="Arial" w:hAnsi="Arial"/>
                <w:sz w:val="17"/>
                <w:szCs w:val="17"/>
                <w:color w:val="auto"/>
              </w:rPr>
              <w:t>Notes payable and financing lease</w:t>
            </w: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liabilities, non-current</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19,022</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19,022</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w:t>
            </w:r>
          </w:p>
        </w:tc>
      </w:tr>
      <w:tr>
        <w:trPr>
          <w:trHeight w:val="237"/>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w:t>
            </w:r>
          </w:p>
        </w:tc>
        <w:tc>
          <w:tcPr>
            <w:tcW w:w="2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Segment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loss</w:t>
      </w:r>
    </w:p>
    <w:p>
      <w:pPr>
        <w:spacing w:after="0" w:line="243"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Recursion operates as a single operating segment that is managed on a consolidated basis. The Company’s chief operating decision maker is its Chief Executive Officer. The Company’s chief operating decision maker uses segment net loss to evaluate the performance of its segment, analyze financial trends, compare the budget to the actual operating results, and make resource allocation decisions. Segment net loss represents the Company’s consolidated net loss. All corporate costs, global function support costs, overhead costs and other shared costs are included within this segment. Other segment items primarily include general and administrative expenses including facilities, information technology, professional fees (including auditing, tax and legal) and insurance.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Recursion’s segment net loss:</w:t>
      </w:r>
    </w:p>
    <w:p>
      <w:pPr>
        <w:spacing w:after="0" w:line="280" w:lineRule="exact"/>
        <w:rPr>
          <w:sz w:val="20"/>
          <w:szCs w:val="20"/>
          <w:color w:val="auto"/>
        </w:rPr>
      </w:pPr>
    </w:p>
    <w:p>
      <w:pPr>
        <w:ind w:left="8260"/>
        <w:spacing w:after="0"/>
        <w:rPr>
          <w:sz w:val="20"/>
          <w:szCs w:val="20"/>
          <w:color w:val="auto"/>
        </w:rPr>
      </w:pPr>
      <w:r>
        <w:rPr>
          <w:rFonts w:ascii="Arial" w:cs="Arial" w:eastAsia="Arial" w:hAnsi="Arial"/>
          <w:sz w:val="17"/>
          <w:szCs w:val="17"/>
          <w:b w:val="1"/>
          <w:bCs w:val="1"/>
          <w:color w:val="auto"/>
        </w:rPr>
        <w:t>Years ended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2024</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r>
      <w:tr>
        <w:trPr>
          <w:trHeight w:val="24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58,839</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44,575</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39,843</w:t>
            </w:r>
          </w:p>
        </w:tc>
      </w:tr>
      <w:tr>
        <w:trPr>
          <w:trHeight w:val="258"/>
        </w:trPr>
        <w:tc>
          <w:tcPr>
            <w:tcW w:w="7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5"/>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Significant segment expenses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5"/>
        </w:trPr>
        <w:tc>
          <w:tcPr>
            <w:tcW w:w="7460" w:type="dxa"/>
            <w:vAlign w:val="bottom"/>
          </w:tcPr>
          <w:p>
            <w:pPr>
              <w:ind w:left="20"/>
              <w:spacing w:after="0"/>
              <w:rPr>
                <w:sz w:val="20"/>
                <w:szCs w:val="20"/>
                <w:color w:val="auto"/>
              </w:rPr>
            </w:pPr>
            <w:r>
              <w:rPr>
                <w:rFonts w:ascii="Arial" w:cs="Arial" w:eastAsia="Arial" w:hAnsi="Arial"/>
                <w:sz w:val="17"/>
                <w:szCs w:val="17"/>
                <w:color w:val="auto"/>
              </w:rPr>
              <w:t>Salaries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242,795</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183,643</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139,671</w:t>
            </w:r>
          </w:p>
        </w:tc>
      </w:tr>
      <w:tr>
        <w:trPr>
          <w:trHeight w:val="245"/>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Consumables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77,543</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65,688</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35,107</w:t>
            </w:r>
          </w:p>
        </w:tc>
      </w:tr>
      <w:tr>
        <w:trPr>
          <w:trHeight w:val="245"/>
        </w:trPr>
        <w:tc>
          <w:tcPr>
            <w:tcW w:w="7460" w:type="dxa"/>
            <w:vAlign w:val="bottom"/>
          </w:tcPr>
          <w:p>
            <w:pPr>
              <w:ind w:left="20"/>
              <w:spacing w:after="0"/>
              <w:rPr>
                <w:sz w:val="20"/>
                <w:szCs w:val="20"/>
                <w:color w:val="auto"/>
              </w:rPr>
            </w:pPr>
            <w:r>
              <w:rPr>
                <w:rFonts w:ascii="Arial" w:cs="Arial" w:eastAsia="Arial" w:hAnsi="Arial"/>
                <w:sz w:val="17"/>
                <w:szCs w:val="17"/>
                <w:color w:val="auto"/>
              </w:rPr>
              <w:t>Platform</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15,876</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6,353</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4,822</w:t>
            </w:r>
          </w:p>
        </w:tc>
      </w:tr>
      <w:tr>
        <w:trPr>
          <w:trHeight w:val="245"/>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Discovery</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30,480</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19,231</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19,765</w:t>
            </w:r>
          </w:p>
        </w:tc>
      </w:tr>
      <w:tr>
        <w:trPr>
          <w:trHeight w:val="245"/>
        </w:trPr>
        <w:tc>
          <w:tcPr>
            <w:tcW w:w="7460" w:type="dxa"/>
            <w:vAlign w:val="bottom"/>
          </w:tcPr>
          <w:p>
            <w:pPr>
              <w:ind w:left="20"/>
              <w:spacing w:after="0"/>
              <w:rPr>
                <w:sz w:val="20"/>
                <w:szCs w:val="20"/>
                <w:color w:val="auto"/>
              </w:rPr>
            </w:pPr>
            <w:r>
              <w:rPr>
                <w:rFonts w:ascii="Arial" w:cs="Arial" w:eastAsia="Arial" w:hAnsi="Arial"/>
                <w:sz w:val="17"/>
                <w:szCs w:val="17"/>
                <w:color w:val="auto"/>
              </w:rPr>
              <w:t>Clinical development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43,713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39,881</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32,929</w:t>
            </w:r>
          </w:p>
        </w:tc>
      </w:tr>
      <w:tr>
        <w:trPr>
          <w:trHeight w:val="245"/>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36,494</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24,402</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11,756</w:t>
            </w:r>
          </w:p>
        </w:tc>
      </w:tr>
      <w:tr>
        <w:trPr>
          <w:trHeight w:val="245"/>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segment items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90,942</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55,437</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41,520</w:t>
            </w:r>
          </w:p>
        </w:tc>
      </w:tr>
      <w:tr>
        <w:trPr>
          <w:trHeight w:val="238"/>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479,004</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350,060</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245,727</w:t>
            </w:r>
          </w:p>
        </w:tc>
      </w:tr>
      <w:tr>
        <w:trPr>
          <w:trHeight w:val="245"/>
        </w:trPr>
        <w:tc>
          <w:tcPr>
            <w:tcW w:w="7460" w:type="dxa"/>
            <w:vAlign w:val="bottom"/>
          </w:tcPr>
          <w:p>
            <w:pPr>
              <w:ind w:left="20"/>
              <w:spacing w:after="0"/>
              <w:rPr>
                <w:sz w:val="20"/>
                <w:szCs w:val="20"/>
                <w:color w:val="auto"/>
              </w:rPr>
            </w:pPr>
            <w:r>
              <w:rPr>
                <w:rFonts w:ascii="Arial" w:cs="Arial" w:eastAsia="Arial" w:hAnsi="Arial"/>
                <w:sz w:val="17"/>
                <w:szCs w:val="17"/>
                <w:color w:val="auto"/>
              </w:rPr>
              <w:t>Other non-operating income,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14,216</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17,932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6,251</w:t>
            </w:r>
          </w:p>
        </w:tc>
      </w:tr>
      <w:tr>
        <w:trPr>
          <w:trHeight w:val="245"/>
        </w:trPr>
        <w:tc>
          <w:tcPr>
            <w:tcW w:w="7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4,062</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segment loss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463,661</w:t>
            </w:r>
          </w:p>
        </w:tc>
        <w:tc>
          <w:tcPr>
            <w:tcW w:w="3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328,066</w:t>
            </w:r>
          </w:p>
        </w:tc>
        <w:tc>
          <w:tcPr>
            <w:tcW w:w="3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239,476</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7"/>
        </w:trPr>
        <w:tc>
          <w:tcPr>
            <w:tcW w:w="7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7460" w:type="dxa"/>
            <w:vAlign w:val="bottom"/>
          </w:tcPr>
          <w:p>
            <w:pPr>
              <w:ind w:left="20"/>
              <w:spacing w:after="0"/>
              <w:rPr>
                <w:sz w:val="20"/>
                <w:szCs w:val="20"/>
                <w:color w:val="auto"/>
              </w:rPr>
            </w:pPr>
            <w:r>
              <w:rPr>
                <w:rFonts w:ascii="Arial" w:cs="Arial" w:eastAsia="Arial" w:hAnsi="Arial"/>
                <w:sz w:val="17"/>
                <w:szCs w:val="17"/>
                <w:b w:val="1"/>
                <w:bCs w:val="1"/>
                <w:color w:val="auto"/>
              </w:rPr>
              <w:t>Supplemental asset information</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7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expenditures for additions to long-lived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14,134</w:t>
            </w:r>
          </w:p>
        </w:tc>
        <w:tc>
          <w:tcPr>
            <w:tcW w:w="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14,393</w:t>
            </w:r>
          </w:p>
        </w:tc>
        <w:tc>
          <w:tcPr>
            <w:tcW w:w="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7164070" cy="419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Segment Disclosures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Recursion’s long-lived assets are attributed to the following geographic areas based on their location:</w:t>
      </w:r>
    </w:p>
    <w:p>
      <w:pPr>
        <w:spacing w:after="0" w:line="280" w:lineRule="exact"/>
        <w:rPr>
          <w:sz w:val="20"/>
          <w:szCs w:val="20"/>
          <w:color w:val="auto"/>
        </w:rPr>
      </w:pPr>
    </w:p>
    <w:p>
      <w:pPr>
        <w:ind w:left="8260"/>
        <w:spacing w:after="0"/>
        <w:rPr>
          <w:sz w:val="20"/>
          <w:szCs w:val="20"/>
          <w:color w:val="auto"/>
        </w:rPr>
      </w:pPr>
      <w:r>
        <w:rPr>
          <w:rFonts w:ascii="Arial" w:cs="Arial" w:eastAsia="Arial" w:hAnsi="Arial"/>
          <w:sz w:val="17"/>
          <w:szCs w:val="17"/>
          <w:b w:val="1"/>
          <w:bCs w:val="1"/>
          <w:color w:val="auto"/>
        </w:rPr>
        <w:t>Years ended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2024</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r>
      <w:tr>
        <w:trPr>
          <w:trHeight w:val="242"/>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78,471</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84,056</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87,985</w:t>
            </w:r>
          </w:p>
        </w:tc>
      </w:tr>
      <w:tr>
        <w:trPr>
          <w:trHeight w:val="245"/>
        </w:trPr>
        <w:tc>
          <w:tcPr>
            <w:tcW w:w="7460" w:type="dxa"/>
            <w:vAlign w:val="bottom"/>
          </w:tcPr>
          <w:p>
            <w:pPr>
              <w:ind w:left="20"/>
              <w:spacing w:after="0"/>
              <w:rPr>
                <w:sz w:val="20"/>
                <w:szCs w:val="20"/>
                <w:color w:val="auto"/>
              </w:rPr>
            </w:pPr>
            <w:r>
              <w:rPr>
                <w:rFonts w:ascii="Arial" w:cs="Arial" w:eastAsia="Arial" w:hAnsi="Arial"/>
                <w:sz w:val="17"/>
                <w:szCs w:val="17"/>
                <w:color w:val="auto"/>
              </w:rPr>
              <w:t>Canada</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2,631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2,454</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45"/>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Kingdom</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56,332</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3,629</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305"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Recursion generates revenue primarily from a single service, research and development services and from a single geographic area, the United States, therefore, the Company does not report additional information on revenue from external customers.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Subsequent Events</w:t>
      </w:r>
    </w:p>
    <w:p>
      <w:pPr>
        <w:spacing w:after="0" w:line="24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In February 2025, the Company terminated the Sales Agreement and entered into a Sales Agreement (the Citi Sales Agreement) with Citigroup Capital Markets Inc. (the Citi Sales Agent), to provide for the offering, issuance and sale of up to an aggregate amount of $500.0 million of its Class A common stock from time to time in “at-the-market” offerings (the Citi ATM Offering). Recursion has not yet sold any shares and is not required to sell additional shares under the Citi Sales Agreement. The Company pays the Citi Sales Agent a commission of up to 3% of the aggregate gross proceeds received from all sales of Class A common stock less certain agreed credits and reimbursements. The Citi Sales Agreement continues until the earlier of selling all shares available under the Citi Sales Agreement or terminated by written notice from either of the parties.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has established disclosure controls and procedures (as defined in Rules 13a-15(e) and 15d-15(e) under the Securities Exchange Act of 1934, as amended (the Exchange Act) designed to provide reasonable assurance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Our management, with the participation of our Chief Executive Officer and Chief Financial Officer, has evaluated the effectiveness of our disclosure controls and procedures as of the end of the period covered by this report. Based on that evaluation, our Chief Executive Officer and Chief Financial Officer have concluded that as of December 31, 2024, our disclosure controls and procedures were not effective due to the material weakness described below.</w:t>
      </w:r>
    </w:p>
    <w:p>
      <w:pPr>
        <w:spacing w:after="0" w:line="20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243"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9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 xml:space="preserve">Management performed an assessment of the effectiveness of the Company’s internal control over financial reporting as of December 31, 2024. In performing this assessment, management used the criteria described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issued by the Committee of Sponsoring Organizations of the Treadway Commission. Based on its assessment, management concluded that the Company’s internal control over financial reporting was not effective as of December 31, 2024 due to the material weakness described below.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Company did not design and maintain effective controls over the estimated costs and time to completion and controls to validate the completeness and accuracy of data used to calculate revenue and unearned revenue related to its license agreement. This material weakness did not result in any misstatements of the Company’s financial statements or disclosures. However, this material weakness could result in a misstatement of the aforementioned account balances or disclosures that would result in a material misstatement to the annual or interim consolidated financial statements that would not be prevented or detected.</w:t>
      </w:r>
    </w:p>
    <w:p>
      <w:pPr>
        <w:spacing w:after="0" w:line="196" w:lineRule="exact"/>
        <w:rPr>
          <w:sz w:val="20"/>
          <w:szCs w:val="20"/>
          <w:color w:val="auto"/>
        </w:rPr>
      </w:pPr>
    </w:p>
    <w:p>
      <w:pPr>
        <w:ind w:right="680"/>
        <w:spacing w:after="0" w:line="290" w:lineRule="auto"/>
        <w:rPr>
          <w:sz w:val="20"/>
          <w:szCs w:val="20"/>
          <w:color w:val="auto"/>
        </w:rPr>
      </w:pPr>
      <w:r>
        <w:rPr>
          <w:rFonts w:ascii="Arial" w:cs="Arial" w:eastAsia="Arial" w:hAnsi="Arial"/>
          <w:sz w:val="17"/>
          <w:szCs w:val="17"/>
          <w:color w:val="auto"/>
        </w:rPr>
        <w:t>The Company has excluded Exscientia plc (Exscientia) from its assessment of the Company’s internal control over financial reporting as of December 31, 2024 because it was acquired by the Company in a purchase business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combination during 2024. Exscientia is a wholly-owned subsidiary whose total assets and total net loss excluded from management’s assessment represent approximately 27% of total assets and 4% of total net loss of Recursion’s Consolidated Financial Statements as of and for the year ended December 31, 2024.</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effectiveness of the Company’s internal control over financial reporting as of December 31, 2024 has been audited by PricewaterhouseCoopers LLP, an independent registered public accounting firm, as stated in their report which is included in Part II Item 8 of this Annual Report on Form 10-K.</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Material Weaknesses in the Excluded Acquired Business</w:t>
      </w:r>
    </w:p>
    <w:p>
      <w:pPr>
        <w:spacing w:after="0" w:line="24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November 20, 2024, the Company acquired Exscientia and its subsidiaries. Prior to the acquisition, Exscientia management identified the following material weaknesses in its internal control over financial reporting, which management of the Company concluded continue to exist as of December 31, 2024:</w:t>
      </w:r>
    </w:p>
    <w:p>
      <w:pPr>
        <w:spacing w:after="0" w:line="189" w:lineRule="exact"/>
        <w:rPr>
          <w:sz w:val="20"/>
          <w:szCs w:val="20"/>
          <w:color w:val="auto"/>
        </w:rPr>
      </w:pPr>
    </w:p>
    <w:p>
      <w:pPr>
        <w:ind w:left="620" w:right="60" w:hanging="307"/>
        <w:spacing w:after="0" w:line="259" w:lineRule="auto"/>
        <w:tabs>
          <w:tab w:leader="none" w:pos="61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Exscientia did not design and maintain effective process and controls; including with respect to consistent review procedures within its financial statement close process, to appropriately analyze, record and disclose accounting matters timely and accurately while maintaining appropriate segregation of duties; and</w:t>
      </w:r>
    </w:p>
    <w:p>
      <w:pPr>
        <w:spacing w:after="0" w:line="1" w:lineRule="exact"/>
        <w:rPr>
          <w:rFonts w:ascii="Arial" w:cs="Arial" w:eastAsia="Arial" w:hAnsi="Arial"/>
          <w:sz w:val="17"/>
          <w:szCs w:val="17"/>
          <w:color w:val="auto"/>
        </w:rPr>
      </w:pPr>
    </w:p>
    <w:p>
      <w:pPr>
        <w:ind w:left="620" w:right="60" w:hanging="307"/>
        <w:spacing w:after="0" w:line="261" w:lineRule="auto"/>
        <w:tabs>
          <w:tab w:leader="none" w:pos="61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Exscientia did not design and maintain effective information technology general controls for information systems that are significant to the preparation of its financial statements, including controls to verify that conflicting duties were appropriately segregated within such systems, in addition to controls over change management and program development.</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material weakness related to Exscientia’s ineffective process and controls resulted in an immaterial misstatement to unearned revenue and unearned revenue, non-current in Recursion’s Consolidated Financial Statements as of and for the year ended December 31, 2024. While the Company has undertaken additional compensating processes and controls, the Company is not yet in a position to conclude that the material weaknesses have been remediated as of December 31, 2024. As a result, these material weaknesses could result in a misstatement of Exscientia’s reported financial results, which are consolidated with the Company's results, that would result in a material misstatement to Recursion’s annual or interim consolidated financial statements that would not be prevented or detected. The Company's management is in the process of remediating these material weaknesses.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Remediation Efforts for Unremediated Material Weaknesses</w:t>
      </w:r>
    </w:p>
    <w:p>
      <w:pPr>
        <w:spacing w:after="0" w:line="24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following remediation actions have been taken as of December 31, 2024 related to the material weakness described above over the accounting for revenue and unearned revenue related to our license agreement:</w:t>
      </w:r>
    </w:p>
    <w:p>
      <w:pPr>
        <w:spacing w:after="0" w:line="172" w:lineRule="exact"/>
        <w:rPr>
          <w:sz w:val="20"/>
          <w:szCs w:val="20"/>
          <w:color w:val="auto"/>
        </w:rPr>
      </w:pPr>
    </w:p>
    <w:p>
      <w:pPr>
        <w:ind w:left="620" w:right="480" w:hanging="307"/>
        <w:spacing w:after="0" w:line="263" w:lineRule="auto"/>
        <w:tabs>
          <w:tab w:leader="none" w:pos="61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Improvement of documentation procedures regarding specific inquiries related to the cost model used for revenue recognition and the resulting responses</w:t>
      </w:r>
    </w:p>
    <w:p>
      <w:pPr>
        <w:ind w:left="620" w:hanging="307"/>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Improvement of documentation for the review of changes in cost model due to responses from inquiries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Provided additional documentation for internal reports to validate and support completeness and accuracy of reports</w:t>
      </w:r>
    </w:p>
    <w:p>
      <w:pPr>
        <w:spacing w:after="0" w:line="10" w:lineRule="exact"/>
        <w:rPr>
          <w:rFonts w:ascii="Arial" w:cs="Arial" w:eastAsia="Arial" w:hAnsi="Arial"/>
          <w:sz w:val="17"/>
          <w:szCs w:val="17"/>
          <w:color w:val="auto"/>
        </w:rPr>
      </w:pPr>
    </w:p>
    <w:p>
      <w:pPr>
        <w:ind w:left="620" w:right="60" w:hanging="307"/>
        <w:spacing w:after="0" w:line="270" w:lineRule="auto"/>
        <w:tabs>
          <w:tab w:leader="none" w:pos="61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Improvement of documentation of these processes was done with the input of our third-party consultants who continue to be involved in the design and enhancement of the revenue recognition policies and procedures</w:t>
      </w:r>
    </w:p>
    <w:p>
      <w:pPr>
        <w:spacing w:after="0" w:line="189"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While significant progress has been made to enhance our internal control over financial reporting, Recursion is still designing, implementing and testing these processes, procedures and controls.</w:t>
      </w:r>
    </w:p>
    <w:p>
      <w:pPr>
        <w:spacing w:after="0" w:line="172" w:lineRule="exact"/>
        <w:rPr>
          <w:sz w:val="20"/>
          <w:szCs w:val="20"/>
          <w:color w:val="auto"/>
        </w:rPr>
      </w:pPr>
    </w:p>
    <w:p>
      <w:pPr>
        <w:ind w:right="820"/>
        <w:spacing w:after="0" w:line="290" w:lineRule="auto"/>
        <w:rPr>
          <w:sz w:val="20"/>
          <w:szCs w:val="20"/>
          <w:color w:val="auto"/>
        </w:rPr>
      </w:pPr>
      <w:r>
        <w:rPr>
          <w:rFonts w:ascii="Arial" w:cs="Arial" w:eastAsia="Arial" w:hAnsi="Arial"/>
          <w:sz w:val="17"/>
          <w:szCs w:val="17"/>
          <w:color w:val="auto"/>
        </w:rPr>
        <w:t>Regarding the material weaknesses described above related to the acquired Exscientia business, Recursion is currently in the process of integrating Exscientia’s operations into our overall system of internal control over financial reporting.</w:t>
      </w:r>
    </w:p>
    <w:p>
      <w:pPr>
        <w:spacing w:after="0" w:line="17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believe the above actions will be effective in remediating the material weaknesses described above. However, the material weaknesses cannot be considered remediated until remediated controls operate for a sufficient period of time and management has concluded, through testing, that these controls are operating effectively.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43"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For the three months ended December 31, 2024, management was in the process of integrating the internal controls of the acquired business (Exscientia) into Recursion's existing operations as part of planned integration activities. There were no other changes in our internal control over financial reporting (as defined in Rules 13a-15(f) and 15d-15(f) under the Exchange Act) that occurred during the three months ended December 31, 2024 that materially affected, or are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In February 2025, Recursion terminated the Jefferies Sales Agreement and entered into, effective February 28, 2025, a Sales Agreement (the “Citi</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Sales Agreement”) with Citigroup Capital Markets Inc. (the “Citi Sales Agent”), pursuant to which the Company may, from time to time, sell up to 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aggregate amount of $500.0 million of our Class A common stock through the Citi Sales Agent in an “at-the-market” offering (the “Citi ATM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Offering”). The Company is not required to sell shares under the Citi Sales Agreement. Recursion will pay the Citi Sales Agent a commission of up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to 3% of the aggregate gross proceeds Recursion receive from all sales of our Class A common stock under the Citi Sales Agreement. We have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agreed to reimburse Citigroup for the fees and disbursements of its counsel, payable upon execution of the sales agreement, in an amount not 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exceed $75,000, in addition to certain ongoing disbursements of its legal counsel. Citigroup has agreed to credit up to an aggregate amount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$2.3 million for fees and expenses payable by us to Citigroup under the Citi Sales Agreement. The Citi Sales Agreement continues until the earlier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of selling all shares available under the Citi Sales Agreement or terminated by written notice from either of the parties. No sales have been made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under the Citi Sales Agreement.</w:t>
      </w:r>
    </w:p>
    <w:p>
      <w:pPr>
        <w:spacing w:after="0" w:line="2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Citi ATM Offering is being made under a prospectus supplement dated February 28, 2025, and related prospectus to be filed with the Securities and Exchange Commission pursuant to our automatically effective shelf registration statement on Form S-3ASR (Registration No. 333-284878).</w:t>
      </w:r>
    </w:p>
    <w:p>
      <w:pPr>
        <w:spacing w:after="0" w:line="172"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A copy of the Citi Sales Agreement is attached as Exhibit 10.39 to this Annual Report on Form 10-K. The foregoing description of the Citi Sales Agreement does not purport to be complete and is qualified in its entirety by reference to Exhibit 10.39. A copy of the opinion of Wilson Sonsini Goodrich &amp; Rosati, P.C. relating to the validity of the securities issued in the Citi ATM Offering is filed as Exhibit 5.1 to this Annual Report on Form 10-K. See Note 16, “Subsequent Events” to the Condensed Consolidated Financial Statements for additional details.</w:t>
      </w:r>
    </w:p>
    <w:p>
      <w:pPr>
        <w:spacing w:after="0" w:line="194" w:lineRule="exact"/>
        <w:rPr>
          <w:sz w:val="20"/>
          <w:szCs w:val="20"/>
          <w:color w:val="auto"/>
        </w:rPr>
      </w:pPr>
    </w:p>
    <w:p>
      <w:pPr>
        <w:jc w:val="both"/>
        <w:ind w:right="240"/>
        <w:spacing w:after="0" w:line="271" w:lineRule="auto"/>
        <w:rPr>
          <w:sz w:val="20"/>
          <w:szCs w:val="20"/>
          <w:color w:val="auto"/>
        </w:rPr>
      </w:pPr>
      <w:r>
        <w:rPr>
          <w:rFonts w:ascii="Arial" w:cs="Arial" w:eastAsia="Arial" w:hAnsi="Arial"/>
          <w:sz w:val="17"/>
          <w:szCs w:val="17"/>
          <w:color w:val="auto"/>
        </w:rPr>
        <w:t>On December 19, 2024, Christopher Gibson, Chief Executive Officer, President, and a member of our Board of Directors, adopted a Rule 10b5-1 trading arrangement that is intended to satisfy the affirmative defense of Rule 10b5-1(c) for the sale of up to 2,343,000 shares of the Company’s Class A common stock until April 9, 2026.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86995</wp:posOffset>
            </wp:positionV>
            <wp:extent cx="7164070" cy="419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26" w:name="page227"/>
    <w:bookmarkEnd w:id="226"/>
    <w:p>
      <w:pPr>
        <w:ind w:left="5300"/>
        <w:spacing w:after="0"/>
        <w:rPr>
          <w:sz w:val="20"/>
          <w:szCs w:val="20"/>
          <w:color w:val="auto"/>
        </w:rPr>
      </w:pPr>
      <w:r>
        <w:rPr>
          <w:rFonts w:ascii="Arial" w:cs="Arial" w:eastAsia="Arial" w:hAnsi="Arial"/>
          <w:sz w:val="17"/>
          <w:szCs w:val="17"/>
          <w:b w:val="1"/>
          <w:bCs w:val="1"/>
          <w:color w:val="auto"/>
        </w:rPr>
        <w:t>PART III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the information that will be contained in our proxy statement related to the 2025 Annual Meeting of Stockholders, which Recursion intends to file with the Securities and Exchange Commission within 120 days of the end of our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the information that will be contained in our proxy statement related to the 2025 Annual Meeting of Stockholders, which Recursion intends to file with the Securities and Exchange Commission within 120 days of the end of our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the information that will be contained in our proxy statement related to the 2025 Annual Meeting of Stockholders, which Recursion intends to file with the Securities and Exchange Commission within 120 days of the end of our fiscal year pursuant.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the information that will be contained in our proxy statement related to the 2025 Annual Meeting of Stockholders, which Recursion intends to file with the Securities and Exchange Commission within 120 days of the end of our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Our independent public accounting firm is PricewaterhouseCoopers LLP, Washington, PCAOB Auditor ID 000238.</w:t>
      </w: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the information that will be contained in our proxy statement related to the 2025 Annual Meeting of Stockholders, which Recursion intends to file with the Securities and Exchange Commission within 120 days of the end of our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527050</wp:posOffset>
            </wp:positionV>
            <wp:extent cx="7164070" cy="419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94" w:right="39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7"/>
          <w:szCs w:val="17"/>
          <w:b w:val="1"/>
          <w:bCs w:val="1"/>
          <w:color w:val="auto"/>
        </w:rPr>
        <w:t>PART IV</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1E1E1E"/>
        </w:rPr>
        <w:t>Item 15. Exhibits and Financial Statement Schedules.</w:t>
      </w:r>
    </w:p>
    <w:p>
      <w:pPr>
        <w:spacing w:after="0" w:line="227" w:lineRule="exact"/>
        <w:rPr>
          <w:sz w:val="20"/>
          <w:szCs w:val="20"/>
          <w:color w:val="auto"/>
        </w:rPr>
      </w:pPr>
    </w:p>
    <w:p>
      <w:pPr>
        <w:ind w:left="260" w:hanging="257"/>
        <w:spacing w:after="0"/>
        <w:tabs>
          <w:tab w:leader="none" w:pos="2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Documents filed as part of this Form 10-K.</w:t>
      </w:r>
    </w:p>
    <w:p>
      <w:pPr>
        <w:spacing w:after="0" w:line="242" w:lineRule="exact"/>
        <w:rPr>
          <w:rFonts w:ascii="Arial" w:cs="Arial" w:eastAsia="Arial" w:hAnsi="Arial"/>
          <w:sz w:val="17"/>
          <w:szCs w:val="17"/>
          <w:color w:val="auto"/>
        </w:rPr>
      </w:pPr>
    </w:p>
    <w:p>
      <w:pPr>
        <w:ind w:left="580" w:hanging="267"/>
        <w:spacing w:after="0"/>
        <w:tabs>
          <w:tab w:leader="none" w:pos="58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Financial Statements: See Item 8, “Financial Statements and Supplementary Data” for a list of financial statements.</w:t>
      </w:r>
    </w:p>
    <w:p>
      <w:pPr>
        <w:spacing w:after="0" w:line="242" w:lineRule="exact"/>
        <w:rPr>
          <w:rFonts w:ascii="Arial" w:cs="Arial" w:eastAsia="Arial" w:hAnsi="Arial"/>
          <w:sz w:val="17"/>
          <w:szCs w:val="17"/>
          <w:color w:val="auto"/>
        </w:rPr>
      </w:pPr>
    </w:p>
    <w:p>
      <w:pPr>
        <w:ind w:left="320" w:right="400" w:hanging="7"/>
        <w:spacing w:after="0" w:line="290" w:lineRule="auto"/>
        <w:tabs>
          <w:tab w:leader="none" w:pos="57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Financial Statement Schedules: All schedules omitted are inapplicable or the information required is shown in the consolidated financial statements or notes thereto.</w:t>
      </w:r>
    </w:p>
    <w:p>
      <w:pPr>
        <w:spacing w:after="0" w:line="172" w:lineRule="exact"/>
        <w:rPr>
          <w:rFonts w:ascii="Arial" w:cs="Arial" w:eastAsia="Arial" w:hAnsi="Arial"/>
          <w:sz w:val="17"/>
          <w:szCs w:val="17"/>
          <w:color w:val="auto"/>
        </w:rPr>
      </w:pPr>
    </w:p>
    <w:p>
      <w:pPr>
        <w:ind w:left="580" w:hanging="267"/>
        <w:spacing w:after="0"/>
        <w:tabs>
          <w:tab w:leader="none" w:pos="58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Exhibits Required by Item 601 of Regulation S-K: The information called for by this paragraph is set forth in Item 15(b) below.</w:t>
      </w:r>
    </w:p>
    <w:p>
      <w:pPr>
        <w:spacing w:after="0" w:line="242" w:lineRule="exact"/>
        <w:rPr>
          <w:rFonts w:ascii="Arial" w:cs="Arial" w:eastAsia="Arial" w:hAnsi="Arial"/>
          <w:sz w:val="17"/>
          <w:szCs w:val="17"/>
          <w:color w:val="auto"/>
        </w:rPr>
      </w:pPr>
    </w:p>
    <w:p>
      <w:pPr>
        <w:ind w:left="260" w:hanging="257"/>
        <w:spacing w:after="0"/>
        <w:tabs>
          <w:tab w:leader="none" w:pos="260" w:val="left"/>
        </w:tabs>
        <w:numPr>
          <w:ilvl w:val="0"/>
          <w:numId w:val="139"/>
        </w:numPr>
        <w:rPr>
          <w:rFonts w:ascii="Arial" w:cs="Arial" w:eastAsia="Arial" w:hAnsi="Arial"/>
          <w:sz w:val="17"/>
          <w:szCs w:val="17"/>
          <w:color w:val="1E1E1E"/>
        </w:rPr>
      </w:pPr>
      <w:r>
        <w:rPr>
          <w:rFonts w:ascii="Arial" w:cs="Arial" w:eastAsia="Arial" w:hAnsi="Arial"/>
          <w:sz w:val="17"/>
          <w:szCs w:val="17"/>
          <w:color w:val="1E1E1E"/>
        </w:rPr>
        <w:t>Exhibit Index:</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Incorporated by Reference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4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Filed /</w:t>
            </w:r>
          </w:p>
        </w:tc>
        <w:tc>
          <w:tcPr>
            <w:tcW w:w="0" w:type="dxa"/>
            <w:vAlign w:val="bottom"/>
          </w:tcPr>
          <w:p>
            <w:pPr>
              <w:spacing w:after="0"/>
              <w:rPr>
                <w:sz w:val="1"/>
                <w:szCs w:val="1"/>
                <w:color w:val="auto"/>
              </w:rPr>
            </w:pPr>
          </w:p>
        </w:tc>
      </w:tr>
      <w:tr>
        <w:trPr>
          <w:trHeight w:val="138"/>
        </w:trPr>
        <w:tc>
          <w:tcPr>
            <w:tcW w:w="10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20" w:type="dxa"/>
            <w:vAlign w:val="bottom"/>
            <w:gridSpan w:val="23"/>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continue"/>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Furnished</w:t>
            </w: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23"/>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w:t>
            </w:r>
          </w:p>
        </w:tc>
        <w:tc>
          <w:tcPr>
            <w:tcW w:w="16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0"/>
        </w:trPr>
        <w:tc>
          <w:tcPr>
            <w:tcW w:w="1020" w:type="dxa"/>
            <w:vAlign w:val="bottom"/>
          </w:tcPr>
          <w:p>
            <w:pPr>
              <w:jc w:val="center"/>
              <w:spacing w:after="0" w:line="161" w:lineRule="exact"/>
              <w:rPr>
                <w:sz w:val="20"/>
                <w:szCs w:val="20"/>
                <w:color w:val="auto"/>
              </w:rPr>
            </w:pPr>
            <w:r>
              <w:rPr>
                <w:rFonts w:ascii="Arial" w:cs="Arial" w:eastAsia="Arial" w:hAnsi="Arial"/>
                <w:sz w:val="15"/>
                <w:szCs w:val="15"/>
                <w:color w:val="auto"/>
              </w:rPr>
              <w:t>2.1</w:t>
            </w:r>
          </w:p>
        </w:tc>
        <w:tc>
          <w:tcPr>
            <w:tcW w:w="4800" w:type="dxa"/>
            <w:vAlign w:val="bottom"/>
            <w:gridSpan w:val="31"/>
          </w:tcPr>
          <w:p>
            <w:pPr>
              <w:spacing w:after="0" w:line="161" w:lineRule="exact"/>
              <w:rPr>
                <w:rFonts w:ascii="Arial" w:cs="Arial" w:eastAsia="Arial" w:hAnsi="Arial"/>
                <w:sz w:val="15"/>
                <w:szCs w:val="15"/>
                <w:color w:val="0000FF"/>
              </w:rPr>
            </w:pPr>
            <w:hyperlink r:id="rId351">
              <w:r>
                <w:rPr>
                  <w:rFonts w:ascii="Arial" w:cs="Arial" w:eastAsia="Arial" w:hAnsi="Arial"/>
                  <w:sz w:val="15"/>
                  <w:szCs w:val="15"/>
                  <w:color w:val="0000FF"/>
                </w:rPr>
                <w:t>Transaction Agreement by and between Recursion Pharmaceuticals,</w:t>
              </w:r>
            </w:hyperlink>
          </w:p>
        </w:tc>
        <w:tc>
          <w:tcPr>
            <w:tcW w:w="880" w:type="dxa"/>
            <w:vAlign w:val="bottom"/>
          </w:tcPr>
          <w:p>
            <w:pPr>
              <w:jc w:val="center"/>
              <w:spacing w:after="0" w:line="161" w:lineRule="exact"/>
              <w:rPr>
                <w:sz w:val="20"/>
                <w:szCs w:val="20"/>
                <w:color w:val="auto"/>
              </w:rPr>
            </w:pPr>
            <w:r>
              <w:rPr>
                <w:rFonts w:ascii="Arial" w:cs="Arial" w:eastAsia="Arial" w:hAnsi="Arial"/>
                <w:sz w:val="15"/>
                <w:szCs w:val="15"/>
                <w:color w:val="auto"/>
              </w:rPr>
              <w:t>8-K</w:t>
            </w:r>
          </w:p>
        </w:tc>
        <w:tc>
          <w:tcPr>
            <w:tcW w:w="1160" w:type="dxa"/>
            <w:vAlign w:val="bottom"/>
          </w:tcPr>
          <w:p>
            <w:pPr>
              <w:jc w:val="center"/>
              <w:spacing w:after="0" w:line="161" w:lineRule="exact"/>
              <w:rPr>
                <w:sz w:val="20"/>
                <w:szCs w:val="20"/>
                <w:color w:val="auto"/>
              </w:rPr>
            </w:pPr>
            <w:r>
              <w:rPr>
                <w:rFonts w:ascii="Arial" w:cs="Arial" w:eastAsia="Arial" w:hAnsi="Arial"/>
                <w:sz w:val="15"/>
                <w:szCs w:val="15"/>
                <w:color w:val="auto"/>
              </w:rPr>
              <w:t>001-40323</w:t>
            </w:r>
          </w:p>
        </w:tc>
        <w:tc>
          <w:tcPr>
            <w:tcW w:w="740" w:type="dxa"/>
            <w:vAlign w:val="bottom"/>
          </w:tcPr>
          <w:p>
            <w:pPr>
              <w:jc w:val="center"/>
              <w:spacing w:after="0" w:line="161" w:lineRule="exact"/>
              <w:rPr>
                <w:sz w:val="20"/>
                <w:szCs w:val="20"/>
                <w:color w:val="auto"/>
              </w:rPr>
            </w:pPr>
            <w:r>
              <w:rPr>
                <w:rFonts w:ascii="Arial" w:cs="Arial" w:eastAsia="Arial" w:hAnsi="Arial"/>
                <w:sz w:val="15"/>
                <w:szCs w:val="15"/>
                <w:color w:val="auto"/>
                <w:w w:val="95"/>
              </w:rPr>
              <w:t>2.1</w:t>
            </w:r>
          </w:p>
        </w:tc>
        <w:tc>
          <w:tcPr>
            <w:tcW w:w="1640" w:type="dxa"/>
            <w:vAlign w:val="bottom"/>
          </w:tcPr>
          <w:p>
            <w:pPr>
              <w:jc w:val="center"/>
              <w:spacing w:after="0" w:line="161" w:lineRule="exact"/>
              <w:rPr>
                <w:sz w:val="20"/>
                <w:szCs w:val="20"/>
                <w:color w:val="auto"/>
              </w:rPr>
            </w:pPr>
            <w:r>
              <w:rPr>
                <w:rFonts w:ascii="Arial" w:cs="Arial" w:eastAsia="Arial" w:hAnsi="Arial"/>
                <w:sz w:val="15"/>
                <w:szCs w:val="15"/>
                <w:color w:val="auto"/>
              </w:rPr>
              <w:t>August 8, 2024</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720" w:type="dxa"/>
            <w:vAlign w:val="bottom"/>
            <w:tcBorders>
              <w:top w:val="single" w:sz="8" w:color="0000FF"/>
            </w:tcBorders>
            <w:gridSpan w:val="28"/>
          </w:tcPr>
          <w:p>
            <w:pPr>
              <w:spacing w:after="0" w:line="135" w:lineRule="exact"/>
              <w:rPr>
                <w:rFonts w:ascii="Arial" w:cs="Arial" w:eastAsia="Arial" w:hAnsi="Arial"/>
                <w:sz w:val="15"/>
                <w:szCs w:val="15"/>
                <w:color w:val="0000FF"/>
              </w:rPr>
            </w:pPr>
            <w:hyperlink r:id="rId351">
              <w:r>
                <w:rPr>
                  <w:rFonts w:ascii="Arial" w:cs="Arial" w:eastAsia="Arial" w:hAnsi="Arial"/>
                  <w:sz w:val="15"/>
                  <w:szCs w:val="15"/>
                  <w:color w:val="0000FF"/>
                </w:rPr>
                <w:t>Inc. and Exscientia plc dated as of August 8, 2024.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2.2</w:t>
            </w:r>
          </w:p>
        </w:tc>
        <w:tc>
          <w:tcPr>
            <w:tcW w:w="4800" w:type="dxa"/>
            <w:vAlign w:val="bottom"/>
            <w:gridSpan w:val="31"/>
          </w:tcPr>
          <w:p>
            <w:pPr>
              <w:spacing w:after="0"/>
              <w:rPr>
                <w:rFonts w:ascii="Arial" w:cs="Arial" w:eastAsia="Arial" w:hAnsi="Arial"/>
                <w:sz w:val="15"/>
                <w:szCs w:val="15"/>
                <w:color w:val="0000FF"/>
              </w:rPr>
            </w:pPr>
            <w:hyperlink r:id="rId352">
              <w:r>
                <w:rPr>
                  <w:rFonts w:ascii="Arial" w:cs="Arial" w:eastAsia="Arial" w:hAnsi="Arial"/>
                  <w:sz w:val="15"/>
                  <w:szCs w:val="15"/>
                  <w:color w:val="0000FF"/>
                </w:rPr>
                <w:t>First Amendment to Transaction Agreement by and between</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8-K</w:t>
            </w:r>
          </w:p>
        </w:tc>
        <w:tc>
          <w:tcPr>
            <w:tcW w:w="116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40" w:type="dxa"/>
            <w:vAlign w:val="bottom"/>
          </w:tcPr>
          <w:p>
            <w:pPr>
              <w:jc w:val="center"/>
              <w:spacing w:after="0"/>
              <w:rPr>
                <w:sz w:val="20"/>
                <w:szCs w:val="20"/>
                <w:color w:val="auto"/>
              </w:rPr>
            </w:pPr>
            <w:r>
              <w:rPr>
                <w:rFonts w:ascii="Arial" w:cs="Arial" w:eastAsia="Arial" w:hAnsi="Arial"/>
                <w:sz w:val="15"/>
                <w:szCs w:val="15"/>
                <w:color w:val="auto"/>
                <w:w w:val="95"/>
              </w:rPr>
              <w:t>2.1</w:t>
            </w:r>
          </w:p>
        </w:tc>
        <w:tc>
          <w:tcPr>
            <w:tcW w:w="1640" w:type="dxa"/>
            <w:vAlign w:val="bottom"/>
          </w:tcPr>
          <w:p>
            <w:pPr>
              <w:jc w:val="center"/>
              <w:spacing w:after="0"/>
              <w:rPr>
                <w:sz w:val="20"/>
                <w:szCs w:val="20"/>
                <w:color w:val="auto"/>
              </w:rPr>
            </w:pPr>
            <w:r>
              <w:rPr>
                <w:rFonts w:ascii="Arial" w:cs="Arial" w:eastAsia="Arial" w:hAnsi="Arial"/>
                <w:sz w:val="15"/>
                <w:szCs w:val="15"/>
                <w:color w:val="auto"/>
              </w:rPr>
              <w:t>November 6, 2024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140" w:type="dxa"/>
            <w:vAlign w:val="bottom"/>
            <w:tcBorders>
              <w:top w:val="single" w:sz="8" w:color="0000FF"/>
            </w:tcBorders>
            <w:gridSpan w:val="14"/>
          </w:tcPr>
          <w:p>
            <w:pPr>
              <w:spacing w:after="0" w:line="135" w:lineRule="exact"/>
              <w:rPr>
                <w:rFonts w:ascii="Arial" w:cs="Arial" w:eastAsia="Arial" w:hAnsi="Arial"/>
                <w:sz w:val="15"/>
                <w:szCs w:val="15"/>
                <w:color w:val="0000FF"/>
              </w:rPr>
            </w:pPr>
            <w:hyperlink r:id="rId352">
              <w:r>
                <w:rPr>
                  <w:rFonts w:ascii="Arial" w:cs="Arial" w:eastAsia="Arial" w:hAnsi="Arial"/>
                  <w:sz w:val="15"/>
                  <w:szCs w:val="15"/>
                  <w:color w:val="0000FF"/>
                </w:rPr>
                <w:t>Recursion Pharmaceuticals, Inc. and Exscientia plc dated as</w:t>
              </w:r>
            </w:hyperlink>
          </w:p>
        </w:tc>
        <w:tc>
          <w:tcPr>
            <w:tcW w:w="660" w:type="dxa"/>
            <w:vAlign w:val="bottom"/>
            <w:gridSpan w:val="17"/>
          </w:tcPr>
          <w:p>
            <w:pPr>
              <w:ind w:left="60"/>
              <w:spacing w:after="0" w:line="135" w:lineRule="exact"/>
              <w:rPr>
                <w:rFonts w:ascii="Arial" w:cs="Arial" w:eastAsia="Arial" w:hAnsi="Arial"/>
                <w:sz w:val="15"/>
                <w:szCs w:val="15"/>
                <w:color w:val="0000FF"/>
              </w:rPr>
            </w:pPr>
            <w:hyperlink r:id="rId352">
              <w:r>
                <w:rPr>
                  <w:rFonts w:ascii="Arial" w:cs="Arial" w:eastAsia="Arial" w:hAnsi="Arial"/>
                  <w:sz w:val="15"/>
                  <w:szCs w:val="15"/>
                  <w:color w:val="0000FF"/>
                </w:rPr>
                <w:t>of</w:t>
              </w:r>
            </w:hyperlink>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320" w:type="dxa"/>
            <w:vAlign w:val="bottom"/>
            <w:tcBorders>
              <w:top w:val="single" w:sz="8" w:color="0000FF"/>
            </w:tcBorders>
            <w:gridSpan w:val="16"/>
          </w:tcPr>
          <w:p>
            <w:pPr>
              <w:spacing w:after="0" w:line="135" w:lineRule="exact"/>
              <w:rPr>
                <w:rFonts w:ascii="Arial" w:cs="Arial" w:eastAsia="Arial" w:hAnsi="Arial"/>
                <w:sz w:val="15"/>
                <w:szCs w:val="15"/>
                <w:color w:val="0000FF"/>
              </w:rPr>
            </w:pPr>
            <w:hyperlink r:id="rId352">
              <w:r>
                <w:rPr>
                  <w:rFonts w:ascii="Arial" w:cs="Arial" w:eastAsia="Arial" w:hAnsi="Arial"/>
                  <w:sz w:val="15"/>
                  <w:szCs w:val="15"/>
                  <w:color w:val="0000FF"/>
                </w:rPr>
                <w:t>November 5, 2024.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3.1</w:t>
            </w:r>
          </w:p>
        </w:tc>
        <w:tc>
          <w:tcPr>
            <w:tcW w:w="4800" w:type="dxa"/>
            <w:vAlign w:val="bottom"/>
            <w:gridSpan w:val="31"/>
          </w:tcPr>
          <w:p>
            <w:pPr>
              <w:spacing w:after="0"/>
              <w:rPr>
                <w:rFonts w:ascii="Arial" w:cs="Arial" w:eastAsia="Arial" w:hAnsi="Arial"/>
                <w:sz w:val="15"/>
                <w:szCs w:val="15"/>
                <w:color w:val="0000FF"/>
              </w:rPr>
            </w:pPr>
            <w:hyperlink r:id="rId353">
              <w:r>
                <w:rPr>
                  <w:rFonts w:ascii="Arial" w:cs="Arial" w:eastAsia="Arial" w:hAnsi="Arial"/>
                  <w:sz w:val="15"/>
                  <w:szCs w:val="15"/>
                  <w:color w:val="0000FF"/>
                </w:rPr>
                <w:t>Amended and Restated Certificate of Incorporation of Recursion</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8-K</w:t>
            </w:r>
          </w:p>
        </w:tc>
        <w:tc>
          <w:tcPr>
            <w:tcW w:w="116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40" w:type="dxa"/>
            <w:vAlign w:val="bottom"/>
          </w:tcPr>
          <w:p>
            <w:pPr>
              <w:jc w:val="center"/>
              <w:spacing w:after="0"/>
              <w:rPr>
                <w:sz w:val="20"/>
                <w:szCs w:val="20"/>
                <w:color w:val="auto"/>
              </w:rPr>
            </w:pPr>
            <w:r>
              <w:rPr>
                <w:rFonts w:ascii="Arial" w:cs="Arial" w:eastAsia="Arial" w:hAnsi="Arial"/>
                <w:sz w:val="15"/>
                <w:szCs w:val="15"/>
                <w:color w:val="auto"/>
                <w:w w:val="95"/>
              </w:rPr>
              <w:t>3.1</w:t>
            </w:r>
          </w:p>
        </w:tc>
        <w:tc>
          <w:tcPr>
            <w:tcW w:w="1640" w:type="dxa"/>
            <w:vAlign w:val="bottom"/>
          </w:tcPr>
          <w:p>
            <w:pPr>
              <w:jc w:val="center"/>
              <w:spacing w:after="0"/>
              <w:rPr>
                <w:sz w:val="20"/>
                <w:szCs w:val="20"/>
                <w:color w:val="auto"/>
              </w:rPr>
            </w:pPr>
            <w:r>
              <w:rPr>
                <w:rFonts w:ascii="Arial" w:cs="Arial" w:eastAsia="Arial" w:hAnsi="Arial"/>
                <w:sz w:val="15"/>
                <w:szCs w:val="15"/>
                <w:color w:val="auto"/>
              </w:rPr>
              <w:t>April 21, 2021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440" w:type="dxa"/>
            <w:vAlign w:val="bottom"/>
            <w:tcBorders>
              <w:top w:val="single" w:sz="8" w:color="0000FF"/>
            </w:tcBorders>
            <w:gridSpan w:val="22"/>
          </w:tcPr>
          <w:p>
            <w:pPr>
              <w:spacing w:after="0" w:line="135" w:lineRule="exact"/>
              <w:rPr>
                <w:rFonts w:ascii="Arial" w:cs="Arial" w:eastAsia="Arial" w:hAnsi="Arial"/>
                <w:sz w:val="15"/>
                <w:szCs w:val="15"/>
                <w:color w:val="0000FF"/>
              </w:rPr>
            </w:pPr>
            <w:hyperlink r:id="rId353">
              <w:r>
                <w:rPr>
                  <w:rFonts w:ascii="Arial" w:cs="Arial" w:eastAsia="Arial" w:hAnsi="Arial"/>
                  <w:sz w:val="15"/>
                  <w:szCs w:val="15"/>
                  <w:color w:val="0000FF"/>
                </w:rPr>
                <w:t>Pharmaceuticals, Inc.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3.2</w:t>
            </w:r>
          </w:p>
        </w:tc>
        <w:tc>
          <w:tcPr>
            <w:tcW w:w="4600" w:type="dxa"/>
            <w:vAlign w:val="bottom"/>
            <w:tcBorders>
              <w:bottom w:val="single" w:sz="8" w:color="0000FF"/>
            </w:tcBorders>
            <w:gridSpan w:val="26"/>
          </w:tcPr>
          <w:p>
            <w:pPr>
              <w:spacing w:after="0"/>
              <w:rPr>
                <w:rFonts w:ascii="Arial" w:cs="Arial" w:eastAsia="Arial" w:hAnsi="Arial"/>
                <w:sz w:val="15"/>
                <w:szCs w:val="15"/>
                <w:color w:val="0000FF"/>
              </w:rPr>
            </w:pPr>
            <w:hyperlink r:id="rId354">
              <w:r>
                <w:rPr>
                  <w:rFonts w:ascii="Arial" w:cs="Arial" w:eastAsia="Arial" w:hAnsi="Arial"/>
                  <w:sz w:val="15"/>
                  <w:szCs w:val="15"/>
                  <w:color w:val="0000FF"/>
                </w:rPr>
                <w:t>Amended and Restated Bylaws of Recursion Pharmaceuticals, Inc.</w:t>
              </w:r>
            </w:hyperlink>
          </w:p>
        </w:tc>
        <w:tc>
          <w:tcPr>
            <w:tcW w:w="200" w:type="dxa"/>
            <w:vAlign w:val="bottom"/>
            <w:gridSpan w:val="5"/>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rPr>
              <w:t>8-K</w:t>
            </w:r>
          </w:p>
        </w:tc>
        <w:tc>
          <w:tcPr>
            <w:tcW w:w="116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40" w:type="dxa"/>
            <w:vAlign w:val="bottom"/>
          </w:tcPr>
          <w:p>
            <w:pPr>
              <w:jc w:val="center"/>
              <w:spacing w:after="0"/>
              <w:rPr>
                <w:sz w:val="20"/>
                <w:szCs w:val="20"/>
                <w:color w:val="auto"/>
              </w:rPr>
            </w:pPr>
            <w:r>
              <w:rPr>
                <w:rFonts w:ascii="Arial" w:cs="Arial" w:eastAsia="Arial" w:hAnsi="Arial"/>
                <w:sz w:val="15"/>
                <w:szCs w:val="15"/>
                <w:color w:val="auto"/>
                <w:w w:val="95"/>
              </w:rPr>
              <w:t>3.1</w:t>
            </w:r>
          </w:p>
        </w:tc>
        <w:tc>
          <w:tcPr>
            <w:tcW w:w="1640" w:type="dxa"/>
            <w:vAlign w:val="bottom"/>
          </w:tcPr>
          <w:p>
            <w:pPr>
              <w:jc w:val="center"/>
              <w:spacing w:after="0"/>
              <w:rPr>
                <w:sz w:val="20"/>
                <w:szCs w:val="20"/>
                <w:color w:val="auto"/>
              </w:rPr>
            </w:pPr>
            <w:r>
              <w:rPr>
                <w:rFonts w:ascii="Arial" w:cs="Arial" w:eastAsia="Arial" w:hAnsi="Arial"/>
                <w:sz w:val="15"/>
                <w:szCs w:val="15"/>
                <w:color w:val="auto"/>
              </w:rPr>
              <w:t>January 31, 2024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4.1</w:t>
            </w:r>
          </w:p>
        </w:tc>
        <w:tc>
          <w:tcPr>
            <w:tcW w:w="4240" w:type="dxa"/>
            <w:vAlign w:val="bottom"/>
            <w:tcBorders>
              <w:bottom w:val="single" w:sz="8" w:color="0000FF"/>
            </w:tcBorders>
            <w:gridSpan w:val="15"/>
          </w:tcPr>
          <w:p>
            <w:pPr>
              <w:spacing w:after="0"/>
              <w:rPr>
                <w:rFonts w:ascii="Arial" w:cs="Arial" w:eastAsia="Arial" w:hAnsi="Arial"/>
                <w:sz w:val="15"/>
                <w:szCs w:val="15"/>
                <w:color w:val="0000FF"/>
              </w:rPr>
            </w:pPr>
            <w:hyperlink r:id="rId355">
              <w:r>
                <w:rPr>
                  <w:rFonts w:ascii="Arial" w:cs="Arial" w:eastAsia="Arial" w:hAnsi="Arial"/>
                  <w:sz w:val="15"/>
                  <w:szCs w:val="15"/>
                  <w:color w:val="0000FF"/>
                </w:rPr>
                <w:t>Specimen Class A common stock certificate of the Registrant.</w:t>
              </w:r>
            </w:hyperlink>
          </w:p>
        </w:tc>
        <w:tc>
          <w:tcPr>
            <w:tcW w:w="560" w:type="dxa"/>
            <w:vAlign w:val="bottom"/>
            <w:gridSpan w:val="16"/>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rPr>
              <w:t>S-1/A</w:t>
            </w:r>
          </w:p>
        </w:tc>
        <w:tc>
          <w:tcPr>
            <w:tcW w:w="116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40" w:type="dxa"/>
            <w:vAlign w:val="bottom"/>
          </w:tcPr>
          <w:p>
            <w:pPr>
              <w:jc w:val="center"/>
              <w:spacing w:after="0"/>
              <w:rPr>
                <w:sz w:val="20"/>
                <w:szCs w:val="20"/>
                <w:color w:val="auto"/>
              </w:rPr>
            </w:pPr>
            <w:r>
              <w:rPr>
                <w:rFonts w:ascii="Arial" w:cs="Arial" w:eastAsia="Arial" w:hAnsi="Arial"/>
                <w:sz w:val="15"/>
                <w:szCs w:val="15"/>
                <w:color w:val="auto"/>
                <w:w w:val="95"/>
              </w:rPr>
              <w:t>4.2</w:t>
            </w:r>
          </w:p>
        </w:tc>
        <w:tc>
          <w:tcPr>
            <w:tcW w:w="1640" w:type="dxa"/>
            <w:vAlign w:val="bottom"/>
          </w:tcPr>
          <w:p>
            <w:pPr>
              <w:jc w:val="center"/>
              <w:spacing w:after="0"/>
              <w:rPr>
                <w:sz w:val="20"/>
                <w:szCs w:val="20"/>
                <w:color w:val="auto"/>
              </w:rPr>
            </w:pPr>
            <w:r>
              <w:rPr>
                <w:rFonts w:ascii="Arial" w:cs="Arial" w:eastAsia="Arial" w:hAnsi="Arial"/>
                <w:sz w:val="15"/>
                <w:szCs w:val="15"/>
                <w:color w:val="auto"/>
              </w:rPr>
              <w:t>April 15, 2021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4.2</w:t>
            </w:r>
          </w:p>
        </w:tc>
        <w:tc>
          <w:tcPr>
            <w:tcW w:w="1720" w:type="dxa"/>
            <w:vAlign w:val="bottom"/>
            <w:tcBorders>
              <w:bottom w:val="single" w:sz="8" w:color="0000FF"/>
            </w:tcBorders>
            <w:gridSpan w:val="7"/>
          </w:tcPr>
          <w:p>
            <w:pPr>
              <w:spacing w:after="0"/>
              <w:rPr>
                <w:sz w:val="20"/>
                <w:szCs w:val="20"/>
                <w:color w:val="auto"/>
              </w:rPr>
            </w:pPr>
            <w:r>
              <w:rPr>
                <w:rFonts w:ascii="Arial" w:cs="Arial" w:eastAsia="Arial" w:hAnsi="Arial"/>
                <w:sz w:val="15"/>
                <w:szCs w:val="15"/>
                <w:color w:val="0000FF"/>
              </w:rPr>
              <w:t>Description of Securities.</w:t>
            </w:r>
          </w:p>
        </w:tc>
        <w:tc>
          <w:tcPr>
            <w:tcW w:w="3080" w:type="dxa"/>
            <w:vAlign w:val="bottom"/>
            <w:gridSpan w:val="24"/>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4.3</w:t>
            </w:r>
          </w:p>
        </w:tc>
        <w:tc>
          <w:tcPr>
            <w:tcW w:w="4240" w:type="dxa"/>
            <w:vAlign w:val="bottom"/>
            <w:tcBorders>
              <w:bottom w:val="single" w:sz="8" w:color="0000FF"/>
            </w:tcBorders>
            <w:gridSpan w:val="15"/>
          </w:tcPr>
          <w:p>
            <w:pPr>
              <w:spacing w:after="0"/>
              <w:rPr>
                <w:rFonts w:ascii="Arial" w:cs="Arial" w:eastAsia="Arial" w:hAnsi="Arial"/>
                <w:sz w:val="15"/>
                <w:szCs w:val="15"/>
                <w:color w:val="0000FF"/>
              </w:rPr>
            </w:pPr>
            <w:hyperlink r:id="rId356">
              <w:r>
                <w:rPr>
                  <w:rFonts w:ascii="Arial" w:cs="Arial" w:eastAsia="Arial" w:hAnsi="Arial"/>
                  <w:sz w:val="15"/>
                  <w:szCs w:val="15"/>
                  <w:color w:val="0000FF"/>
                </w:rPr>
                <w:t>Exchangeable Share Support Agreement, dated May 8, 2023.</w:t>
              </w:r>
            </w:hyperlink>
          </w:p>
        </w:tc>
        <w:tc>
          <w:tcPr>
            <w:tcW w:w="560" w:type="dxa"/>
            <w:vAlign w:val="bottom"/>
            <w:gridSpan w:val="16"/>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rPr>
              <w:t>S-3ASR</w:t>
            </w:r>
          </w:p>
        </w:tc>
        <w:tc>
          <w:tcPr>
            <w:tcW w:w="1160" w:type="dxa"/>
            <w:vAlign w:val="bottom"/>
          </w:tcPr>
          <w:p>
            <w:pPr>
              <w:jc w:val="center"/>
              <w:spacing w:after="0"/>
              <w:rPr>
                <w:sz w:val="20"/>
                <w:szCs w:val="20"/>
                <w:color w:val="auto"/>
              </w:rPr>
            </w:pPr>
            <w:r>
              <w:rPr>
                <w:rFonts w:ascii="Arial" w:cs="Arial" w:eastAsia="Arial" w:hAnsi="Arial"/>
                <w:sz w:val="15"/>
                <w:szCs w:val="15"/>
                <w:color w:val="auto"/>
              </w:rPr>
              <w:t>333-272281</w:t>
            </w:r>
          </w:p>
        </w:tc>
        <w:tc>
          <w:tcPr>
            <w:tcW w:w="740" w:type="dxa"/>
            <w:vAlign w:val="bottom"/>
          </w:tcPr>
          <w:p>
            <w:pPr>
              <w:jc w:val="center"/>
              <w:spacing w:after="0"/>
              <w:rPr>
                <w:sz w:val="20"/>
                <w:szCs w:val="20"/>
                <w:color w:val="auto"/>
              </w:rPr>
            </w:pPr>
            <w:r>
              <w:rPr>
                <w:rFonts w:ascii="Arial" w:cs="Arial" w:eastAsia="Arial" w:hAnsi="Arial"/>
                <w:sz w:val="15"/>
                <w:szCs w:val="15"/>
                <w:color w:val="auto"/>
                <w:w w:val="95"/>
              </w:rPr>
              <w:t>4.2</w:t>
            </w:r>
          </w:p>
        </w:tc>
        <w:tc>
          <w:tcPr>
            <w:tcW w:w="1640" w:type="dxa"/>
            <w:vAlign w:val="bottom"/>
          </w:tcPr>
          <w:p>
            <w:pPr>
              <w:jc w:val="center"/>
              <w:spacing w:after="0"/>
              <w:rPr>
                <w:sz w:val="20"/>
                <w:szCs w:val="20"/>
                <w:color w:val="auto"/>
              </w:rPr>
            </w:pPr>
            <w:r>
              <w:rPr>
                <w:rFonts w:ascii="Arial" w:cs="Arial" w:eastAsia="Arial" w:hAnsi="Arial"/>
                <w:sz w:val="15"/>
                <w:szCs w:val="15"/>
                <w:color w:val="auto"/>
              </w:rPr>
              <w:t>May 30, 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4.4</w:t>
            </w:r>
          </w:p>
        </w:tc>
        <w:tc>
          <w:tcPr>
            <w:tcW w:w="4800" w:type="dxa"/>
            <w:vAlign w:val="bottom"/>
            <w:gridSpan w:val="31"/>
          </w:tcPr>
          <w:p>
            <w:pPr>
              <w:spacing w:after="0"/>
              <w:rPr>
                <w:rFonts w:ascii="Arial" w:cs="Arial" w:eastAsia="Arial" w:hAnsi="Arial"/>
                <w:sz w:val="15"/>
                <w:szCs w:val="15"/>
                <w:color w:val="0000FF"/>
              </w:rPr>
            </w:pPr>
            <w:hyperlink r:id="rId357">
              <w:r>
                <w:rPr>
                  <w:rFonts w:ascii="Arial" w:cs="Arial" w:eastAsia="Arial" w:hAnsi="Arial"/>
                  <w:sz w:val="15"/>
                  <w:szCs w:val="15"/>
                  <w:color w:val="0000FF"/>
                </w:rPr>
                <w:t>Registration Rights Agreement, dated October 24, 2022, by and</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8-K</w:t>
            </w:r>
          </w:p>
        </w:tc>
        <w:tc>
          <w:tcPr>
            <w:tcW w:w="116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40" w:type="dxa"/>
            <w:vAlign w:val="bottom"/>
          </w:tcPr>
          <w:p>
            <w:pPr>
              <w:jc w:val="center"/>
              <w:ind w:left="4"/>
              <w:spacing w:after="0"/>
              <w:rPr>
                <w:sz w:val="20"/>
                <w:szCs w:val="20"/>
                <w:color w:val="auto"/>
              </w:rPr>
            </w:pPr>
            <w:r>
              <w:rPr>
                <w:rFonts w:ascii="Arial" w:cs="Arial" w:eastAsia="Arial" w:hAnsi="Arial"/>
                <w:sz w:val="15"/>
                <w:szCs w:val="15"/>
                <w:color w:val="auto"/>
              </w:rPr>
              <w:t>10.2</w:t>
            </w:r>
          </w:p>
        </w:tc>
        <w:tc>
          <w:tcPr>
            <w:tcW w:w="1640" w:type="dxa"/>
            <w:vAlign w:val="bottom"/>
          </w:tcPr>
          <w:p>
            <w:pPr>
              <w:jc w:val="center"/>
              <w:spacing w:after="0"/>
              <w:rPr>
                <w:sz w:val="20"/>
                <w:szCs w:val="20"/>
                <w:color w:val="auto"/>
              </w:rPr>
            </w:pPr>
            <w:r>
              <w:rPr>
                <w:rFonts w:ascii="Arial" w:cs="Arial" w:eastAsia="Arial" w:hAnsi="Arial"/>
                <w:sz w:val="15"/>
                <w:szCs w:val="15"/>
                <w:color w:val="auto"/>
              </w:rPr>
              <w:t>Oct. 25, 2022</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420" w:type="dxa"/>
            <w:vAlign w:val="bottom"/>
            <w:tcBorders>
              <w:top w:val="single" w:sz="8" w:color="0000FF"/>
            </w:tcBorders>
            <w:gridSpan w:val="21"/>
          </w:tcPr>
          <w:p>
            <w:pPr>
              <w:spacing w:after="0" w:line="135" w:lineRule="exact"/>
              <w:rPr>
                <w:rFonts w:ascii="Arial" w:cs="Arial" w:eastAsia="Arial" w:hAnsi="Arial"/>
                <w:sz w:val="15"/>
                <w:szCs w:val="15"/>
                <w:color w:val="0000FF"/>
              </w:rPr>
            </w:pPr>
            <w:hyperlink r:id="rId357">
              <w:r>
                <w:rPr>
                  <w:rFonts w:ascii="Arial" w:cs="Arial" w:eastAsia="Arial" w:hAnsi="Arial"/>
                  <w:sz w:val="15"/>
                  <w:szCs w:val="15"/>
                  <w:color w:val="0000FF"/>
                </w:rPr>
                <w:t>among the Company and the Purchasers.</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4.5</w:t>
            </w:r>
          </w:p>
        </w:tc>
        <w:tc>
          <w:tcPr>
            <w:tcW w:w="4800" w:type="dxa"/>
            <w:vAlign w:val="bottom"/>
            <w:gridSpan w:val="31"/>
          </w:tcPr>
          <w:p>
            <w:pPr>
              <w:spacing w:after="0"/>
              <w:rPr>
                <w:rFonts w:ascii="Arial" w:cs="Arial" w:eastAsia="Arial" w:hAnsi="Arial"/>
                <w:sz w:val="15"/>
                <w:szCs w:val="15"/>
                <w:color w:val="0000FF"/>
              </w:rPr>
            </w:pPr>
            <w:hyperlink r:id="rId358">
              <w:r>
                <w:rPr>
                  <w:rFonts w:ascii="Arial" w:cs="Arial" w:eastAsia="Arial" w:hAnsi="Arial"/>
                  <w:sz w:val="15"/>
                  <w:szCs w:val="15"/>
                  <w:color w:val="0000FF"/>
                </w:rPr>
                <w:t>Registration Agreement, dated May 16, 2023, by and among the</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S-3ASR</w:t>
            </w:r>
          </w:p>
        </w:tc>
        <w:tc>
          <w:tcPr>
            <w:tcW w:w="1160" w:type="dxa"/>
            <w:vAlign w:val="bottom"/>
          </w:tcPr>
          <w:p>
            <w:pPr>
              <w:jc w:val="center"/>
              <w:spacing w:after="0"/>
              <w:rPr>
                <w:sz w:val="20"/>
                <w:szCs w:val="20"/>
                <w:color w:val="auto"/>
              </w:rPr>
            </w:pPr>
            <w:r>
              <w:rPr>
                <w:rFonts w:ascii="Arial" w:cs="Arial" w:eastAsia="Arial" w:hAnsi="Arial"/>
                <w:sz w:val="15"/>
                <w:szCs w:val="15"/>
                <w:color w:val="auto"/>
              </w:rPr>
              <w:t>333-272281</w:t>
            </w:r>
          </w:p>
        </w:tc>
        <w:tc>
          <w:tcPr>
            <w:tcW w:w="740" w:type="dxa"/>
            <w:vAlign w:val="bottom"/>
          </w:tcPr>
          <w:p>
            <w:pPr>
              <w:jc w:val="center"/>
              <w:spacing w:after="0"/>
              <w:rPr>
                <w:sz w:val="20"/>
                <w:szCs w:val="20"/>
                <w:color w:val="auto"/>
              </w:rPr>
            </w:pPr>
            <w:r>
              <w:rPr>
                <w:rFonts w:ascii="Arial" w:cs="Arial" w:eastAsia="Arial" w:hAnsi="Arial"/>
                <w:sz w:val="15"/>
                <w:szCs w:val="15"/>
                <w:color w:val="auto"/>
                <w:w w:val="95"/>
              </w:rPr>
              <w:t>4.3</w:t>
            </w:r>
          </w:p>
        </w:tc>
        <w:tc>
          <w:tcPr>
            <w:tcW w:w="1640" w:type="dxa"/>
            <w:vAlign w:val="bottom"/>
          </w:tcPr>
          <w:p>
            <w:pPr>
              <w:jc w:val="center"/>
              <w:spacing w:after="0"/>
              <w:rPr>
                <w:sz w:val="20"/>
                <w:szCs w:val="20"/>
                <w:color w:val="auto"/>
              </w:rPr>
            </w:pPr>
            <w:r>
              <w:rPr>
                <w:rFonts w:ascii="Arial" w:cs="Arial" w:eastAsia="Arial" w:hAnsi="Arial"/>
                <w:sz w:val="15"/>
                <w:szCs w:val="15"/>
                <w:color w:val="auto"/>
              </w:rPr>
              <w:t>May 30, 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460" w:type="dxa"/>
            <w:vAlign w:val="bottom"/>
            <w:tcBorders>
              <w:top w:val="single" w:sz="8" w:color="0000FF"/>
            </w:tcBorders>
            <w:gridSpan w:val="23"/>
          </w:tcPr>
          <w:p>
            <w:pPr>
              <w:spacing w:after="0" w:line="135" w:lineRule="exact"/>
              <w:rPr>
                <w:rFonts w:ascii="Arial" w:cs="Arial" w:eastAsia="Arial" w:hAnsi="Arial"/>
                <w:sz w:val="15"/>
                <w:szCs w:val="15"/>
                <w:color w:val="0000FF"/>
              </w:rPr>
            </w:pPr>
            <w:hyperlink r:id="rId358">
              <w:r>
                <w:rPr>
                  <w:rFonts w:ascii="Arial" w:cs="Arial" w:eastAsia="Arial" w:hAnsi="Arial"/>
                  <w:sz w:val="15"/>
                  <w:szCs w:val="15"/>
                  <w:color w:val="0000FF"/>
                </w:rPr>
                <w:t>Registrant, Valence Discovery, Inc., and certain shareholders of</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600" w:type="dxa"/>
            <w:vAlign w:val="bottom"/>
            <w:tcBorders>
              <w:top w:val="single" w:sz="8" w:color="0000FF"/>
              <w:bottom w:val="single" w:sz="8" w:color="0000FF"/>
            </w:tcBorders>
            <w:gridSpan w:val="6"/>
          </w:tcPr>
          <w:p>
            <w:pPr>
              <w:spacing w:after="0" w:line="135" w:lineRule="exact"/>
              <w:rPr>
                <w:rFonts w:ascii="Arial" w:cs="Arial" w:eastAsia="Arial" w:hAnsi="Arial"/>
                <w:sz w:val="15"/>
                <w:szCs w:val="15"/>
                <w:color w:val="0000FF"/>
              </w:rPr>
            </w:pPr>
            <w:hyperlink r:id="rId358">
              <w:r>
                <w:rPr>
                  <w:rFonts w:ascii="Arial" w:cs="Arial" w:eastAsia="Arial" w:hAnsi="Arial"/>
                  <w:sz w:val="15"/>
                  <w:szCs w:val="15"/>
                  <w:color w:val="0000FF"/>
                </w:rPr>
                <w:t>Valence Discovery, Inc.</w:t>
              </w:r>
            </w:hyperlink>
          </w:p>
        </w:tc>
        <w:tc>
          <w:tcPr>
            <w:tcW w:w="278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4.6</w:t>
            </w:r>
          </w:p>
        </w:tc>
        <w:tc>
          <w:tcPr>
            <w:tcW w:w="4800" w:type="dxa"/>
            <w:vAlign w:val="bottom"/>
            <w:gridSpan w:val="31"/>
          </w:tcPr>
          <w:p>
            <w:pPr>
              <w:spacing w:after="0"/>
              <w:rPr>
                <w:rFonts w:ascii="Arial" w:cs="Arial" w:eastAsia="Arial" w:hAnsi="Arial"/>
                <w:sz w:val="15"/>
                <w:szCs w:val="15"/>
                <w:color w:val="0000FF"/>
              </w:rPr>
            </w:pPr>
            <w:hyperlink r:id="rId359">
              <w:r>
                <w:rPr>
                  <w:rFonts w:ascii="Arial" w:cs="Arial" w:eastAsia="Arial" w:hAnsi="Arial"/>
                  <w:sz w:val="15"/>
                  <w:szCs w:val="15"/>
                  <w:color w:val="0000FF"/>
                </w:rPr>
                <w:t>Registration Agreement, dated May 25, 2023, by and among the</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8-K</w:t>
            </w:r>
          </w:p>
        </w:tc>
        <w:tc>
          <w:tcPr>
            <w:tcW w:w="116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4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640" w:type="dxa"/>
            <w:vAlign w:val="bottom"/>
          </w:tcPr>
          <w:p>
            <w:pPr>
              <w:jc w:val="center"/>
              <w:spacing w:after="0"/>
              <w:rPr>
                <w:sz w:val="20"/>
                <w:szCs w:val="20"/>
                <w:color w:val="auto"/>
              </w:rPr>
            </w:pPr>
            <w:r>
              <w:rPr>
                <w:rFonts w:ascii="Arial" w:cs="Arial" w:eastAsia="Arial" w:hAnsi="Arial"/>
                <w:sz w:val="15"/>
                <w:szCs w:val="15"/>
                <w:color w:val="auto"/>
              </w:rPr>
              <w:t>June 9, 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460" w:type="dxa"/>
            <w:vAlign w:val="bottom"/>
            <w:tcBorders>
              <w:top w:val="single" w:sz="8" w:color="0000FF"/>
            </w:tcBorders>
            <w:gridSpan w:val="23"/>
          </w:tcPr>
          <w:p>
            <w:pPr>
              <w:spacing w:after="0" w:line="135" w:lineRule="exact"/>
              <w:rPr>
                <w:rFonts w:ascii="Arial" w:cs="Arial" w:eastAsia="Arial" w:hAnsi="Arial"/>
                <w:sz w:val="15"/>
                <w:szCs w:val="15"/>
                <w:color w:val="0000FF"/>
              </w:rPr>
            </w:pPr>
            <w:hyperlink r:id="rId359">
              <w:r>
                <w:rPr>
                  <w:rFonts w:ascii="Arial" w:cs="Arial" w:eastAsia="Arial" w:hAnsi="Arial"/>
                  <w:sz w:val="15"/>
                  <w:szCs w:val="15"/>
                  <w:color w:val="0000FF"/>
                </w:rPr>
                <w:t>Registrant, Recursion Canada Inc., and certain shareholders of</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00" w:type="dxa"/>
            <w:vAlign w:val="bottom"/>
            <w:tcBorders>
              <w:top w:val="single" w:sz="8" w:color="0000FF"/>
              <w:bottom w:val="single" w:sz="8" w:color="0000FF"/>
            </w:tcBorders>
            <w:gridSpan w:val="2"/>
          </w:tcPr>
          <w:p>
            <w:pPr>
              <w:spacing w:after="0" w:line="135" w:lineRule="exact"/>
              <w:rPr>
                <w:rFonts w:ascii="Arial" w:cs="Arial" w:eastAsia="Arial" w:hAnsi="Arial"/>
                <w:sz w:val="15"/>
                <w:szCs w:val="15"/>
                <w:color w:val="0000FF"/>
              </w:rPr>
            </w:pPr>
            <w:hyperlink r:id="rId359">
              <w:r>
                <w:rPr>
                  <w:rFonts w:ascii="Arial" w:cs="Arial" w:eastAsia="Arial" w:hAnsi="Arial"/>
                  <w:sz w:val="15"/>
                  <w:szCs w:val="15"/>
                  <w:color w:val="0000FF"/>
                </w:rPr>
                <w:t>Cyclica Inc.</w:t>
              </w:r>
            </w:hyperlink>
          </w:p>
        </w:tc>
        <w:tc>
          <w:tcPr>
            <w:tcW w:w="3560" w:type="dxa"/>
            <w:vAlign w:val="bottom"/>
            <w:tcBorders>
              <w:top w:val="single" w:sz="8" w:color="0000FF"/>
            </w:tcBorders>
            <w:gridSpan w:val="16"/>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4.7</w:t>
            </w:r>
          </w:p>
        </w:tc>
        <w:tc>
          <w:tcPr>
            <w:tcW w:w="4800" w:type="dxa"/>
            <w:vAlign w:val="bottom"/>
            <w:gridSpan w:val="31"/>
          </w:tcPr>
          <w:p>
            <w:pPr>
              <w:spacing w:after="0"/>
              <w:rPr>
                <w:rFonts w:ascii="Arial" w:cs="Arial" w:eastAsia="Arial" w:hAnsi="Arial"/>
                <w:sz w:val="15"/>
                <w:szCs w:val="15"/>
                <w:color w:val="0000FF"/>
              </w:rPr>
            </w:pPr>
            <w:hyperlink r:id="rId360">
              <w:r>
                <w:rPr>
                  <w:rFonts w:ascii="Arial" w:cs="Arial" w:eastAsia="Arial" w:hAnsi="Arial"/>
                  <w:sz w:val="15"/>
                  <w:szCs w:val="15"/>
                  <w:color w:val="0000FF"/>
                </w:rPr>
                <w:t>Registration Rights Agreement, dated July 11, 2023, by and among</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8-K</w:t>
            </w:r>
          </w:p>
        </w:tc>
        <w:tc>
          <w:tcPr>
            <w:tcW w:w="116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40" w:type="dxa"/>
            <w:vAlign w:val="bottom"/>
          </w:tcPr>
          <w:p>
            <w:pPr>
              <w:jc w:val="center"/>
              <w:ind w:left="4"/>
              <w:spacing w:after="0"/>
              <w:rPr>
                <w:sz w:val="20"/>
                <w:szCs w:val="20"/>
                <w:color w:val="auto"/>
              </w:rPr>
            </w:pPr>
            <w:r>
              <w:rPr>
                <w:rFonts w:ascii="Arial" w:cs="Arial" w:eastAsia="Arial" w:hAnsi="Arial"/>
                <w:sz w:val="15"/>
                <w:szCs w:val="15"/>
                <w:color w:val="auto"/>
              </w:rPr>
              <w:t>10.2</w:t>
            </w:r>
          </w:p>
        </w:tc>
        <w:tc>
          <w:tcPr>
            <w:tcW w:w="1640" w:type="dxa"/>
            <w:vAlign w:val="bottom"/>
          </w:tcPr>
          <w:p>
            <w:pPr>
              <w:jc w:val="center"/>
              <w:spacing w:after="0"/>
              <w:rPr>
                <w:sz w:val="20"/>
                <w:szCs w:val="20"/>
                <w:color w:val="auto"/>
              </w:rPr>
            </w:pPr>
            <w:r>
              <w:rPr>
                <w:rFonts w:ascii="Arial" w:cs="Arial" w:eastAsia="Arial" w:hAnsi="Arial"/>
                <w:sz w:val="15"/>
                <w:szCs w:val="15"/>
                <w:color w:val="auto"/>
              </w:rPr>
              <w:t>July 12, 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880" w:type="dxa"/>
            <w:vAlign w:val="bottom"/>
            <w:tcBorders>
              <w:top w:val="single" w:sz="8" w:color="0000FF"/>
              <w:bottom w:val="single" w:sz="8" w:color="0000FF"/>
            </w:tcBorders>
            <w:gridSpan w:val="8"/>
          </w:tcPr>
          <w:p>
            <w:pPr>
              <w:spacing w:after="0" w:line="135" w:lineRule="exact"/>
              <w:rPr>
                <w:rFonts w:ascii="Arial" w:cs="Arial" w:eastAsia="Arial" w:hAnsi="Arial"/>
                <w:sz w:val="15"/>
                <w:szCs w:val="15"/>
                <w:color w:val="0000FF"/>
              </w:rPr>
            </w:pPr>
            <w:hyperlink r:id="rId360">
              <w:r>
                <w:rPr>
                  <w:rFonts w:ascii="Arial" w:cs="Arial" w:eastAsia="Arial" w:hAnsi="Arial"/>
                  <w:sz w:val="15"/>
                  <w:szCs w:val="15"/>
                  <w:color w:val="0000FF"/>
                </w:rPr>
                <w:t>the Registrant and NVIDIA.</w:t>
              </w:r>
            </w:hyperlink>
          </w:p>
        </w:tc>
        <w:tc>
          <w:tcPr>
            <w:tcW w:w="272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4.8#</w:t>
            </w:r>
          </w:p>
        </w:tc>
        <w:tc>
          <w:tcPr>
            <w:tcW w:w="4800" w:type="dxa"/>
            <w:vAlign w:val="bottom"/>
            <w:gridSpan w:val="31"/>
          </w:tcPr>
          <w:p>
            <w:pPr>
              <w:spacing w:after="0"/>
              <w:rPr>
                <w:sz w:val="20"/>
                <w:szCs w:val="20"/>
                <w:color w:val="auto"/>
              </w:rPr>
            </w:pPr>
            <w:r>
              <w:rPr>
                <w:rFonts w:ascii="Arial" w:cs="Arial" w:eastAsia="Arial" w:hAnsi="Arial"/>
                <w:sz w:val="15"/>
                <w:szCs w:val="15"/>
                <w:color w:val="0000FF"/>
              </w:rPr>
              <w:t>Global Access Commitments Agreement between the Registrant and</w:t>
            </w: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520" w:type="dxa"/>
            <w:vAlign w:val="bottom"/>
            <w:tcBorders>
              <w:top w:val="single" w:sz="8" w:color="0000FF"/>
              <w:bottom w:val="single" w:sz="8" w:color="0000FF"/>
            </w:tcBorders>
            <w:gridSpan w:val="9"/>
          </w:tcPr>
          <w:p>
            <w:pPr>
              <w:spacing w:after="0" w:line="135" w:lineRule="exact"/>
              <w:rPr>
                <w:sz w:val="20"/>
                <w:szCs w:val="20"/>
                <w:color w:val="auto"/>
              </w:rPr>
            </w:pPr>
            <w:r>
              <w:rPr>
                <w:rFonts w:ascii="Arial" w:cs="Arial" w:eastAsia="Arial" w:hAnsi="Arial"/>
                <w:sz w:val="15"/>
                <w:szCs w:val="15"/>
                <w:color w:val="0000FF"/>
              </w:rPr>
              <w:t>the Bill &amp; Melinda Gates Foundation.</w:t>
            </w:r>
          </w:p>
        </w:tc>
        <w:tc>
          <w:tcPr>
            <w:tcW w:w="222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5.1</w:t>
            </w:r>
          </w:p>
        </w:tc>
        <w:tc>
          <w:tcPr>
            <w:tcW w:w="4800" w:type="dxa"/>
            <w:vAlign w:val="bottom"/>
            <w:gridSpan w:val="31"/>
          </w:tcPr>
          <w:p>
            <w:pPr>
              <w:spacing w:after="0"/>
              <w:rPr>
                <w:sz w:val="20"/>
                <w:szCs w:val="20"/>
                <w:color w:val="auto"/>
              </w:rPr>
            </w:pPr>
            <w:r>
              <w:rPr>
                <w:rFonts w:ascii="Arial" w:cs="Arial" w:eastAsia="Arial" w:hAnsi="Arial"/>
                <w:sz w:val="15"/>
                <w:szCs w:val="15"/>
                <w:color w:val="0000FF"/>
              </w:rPr>
              <w:t>Opinion of Wilson Sonsini Goodrich &amp; Rosati, Professional</w:t>
            </w: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60" w:type="dxa"/>
            <w:vAlign w:val="bottom"/>
            <w:tcBorders>
              <w:top w:val="single" w:sz="8" w:color="0000FF"/>
              <w:bottom w:val="single" w:sz="8" w:color="0000FF"/>
            </w:tcBorders>
            <w:gridSpan w:val="3"/>
          </w:tcPr>
          <w:p>
            <w:pPr>
              <w:spacing w:after="0" w:line="135" w:lineRule="exact"/>
              <w:rPr>
                <w:sz w:val="20"/>
                <w:szCs w:val="20"/>
                <w:color w:val="auto"/>
              </w:rPr>
            </w:pPr>
            <w:r>
              <w:rPr>
                <w:rFonts w:ascii="Arial" w:cs="Arial" w:eastAsia="Arial" w:hAnsi="Arial"/>
                <w:sz w:val="15"/>
                <w:szCs w:val="15"/>
                <w:color w:val="0000FF"/>
              </w:rPr>
              <w:t>Corporation.</w:t>
            </w:r>
          </w:p>
        </w:tc>
        <w:tc>
          <w:tcPr>
            <w:tcW w:w="3140" w:type="dxa"/>
            <w:vAlign w:val="bottom"/>
            <w:tcBorders>
              <w:top w:val="single" w:sz="8" w:color="0000FF"/>
            </w:tcBorders>
            <w:gridSpan w:val="10"/>
          </w:tcPr>
          <w:p>
            <w:pPr>
              <w:spacing w:after="0"/>
              <w:rPr>
                <w:sz w:val="11"/>
                <w:szCs w:val="11"/>
                <w:color w:val="auto"/>
              </w:rPr>
            </w:pPr>
          </w:p>
        </w:tc>
        <w:tc>
          <w:tcPr>
            <w:tcW w:w="34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10.1</w:t>
            </w:r>
          </w:p>
        </w:tc>
        <w:tc>
          <w:tcPr>
            <w:tcW w:w="4800" w:type="dxa"/>
            <w:vAlign w:val="bottom"/>
            <w:gridSpan w:val="31"/>
          </w:tcPr>
          <w:p>
            <w:pPr>
              <w:spacing w:after="0"/>
              <w:rPr>
                <w:rFonts w:ascii="Arial" w:cs="Arial" w:eastAsia="Arial" w:hAnsi="Arial"/>
                <w:sz w:val="15"/>
                <w:szCs w:val="15"/>
                <w:color w:val="0000FF"/>
              </w:rPr>
            </w:pPr>
            <w:hyperlink r:id="rId361">
              <w:r>
                <w:rPr>
                  <w:rFonts w:ascii="Arial" w:cs="Arial" w:eastAsia="Arial" w:hAnsi="Arial"/>
                  <w:sz w:val="15"/>
                  <w:szCs w:val="15"/>
                  <w:color w:val="0000FF"/>
                </w:rPr>
                <w:t>Form of Indemnification Agreement between the Registrant and each</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S-1/A</w:t>
            </w:r>
          </w:p>
        </w:tc>
        <w:tc>
          <w:tcPr>
            <w:tcW w:w="116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40" w:type="dxa"/>
            <w:vAlign w:val="bottom"/>
          </w:tcPr>
          <w:p>
            <w:pPr>
              <w:jc w:val="center"/>
              <w:ind w:left="4"/>
              <w:spacing w:after="0"/>
              <w:rPr>
                <w:sz w:val="20"/>
                <w:szCs w:val="20"/>
                <w:color w:val="auto"/>
              </w:rPr>
            </w:pPr>
            <w:r>
              <w:rPr>
                <w:rFonts w:ascii="Arial" w:cs="Arial" w:eastAsia="Arial" w:hAnsi="Arial"/>
                <w:sz w:val="15"/>
                <w:szCs w:val="15"/>
                <w:color w:val="auto"/>
              </w:rPr>
              <w:t>10.1</w:t>
            </w:r>
          </w:p>
        </w:tc>
        <w:tc>
          <w:tcPr>
            <w:tcW w:w="1640" w:type="dxa"/>
            <w:vAlign w:val="bottom"/>
          </w:tcPr>
          <w:p>
            <w:pPr>
              <w:jc w:val="center"/>
              <w:spacing w:after="0"/>
              <w:rPr>
                <w:sz w:val="20"/>
                <w:szCs w:val="20"/>
                <w:color w:val="auto"/>
              </w:rPr>
            </w:pPr>
            <w:r>
              <w:rPr>
                <w:rFonts w:ascii="Arial" w:cs="Arial" w:eastAsia="Arial" w:hAnsi="Arial"/>
                <w:sz w:val="15"/>
                <w:szCs w:val="15"/>
                <w:color w:val="auto"/>
              </w:rPr>
              <w:t>April 15, 2021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760" w:type="dxa"/>
            <w:vAlign w:val="bottom"/>
            <w:tcBorders>
              <w:top w:val="single" w:sz="8" w:color="0000FF"/>
            </w:tcBorders>
            <w:gridSpan w:val="30"/>
          </w:tcPr>
          <w:p>
            <w:pPr>
              <w:spacing w:after="0" w:line="135" w:lineRule="exact"/>
              <w:rPr>
                <w:rFonts w:ascii="Arial" w:cs="Arial" w:eastAsia="Arial" w:hAnsi="Arial"/>
                <w:sz w:val="15"/>
                <w:szCs w:val="15"/>
                <w:color w:val="0000FF"/>
              </w:rPr>
            </w:pPr>
            <w:hyperlink r:id="rId361">
              <w:r>
                <w:rPr>
                  <w:rFonts w:ascii="Arial" w:cs="Arial" w:eastAsia="Arial" w:hAnsi="Arial"/>
                  <w:sz w:val="15"/>
                  <w:szCs w:val="15"/>
                  <w:color w:val="0000FF"/>
                </w:rPr>
                <w:t>of its directors and executive officers.</w:t>
              </w:r>
            </w:hyperlink>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60" w:type="dxa"/>
            <w:vAlign w:val="bottom"/>
            <w:gridSpan w:val="9"/>
            <w:shd w:val="clear" w:color="auto" w:fill="0000FF"/>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10.2+</w:t>
            </w:r>
          </w:p>
        </w:tc>
        <w:tc>
          <w:tcPr>
            <w:tcW w:w="4800" w:type="dxa"/>
            <w:vAlign w:val="bottom"/>
            <w:gridSpan w:val="31"/>
          </w:tcPr>
          <w:p>
            <w:pPr>
              <w:spacing w:after="0"/>
              <w:rPr>
                <w:rFonts w:ascii="Arial" w:cs="Arial" w:eastAsia="Arial" w:hAnsi="Arial"/>
                <w:sz w:val="15"/>
                <w:szCs w:val="15"/>
                <w:color w:val="0000FF"/>
              </w:rPr>
            </w:pPr>
            <w:hyperlink r:id="rId362">
              <w:r>
                <w:rPr>
                  <w:rFonts w:ascii="Arial" w:cs="Arial" w:eastAsia="Arial" w:hAnsi="Arial"/>
                  <w:sz w:val="15"/>
                  <w:szCs w:val="15"/>
                  <w:color w:val="0000FF"/>
                </w:rPr>
                <w:t>2016 Equity Incentive Plan, as amended, and forms of agreement</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S-1/A</w:t>
            </w:r>
          </w:p>
        </w:tc>
        <w:tc>
          <w:tcPr>
            <w:tcW w:w="116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40" w:type="dxa"/>
            <w:vAlign w:val="bottom"/>
          </w:tcPr>
          <w:p>
            <w:pPr>
              <w:jc w:val="center"/>
              <w:ind w:left="4"/>
              <w:spacing w:after="0"/>
              <w:rPr>
                <w:sz w:val="20"/>
                <w:szCs w:val="20"/>
                <w:color w:val="auto"/>
              </w:rPr>
            </w:pPr>
            <w:r>
              <w:rPr>
                <w:rFonts w:ascii="Arial" w:cs="Arial" w:eastAsia="Arial" w:hAnsi="Arial"/>
                <w:sz w:val="15"/>
                <w:szCs w:val="15"/>
                <w:color w:val="auto"/>
              </w:rPr>
              <w:t>10.2</w:t>
            </w:r>
          </w:p>
        </w:tc>
        <w:tc>
          <w:tcPr>
            <w:tcW w:w="1640" w:type="dxa"/>
            <w:vAlign w:val="bottom"/>
          </w:tcPr>
          <w:p>
            <w:pPr>
              <w:jc w:val="center"/>
              <w:spacing w:after="0"/>
              <w:rPr>
                <w:sz w:val="20"/>
                <w:szCs w:val="20"/>
                <w:color w:val="auto"/>
              </w:rPr>
            </w:pPr>
            <w:r>
              <w:rPr>
                <w:rFonts w:ascii="Arial" w:cs="Arial" w:eastAsia="Arial" w:hAnsi="Arial"/>
                <w:sz w:val="15"/>
                <w:szCs w:val="15"/>
                <w:color w:val="auto"/>
              </w:rPr>
              <w:t>April 15, 2021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500" w:type="dxa"/>
            <w:vAlign w:val="bottom"/>
            <w:tcBorders>
              <w:top w:val="single" w:sz="8" w:color="0000FF"/>
            </w:tcBorders>
            <w:gridSpan w:val="25"/>
          </w:tcPr>
          <w:p>
            <w:pPr>
              <w:spacing w:after="0" w:line="135" w:lineRule="exact"/>
              <w:rPr>
                <w:rFonts w:ascii="Arial" w:cs="Arial" w:eastAsia="Arial" w:hAnsi="Arial"/>
                <w:sz w:val="15"/>
                <w:szCs w:val="15"/>
                <w:color w:val="0000FF"/>
              </w:rPr>
            </w:pPr>
            <w:hyperlink r:id="rId362">
              <w:r>
                <w:rPr>
                  <w:rFonts w:ascii="Arial" w:cs="Arial" w:eastAsia="Arial" w:hAnsi="Arial"/>
                  <w:sz w:val="15"/>
                  <w:szCs w:val="15"/>
                  <w:color w:val="0000FF"/>
                </w:rPr>
                <w:t>thereunder.</w:t>
              </w:r>
            </w:hyperlink>
          </w:p>
        </w:tc>
        <w:tc>
          <w:tcPr>
            <w:tcW w:w="120" w:type="dxa"/>
            <w:vAlign w:val="bottom"/>
            <w:gridSpan w:val="2"/>
          </w:tcPr>
          <w:p>
            <w:pPr>
              <w:spacing w:after="0"/>
              <w:rPr>
                <w:sz w:val="11"/>
                <w:szCs w:val="11"/>
                <w:color w:val="auto"/>
              </w:rPr>
            </w:pPr>
          </w:p>
        </w:tc>
        <w:tc>
          <w:tcPr>
            <w:tcW w:w="180" w:type="dxa"/>
            <w:vAlign w:val="bottom"/>
            <w:gridSpan w:val="4"/>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56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10.3+</w:t>
            </w:r>
          </w:p>
        </w:tc>
        <w:tc>
          <w:tcPr>
            <w:tcW w:w="4480" w:type="dxa"/>
            <w:vAlign w:val="bottom"/>
            <w:tcBorders>
              <w:bottom w:val="single" w:sz="8" w:color="0000FF"/>
            </w:tcBorders>
            <w:gridSpan w:val="24"/>
          </w:tcPr>
          <w:p>
            <w:pPr>
              <w:spacing w:after="0"/>
              <w:rPr>
                <w:rFonts w:ascii="Arial" w:cs="Arial" w:eastAsia="Arial" w:hAnsi="Arial"/>
                <w:sz w:val="15"/>
                <w:szCs w:val="15"/>
                <w:color w:val="0000FF"/>
              </w:rPr>
            </w:pPr>
            <w:hyperlink r:id="rId363">
              <w:r>
                <w:rPr>
                  <w:rFonts w:ascii="Arial" w:cs="Arial" w:eastAsia="Arial" w:hAnsi="Arial"/>
                  <w:sz w:val="15"/>
                  <w:szCs w:val="15"/>
                  <w:color w:val="0000FF"/>
                </w:rPr>
                <w:t>2021 Equity Incentive Plan and forms of agreements thereunder.</w:t>
              </w:r>
            </w:hyperlink>
          </w:p>
        </w:tc>
        <w:tc>
          <w:tcPr>
            <w:tcW w:w="320" w:type="dxa"/>
            <w:vAlign w:val="bottom"/>
            <w:gridSpan w:val="7"/>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5"/>
                <w:szCs w:val="15"/>
                <w:color w:val="auto"/>
              </w:rPr>
              <w:t>10-K</w:t>
            </w:r>
          </w:p>
        </w:tc>
        <w:tc>
          <w:tcPr>
            <w:tcW w:w="116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40" w:type="dxa"/>
            <w:vAlign w:val="bottom"/>
          </w:tcPr>
          <w:p>
            <w:pPr>
              <w:jc w:val="center"/>
              <w:ind w:left="4"/>
              <w:spacing w:after="0"/>
              <w:rPr>
                <w:sz w:val="20"/>
                <w:szCs w:val="20"/>
                <w:color w:val="auto"/>
              </w:rPr>
            </w:pPr>
            <w:r>
              <w:rPr>
                <w:rFonts w:ascii="Arial" w:cs="Arial" w:eastAsia="Arial" w:hAnsi="Arial"/>
                <w:sz w:val="15"/>
                <w:szCs w:val="15"/>
                <w:color w:val="auto"/>
              </w:rPr>
              <w:t>10.3</w:t>
            </w:r>
          </w:p>
        </w:tc>
        <w:tc>
          <w:tcPr>
            <w:tcW w:w="1640" w:type="dxa"/>
            <w:vAlign w:val="bottom"/>
          </w:tcPr>
          <w:p>
            <w:pPr>
              <w:jc w:val="center"/>
              <w:spacing w:after="0"/>
              <w:rPr>
                <w:sz w:val="20"/>
                <w:szCs w:val="20"/>
                <w:color w:val="auto"/>
              </w:rPr>
            </w:pPr>
            <w:r>
              <w:rPr>
                <w:rFonts w:ascii="Arial" w:cs="Arial" w:eastAsia="Arial" w:hAnsi="Arial"/>
                <w:sz w:val="15"/>
                <w:szCs w:val="15"/>
                <w:color w:val="auto"/>
              </w:rPr>
              <w:t>February 27, 2023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10.4+</w:t>
            </w:r>
          </w:p>
        </w:tc>
        <w:tc>
          <w:tcPr>
            <w:tcW w:w="4800" w:type="dxa"/>
            <w:vAlign w:val="bottom"/>
            <w:gridSpan w:val="31"/>
          </w:tcPr>
          <w:p>
            <w:pPr>
              <w:spacing w:after="0"/>
              <w:rPr>
                <w:rFonts w:ascii="Arial" w:cs="Arial" w:eastAsia="Arial" w:hAnsi="Arial"/>
                <w:sz w:val="15"/>
                <w:szCs w:val="15"/>
                <w:color w:val="0000FF"/>
              </w:rPr>
            </w:pPr>
            <w:hyperlink r:id="rId364">
              <w:r>
                <w:rPr>
                  <w:rFonts w:ascii="Arial" w:cs="Arial" w:eastAsia="Arial" w:hAnsi="Arial"/>
                  <w:sz w:val="15"/>
                  <w:szCs w:val="15"/>
                  <w:color w:val="0000FF"/>
                </w:rPr>
                <w:t>2021 Employee Stock Purchase Plan and forms of agreements</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S-1/A</w:t>
            </w:r>
          </w:p>
        </w:tc>
        <w:tc>
          <w:tcPr>
            <w:tcW w:w="116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40" w:type="dxa"/>
            <w:vAlign w:val="bottom"/>
          </w:tcPr>
          <w:p>
            <w:pPr>
              <w:jc w:val="center"/>
              <w:ind w:left="4"/>
              <w:spacing w:after="0"/>
              <w:rPr>
                <w:sz w:val="20"/>
                <w:szCs w:val="20"/>
                <w:color w:val="auto"/>
              </w:rPr>
            </w:pPr>
            <w:r>
              <w:rPr>
                <w:rFonts w:ascii="Arial" w:cs="Arial" w:eastAsia="Arial" w:hAnsi="Arial"/>
                <w:sz w:val="15"/>
                <w:szCs w:val="15"/>
                <w:color w:val="auto"/>
              </w:rPr>
              <w:t>10.4</w:t>
            </w:r>
          </w:p>
        </w:tc>
        <w:tc>
          <w:tcPr>
            <w:tcW w:w="1640" w:type="dxa"/>
            <w:vAlign w:val="bottom"/>
          </w:tcPr>
          <w:p>
            <w:pPr>
              <w:jc w:val="center"/>
              <w:spacing w:after="0"/>
              <w:rPr>
                <w:sz w:val="20"/>
                <w:szCs w:val="20"/>
                <w:color w:val="auto"/>
              </w:rPr>
            </w:pPr>
            <w:r>
              <w:rPr>
                <w:rFonts w:ascii="Arial" w:cs="Arial" w:eastAsia="Arial" w:hAnsi="Arial"/>
                <w:sz w:val="15"/>
                <w:szCs w:val="15"/>
                <w:color w:val="auto"/>
              </w:rPr>
              <w:t>April 15, 2021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340" w:type="dxa"/>
            <w:vAlign w:val="bottom"/>
            <w:tcBorders>
              <w:top w:val="single" w:sz="8" w:color="0000FF"/>
            </w:tcBorders>
            <w:gridSpan w:val="17"/>
          </w:tcPr>
          <w:p>
            <w:pPr>
              <w:spacing w:after="0" w:line="135" w:lineRule="exact"/>
              <w:rPr>
                <w:rFonts w:ascii="Arial" w:cs="Arial" w:eastAsia="Arial" w:hAnsi="Arial"/>
                <w:sz w:val="15"/>
                <w:szCs w:val="15"/>
                <w:color w:val="0000FF"/>
              </w:rPr>
            </w:pPr>
            <w:hyperlink r:id="rId364">
              <w:r>
                <w:rPr>
                  <w:rFonts w:ascii="Arial" w:cs="Arial" w:eastAsia="Arial" w:hAnsi="Arial"/>
                  <w:sz w:val="15"/>
                  <w:szCs w:val="15"/>
                  <w:color w:val="0000FF"/>
                </w:rPr>
                <w:t>thereunder.</w:t>
              </w:r>
            </w:hyperlink>
          </w:p>
        </w:tc>
        <w:tc>
          <w:tcPr>
            <w:tcW w:w="60" w:type="dxa"/>
            <w:vAlign w:val="bottom"/>
            <w:gridSpan w:val="3"/>
          </w:tcPr>
          <w:p>
            <w:pPr>
              <w:spacing w:after="0"/>
              <w:rPr>
                <w:sz w:val="11"/>
                <w:szCs w:val="11"/>
                <w:color w:val="auto"/>
              </w:rPr>
            </w:pPr>
          </w:p>
        </w:tc>
        <w:tc>
          <w:tcPr>
            <w:tcW w:w="220" w:type="dxa"/>
            <w:vAlign w:val="bottom"/>
            <w:gridSpan w:val="7"/>
          </w:tcPr>
          <w:p>
            <w:pPr>
              <w:spacing w:after="0"/>
              <w:rPr>
                <w:sz w:val="11"/>
                <w:szCs w:val="11"/>
                <w:color w:val="auto"/>
              </w:rPr>
            </w:pPr>
          </w:p>
        </w:tc>
        <w:tc>
          <w:tcPr>
            <w:tcW w:w="180" w:type="dxa"/>
            <w:vAlign w:val="bottom"/>
            <w:gridSpan w:val="4"/>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20" w:type="dxa"/>
            <w:vAlign w:val="bottom"/>
            <w:gridSpan w:val="19"/>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10.5+</w:t>
            </w:r>
          </w:p>
        </w:tc>
        <w:tc>
          <w:tcPr>
            <w:tcW w:w="4800" w:type="dxa"/>
            <w:vAlign w:val="bottom"/>
            <w:gridSpan w:val="31"/>
          </w:tcPr>
          <w:p>
            <w:pPr>
              <w:spacing w:after="0"/>
              <w:rPr>
                <w:rFonts w:ascii="Arial" w:cs="Arial" w:eastAsia="Arial" w:hAnsi="Arial"/>
                <w:sz w:val="15"/>
                <w:szCs w:val="15"/>
                <w:color w:val="0000FF"/>
              </w:rPr>
            </w:pPr>
            <w:hyperlink r:id="rId365">
              <w:r>
                <w:rPr>
                  <w:rFonts w:ascii="Arial" w:cs="Arial" w:eastAsia="Arial" w:hAnsi="Arial"/>
                  <w:sz w:val="15"/>
                  <w:szCs w:val="15"/>
                  <w:color w:val="0000FF"/>
                </w:rPr>
                <w:t>2024 Inducement Equity Incentive Plan and forms of agreement</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S-8</w:t>
            </w:r>
          </w:p>
        </w:tc>
        <w:tc>
          <w:tcPr>
            <w:tcW w:w="1160" w:type="dxa"/>
            <w:vAlign w:val="bottom"/>
          </w:tcPr>
          <w:p>
            <w:pPr>
              <w:jc w:val="center"/>
              <w:spacing w:after="0"/>
              <w:rPr>
                <w:sz w:val="20"/>
                <w:szCs w:val="20"/>
                <w:color w:val="auto"/>
              </w:rPr>
            </w:pPr>
            <w:r>
              <w:rPr>
                <w:rFonts w:ascii="Arial" w:cs="Arial" w:eastAsia="Arial" w:hAnsi="Arial"/>
                <w:sz w:val="15"/>
                <w:szCs w:val="15"/>
                <w:color w:val="auto"/>
              </w:rPr>
              <w:t>333-283347</w:t>
            </w:r>
          </w:p>
        </w:tc>
        <w:tc>
          <w:tcPr>
            <w:tcW w:w="740" w:type="dxa"/>
            <w:vAlign w:val="bottom"/>
          </w:tcPr>
          <w:p>
            <w:pPr>
              <w:jc w:val="center"/>
              <w:spacing w:after="0"/>
              <w:rPr>
                <w:sz w:val="20"/>
                <w:szCs w:val="20"/>
                <w:color w:val="auto"/>
              </w:rPr>
            </w:pPr>
            <w:r>
              <w:rPr>
                <w:rFonts w:ascii="Arial" w:cs="Arial" w:eastAsia="Arial" w:hAnsi="Arial"/>
                <w:sz w:val="15"/>
                <w:szCs w:val="15"/>
                <w:color w:val="auto"/>
                <w:w w:val="95"/>
              </w:rPr>
              <w:t>4.6</w:t>
            </w:r>
          </w:p>
        </w:tc>
        <w:tc>
          <w:tcPr>
            <w:tcW w:w="1640" w:type="dxa"/>
            <w:vAlign w:val="bottom"/>
          </w:tcPr>
          <w:p>
            <w:pPr>
              <w:jc w:val="center"/>
              <w:spacing w:after="0"/>
              <w:rPr>
                <w:sz w:val="20"/>
                <w:szCs w:val="20"/>
                <w:color w:val="auto"/>
              </w:rPr>
            </w:pPr>
            <w:r>
              <w:rPr>
                <w:rFonts w:ascii="Arial" w:cs="Arial" w:eastAsia="Arial" w:hAnsi="Arial"/>
                <w:sz w:val="15"/>
                <w:szCs w:val="15"/>
                <w:color w:val="auto"/>
              </w:rPr>
              <w:t>November 20, 2024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4400" w:type="dxa"/>
            <w:vAlign w:val="bottom"/>
            <w:tcBorders>
              <w:top w:val="single" w:sz="8" w:color="0000FF"/>
            </w:tcBorders>
            <w:gridSpan w:val="20"/>
          </w:tcPr>
          <w:p>
            <w:pPr>
              <w:spacing w:after="0" w:line="135" w:lineRule="exact"/>
              <w:rPr>
                <w:rFonts w:ascii="Arial" w:cs="Arial" w:eastAsia="Arial" w:hAnsi="Arial"/>
                <w:sz w:val="15"/>
                <w:szCs w:val="15"/>
                <w:color w:val="0000FF"/>
              </w:rPr>
            </w:pPr>
            <w:hyperlink r:id="rId365">
              <w:r>
                <w:rPr>
                  <w:rFonts w:ascii="Arial" w:cs="Arial" w:eastAsia="Arial" w:hAnsi="Arial"/>
                  <w:sz w:val="15"/>
                  <w:szCs w:val="15"/>
                  <w:color w:val="0000FF"/>
                </w:rPr>
                <w:t>thereunder.</w:t>
              </w:r>
            </w:hyperlink>
          </w:p>
        </w:tc>
        <w:tc>
          <w:tcPr>
            <w:tcW w:w="220" w:type="dxa"/>
            <w:vAlign w:val="bottom"/>
            <w:gridSpan w:val="7"/>
          </w:tcPr>
          <w:p>
            <w:pPr>
              <w:spacing w:after="0"/>
              <w:rPr>
                <w:sz w:val="11"/>
                <w:szCs w:val="11"/>
                <w:color w:val="auto"/>
              </w:rPr>
            </w:pPr>
          </w:p>
        </w:tc>
        <w:tc>
          <w:tcPr>
            <w:tcW w:w="180" w:type="dxa"/>
            <w:vAlign w:val="bottom"/>
            <w:gridSpan w:val="4"/>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40" w:type="dxa"/>
            <w:vAlign w:val="bottom"/>
            <w:gridSpan w:val="2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20" w:type="dxa"/>
            <w:vAlign w:val="bottom"/>
          </w:tcPr>
          <w:p>
            <w:pPr>
              <w:jc w:val="center"/>
              <w:spacing w:after="0"/>
              <w:rPr>
                <w:sz w:val="20"/>
                <w:szCs w:val="20"/>
                <w:color w:val="auto"/>
              </w:rPr>
            </w:pPr>
            <w:r>
              <w:rPr>
                <w:rFonts w:ascii="Arial" w:cs="Arial" w:eastAsia="Arial" w:hAnsi="Arial"/>
                <w:sz w:val="15"/>
                <w:szCs w:val="15"/>
                <w:color w:val="auto"/>
              </w:rPr>
              <w:t>10.6+</w:t>
            </w:r>
          </w:p>
        </w:tc>
        <w:tc>
          <w:tcPr>
            <w:tcW w:w="4800" w:type="dxa"/>
            <w:vAlign w:val="bottom"/>
            <w:gridSpan w:val="31"/>
          </w:tcPr>
          <w:p>
            <w:pPr>
              <w:spacing w:after="0"/>
              <w:rPr>
                <w:rFonts w:ascii="Arial" w:cs="Arial" w:eastAsia="Arial" w:hAnsi="Arial"/>
                <w:sz w:val="15"/>
                <w:szCs w:val="15"/>
                <w:color w:val="0000FF"/>
              </w:rPr>
            </w:pPr>
            <w:hyperlink r:id="rId366">
              <w:r>
                <w:rPr>
                  <w:rFonts w:ascii="Arial" w:cs="Arial" w:eastAsia="Arial" w:hAnsi="Arial"/>
                  <w:sz w:val="15"/>
                  <w:szCs w:val="15"/>
                  <w:color w:val="0000FF"/>
                </w:rPr>
                <w:t>The Exscientia Unapproved Share Option Plan with RSU Sub-Plan.</w:t>
              </w:r>
            </w:hyperlink>
          </w:p>
        </w:tc>
        <w:tc>
          <w:tcPr>
            <w:tcW w:w="880" w:type="dxa"/>
            <w:vAlign w:val="bottom"/>
          </w:tcPr>
          <w:p>
            <w:pPr>
              <w:jc w:val="center"/>
              <w:spacing w:after="0"/>
              <w:rPr>
                <w:sz w:val="20"/>
                <w:szCs w:val="20"/>
                <w:color w:val="auto"/>
              </w:rPr>
            </w:pPr>
            <w:r>
              <w:rPr>
                <w:rFonts w:ascii="Arial" w:cs="Arial" w:eastAsia="Arial" w:hAnsi="Arial"/>
                <w:sz w:val="15"/>
                <w:szCs w:val="15"/>
                <w:color w:val="auto"/>
              </w:rPr>
              <w:t>S-8</w:t>
            </w:r>
          </w:p>
        </w:tc>
        <w:tc>
          <w:tcPr>
            <w:tcW w:w="1160" w:type="dxa"/>
            <w:vAlign w:val="bottom"/>
          </w:tcPr>
          <w:p>
            <w:pPr>
              <w:jc w:val="center"/>
              <w:spacing w:after="0"/>
              <w:rPr>
                <w:sz w:val="20"/>
                <w:szCs w:val="20"/>
                <w:color w:val="auto"/>
              </w:rPr>
            </w:pPr>
            <w:r>
              <w:rPr>
                <w:rFonts w:ascii="Arial" w:cs="Arial" w:eastAsia="Arial" w:hAnsi="Arial"/>
                <w:sz w:val="15"/>
                <w:szCs w:val="15"/>
                <w:color w:val="auto"/>
              </w:rPr>
              <w:t>333-283347</w:t>
            </w:r>
          </w:p>
        </w:tc>
        <w:tc>
          <w:tcPr>
            <w:tcW w:w="740" w:type="dxa"/>
            <w:vAlign w:val="bottom"/>
          </w:tcPr>
          <w:p>
            <w:pPr>
              <w:jc w:val="center"/>
              <w:spacing w:after="0"/>
              <w:rPr>
                <w:sz w:val="20"/>
                <w:szCs w:val="20"/>
                <w:color w:val="auto"/>
              </w:rPr>
            </w:pPr>
            <w:r>
              <w:rPr>
                <w:rFonts w:ascii="Arial" w:cs="Arial" w:eastAsia="Arial" w:hAnsi="Arial"/>
                <w:sz w:val="15"/>
                <w:szCs w:val="15"/>
                <w:color w:val="auto"/>
                <w:w w:val="95"/>
              </w:rPr>
              <w:t>4.4</w:t>
            </w:r>
          </w:p>
        </w:tc>
        <w:tc>
          <w:tcPr>
            <w:tcW w:w="1640" w:type="dxa"/>
            <w:vAlign w:val="bottom"/>
          </w:tcPr>
          <w:p>
            <w:pPr>
              <w:jc w:val="center"/>
              <w:spacing w:after="0"/>
              <w:rPr>
                <w:sz w:val="20"/>
                <w:szCs w:val="20"/>
                <w:color w:val="auto"/>
              </w:rPr>
            </w:pPr>
            <w:r>
              <w:rPr>
                <w:rFonts w:ascii="Arial" w:cs="Arial" w:eastAsia="Arial" w:hAnsi="Arial"/>
                <w:sz w:val="15"/>
                <w:szCs w:val="15"/>
                <w:color w:val="auto"/>
              </w:rPr>
              <w:t>November 20, 2024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3"/>
        </w:trPr>
        <w:tc>
          <w:tcPr>
            <w:tcW w:w="10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28" w:name="page229"/>
    <w:bookmarkEnd w:id="228"/>
    <w:p>
      <w:pPr>
        <w:ind w:left="780" w:right="180" w:hanging="715"/>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10.7+</w:t>
      </w:r>
      <w:r>
        <w:rPr>
          <w:sz w:val="20"/>
          <w:szCs w:val="20"/>
          <w:color w:val="auto"/>
        </w:rPr>
        <w:tab/>
      </w:r>
      <w:hyperlink r:id="rId369">
        <w:r>
          <w:rPr>
            <w:rFonts w:ascii="Arial" w:cs="Arial" w:eastAsia="Arial" w:hAnsi="Arial"/>
            <w:sz w:val="15"/>
            <w:szCs w:val="15"/>
            <w:u w:val="single" w:color="auto"/>
            <w:color w:val="0000FF"/>
          </w:rPr>
          <w:t>Exscientia plc 2021 Equity Incentive Plan with Non-Employee Sub-</w:t>
        </w:r>
      </w:hyperlink>
      <w:hyperlink r:id="rId369">
        <w:r>
          <w:rPr>
            <w:rFonts w:ascii="Arial" w:cs="Arial" w:eastAsia="Arial" w:hAnsi="Arial"/>
            <w:sz w:val="15"/>
            <w:szCs w:val="15"/>
            <w:u w:val="single" w:color="auto"/>
            <w:color w:val="0000FF"/>
          </w:rPr>
          <w:t>Plan and CSOP Sub-Plan.</w:t>
        </w:r>
      </w:hyperlink>
    </w:p>
    <w:p>
      <w:pPr>
        <w:ind w:left="120"/>
        <w:spacing w:after="0"/>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10.8</w:t>
      </w:r>
      <w:r>
        <w:rPr>
          <w:sz w:val="20"/>
          <w:szCs w:val="20"/>
          <w:color w:val="auto"/>
        </w:rPr>
        <w:tab/>
      </w:r>
      <w:hyperlink r:id="rId370">
        <w:r>
          <w:rPr>
            <w:rFonts w:ascii="Arial" w:cs="Arial" w:eastAsia="Arial" w:hAnsi="Arial"/>
            <w:sz w:val="15"/>
            <w:szCs w:val="15"/>
            <w:u w:val="single" w:color="auto"/>
            <w:color w:val="0000FF"/>
          </w:rPr>
          <w:t>Cyclica Inc. Second Amended and Restated Stock Option Plan.</w:t>
        </w:r>
      </w:hyperlink>
    </w:p>
    <w:p>
      <w:pPr>
        <w:spacing w:after="0" w:line="34" w:lineRule="exact"/>
        <w:rPr>
          <w:sz w:val="20"/>
          <w:szCs w:val="20"/>
          <w:color w:val="auto"/>
        </w:rPr>
      </w:pPr>
    </w:p>
    <w:p>
      <w:pPr>
        <w:ind w:left="780" w:right="280" w:hanging="669"/>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10.9</w:t>
      </w:r>
      <w:r>
        <w:rPr>
          <w:sz w:val="20"/>
          <w:szCs w:val="20"/>
          <w:color w:val="auto"/>
        </w:rPr>
        <w:tab/>
      </w:r>
      <w:hyperlink r:id="rId371">
        <w:r>
          <w:rPr>
            <w:rFonts w:ascii="Arial" w:cs="Arial" w:eastAsia="Arial" w:hAnsi="Arial"/>
            <w:sz w:val="15"/>
            <w:szCs w:val="15"/>
            <w:u w:val="single" w:color="auto"/>
            <w:color w:val="0000FF"/>
          </w:rPr>
          <w:t>Valence Discovery Inc. Stock Option Plan dated April 17, 2018 as</w:t>
        </w:r>
      </w:hyperlink>
      <w:r>
        <w:rPr>
          <w:rFonts w:ascii="Arial" w:cs="Arial" w:eastAsia="Arial" w:hAnsi="Arial"/>
          <w:sz w:val="15"/>
          <w:szCs w:val="15"/>
          <w:u w:val="single" w:color="auto"/>
          <w:color w:val="0000FF"/>
        </w:rPr>
        <w:t xml:space="preserve"> </w:t>
      </w:r>
      <w:hyperlink r:id="rId371">
        <w:r>
          <w:rPr>
            <w:rFonts w:ascii="Arial" w:cs="Arial" w:eastAsia="Arial" w:hAnsi="Arial"/>
            <w:sz w:val="15"/>
            <w:szCs w:val="15"/>
            <w:u w:val="single" w:color="auto"/>
            <w:color w:val="0000FF"/>
          </w:rPr>
          <w:t>amended and restated on November 16, 2021.</w:t>
        </w:r>
      </w:hyperlink>
    </w:p>
    <w:p>
      <w:pPr>
        <w:ind w:left="20"/>
        <w:spacing w:after="0"/>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10.10+</w:t>
      </w:r>
      <w:r>
        <w:rPr>
          <w:sz w:val="20"/>
          <w:szCs w:val="20"/>
          <w:color w:val="auto"/>
        </w:rPr>
        <w:tab/>
      </w:r>
      <w:hyperlink r:id="rId372">
        <w:r>
          <w:rPr>
            <w:rFonts w:ascii="Arial" w:cs="Arial" w:eastAsia="Arial" w:hAnsi="Arial"/>
            <w:sz w:val="15"/>
            <w:szCs w:val="15"/>
            <w:u w:val="single" w:color="auto"/>
            <w:color w:val="0000FF"/>
          </w:rPr>
          <w:t>Executive Incentive Compensation Plan.</w:t>
        </w:r>
      </w:hyperlink>
    </w:p>
    <w:p>
      <w:pPr>
        <w:spacing w:after="0" w:line="34" w:lineRule="exact"/>
        <w:rPr>
          <w:sz w:val="20"/>
          <w:szCs w:val="20"/>
          <w:color w:val="auto"/>
        </w:rPr>
      </w:pPr>
    </w:p>
    <w:p>
      <w:pPr>
        <w:ind w:left="40"/>
        <w:spacing w:after="0"/>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10.11+</w:t>
      </w:r>
      <w:r>
        <w:rPr>
          <w:sz w:val="20"/>
          <w:szCs w:val="20"/>
          <w:color w:val="auto"/>
        </w:rPr>
        <w:tab/>
      </w:r>
      <w:hyperlink r:id="rId373">
        <w:r>
          <w:rPr>
            <w:rFonts w:ascii="Arial" w:cs="Arial" w:eastAsia="Arial" w:hAnsi="Arial"/>
            <w:sz w:val="15"/>
            <w:szCs w:val="15"/>
            <w:u w:val="single" w:color="auto"/>
            <w:color w:val="0000FF"/>
          </w:rPr>
          <w:t>CEO Change in Control and Severance Policy</w:t>
        </w:r>
      </w:hyperlink>
    </w:p>
    <w:p>
      <w:pPr>
        <w:spacing w:after="0" w:line="34" w:lineRule="exact"/>
        <w:rPr>
          <w:sz w:val="20"/>
          <w:szCs w:val="20"/>
          <w:color w:val="auto"/>
        </w:rPr>
      </w:pPr>
    </w:p>
    <w:p>
      <w:pPr>
        <w:ind w:left="780" w:right="300" w:hanging="758"/>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10.12+</w:t>
      </w:r>
      <w:r>
        <w:rPr>
          <w:sz w:val="20"/>
          <w:szCs w:val="20"/>
          <w:color w:val="auto"/>
        </w:rPr>
        <w:tab/>
      </w:r>
      <w:hyperlink r:id="rId374">
        <w:r>
          <w:rPr>
            <w:rFonts w:ascii="Arial" w:cs="Arial" w:eastAsia="Arial" w:hAnsi="Arial"/>
            <w:sz w:val="15"/>
            <w:szCs w:val="15"/>
            <w:u w:val="single" w:color="auto"/>
            <w:color w:val="0000FF"/>
          </w:rPr>
          <w:t>Executive Change in Control and Severance Plan (for executives</w:t>
        </w:r>
      </w:hyperlink>
      <w:r>
        <w:rPr>
          <w:rFonts w:ascii="Arial" w:cs="Arial" w:eastAsia="Arial" w:hAnsi="Arial"/>
          <w:sz w:val="15"/>
          <w:szCs w:val="15"/>
          <w:u w:val="single" w:color="auto"/>
          <w:color w:val="0000FF"/>
        </w:rPr>
        <w:t xml:space="preserve"> </w:t>
      </w:r>
      <w:hyperlink r:id="rId374">
        <w:r>
          <w:rPr>
            <w:rFonts w:ascii="Arial" w:cs="Arial" w:eastAsia="Arial" w:hAnsi="Arial"/>
            <w:sz w:val="15"/>
            <w:szCs w:val="15"/>
            <w:u w:val="single" w:color="auto"/>
            <w:color w:val="0000FF"/>
          </w:rPr>
          <w:t>other than the CEO).</w:t>
        </w:r>
      </w:hyperlink>
    </w:p>
    <w:p>
      <w:pPr>
        <w:ind w:left="20"/>
        <w:spacing w:after="0"/>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10.13+</w:t>
      </w:r>
      <w:r>
        <w:rPr>
          <w:sz w:val="20"/>
          <w:szCs w:val="20"/>
          <w:color w:val="auto"/>
        </w:rPr>
        <w:tab/>
      </w:r>
      <w:hyperlink r:id="rId375">
        <w:r>
          <w:rPr>
            <w:rFonts w:ascii="Arial" w:cs="Arial" w:eastAsia="Arial" w:hAnsi="Arial"/>
            <w:sz w:val="15"/>
            <w:szCs w:val="15"/>
            <w:u w:val="single" w:color="auto"/>
            <w:color w:val="0000FF"/>
          </w:rPr>
          <w:t>Outside Director Compensation Policy.</w:t>
        </w:r>
      </w:hyperlink>
    </w:p>
    <w:p>
      <w:pPr>
        <w:spacing w:after="0" w:line="34" w:lineRule="exact"/>
        <w:rPr>
          <w:sz w:val="20"/>
          <w:szCs w:val="20"/>
          <w:color w:val="auto"/>
        </w:rPr>
      </w:pPr>
    </w:p>
    <w:p>
      <w:pPr>
        <w:ind w:left="780" w:right="600" w:hanging="758"/>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10.14+</w:t>
      </w:r>
      <w:r>
        <w:rPr>
          <w:sz w:val="20"/>
          <w:szCs w:val="20"/>
          <w:color w:val="auto"/>
        </w:rPr>
        <w:tab/>
      </w:r>
      <w:hyperlink r:id="rId376">
        <w:r>
          <w:rPr>
            <w:rFonts w:ascii="Arial" w:cs="Arial" w:eastAsia="Arial" w:hAnsi="Arial"/>
            <w:sz w:val="15"/>
            <w:szCs w:val="15"/>
            <w:u w:val="single" w:color="auto"/>
            <w:color w:val="0000FF"/>
          </w:rPr>
          <w:t>Confirmatory Employment Letter between the Registrant and</w:t>
        </w:r>
      </w:hyperlink>
      <w:r>
        <w:rPr>
          <w:rFonts w:ascii="Arial" w:cs="Arial" w:eastAsia="Arial" w:hAnsi="Arial"/>
          <w:sz w:val="15"/>
          <w:szCs w:val="15"/>
          <w:u w:val="single" w:color="auto"/>
          <w:color w:val="0000FF"/>
        </w:rPr>
        <w:t xml:space="preserve"> </w:t>
      </w:r>
      <w:hyperlink r:id="rId376">
        <w:r>
          <w:rPr>
            <w:rFonts w:ascii="Arial" w:cs="Arial" w:eastAsia="Arial" w:hAnsi="Arial"/>
            <w:sz w:val="15"/>
            <w:szCs w:val="15"/>
            <w:u w:val="single" w:color="auto"/>
            <w:color w:val="0000FF"/>
          </w:rPr>
          <w:t>Christopher Gibson, Ph.D.</w:t>
        </w:r>
      </w:hyperlink>
    </w:p>
    <w:p>
      <w:pPr>
        <w:ind w:left="780" w:right="60" w:hanging="758"/>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10.15+</w:t>
      </w:r>
      <w:r>
        <w:rPr>
          <w:sz w:val="20"/>
          <w:szCs w:val="20"/>
          <w:color w:val="auto"/>
        </w:rPr>
        <w:tab/>
      </w:r>
      <w:hyperlink r:id="rId377">
        <w:r>
          <w:rPr>
            <w:rFonts w:ascii="Arial" w:cs="Arial" w:eastAsia="Arial" w:hAnsi="Arial"/>
            <w:sz w:val="15"/>
            <w:szCs w:val="15"/>
            <w:u w:val="single" w:color="auto"/>
            <w:color w:val="0000FF"/>
          </w:rPr>
          <w:t>Employment Offer Letter, dated July 1, 2024, between the Registrant</w:t>
        </w:r>
      </w:hyperlink>
      <w:r>
        <w:rPr>
          <w:rFonts w:ascii="Arial" w:cs="Arial" w:eastAsia="Arial" w:hAnsi="Arial"/>
          <w:sz w:val="15"/>
          <w:szCs w:val="15"/>
          <w:u w:val="single" w:color="auto"/>
          <w:color w:val="0000FF"/>
        </w:rPr>
        <w:t xml:space="preserve"> </w:t>
      </w:r>
      <w:hyperlink r:id="rId377">
        <w:r>
          <w:rPr>
            <w:rFonts w:ascii="Arial" w:cs="Arial" w:eastAsia="Arial" w:hAnsi="Arial"/>
            <w:sz w:val="15"/>
            <w:szCs w:val="15"/>
            <w:u w:val="single" w:color="auto"/>
            <w:color w:val="0000FF"/>
          </w:rPr>
          <w:t>and Dr. Najat Khan, Ph.D.</w:t>
        </w:r>
      </w:hyperlink>
    </w:p>
    <w:p>
      <w:pPr>
        <w:ind w:left="780" w:right="280" w:hanging="758"/>
        <w:spacing w:after="0" w:line="251" w:lineRule="auto"/>
        <w:tabs>
          <w:tab w:leader="none" w:pos="760" w:val="left"/>
        </w:tabs>
        <w:rPr>
          <w:sz w:val="20"/>
          <w:szCs w:val="20"/>
          <w:color w:val="auto"/>
        </w:rPr>
      </w:pPr>
      <w:r>
        <w:rPr>
          <w:rFonts w:ascii="Arial" w:cs="Arial" w:eastAsia="Arial" w:hAnsi="Arial"/>
          <w:sz w:val="15"/>
          <w:szCs w:val="15"/>
          <w:color w:val="auto"/>
        </w:rPr>
        <w:t>10.16+</w:t>
      </w:r>
      <w:r>
        <w:rPr>
          <w:sz w:val="20"/>
          <w:szCs w:val="20"/>
          <w:color w:val="auto"/>
        </w:rPr>
        <w:tab/>
      </w:r>
      <w:r>
        <w:rPr>
          <w:rFonts w:ascii="Arial" w:cs="Arial" w:eastAsia="Arial" w:hAnsi="Arial"/>
          <w:sz w:val="15"/>
          <w:szCs w:val="15"/>
          <w:u w:val="single" w:color="auto"/>
          <w:color w:val="0000FF"/>
        </w:rPr>
        <w:t>Confirmatory Employment Letter between the Registrant and Ben Taylor.</w:t>
      </w:r>
    </w:p>
    <w:p>
      <w:pPr>
        <w:ind w:left="780" w:right="260" w:hanging="758"/>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10.17+</w:t>
      </w:r>
      <w:r>
        <w:rPr>
          <w:sz w:val="20"/>
          <w:szCs w:val="20"/>
          <w:color w:val="auto"/>
        </w:rPr>
        <w:tab/>
      </w:r>
      <w:hyperlink r:id="rId378">
        <w:r>
          <w:rPr>
            <w:rFonts w:ascii="Arial" w:cs="Arial" w:eastAsia="Arial" w:hAnsi="Arial"/>
            <w:sz w:val="15"/>
            <w:szCs w:val="15"/>
            <w:u w:val="single" w:color="auto"/>
            <w:color w:val="0000FF"/>
          </w:rPr>
          <w:t>Confirmatory Employment Letter between the Registrant and Tina</w:t>
        </w:r>
      </w:hyperlink>
      <w:r>
        <w:rPr>
          <w:rFonts w:ascii="Arial" w:cs="Arial" w:eastAsia="Arial" w:hAnsi="Arial"/>
          <w:sz w:val="15"/>
          <w:szCs w:val="15"/>
          <w:u w:val="single" w:color="auto"/>
          <w:color w:val="0000FF"/>
        </w:rPr>
        <w:t xml:space="preserve"> </w:t>
      </w:r>
      <w:hyperlink r:id="rId378">
        <w:r>
          <w:rPr>
            <w:rFonts w:ascii="Arial" w:cs="Arial" w:eastAsia="Arial" w:hAnsi="Arial"/>
            <w:sz w:val="15"/>
            <w:szCs w:val="15"/>
            <w:u w:val="single" w:color="auto"/>
            <w:color w:val="0000FF"/>
          </w:rPr>
          <w:t>Marriott.</w:t>
        </w:r>
      </w:hyperlink>
    </w:p>
    <w:p>
      <w:pPr>
        <w:ind w:left="20"/>
        <w:spacing w:after="0"/>
        <w:tabs>
          <w:tab w:leader="none" w:pos="760" w:val="left"/>
        </w:tabs>
        <w:rPr>
          <w:sz w:val="20"/>
          <w:szCs w:val="20"/>
          <w:color w:val="auto"/>
        </w:rPr>
      </w:pPr>
      <w:r>
        <w:rPr>
          <w:rFonts w:ascii="Arial" w:cs="Arial" w:eastAsia="Arial" w:hAnsi="Arial"/>
          <w:sz w:val="15"/>
          <w:szCs w:val="15"/>
          <w:color w:val="auto"/>
        </w:rPr>
        <w:t>10.18+</w:t>
      </w:r>
      <w:r>
        <w:rPr>
          <w:sz w:val="20"/>
          <w:szCs w:val="20"/>
          <w:color w:val="auto"/>
        </w:rPr>
        <w:tab/>
      </w:r>
      <w:r>
        <w:rPr>
          <w:rFonts w:ascii="Arial" w:cs="Arial" w:eastAsia="Arial" w:hAnsi="Arial"/>
          <w:sz w:val="15"/>
          <w:szCs w:val="15"/>
          <w:u w:val="single" w:color="auto"/>
          <w:color w:val="0000FF"/>
        </w:rPr>
        <w:t>Transition Agreement between the Registrant and Tina Marriott.</w:t>
      </w:r>
    </w:p>
    <w:p>
      <w:pPr>
        <w:spacing w:after="0" w:line="34" w:lineRule="exact"/>
        <w:rPr>
          <w:sz w:val="20"/>
          <w:szCs w:val="20"/>
          <w:color w:val="auto"/>
        </w:rPr>
      </w:pPr>
    </w:p>
    <w:p>
      <w:pPr>
        <w:ind w:left="780" w:right="20" w:hanging="758"/>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10.19+</w:t>
      </w:r>
      <w:r>
        <w:rPr>
          <w:sz w:val="20"/>
          <w:szCs w:val="20"/>
          <w:color w:val="auto"/>
        </w:rPr>
        <w:tab/>
      </w:r>
      <w:hyperlink r:id="rId379">
        <w:r>
          <w:rPr>
            <w:rFonts w:ascii="Arial" w:cs="Arial" w:eastAsia="Arial" w:hAnsi="Arial"/>
            <w:sz w:val="15"/>
            <w:szCs w:val="15"/>
            <w:u w:val="single" w:color="auto"/>
            <w:color w:val="0000FF"/>
          </w:rPr>
          <w:t>Confirmatory Employment Letter between the Registrant and Michael</w:t>
        </w:r>
      </w:hyperlink>
      <w:r>
        <w:rPr>
          <w:rFonts w:ascii="Arial" w:cs="Arial" w:eastAsia="Arial" w:hAnsi="Arial"/>
          <w:sz w:val="15"/>
          <w:szCs w:val="15"/>
          <w:u w:val="single" w:color="auto"/>
          <w:color w:val="0000FF"/>
        </w:rPr>
        <w:t xml:space="preserve"> </w:t>
      </w:r>
      <w:hyperlink r:id="rId379">
        <w:r>
          <w:rPr>
            <w:rFonts w:ascii="Arial" w:cs="Arial" w:eastAsia="Arial" w:hAnsi="Arial"/>
            <w:sz w:val="15"/>
            <w:szCs w:val="15"/>
            <w:u w:val="single" w:color="auto"/>
            <w:color w:val="0000FF"/>
          </w:rPr>
          <w:t>Secora.</w:t>
        </w:r>
      </w:hyperlink>
    </w:p>
    <w:p>
      <w:pPr>
        <w:ind w:left="20"/>
        <w:spacing w:after="0"/>
        <w:tabs>
          <w:tab w:leader="none" w:pos="760" w:val="left"/>
        </w:tabs>
        <w:rPr>
          <w:sz w:val="20"/>
          <w:szCs w:val="20"/>
          <w:color w:val="auto"/>
        </w:rPr>
      </w:pPr>
      <w:r>
        <w:rPr>
          <w:rFonts w:ascii="Arial" w:cs="Arial" w:eastAsia="Arial" w:hAnsi="Arial"/>
          <w:sz w:val="15"/>
          <w:szCs w:val="15"/>
          <w:color w:val="auto"/>
        </w:rPr>
        <w:t>10.20+</w:t>
      </w:r>
      <w:r>
        <w:rPr>
          <w:sz w:val="20"/>
          <w:szCs w:val="20"/>
          <w:color w:val="auto"/>
        </w:rPr>
        <w:tab/>
      </w:r>
      <w:r>
        <w:rPr>
          <w:rFonts w:ascii="Arial" w:cs="Arial" w:eastAsia="Arial" w:hAnsi="Arial"/>
          <w:sz w:val="15"/>
          <w:szCs w:val="15"/>
          <w:u w:val="single" w:color="auto"/>
          <w:color w:val="0000FF"/>
        </w:rPr>
        <w:t>Separation Agreement between the Registrant and Michael Secora.</w:t>
      </w:r>
    </w:p>
    <w:p>
      <w:pPr>
        <w:spacing w:after="0" w:line="34" w:lineRule="exact"/>
        <w:rPr>
          <w:sz w:val="20"/>
          <w:szCs w:val="20"/>
          <w:color w:val="auto"/>
        </w:rPr>
      </w:pPr>
    </w:p>
    <w:p>
      <w:pPr>
        <w:ind w:left="780" w:right="700" w:hanging="758"/>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10.21+</w:t>
      </w:r>
      <w:r>
        <w:rPr>
          <w:sz w:val="20"/>
          <w:szCs w:val="20"/>
          <w:color w:val="auto"/>
        </w:rPr>
        <w:tab/>
      </w:r>
      <w:hyperlink r:id="rId380">
        <w:r>
          <w:rPr>
            <w:rFonts w:ascii="Arial" w:cs="Arial" w:eastAsia="Arial" w:hAnsi="Arial"/>
            <w:sz w:val="15"/>
            <w:szCs w:val="15"/>
            <w:u w:val="single" w:color="auto"/>
            <w:color w:val="0000FF"/>
          </w:rPr>
          <w:t>Employment Offer Letter, dated May 19, 2023, between the</w:t>
        </w:r>
      </w:hyperlink>
      <w:r>
        <w:rPr>
          <w:rFonts w:ascii="Arial" w:cs="Arial" w:eastAsia="Arial" w:hAnsi="Arial"/>
          <w:sz w:val="15"/>
          <w:szCs w:val="15"/>
          <w:u w:val="single" w:color="auto"/>
          <w:color w:val="0000FF"/>
        </w:rPr>
        <w:t xml:space="preserve"> </w:t>
      </w:r>
      <w:hyperlink r:id="rId380">
        <w:r>
          <w:rPr>
            <w:rFonts w:ascii="Arial" w:cs="Arial" w:eastAsia="Arial" w:hAnsi="Arial"/>
            <w:sz w:val="15"/>
            <w:szCs w:val="15"/>
            <w:u w:val="single" w:color="auto"/>
            <w:color w:val="0000FF"/>
          </w:rPr>
          <w:t>Registrant and Dr. David Mauro, M.D., Ph.D.</w:t>
        </w:r>
      </w:hyperlink>
    </w:p>
    <w:p>
      <w:pPr>
        <w:ind w:left="780" w:right="280" w:hanging="758"/>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10.22+</w:t>
      </w:r>
      <w:r>
        <w:rPr>
          <w:sz w:val="20"/>
          <w:szCs w:val="20"/>
          <w:color w:val="auto"/>
        </w:rPr>
        <w:tab/>
      </w:r>
      <w:hyperlink r:id="rId381">
        <w:r>
          <w:rPr>
            <w:rFonts w:ascii="Arial" w:cs="Arial" w:eastAsia="Arial" w:hAnsi="Arial"/>
            <w:sz w:val="15"/>
            <w:szCs w:val="15"/>
            <w:u w:val="single" w:color="auto"/>
            <w:color w:val="0000FF"/>
          </w:rPr>
          <w:t>Form of Exchange Agreement among the Registrant, Christopher</w:t>
        </w:r>
      </w:hyperlink>
      <w:r>
        <w:rPr>
          <w:rFonts w:ascii="Arial" w:cs="Arial" w:eastAsia="Arial" w:hAnsi="Arial"/>
          <w:sz w:val="15"/>
          <w:szCs w:val="15"/>
          <w:u w:val="single" w:color="auto"/>
          <w:color w:val="0000FF"/>
        </w:rPr>
        <w:t xml:space="preserve"> </w:t>
      </w:r>
      <w:hyperlink r:id="rId381">
        <w:r>
          <w:rPr>
            <w:rFonts w:ascii="Arial" w:cs="Arial" w:eastAsia="Arial" w:hAnsi="Arial"/>
            <w:sz w:val="15"/>
            <w:szCs w:val="15"/>
            <w:u w:val="single" w:color="auto"/>
            <w:color w:val="0000FF"/>
          </w:rPr>
          <w:t>Gibson, Ph.D., and entities affiliated with Dr. Gibson.</w:t>
        </w:r>
      </w:hyperlink>
    </w:p>
    <w:p>
      <w:pPr>
        <w:ind w:left="780" w:right="240" w:hanging="758"/>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10.23+</w:t>
      </w:r>
      <w:r>
        <w:rPr>
          <w:sz w:val="20"/>
          <w:szCs w:val="20"/>
          <w:color w:val="auto"/>
        </w:rPr>
        <w:tab/>
      </w:r>
      <w:hyperlink r:id="rId382">
        <w:r>
          <w:rPr>
            <w:rFonts w:ascii="Arial" w:cs="Arial" w:eastAsia="Arial" w:hAnsi="Arial"/>
            <w:sz w:val="15"/>
            <w:szCs w:val="15"/>
            <w:u w:val="single" w:color="auto"/>
            <w:color w:val="0000FF"/>
          </w:rPr>
          <w:t>Form of Equity Exchange Right Agreement among the Registrant,</w:t>
        </w:r>
      </w:hyperlink>
      <w:r>
        <w:rPr>
          <w:rFonts w:ascii="Arial" w:cs="Arial" w:eastAsia="Arial" w:hAnsi="Arial"/>
          <w:sz w:val="15"/>
          <w:szCs w:val="15"/>
          <w:u w:val="single" w:color="auto"/>
          <w:color w:val="0000FF"/>
        </w:rPr>
        <w:t xml:space="preserve"> </w:t>
      </w:r>
      <w:hyperlink r:id="rId382">
        <w:r>
          <w:rPr>
            <w:rFonts w:ascii="Arial" w:cs="Arial" w:eastAsia="Arial" w:hAnsi="Arial"/>
            <w:sz w:val="15"/>
            <w:szCs w:val="15"/>
            <w:u w:val="single" w:color="auto"/>
            <w:color w:val="0000FF"/>
          </w:rPr>
          <w:t>Christopher Gibson, Ph.D., and entities affiliated with Dr. Gibson.</w:t>
        </w:r>
      </w:hyperlink>
    </w:p>
    <w:p>
      <w:pPr>
        <w:ind w:left="20"/>
        <w:spacing w:after="0"/>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10.24+</w:t>
      </w:r>
      <w:r>
        <w:rPr>
          <w:sz w:val="20"/>
          <w:szCs w:val="20"/>
          <w:color w:val="auto"/>
        </w:rPr>
        <w:tab/>
      </w:r>
      <w:hyperlink r:id="rId383">
        <w:r>
          <w:rPr>
            <w:rFonts w:ascii="Arial" w:cs="Arial" w:eastAsia="Arial" w:hAnsi="Arial"/>
            <w:sz w:val="15"/>
            <w:szCs w:val="15"/>
            <w:u w:val="single" w:color="auto"/>
            <w:color w:val="0000FF"/>
          </w:rPr>
          <w:t>Advisory Agreement between the Registrant and Shafique Virani.</w:t>
        </w:r>
      </w:hyperlink>
    </w:p>
    <w:p>
      <w:pPr>
        <w:spacing w:after="0" w:line="34" w:lineRule="exact"/>
        <w:rPr>
          <w:sz w:val="20"/>
          <w:szCs w:val="20"/>
          <w:color w:val="auto"/>
        </w:rPr>
      </w:pPr>
    </w:p>
    <w:p>
      <w:pPr>
        <w:ind w:left="20"/>
        <w:spacing w:after="0"/>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10.25+</w:t>
      </w:r>
      <w:r>
        <w:rPr>
          <w:sz w:val="20"/>
          <w:szCs w:val="20"/>
          <w:color w:val="auto"/>
        </w:rPr>
        <w:tab/>
      </w:r>
      <w:hyperlink r:id="rId384">
        <w:r>
          <w:rPr>
            <w:rFonts w:ascii="Arial" w:cs="Arial" w:eastAsia="Arial" w:hAnsi="Arial"/>
            <w:sz w:val="15"/>
            <w:szCs w:val="15"/>
            <w:u w:val="single" w:color="auto"/>
            <w:color w:val="0000FF"/>
          </w:rPr>
          <w:t>Transition Agreement between the Registrant and Shafique Virani.</w:t>
        </w:r>
      </w:hyperlink>
    </w:p>
    <w:p>
      <w:pPr>
        <w:spacing w:after="0" w:line="34" w:lineRule="exact"/>
        <w:rPr>
          <w:sz w:val="20"/>
          <w:szCs w:val="20"/>
          <w:color w:val="auto"/>
        </w:rPr>
      </w:pPr>
    </w:p>
    <w:p>
      <w:pPr>
        <w:ind w:left="780" w:right="160" w:hanging="712"/>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10.26</w:t>
      </w:r>
      <w:r>
        <w:rPr>
          <w:sz w:val="20"/>
          <w:szCs w:val="20"/>
          <w:color w:val="auto"/>
        </w:rPr>
        <w:tab/>
      </w:r>
      <w:hyperlink r:id="rId385">
        <w:r>
          <w:rPr>
            <w:rFonts w:ascii="Arial" w:cs="Arial" w:eastAsia="Arial" w:hAnsi="Arial"/>
            <w:sz w:val="15"/>
            <w:szCs w:val="15"/>
            <w:u w:val="single" w:color="auto"/>
            <w:color w:val="0000FF"/>
          </w:rPr>
          <w:t>Office Lease by and between Vestar Gateway, LLC and Registrant,</w:t>
        </w:r>
      </w:hyperlink>
      <w:r>
        <w:rPr>
          <w:rFonts w:ascii="Arial" w:cs="Arial" w:eastAsia="Arial" w:hAnsi="Arial"/>
          <w:sz w:val="15"/>
          <w:szCs w:val="15"/>
          <w:u w:val="single" w:color="auto"/>
          <w:color w:val="0000FF"/>
        </w:rPr>
        <w:t xml:space="preserve"> </w:t>
      </w:r>
      <w:hyperlink r:id="rId385">
        <w:r>
          <w:rPr>
            <w:rFonts w:ascii="Arial" w:cs="Arial" w:eastAsia="Arial" w:hAnsi="Arial"/>
            <w:sz w:val="15"/>
            <w:szCs w:val="15"/>
            <w:u w:val="single" w:color="auto"/>
            <w:color w:val="0000FF"/>
          </w:rPr>
          <w:t>dated November 13, 2017, as amended through December 2022.</w:t>
        </w:r>
      </w:hyperlink>
    </w:p>
    <w:p>
      <w:pPr>
        <w:ind w:left="780" w:right="400" w:hanging="792"/>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10.27#^</w:t>
      </w:r>
      <w:r>
        <w:rPr>
          <w:sz w:val="20"/>
          <w:szCs w:val="20"/>
          <w:color w:val="auto"/>
        </w:rPr>
        <w:tab/>
      </w:r>
      <w:hyperlink r:id="rId386">
        <w:r>
          <w:rPr>
            <w:rFonts w:ascii="Arial" w:cs="Arial" w:eastAsia="Arial" w:hAnsi="Arial"/>
            <w:sz w:val="15"/>
            <w:szCs w:val="15"/>
            <w:u w:val="single" w:color="auto"/>
            <w:color w:val="0000FF"/>
          </w:rPr>
          <w:t>Research Collaboration and Option Agreement by and between</w:t>
        </w:r>
      </w:hyperlink>
      <w:r>
        <w:rPr>
          <w:rFonts w:ascii="Arial" w:cs="Arial" w:eastAsia="Arial" w:hAnsi="Arial"/>
          <w:sz w:val="15"/>
          <w:szCs w:val="15"/>
          <w:u w:val="single" w:color="auto"/>
          <w:color w:val="0000FF"/>
        </w:rPr>
        <w:t xml:space="preserve"> </w:t>
      </w:r>
      <w:hyperlink r:id="rId386">
        <w:r>
          <w:rPr>
            <w:rFonts w:ascii="Arial" w:cs="Arial" w:eastAsia="Arial" w:hAnsi="Arial"/>
            <w:sz w:val="15"/>
            <w:szCs w:val="15"/>
            <w:u w:val="single" w:color="auto"/>
            <w:color w:val="0000FF"/>
          </w:rPr>
          <w:t>Bayer AG and the Registrant, dated August 28, 2020.</w:t>
        </w:r>
      </w:hyperlink>
    </w:p>
    <w:p>
      <w:pPr>
        <w:spacing w:after="0"/>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10.28#^</w:t>
      </w:r>
      <w:r>
        <w:rPr>
          <w:sz w:val="20"/>
          <w:szCs w:val="20"/>
          <w:color w:val="auto"/>
        </w:rPr>
        <w:tab/>
      </w:r>
      <w:hyperlink r:id="rId387">
        <w:r>
          <w:rPr>
            <w:rFonts w:ascii="Arial" w:cs="Arial" w:eastAsia="Arial" w:hAnsi="Arial"/>
            <w:sz w:val="15"/>
            <w:szCs w:val="15"/>
            <w:u w:val="single" w:color="auto"/>
            <w:color w:val="0000FF"/>
          </w:rPr>
          <w:t>Bayer Collaboration Expansion Agreement, dated December 1, 2021.</w:t>
        </w:r>
      </w:hyperlink>
    </w:p>
    <w:p>
      <w:pPr>
        <w:spacing w:after="0" w:line="34" w:lineRule="exact"/>
        <w:rPr>
          <w:sz w:val="20"/>
          <w:szCs w:val="20"/>
          <w:color w:val="auto"/>
        </w:rPr>
      </w:pPr>
    </w:p>
    <w:p>
      <w:pPr>
        <w:ind w:left="780" w:right="360" w:hanging="792"/>
        <w:spacing w:after="0" w:line="238"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10.29#^</w:t>
      </w:r>
      <w:r>
        <w:rPr>
          <w:sz w:val="20"/>
          <w:szCs w:val="20"/>
          <w:color w:val="auto"/>
        </w:rPr>
        <w:tab/>
      </w:r>
      <w:hyperlink r:id="rId388">
        <w:r>
          <w:rPr>
            <w:rFonts w:ascii="Arial" w:cs="Arial" w:eastAsia="Arial" w:hAnsi="Arial"/>
            <w:sz w:val="15"/>
            <w:szCs w:val="15"/>
            <w:u w:val="single" w:color="auto"/>
            <w:color w:val="0000FF"/>
          </w:rPr>
          <w:t>Amended and Restated Research Collaboration and Option</w:t>
        </w:r>
      </w:hyperlink>
      <w:r>
        <w:rPr>
          <w:rFonts w:ascii="Arial" w:cs="Arial" w:eastAsia="Arial" w:hAnsi="Arial"/>
          <w:sz w:val="15"/>
          <w:szCs w:val="15"/>
          <w:u w:val="single" w:color="auto"/>
          <w:color w:val="0000FF"/>
        </w:rPr>
        <w:t xml:space="preserve"> </w:t>
      </w:r>
      <w:hyperlink r:id="rId388">
        <w:r>
          <w:rPr>
            <w:rFonts w:ascii="Arial" w:cs="Arial" w:eastAsia="Arial" w:hAnsi="Arial"/>
            <w:sz w:val="15"/>
            <w:szCs w:val="15"/>
            <w:u w:val="single" w:color="auto"/>
            <w:color w:val="0000FF"/>
          </w:rPr>
          <w:t>Agreement by and between Bayer AG and the Registrant, dated</w:t>
        </w:r>
      </w:hyperlink>
      <w:r>
        <w:rPr>
          <w:rFonts w:ascii="Arial" w:cs="Arial" w:eastAsia="Arial" w:hAnsi="Arial"/>
          <w:sz w:val="15"/>
          <w:szCs w:val="15"/>
          <w:u w:val="single" w:color="auto"/>
          <w:color w:val="0000FF"/>
        </w:rPr>
        <w:t xml:space="preserve"> </w:t>
      </w:r>
      <w:hyperlink r:id="rId388">
        <w:r>
          <w:rPr>
            <w:rFonts w:ascii="Arial" w:cs="Arial" w:eastAsia="Arial" w:hAnsi="Arial"/>
            <w:sz w:val="15"/>
            <w:szCs w:val="15"/>
            <w:u w:val="single" w:color="auto"/>
            <w:color w:val="0000FF"/>
          </w:rPr>
          <w:t>November 8, 2023.</w:t>
        </w:r>
      </w:hyperlink>
    </w:p>
    <w:p>
      <w:pPr>
        <w:spacing w:after="0" w:line="3" w:lineRule="exact"/>
        <w:rPr>
          <w:rFonts w:ascii="Arial" w:cs="Arial" w:eastAsia="Arial" w:hAnsi="Arial"/>
          <w:sz w:val="15"/>
          <w:szCs w:val="15"/>
          <w:u w:val="single" w:color="auto"/>
          <w:color w:val="0000FF"/>
        </w:rPr>
      </w:pPr>
    </w:p>
    <w:p>
      <w:pPr>
        <w:ind w:left="780" w:right="120" w:hanging="792"/>
        <w:spacing w:after="0"/>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10.30#^</w:t>
      </w:r>
      <w:r>
        <w:rPr>
          <w:sz w:val="20"/>
          <w:szCs w:val="20"/>
          <w:color w:val="auto"/>
        </w:rPr>
        <w:tab/>
      </w:r>
      <w:hyperlink r:id="rId389">
        <w:r>
          <w:rPr>
            <w:rFonts w:ascii="Arial" w:cs="Arial" w:eastAsia="Arial" w:hAnsi="Arial"/>
            <w:sz w:val="15"/>
            <w:szCs w:val="15"/>
            <w:u w:val="single" w:color="auto"/>
            <w:color w:val="0000FF"/>
          </w:rPr>
          <w:t>Amended and Restated License Agreement between the Registrant</w:t>
        </w:r>
      </w:hyperlink>
      <w:r>
        <w:rPr>
          <w:rFonts w:ascii="Arial" w:cs="Arial" w:eastAsia="Arial" w:hAnsi="Arial"/>
          <w:sz w:val="15"/>
          <w:szCs w:val="15"/>
          <w:u w:val="single" w:color="auto"/>
          <w:color w:val="0000FF"/>
        </w:rPr>
        <w:t xml:space="preserve"> </w:t>
      </w:r>
      <w:hyperlink r:id="rId389">
        <w:r>
          <w:rPr>
            <w:rFonts w:ascii="Arial" w:cs="Arial" w:eastAsia="Arial" w:hAnsi="Arial"/>
            <w:sz w:val="15"/>
            <w:szCs w:val="15"/>
            <w:u w:val="single" w:color="auto"/>
            <w:color w:val="0000FF"/>
          </w:rPr>
          <w:t>and University of Utah Research Foundation, dated February 9,</w:t>
        </w:r>
      </w:hyperlink>
      <w:r>
        <w:rPr>
          <w:rFonts w:ascii="Arial" w:cs="Arial" w:eastAsia="Arial" w:hAnsi="Arial"/>
          <w:sz w:val="15"/>
          <w:szCs w:val="15"/>
          <w:u w:val="single" w:color="auto"/>
          <w:color w:val="0000FF"/>
        </w:rPr>
        <w:t xml:space="preserve"> </w:t>
      </w:r>
      <w:hyperlink r:id="rId389">
        <w:r>
          <w:rPr>
            <w:rFonts w:ascii="Arial" w:cs="Arial" w:eastAsia="Arial" w:hAnsi="Arial"/>
            <w:sz w:val="15"/>
            <w:szCs w:val="15"/>
            <w:u w:val="single" w:color="auto"/>
            <w:color w:val="0000FF"/>
          </w:rPr>
          <w:t>2016.</w:t>
        </w:r>
      </w:hyperlink>
    </w:p>
    <w:p>
      <w:pPr>
        <w:spacing w:after="0" w:line="171" w:lineRule="exact"/>
        <w:rPr>
          <w:rFonts w:ascii="Arial" w:cs="Arial" w:eastAsia="Arial" w:hAnsi="Arial"/>
          <w:sz w:val="15"/>
          <w:szCs w:val="15"/>
          <w:u w:val="single" w:color="auto"/>
          <w:color w:val="0000FF"/>
        </w:rPr>
      </w:pPr>
    </w:p>
    <w:p>
      <w:pPr>
        <w:ind w:left="780" w:right="560" w:hanging="792"/>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10.31#^</w:t>
      </w:r>
      <w:r>
        <w:rPr>
          <w:sz w:val="20"/>
          <w:szCs w:val="20"/>
          <w:color w:val="auto"/>
        </w:rPr>
        <w:tab/>
      </w:r>
      <w:hyperlink r:id="rId390">
        <w:r>
          <w:rPr>
            <w:rFonts w:ascii="Arial" w:cs="Arial" w:eastAsia="Arial" w:hAnsi="Arial"/>
            <w:sz w:val="15"/>
            <w:szCs w:val="15"/>
            <w:u w:val="single" w:color="auto"/>
            <w:color w:val="0000FF"/>
          </w:rPr>
          <w:t>Exclusive License Agreement between Ohio State Innovation</w:t>
        </w:r>
      </w:hyperlink>
      <w:r>
        <w:rPr>
          <w:rFonts w:ascii="Arial" w:cs="Arial" w:eastAsia="Arial" w:hAnsi="Arial"/>
          <w:sz w:val="15"/>
          <w:szCs w:val="15"/>
          <w:u w:val="single" w:color="auto"/>
          <w:color w:val="0000FF"/>
        </w:rPr>
        <w:t xml:space="preserve"> </w:t>
      </w:r>
      <w:hyperlink r:id="rId390">
        <w:r>
          <w:rPr>
            <w:rFonts w:ascii="Arial" w:cs="Arial" w:eastAsia="Arial" w:hAnsi="Arial"/>
            <w:sz w:val="15"/>
            <w:szCs w:val="15"/>
            <w:u w:val="single" w:color="auto"/>
            <w:color w:val="0000FF"/>
          </w:rPr>
          <w:t>Foundation and Registrant, dated December 21, 2018.</w:t>
        </w:r>
      </w:hyperlink>
    </w:p>
    <w:p>
      <w:pPr>
        <w:ind w:left="780" w:right="640" w:hanging="792"/>
        <w:spacing w:after="0" w:line="251"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10.32#^</w:t>
      </w:r>
      <w:r>
        <w:rPr>
          <w:sz w:val="20"/>
          <w:szCs w:val="20"/>
          <w:color w:val="auto"/>
        </w:rPr>
        <w:tab/>
      </w:r>
      <w:hyperlink r:id="rId391">
        <w:r>
          <w:rPr>
            <w:rFonts w:ascii="Arial" w:cs="Arial" w:eastAsia="Arial" w:hAnsi="Arial"/>
            <w:sz w:val="15"/>
            <w:szCs w:val="15"/>
            <w:u w:val="single" w:color="auto"/>
            <w:color w:val="0000FF"/>
          </w:rPr>
          <w:t>License Agreement by and between Takeda Pharmaceutical</w:t>
        </w:r>
      </w:hyperlink>
      <w:r>
        <w:rPr>
          <w:rFonts w:ascii="Arial" w:cs="Arial" w:eastAsia="Arial" w:hAnsi="Arial"/>
          <w:sz w:val="15"/>
          <w:szCs w:val="15"/>
          <w:u w:val="single" w:color="auto"/>
          <w:color w:val="0000FF"/>
        </w:rPr>
        <w:t xml:space="preserve"> </w:t>
      </w:r>
      <w:hyperlink r:id="rId391">
        <w:r>
          <w:rPr>
            <w:rFonts w:ascii="Arial" w:cs="Arial" w:eastAsia="Arial" w:hAnsi="Arial"/>
            <w:sz w:val="15"/>
            <w:szCs w:val="15"/>
            <w:u w:val="single" w:color="auto"/>
            <w:color w:val="0000FF"/>
          </w:rPr>
          <w:t>Company Limited and Registrant, dated May 1, 2020.</w:t>
        </w:r>
      </w:hyperlink>
    </w:p>
    <w:p>
      <w:pPr>
        <w:spacing w:after="0" w:line="235"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10.33#^</w:t>
      </w:r>
      <w:r>
        <w:rPr>
          <w:sz w:val="20"/>
          <w:szCs w:val="20"/>
          <w:color w:val="auto"/>
        </w:rPr>
        <w:tab/>
      </w:r>
      <w:hyperlink r:id="rId392">
        <w:r>
          <w:rPr>
            <w:rFonts w:ascii="Arial" w:cs="Arial" w:eastAsia="Arial" w:hAnsi="Arial"/>
            <w:sz w:val="15"/>
            <w:szCs w:val="15"/>
            <w:u w:val="single" w:color="auto"/>
            <w:color w:val="0000FF"/>
          </w:rPr>
          <w:t>Roche Collaboration and License Agreement, dated December 5,</w:t>
        </w:r>
      </w:hyperlink>
    </w:p>
    <w:p>
      <w:pPr>
        <w:ind w:left="780"/>
        <w:spacing w:after="0"/>
        <w:rPr>
          <w:rFonts w:ascii="Arial" w:cs="Arial" w:eastAsia="Arial" w:hAnsi="Arial"/>
          <w:sz w:val="15"/>
          <w:szCs w:val="15"/>
          <w:u w:val="single" w:color="auto"/>
          <w:color w:val="0000FF"/>
        </w:rPr>
      </w:pPr>
      <w:hyperlink r:id="rId392">
        <w:r>
          <w:rPr>
            <w:rFonts w:ascii="Arial" w:cs="Arial" w:eastAsia="Arial" w:hAnsi="Arial"/>
            <w:sz w:val="15"/>
            <w:szCs w:val="15"/>
            <w:u w:val="single" w:color="auto"/>
            <w:color w:val="0000FF"/>
          </w:rPr>
          <w:t>2021.</w:t>
        </w:r>
      </w:hyperlink>
    </w:p>
    <w:p>
      <w:pPr>
        <w:spacing w:after="0" w:line="20" w:lineRule="exact"/>
        <w:rPr>
          <w:sz w:val="20"/>
          <w:szCs w:val="20"/>
          <w:color w:val="auto"/>
        </w:rPr>
      </w:pPr>
    </w:p>
    <w:p>
      <w:pPr>
        <w:ind w:left="780" w:right="340" w:hanging="792"/>
        <w:spacing w:after="0" w:line="259" w:lineRule="auto"/>
        <w:tabs>
          <w:tab w:leader="none" w:pos="760" w:val="left"/>
        </w:tabs>
        <w:rPr>
          <w:rFonts w:ascii="Arial" w:cs="Arial" w:eastAsia="Arial" w:hAnsi="Arial"/>
          <w:sz w:val="15"/>
          <w:szCs w:val="15"/>
          <w:u w:val="single" w:color="auto"/>
          <w:color w:val="0000FF"/>
        </w:rPr>
      </w:pPr>
      <w:r>
        <w:rPr>
          <w:rFonts w:ascii="Arial" w:cs="Arial" w:eastAsia="Arial" w:hAnsi="Arial"/>
          <w:sz w:val="15"/>
          <w:szCs w:val="15"/>
          <w:color w:val="auto"/>
        </w:rPr>
        <w:t>10.34#^</w:t>
      </w:r>
      <w:r>
        <w:rPr>
          <w:sz w:val="20"/>
          <w:szCs w:val="20"/>
          <w:color w:val="auto"/>
        </w:rPr>
        <w:tab/>
      </w:r>
      <w:hyperlink r:id="rId393">
        <w:r>
          <w:rPr>
            <w:rFonts w:ascii="Arial" w:cs="Arial" w:eastAsia="Arial" w:hAnsi="Arial"/>
            <w:sz w:val="15"/>
            <w:szCs w:val="15"/>
            <w:u w:val="single" w:color="auto"/>
            <w:color w:val="0000FF"/>
          </w:rPr>
          <w:t>Master Agreement between the Company and Tempus Labs, Inc</w:t>
        </w:r>
      </w:hyperlink>
      <w:r>
        <w:rPr>
          <w:rFonts w:ascii="Arial" w:cs="Arial" w:eastAsia="Arial" w:hAnsi="Arial"/>
          <w:sz w:val="15"/>
          <w:szCs w:val="15"/>
          <w:u w:val="single" w:color="auto"/>
          <w:color w:val="0000FF"/>
        </w:rPr>
        <w:t xml:space="preserve"> </w:t>
      </w:r>
      <w:hyperlink r:id="rId393">
        <w:r>
          <w:rPr>
            <w:rFonts w:ascii="Arial" w:cs="Arial" w:eastAsia="Arial" w:hAnsi="Arial"/>
            <w:sz w:val="15"/>
            <w:szCs w:val="15"/>
            <w:u w:val="single" w:color="auto"/>
            <w:color w:val="0000FF"/>
          </w:rPr>
          <w:t>dated November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626110</wp:posOffset>
            </wp:positionV>
            <wp:extent cx="7164070"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600" w:type="dxa"/>
            <w:vAlign w:val="bottom"/>
          </w:tcPr>
          <w:p>
            <w:pPr>
              <w:jc w:val="center"/>
              <w:ind w:right="123"/>
              <w:spacing w:after="0"/>
              <w:rPr>
                <w:sz w:val="20"/>
                <w:szCs w:val="20"/>
                <w:color w:val="auto"/>
              </w:rPr>
            </w:pPr>
            <w:r>
              <w:rPr>
                <w:rFonts w:ascii="Arial" w:cs="Arial" w:eastAsia="Arial" w:hAnsi="Arial"/>
                <w:sz w:val="15"/>
                <w:szCs w:val="15"/>
                <w:color w:val="auto"/>
              </w:rPr>
              <w:t>S-8</w:t>
            </w:r>
          </w:p>
        </w:tc>
        <w:tc>
          <w:tcPr>
            <w:tcW w:w="1240" w:type="dxa"/>
            <w:vAlign w:val="bottom"/>
          </w:tcPr>
          <w:p>
            <w:pPr>
              <w:jc w:val="center"/>
              <w:spacing w:after="0"/>
              <w:rPr>
                <w:sz w:val="20"/>
                <w:szCs w:val="20"/>
                <w:color w:val="auto"/>
              </w:rPr>
            </w:pPr>
            <w:r>
              <w:rPr>
                <w:rFonts w:ascii="Arial" w:cs="Arial" w:eastAsia="Arial" w:hAnsi="Arial"/>
                <w:sz w:val="15"/>
                <w:szCs w:val="15"/>
                <w:color w:val="auto"/>
              </w:rPr>
              <w:t>333-283347</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4.5</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November 20, 2024</w:t>
            </w:r>
          </w:p>
        </w:tc>
      </w:tr>
      <w:tr>
        <w:trPr>
          <w:trHeight w:val="361"/>
        </w:trPr>
        <w:tc>
          <w:tcPr>
            <w:tcW w:w="600" w:type="dxa"/>
            <w:vAlign w:val="bottom"/>
          </w:tcPr>
          <w:p>
            <w:pPr>
              <w:jc w:val="center"/>
              <w:ind w:right="123"/>
              <w:spacing w:after="0"/>
              <w:rPr>
                <w:sz w:val="20"/>
                <w:szCs w:val="20"/>
                <w:color w:val="auto"/>
              </w:rPr>
            </w:pPr>
            <w:r>
              <w:rPr>
                <w:rFonts w:ascii="Arial" w:cs="Arial" w:eastAsia="Arial" w:hAnsi="Arial"/>
                <w:sz w:val="15"/>
                <w:szCs w:val="15"/>
                <w:color w:val="auto"/>
              </w:rPr>
              <w:t>S-8</w:t>
            </w:r>
          </w:p>
        </w:tc>
        <w:tc>
          <w:tcPr>
            <w:tcW w:w="1240" w:type="dxa"/>
            <w:vAlign w:val="bottom"/>
          </w:tcPr>
          <w:p>
            <w:pPr>
              <w:jc w:val="center"/>
              <w:spacing w:after="0"/>
              <w:rPr>
                <w:sz w:val="20"/>
                <w:szCs w:val="20"/>
                <w:color w:val="auto"/>
              </w:rPr>
            </w:pPr>
            <w:r>
              <w:rPr>
                <w:rFonts w:ascii="Arial" w:cs="Arial" w:eastAsia="Arial" w:hAnsi="Arial"/>
                <w:sz w:val="15"/>
                <w:szCs w:val="15"/>
                <w:color w:val="auto"/>
              </w:rPr>
              <w:t>333-272282</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4.4</w:t>
            </w:r>
          </w:p>
        </w:tc>
        <w:tc>
          <w:tcPr>
            <w:tcW w:w="2180" w:type="dxa"/>
            <w:vAlign w:val="bottom"/>
          </w:tcPr>
          <w:p>
            <w:pPr>
              <w:jc w:val="center"/>
              <w:ind w:right="443"/>
              <w:spacing w:after="0"/>
              <w:rPr>
                <w:sz w:val="20"/>
                <w:szCs w:val="20"/>
                <w:color w:val="auto"/>
              </w:rPr>
            </w:pPr>
            <w:r>
              <w:rPr>
                <w:rFonts w:ascii="Arial" w:cs="Arial" w:eastAsia="Arial" w:hAnsi="Arial"/>
                <w:sz w:val="15"/>
                <w:szCs w:val="15"/>
                <w:color w:val="auto"/>
              </w:rPr>
              <w:t>May 30, 2023</w:t>
            </w:r>
          </w:p>
        </w:tc>
      </w:tr>
      <w:tr>
        <w:trPr>
          <w:trHeight w:val="206"/>
        </w:trPr>
        <w:tc>
          <w:tcPr>
            <w:tcW w:w="600" w:type="dxa"/>
            <w:vAlign w:val="bottom"/>
          </w:tcPr>
          <w:p>
            <w:pPr>
              <w:jc w:val="center"/>
              <w:ind w:right="123"/>
              <w:spacing w:after="0"/>
              <w:rPr>
                <w:sz w:val="20"/>
                <w:szCs w:val="20"/>
                <w:color w:val="auto"/>
              </w:rPr>
            </w:pPr>
            <w:r>
              <w:rPr>
                <w:rFonts w:ascii="Arial" w:cs="Arial" w:eastAsia="Arial" w:hAnsi="Arial"/>
                <w:sz w:val="15"/>
                <w:szCs w:val="15"/>
                <w:color w:val="auto"/>
              </w:rPr>
              <w:t>S-8</w:t>
            </w:r>
          </w:p>
        </w:tc>
        <w:tc>
          <w:tcPr>
            <w:tcW w:w="1240" w:type="dxa"/>
            <w:vAlign w:val="bottom"/>
          </w:tcPr>
          <w:p>
            <w:pPr>
              <w:jc w:val="center"/>
              <w:spacing w:after="0"/>
              <w:rPr>
                <w:sz w:val="20"/>
                <w:szCs w:val="20"/>
                <w:color w:val="auto"/>
              </w:rPr>
            </w:pPr>
            <w:r>
              <w:rPr>
                <w:rFonts w:ascii="Arial" w:cs="Arial" w:eastAsia="Arial" w:hAnsi="Arial"/>
                <w:sz w:val="15"/>
                <w:szCs w:val="15"/>
                <w:color w:val="auto"/>
              </w:rPr>
              <w:t>333-272027</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4.4</w:t>
            </w:r>
          </w:p>
        </w:tc>
        <w:tc>
          <w:tcPr>
            <w:tcW w:w="2180" w:type="dxa"/>
            <w:vAlign w:val="bottom"/>
          </w:tcPr>
          <w:p>
            <w:pPr>
              <w:jc w:val="center"/>
              <w:ind w:right="443"/>
              <w:spacing w:after="0"/>
              <w:rPr>
                <w:sz w:val="20"/>
                <w:szCs w:val="20"/>
                <w:color w:val="auto"/>
              </w:rPr>
            </w:pPr>
            <w:r>
              <w:rPr>
                <w:rFonts w:ascii="Arial" w:cs="Arial" w:eastAsia="Arial" w:hAnsi="Arial"/>
                <w:sz w:val="15"/>
                <w:szCs w:val="15"/>
                <w:color w:val="auto"/>
              </w:rPr>
              <w:t>May 18, 2023</w:t>
            </w:r>
          </w:p>
        </w:tc>
      </w:tr>
      <w:tr>
        <w:trPr>
          <w:trHeight w:val="361"/>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spacing w:after="0"/>
              <w:rPr>
                <w:sz w:val="20"/>
                <w:szCs w:val="20"/>
                <w:color w:val="auto"/>
              </w:rPr>
            </w:pPr>
            <w:r>
              <w:rPr>
                <w:rFonts w:ascii="Arial" w:cs="Arial" w:eastAsia="Arial" w:hAnsi="Arial"/>
                <w:sz w:val="15"/>
                <w:szCs w:val="15"/>
                <w:color w:val="auto"/>
              </w:rPr>
              <w:t>10.20</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206"/>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spacing w:after="0"/>
              <w:rPr>
                <w:sz w:val="20"/>
                <w:szCs w:val="20"/>
                <w:color w:val="auto"/>
              </w:rPr>
            </w:pPr>
            <w:r>
              <w:rPr>
                <w:rFonts w:ascii="Arial" w:cs="Arial" w:eastAsia="Arial" w:hAnsi="Arial"/>
                <w:sz w:val="15"/>
                <w:szCs w:val="15"/>
                <w:color w:val="auto"/>
              </w:rPr>
              <w:t>10.21</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206"/>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spacing w:after="0"/>
              <w:rPr>
                <w:sz w:val="20"/>
                <w:szCs w:val="20"/>
                <w:color w:val="auto"/>
              </w:rPr>
            </w:pPr>
            <w:r>
              <w:rPr>
                <w:rFonts w:ascii="Arial" w:cs="Arial" w:eastAsia="Arial" w:hAnsi="Arial"/>
                <w:sz w:val="15"/>
                <w:szCs w:val="15"/>
                <w:color w:val="auto"/>
              </w:rPr>
              <w:t>10.10</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361"/>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10.11</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206"/>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ind w:left="3"/>
              <w:spacing w:after="0"/>
              <w:rPr>
                <w:sz w:val="20"/>
                <w:szCs w:val="20"/>
                <w:color w:val="auto"/>
              </w:rPr>
            </w:pPr>
            <w:r>
              <w:rPr>
                <w:rFonts w:ascii="Arial" w:cs="Arial" w:eastAsia="Arial" w:hAnsi="Arial"/>
                <w:sz w:val="15"/>
                <w:szCs w:val="15"/>
                <w:color w:val="auto"/>
              </w:rPr>
              <w:t>10.5</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361"/>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10-Q</w:t>
            </w:r>
          </w:p>
        </w:tc>
        <w:tc>
          <w:tcPr>
            <w:tcW w:w="124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00" w:type="dxa"/>
            <w:vAlign w:val="bottom"/>
          </w:tcPr>
          <w:p>
            <w:pPr>
              <w:jc w:val="center"/>
              <w:ind w:left="3"/>
              <w:spacing w:after="0"/>
              <w:rPr>
                <w:sz w:val="20"/>
                <w:szCs w:val="20"/>
                <w:color w:val="auto"/>
              </w:rPr>
            </w:pPr>
            <w:r>
              <w:rPr>
                <w:rFonts w:ascii="Arial" w:cs="Arial" w:eastAsia="Arial" w:hAnsi="Arial"/>
                <w:sz w:val="15"/>
                <w:szCs w:val="15"/>
                <w:color w:val="auto"/>
              </w:rPr>
              <w:t>10.1</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August 8, 2024</w:t>
            </w:r>
          </w:p>
        </w:tc>
      </w:tr>
      <w:tr>
        <w:trPr>
          <w:trHeight w:val="361"/>
        </w:trPr>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80"/>
              <w:spacing w:after="0"/>
              <w:rPr>
                <w:sz w:val="20"/>
                <w:szCs w:val="20"/>
                <w:color w:val="auto"/>
              </w:rPr>
            </w:pPr>
            <w:r>
              <w:rPr>
                <w:rFonts w:ascii="Arial" w:cs="Arial" w:eastAsia="Arial" w:hAnsi="Arial"/>
                <w:sz w:val="15"/>
                <w:szCs w:val="15"/>
                <w:color w:val="auto"/>
                <w:w w:val="79"/>
              </w:rPr>
              <w:t>X</w:t>
            </w:r>
          </w:p>
        </w:tc>
      </w:tr>
      <w:tr>
        <w:trPr>
          <w:trHeight w:val="361"/>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ind w:left="3"/>
              <w:spacing w:after="0"/>
              <w:rPr>
                <w:sz w:val="20"/>
                <w:szCs w:val="20"/>
                <w:color w:val="auto"/>
              </w:rPr>
            </w:pPr>
            <w:r>
              <w:rPr>
                <w:rFonts w:ascii="Arial" w:cs="Arial" w:eastAsia="Arial" w:hAnsi="Arial"/>
                <w:sz w:val="15"/>
                <w:szCs w:val="15"/>
                <w:color w:val="auto"/>
              </w:rPr>
              <w:t>10.7</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361"/>
        </w:trPr>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80"/>
              <w:spacing w:after="0"/>
              <w:rPr>
                <w:sz w:val="20"/>
                <w:szCs w:val="20"/>
                <w:color w:val="auto"/>
              </w:rPr>
            </w:pPr>
            <w:r>
              <w:rPr>
                <w:rFonts w:ascii="Arial" w:cs="Arial" w:eastAsia="Arial" w:hAnsi="Arial"/>
                <w:sz w:val="15"/>
                <w:szCs w:val="15"/>
                <w:color w:val="auto"/>
                <w:w w:val="79"/>
              </w:rPr>
              <w:t>X</w:t>
            </w:r>
          </w:p>
        </w:tc>
      </w:tr>
      <w:tr>
        <w:trPr>
          <w:trHeight w:val="206"/>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ind w:left="3"/>
              <w:spacing w:after="0"/>
              <w:rPr>
                <w:sz w:val="20"/>
                <w:szCs w:val="20"/>
                <w:color w:val="auto"/>
              </w:rPr>
            </w:pPr>
            <w:r>
              <w:rPr>
                <w:rFonts w:ascii="Arial" w:cs="Arial" w:eastAsia="Arial" w:hAnsi="Arial"/>
                <w:sz w:val="15"/>
                <w:szCs w:val="15"/>
                <w:color w:val="auto"/>
              </w:rPr>
              <w:t>10.8</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361"/>
        </w:trPr>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80"/>
              <w:spacing w:after="0"/>
              <w:rPr>
                <w:sz w:val="20"/>
                <w:szCs w:val="20"/>
                <w:color w:val="auto"/>
              </w:rPr>
            </w:pPr>
            <w:r>
              <w:rPr>
                <w:rFonts w:ascii="Arial" w:cs="Arial" w:eastAsia="Arial" w:hAnsi="Arial"/>
                <w:sz w:val="15"/>
                <w:szCs w:val="15"/>
                <w:color w:val="auto"/>
                <w:w w:val="79"/>
              </w:rPr>
              <w:t>X</w:t>
            </w:r>
          </w:p>
        </w:tc>
      </w:tr>
      <w:tr>
        <w:trPr>
          <w:trHeight w:val="206"/>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10-Q</w:t>
            </w:r>
          </w:p>
        </w:tc>
        <w:tc>
          <w:tcPr>
            <w:tcW w:w="124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00" w:type="dxa"/>
            <w:vAlign w:val="bottom"/>
          </w:tcPr>
          <w:p>
            <w:pPr>
              <w:jc w:val="center"/>
              <w:ind w:left="3"/>
              <w:spacing w:after="0"/>
              <w:rPr>
                <w:sz w:val="20"/>
                <w:szCs w:val="20"/>
                <w:color w:val="auto"/>
              </w:rPr>
            </w:pPr>
            <w:r>
              <w:rPr>
                <w:rFonts w:ascii="Arial" w:cs="Arial" w:eastAsia="Arial" w:hAnsi="Arial"/>
                <w:sz w:val="15"/>
                <w:szCs w:val="15"/>
                <w:color w:val="auto"/>
              </w:rPr>
              <w:t>10.1</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August 8, 2023</w:t>
            </w:r>
          </w:p>
        </w:tc>
      </w:tr>
      <w:tr>
        <w:trPr>
          <w:trHeight w:val="361"/>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spacing w:after="0"/>
              <w:rPr>
                <w:sz w:val="20"/>
                <w:szCs w:val="20"/>
                <w:color w:val="auto"/>
              </w:rPr>
            </w:pPr>
            <w:r>
              <w:rPr>
                <w:rFonts w:ascii="Arial" w:cs="Arial" w:eastAsia="Arial" w:hAnsi="Arial"/>
                <w:sz w:val="15"/>
                <w:szCs w:val="15"/>
                <w:color w:val="auto"/>
              </w:rPr>
              <w:t>10.22</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361"/>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spacing w:after="0"/>
              <w:rPr>
                <w:sz w:val="20"/>
                <w:szCs w:val="20"/>
                <w:color w:val="auto"/>
              </w:rPr>
            </w:pPr>
            <w:r>
              <w:rPr>
                <w:rFonts w:ascii="Arial" w:cs="Arial" w:eastAsia="Arial" w:hAnsi="Arial"/>
                <w:sz w:val="15"/>
                <w:szCs w:val="15"/>
                <w:color w:val="auto"/>
              </w:rPr>
              <w:t>10.23</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361"/>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10-Q</w:t>
            </w:r>
          </w:p>
        </w:tc>
        <w:tc>
          <w:tcPr>
            <w:tcW w:w="124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00" w:type="dxa"/>
            <w:vAlign w:val="bottom"/>
          </w:tcPr>
          <w:p>
            <w:pPr>
              <w:jc w:val="center"/>
              <w:ind w:left="3"/>
              <w:spacing w:after="0"/>
              <w:rPr>
                <w:sz w:val="20"/>
                <w:szCs w:val="20"/>
                <w:color w:val="auto"/>
              </w:rPr>
            </w:pPr>
            <w:r>
              <w:rPr>
                <w:rFonts w:ascii="Arial" w:cs="Arial" w:eastAsia="Arial" w:hAnsi="Arial"/>
                <w:sz w:val="15"/>
                <w:szCs w:val="15"/>
                <w:color w:val="auto"/>
              </w:rPr>
              <w:t>10.1</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May 5, 2024</w:t>
            </w:r>
          </w:p>
        </w:tc>
      </w:tr>
      <w:tr>
        <w:trPr>
          <w:trHeight w:val="206"/>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10-Q</w:t>
            </w:r>
          </w:p>
        </w:tc>
        <w:tc>
          <w:tcPr>
            <w:tcW w:w="124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00" w:type="dxa"/>
            <w:vAlign w:val="bottom"/>
          </w:tcPr>
          <w:p>
            <w:pPr>
              <w:jc w:val="center"/>
              <w:ind w:left="3"/>
              <w:spacing w:after="0"/>
              <w:rPr>
                <w:sz w:val="20"/>
                <w:szCs w:val="20"/>
                <w:color w:val="auto"/>
              </w:rPr>
            </w:pPr>
            <w:r>
              <w:rPr>
                <w:rFonts w:ascii="Arial" w:cs="Arial" w:eastAsia="Arial" w:hAnsi="Arial"/>
                <w:sz w:val="15"/>
                <w:szCs w:val="15"/>
                <w:color w:val="auto"/>
              </w:rPr>
              <w:t>10.2</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May 5, 2024</w:t>
            </w:r>
          </w:p>
        </w:tc>
      </w:tr>
      <w:tr>
        <w:trPr>
          <w:trHeight w:val="206"/>
        </w:trPr>
        <w:tc>
          <w:tcPr>
            <w:tcW w:w="600" w:type="dxa"/>
            <w:vAlign w:val="bottom"/>
          </w:tcPr>
          <w:p>
            <w:pPr>
              <w:jc w:val="center"/>
              <w:ind w:right="123"/>
              <w:spacing w:after="0"/>
              <w:rPr>
                <w:sz w:val="20"/>
                <w:szCs w:val="20"/>
                <w:color w:val="auto"/>
              </w:rPr>
            </w:pPr>
            <w:r>
              <w:rPr>
                <w:rFonts w:ascii="Arial" w:cs="Arial" w:eastAsia="Arial" w:hAnsi="Arial"/>
                <w:sz w:val="15"/>
                <w:szCs w:val="15"/>
                <w:color w:val="auto"/>
              </w:rPr>
              <w:t>10-K</w:t>
            </w:r>
          </w:p>
        </w:tc>
        <w:tc>
          <w:tcPr>
            <w:tcW w:w="124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00" w:type="dxa"/>
            <w:vAlign w:val="bottom"/>
          </w:tcPr>
          <w:p>
            <w:pPr>
              <w:jc w:val="center"/>
              <w:ind w:left="3"/>
              <w:spacing w:after="0"/>
              <w:rPr>
                <w:sz w:val="20"/>
                <w:szCs w:val="20"/>
                <w:color w:val="auto"/>
              </w:rPr>
            </w:pPr>
            <w:r>
              <w:rPr>
                <w:rFonts w:ascii="Arial" w:cs="Arial" w:eastAsia="Arial" w:hAnsi="Arial"/>
                <w:sz w:val="15"/>
                <w:szCs w:val="15"/>
                <w:color w:val="auto"/>
              </w:rPr>
              <w:t>10.8</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February 27, 2023</w:t>
            </w:r>
          </w:p>
        </w:tc>
      </w:tr>
      <w:tr>
        <w:trPr>
          <w:trHeight w:val="361"/>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spacing w:after="0"/>
              <w:rPr>
                <w:sz w:val="20"/>
                <w:szCs w:val="20"/>
                <w:color w:val="auto"/>
              </w:rPr>
            </w:pPr>
            <w:r>
              <w:rPr>
                <w:rFonts w:ascii="Arial" w:cs="Arial" w:eastAsia="Arial" w:hAnsi="Arial"/>
                <w:sz w:val="15"/>
                <w:szCs w:val="15"/>
                <w:color w:val="auto"/>
              </w:rPr>
              <w:t>10.14</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361"/>
        </w:trPr>
        <w:tc>
          <w:tcPr>
            <w:tcW w:w="600" w:type="dxa"/>
            <w:vAlign w:val="bottom"/>
          </w:tcPr>
          <w:p>
            <w:pPr>
              <w:jc w:val="center"/>
              <w:ind w:right="123"/>
              <w:spacing w:after="0"/>
              <w:rPr>
                <w:sz w:val="20"/>
                <w:szCs w:val="20"/>
                <w:color w:val="auto"/>
              </w:rPr>
            </w:pPr>
            <w:r>
              <w:rPr>
                <w:rFonts w:ascii="Arial" w:cs="Arial" w:eastAsia="Arial" w:hAnsi="Arial"/>
                <w:sz w:val="15"/>
                <w:szCs w:val="15"/>
                <w:color w:val="auto"/>
              </w:rPr>
              <w:t>10-K</w:t>
            </w:r>
          </w:p>
        </w:tc>
        <w:tc>
          <w:tcPr>
            <w:tcW w:w="124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00" w:type="dxa"/>
            <w:vAlign w:val="bottom"/>
          </w:tcPr>
          <w:p>
            <w:pPr>
              <w:jc w:val="center"/>
              <w:spacing w:after="0"/>
              <w:rPr>
                <w:sz w:val="20"/>
                <w:szCs w:val="20"/>
                <w:color w:val="auto"/>
              </w:rPr>
            </w:pPr>
            <w:r>
              <w:rPr>
                <w:rFonts w:ascii="Arial" w:cs="Arial" w:eastAsia="Arial" w:hAnsi="Arial"/>
                <w:sz w:val="15"/>
                <w:szCs w:val="15"/>
                <w:color w:val="auto"/>
                <w:w w:val="95"/>
              </w:rPr>
              <w:t>10.11</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March 23, 2022</w:t>
            </w:r>
          </w:p>
        </w:tc>
      </w:tr>
      <w:tr>
        <w:trPr>
          <w:trHeight w:val="206"/>
        </w:trPr>
        <w:tc>
          <w:tcPr>
            <w:tcW w:w="600" w:type="dxa"/>
            <w:vAlign w:val="bottom"/>
          </w:tcPr>
          <w:p>
            <w:pPr>
              <w:jc w:val="center"/>
              <w:ind w:right="123"/>
              <w:spacing w:after="0"/>
              <w:rPr>
                <w:sz w:val="20"/>
                <w:szCs w:val="20"/>
                <w:color w:val="auto"/>
              </w:rPr>
            </w:pPr>
            <w:r>
              <w:rPr>
                <w:rFonts w:ascii="Arial" w:cs="Arial" w:eastAsia="Arial" w:hAnsi="Arial"/>
                <w:sz w:val="15"/>
                <w:szCs w:val="15"/>
                <w:color w:val="auto"/>
              </w:rPr>
              <w:t>10-K</w:t>
            </w:r>
          </w:p>
        </w:tc>
        <w:tc>
          <w:tcPr>
            <w:tcW w:w="124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00" w:type="dxa"/>
            <w:vAlign w:val="bottom"/>
          </w:tcPr>
          <w:p>
            <w:pPr>
              <w:jc w:val="center"/>
              <w:spacing w:after="0"/>
              <w:rPr>
                <w:sz w:val="20"/>
                <w:szCs w:val="20"/>
                <w:color w:val="auto"/>
              </w:rPr>
            </w:pPr>
            <w:r>
              <w:rPr>
                <w:rFonts w:ascii="Arial" w:cs="Arial" w:eastAsia="Arial" w:hAnsi="Arial"/>
                <w:sz w:val="15"/>
                <w:szCs w:val="15"/>
                <w:color w:val="auto"/>
              </w:rPr>
              <w:t>10.21</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February 29, 2024</w:t>
            </w:r>
          </w:p>
        </w:tc>
      </w:tr>
      <w:tr>
        <w:trPr>
          <w:trHeight w:val="516"/>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spacing w:after="0"/>
              <w:rPr>
                <w:sz w:val="20"/>
                <w:szCs w:val="20"/>
                <w:color w:val="auto"/>
              </w:rPr>
            </w:pPr>
            <w:r>
              <w:rPr>
                <w:rFonts w:ascii="Arial" w:cs="Arial" w:eastAsia="Arial" w:hAnsi="Arial"/>
                <w:sz w:val="15"/>
                <w:szCs w:val="15"/>
                <w:color w:val="auto"/>
              </w:rPr>
              <w:t>10.15</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516"/>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spacing w:after="0"/>
              <w:rPr>
                <w:sz w:val="20"/>
                <w:szCs w:val="20"/>
                <w:color w:val="auto"/>
              </w:rPr>
            </w:pPr>
            <w:r>
              <w:rPr>
                <w:rFonts w:ascii="Arial" w:cs="Arial" w:eastAsia="Arial" w:hAnsi="Arial"/>
                <w:sz w:val="15"/>
                <w:szCs w:val="15"/>
                <w:color w:val="auto"/>
              </w:rPr>
              <w:t>10.16</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361"/>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S-1/A</w:t>
            </w:r>
          </w:p>
        </w:tc>
        <w:tc>
          <w:tcPr>
            <w:tcW w:w="1240" w:type="dxa"/>
            <w:vAlign w:val="bottom"/>
          </w:tcPr>
          <w:p>
            <w:pPr>
              <w:jc w:val="center"/>
              <w:spacing w:after="0"/>
              <w:rPr>
                <w:sz w:val="20"/>
                <w:szCs w:val="20"/>
                <w:color w:val="auto"/>
              </w:rPr>
            </w:pPr>
            <w:r>
              <w:rPr>
                <w:rFonts w:ascii="Arial" w:cs="Arial" w:eastAsia="Arial" w:hAnsi="Arial"/>
                <w:sz w:val="15"/>
                <w:szCs w:val="15"/>
                <w:color w:val="auto"/>
              </w:rPr>
              <w:t>333-254576</w:t>
            </w:r>
          </w:p>
        </w:tc>
        <w:tc>
          <w:tcPr>
            <w:tcW w:w="700" w:type="dxa"/>
            <w:vAlign w:val="bottom"/>
          </w:tcPr>
          <w:p>
            <w:pPr>
              <w:jc w:val="center"/>
              <w:spacing w:after="0"/>
              <w:rPr>
                <w:sz w:val="20"/>
                <w:szCs w:val="20"/>
                <w:color w:val="auto"/>
              </w:rPr>
            </w:pPr>
            <w:r>
              <w:rPr>
                <w:rFonts w:ascii="Arial" w:cs="Arial" w:eastAsia="Arial" w:hAnsi="Arial"/>
                <w:sz w:val="15"/>
                <w:szCs w:val="15"/>
                <w:color w:val="auto"/>
              </w:rPr>
              <w:t>10.17</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April 15, 2021</w:t>
            </w:r>
          </w:p>
        </w:tc>
      </w:tr>
      <w:tr>
        <w:trPr>
          <w:trHeight w:val="361"/>
        </w:trPr>
        <w:tc>
          <w:tcPr>
            <w:tcW w:w="600" w:type="dxa"/>
            <w:vAlign w:val="bottom"/>
          </w:tcPr>
          <w:p>
            <w:pPr>
              <w:jc w:val="center"/>
              <w:ind w:right="123"/>
              <w:spacing w:after="0"/>
              <w:rPr>
                <w:sz w:val="20"/>
                <w:szCs w:val="20"/>
                <w:color w:val="auto"/>
              </w:rPr>
            </w:pPr>
            <w:r>
              <w:rPr>
                <w:rFonts w:ascii="Arial" w:cs="Arial" w:eastAsia="Arial" w:hAnsi="Arial"/>
                <w:sz w:val="15"/>
                <w:szCs w:val="15"/>
                <w:color w:val="auto"/>
              </w:rPr>
              <w:t>10-K</w:t>
            </w:r>
          </w:p>
        </w:tc>
        <w:tc>
          <w:tcPr>
            <w:tcW w:w="124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00" w:type="dxa"/>
            <w:vAlign w:val="bottom"/>
          </w:tcPr>
          <w:p>
            <w:pPr>
              <w:jc w:val="center"/>
              <w:spacing w:after="0"/>
              <w:rPr>
                <w:sz w:val="20"/>
                <w:szCs w:val="20"/>
                <w:color w:val="auto"/>
              </w:rPr>
            </w:pPr>
            <w:r>
              <w:rPr>
                <w:rFonts w:ascii="Arial" w:cs="Arial" w:eastAsia="Arial" w:hAnsi="Arial"/>
                <w:sz w:val="15"/>
                <w:szCs w:val="15"/>
                <w:color w:val="auto"/>
              </w:rPr>
              <w:t>10.25</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March 23, 2022</w:t>
            </w:r>
          </w:p>
        </w:tc>
      </w:tr>
      <w:tr>
        <w:trPr>
          <w:trHeight w:val="361"/>
        </w:trPr>
        <w:tc>
          <w:tcPr>
            <w:tcW w:w="600" w:type="dxa"/>
            <w:vAlign w:val="bottom"/>
          </w:tcPr>
          <w:p>
            <w:pPr>
              <w:jc w:val="center"/>
              <w:ind w:right="143"/>
              <w:spacing w:after="0"/>
              <w:rPr>
                <w:sz w:val="20"/>
                <w:szCs w:val="20"/>
                <w:color w:val="auto"/>
              </w:rPr>
            </w:pPr>
            <w:r>
              <w:rPr>
                <w:rFonts w:ascii="Arial" w:cs="Arial" w:eastAsia="Arial" w:hAnsi="Arial"/>
                <w:sz w:val="15"/>
                <w:szCs w:val="15"/>
                <w:color w:val="auto"/>
              </w:rPr>
              <w:t>10-Q</w:t>
            </w:r>
          </w:p>
        </w:tc>
        <w:tc>
          <w:tcPr>
            <w:tcW w:w="1240" w:type="dxa"/>
            <w:vAlign w:val="bottom"/>
          </w:tcPr>
          <w:p>
            <w:pPr>
              <w:jc w:val="center"/>
              <w:spacing w:after="0"/>
              <w:rPr>
                <w:sz w:val="20"/>
                <w:szCs w:val="20"/>
                <w:color w:val="auto"/>
              </w:rPr>
            </w:pPr>
            <w:r>
              <w:rPr>
                <w:rFonts w:ascii="Arial" w:cs="Arial" w:eastAsia="Arial" w:hAnsi="Arial"/>
                <w:sz w:val="15"/>
                <w:szCs w:val="15"/>
                <w:color w:val="auto"/>
              </w:rPr>
              <w:t>001-40323</w:t>
            </w:r>
          </w:p>
        </w:tc>
        <w:tc>
          <w:tcPr>
            <w:tcW w:w="700" w:type="dxa"/>
            <w:vAlign w:val="bottom"/>
          </w:tcPr>
          <w:p>
            <w:pPr>
              <w:jc w:val="center"/>
              <w:ind w:left="3"/>
              <w:spacing w:after="0"/>
              <w:rPr>
                <w:sz w:val="20"/>
                <w:szCs w:val="20"/>
                <w:color w:val="auto"/>
              </w:rPr>
            </w:pPr>
            <w:r>
              <w:rPr>
                <w:rFonts w:ascii="Arial" w:cs="Arial" w:eastAsia="Arial" w:hAnsi="Arial"/>
                <w:sz w:val="15"/>
                <w:szCs w:val="15"/>
                <w:color w:val="auto"/>
              </w:rPr>
              <w:t>10.4</w:t>
            </w:r>
          </w:p>
        </w:tc>
        <w:tc>
          <w:tcPr>
            <w:tcW w:w="2180" w:type="dxa"/>
            <w:vAlign w:val="bottom"/>
          </w:tcPr>
          <w:p>
            <w:pPr>
              <w:jc w:val="center"/>
              <w:ind w:right="463"/>
              <w:spacing w:after="0"/>
              <w:rPr>
                <w:sz w:val="20"/>
                <w:szCs w:val="20"/>
                <w:color w:val="auto"/>
              </w:rPr>
            </w:pPr>
            <w:r>
              <w:rPr>
                <w:rFonts w:ascii="Arial" w:cs="Arial" w:eastAsia="Arial" w:hAnsi="Arial"/>
                <w:sz w:val="15"/>
                <w:szCs w:val="15"/>
                <w:color w:val="auto"/>
              </w:rPr>
              <w:t>November 9, 2023</w:t>
            </w:r>
          </w:p>
        </w:tc>
      </w:tr>
    </w:tbl>
    <w:p>
      <w:pPr>
        <w:sectPr>
          <w:pgSz w:w="11900" w:h="16838" w:orient="portrait"/>
          <w:cols w:equalWidth="0" w:num="2">
            <w:col w:w="5540" w:space="260"/>
            <w:col w:w="4720"/>
          </w:cols>
          <w:pgMar w:left="560" w:top="939" w:right="819" w:bottom="1440" w:gutter="0" w:footer="0" w:header="0"/>
        </w:sectPr>
      </w:pPr>
    </w:p>
    <w:bookmarkStart w:id="229" w:name="page230"/>
    <w:bookmarkEnd w:id="2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10.35#^</w:t>
            </w:r>
          </w:p>
        </w:tc>
        <w:tc>
          <w:tcPr>
            <w:tcW w:w="4660" w:type="dxa"/>
            <w:vAlign w:val="bottom"/>
            <w:tcBorders>
              <w:bottom w:val="single" w:sz="8" w:color="0000FF"/>
            </w:tcBorders>
            <w:gridSpan w:val="23"/>
          </w:tcPr>
          <w:p>
            <w:pPr>
              <w:spacing w:after="0"/>
              <w:rPr>
                <w:sz w:val="20"/>
                <w:szCs w:val="20"/>
                <w:color w:val="auto"/>
              </w:rPr>
            </w:pPr>
            <w:r>
              <w:rPr>
                <w:rFonts w:ascii="Arial" w:cs="Arial" w:eastAsia="Arial" w:hAnsi="Arial"/>
                <w:sz w:val="15"/>
                <w:szCs w:val="15"/>
                <w:color w:val="0000FF"/>
              </w:rPr>
              <w:t>Research Collaboration and Licence Option Agreement, dated June</w:t>
            </w:r>
          </w:p>
        </w:tc>
        <w:tc>
          <w:tcPr>
            <w:tcW w:w="140" w:type="dxa"/>
            <w:vAlign w:val="bottom"/>
            <w:gridSpan w:val="5"/>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35"/>
        </w:trPr>
        <w:tc>
          <w:tcPr>
            <w:tcW w:w="820" w:type="dxa"/>
            <w:vAlign w:val="bottom"/>
          </w:tcPr>
          <w:p>
            <w:pPr>
              <w:spacing w:after="0"/>
              <w:rPr>
                <w:sz w:val="11"/>
                <w:szCs w:val="11"/>
                <w:color w:val="auto"/>
              </w:rPr>
            </w:pPr>
          </w:p>
        </w:tc>
        <w:tc>
          <w:tcPr>
            <w:tcW w:w="4800" w:type="dxa"/>
            <w:vAlign w:val="bottom"/>
            <w:tcBorders>
              <w:bottom w:val="single" w:sz="8" w:color="0000FF"/>
            </w:tcBorders>
            <w:gridSpan w:val="28"/>
          </w:tcPr>
          <w:p>
            <w:pPr>
              <w:spacing w:after="0" w:line="135" w:lineRule="exact"/>
              <w:rPr>
                <w:sz w:val="20"/>
                <w:szCs w:val="20"/>
                <w:color w:val="auto"/>
              </w:rPr>
            </w:pPr>
            <w:r>
              <w:rPr>
                <w:rFonts w:ascii="Arial" w:cs="Arial" w:eastAsia="Arial" w:hAnsi="Arial"/>
                <w:sz w:val="15"/>
                <w:szCs w:val="15"/>
                <w:color w:val="0000FF"/>
              </w:rPr>
              <w:t>27, 2016, by and between Sanofi S.A. and Exscientia AI Limited (then</w:t>
            </w: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4800" w:type="dxa"/>
            <w:vAlign w:val="bottom"/>
            <w:gridSpan w:val="28"/>
          </w:tcPr>
          <w:p>
            <w:pPr>
              <w:spacing w:after="0" w:line="135" w:lineRule="exact"/>
              <w:rPr>
                <w:sz w:val="20"/>
                <w:szCs w:val="20"/>
                <w:color w:val="auto"/>
              </w:rPr>
            </w:pPr>
            <w:r>
              <w:rPr>
                <w:rFonts w:ascii="Arial" w:cs="Arial" w:eastAsia="Arial" w:hAnsi="Arial"/>
                <w:sz w:val="15"/>
                <w:szCs w:val="15"/>
                <w:color w:val="0000FF"/>
              </w:rPr>
              <w:t>named Exscientia Limited).</w:t>
            </w: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10.36#^</w:t>
            </w:r>
          </w:p>
        </w:tc>
        <w:tc>
          <w:tcPr>
            <w:tcW w:w="4800" w:type="dxa"/>
            <w:vAlign w:val="bottom"/>
            <w:gridSpan w:val="28"/>
          </w:tcPr>
          <w:p>
            <w:pPr>
              <w:spacing w:after="0"/>
              <w:rPr>
                <w:sz w:val="20"/>
                <w:szCs w:val="20"/>
                <w:color w:val="auto"/>
              </w:rPr>
            </w:pPr>
            <w:r>
              <w:rPr>
                <w:rFonts w:ascii="Arial" w:cs="Arial" w:eastAsia="Arial" w:hAnsi="Arial"/>
                <w:sz w:val="15"/>
                <w:szCs w:val="15"/>
                <w:color w:val="0000FF"/>
              </w:rPr>
              <w:t>Research Collaboration Agreement, dated September 19, 2023, by</w:t>
            </w: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35"/>
        </w:trPr>
        <w:tc>
          <w:tcPr>
            <w:tcW w:w="820" w:type="dxa"/>
            <w:vAlign w:val="bottom"/>
          </w:tcPr>
          <w:p>
            <w:pPr>
              <w:spacing w:after="0"/>
              <w:rPr>
                <w:sz w:val="11"/>
                <w:szCs w:val="11"/>
                <w:color w:val="auto"/>
              </w:rPr>
            </w:pPr>
          </w:p>
        </w:tc>
        <w:tc>
          <w:tcPr>
            <w:tcW w:w="4460" w:type="dxa"/>
            <w:vAlign w:val="bottom"/>
            <w:tcBorders>
              <w:top w:val="single" w:sz="8" w:color="0000FF"/>
              <w:bottom w:val="single" w:sz="8" w:color="0000FF"/>
            </w:tcBorders>
            <w:gridSpan w:val="19"/>
          </w:tcPr>
          <w:p>
            <w:pPr>
              <w:spacing w:after="0" w:line="135" w:lineRule="exact"/>
              <w:rPr>
                <w:sz w:val="20"/>
                <w:szCs w:val="20"/>
                <w:color w:val="auto"/>
              </w:rPr>
            </w:pPr>
            <w:r>
              <w:rPr>
                <w:rFonts w:ascii="Arial" w:cs="Arial" w:eastAsia="Arial" w:hAnsi="Arial"/>
                <w:sz w:val="15"/>
                <w:szCs w:val="15"/>
                <w:color w:val="0000FF"/>
              </w:rPr>
              <w:t>and between Merck Healthcare KGAA and Exscientia AI Limited.</w:t>
            </w:r>
          </w:p>
        </w:tc>
        <w:tc>
          <w:tcPr>
            <w:tcW w:w="1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10.37^</w:t>
            </w:r>
          </w:p>
        </w:tc>
        <w:tc>
          <w:tcPr>
            <w:tcW w:w="4800" w:type="dxa"/>
            <w:vAlign w:val="bottom"/>
            <w:gridSpan w:val="28"/>
          </w:tcPr>
          <w:p>
            <w:pPr>
              <w:spacing w:after="0"/>
              <w:rPr>
                <w:rFonts w:ascii="Arial" w:cs="Arial" w:eastAsia="Arial" w:hAnsi="Arial"/>
                <w:sz w:val="15"/>
                <w:szCs w:val="15"/>
                <w:color w:val="0000FF"/>
              </w:rPr>
            </w:pPr>
            <w:hyperlink r:id="rId395">
              <w:r>
                <w:rPr>
                  <w:rFonts w:ascii="Arial" w:cs="Arial" w:eastAsia="Arial" w:hAnsi="Arial"/>
                  <w:sz w:val="15"/>
                  <w:szCs w:val="15"/>
                  <w:color w:val="0000FF"/>
                </w:rPr>
                <w:t>Stock Purchase Agreement, dated October 24, 2022, by and among</w:t>
              </w:r>
            </w:hyperlink>
          </w:p>
        </w:tc>
        <w:tc>
          <w:tcPr>
            <w:tcW w:w="840" w:type="dxa"/>
            <w:vAlign w:val="bottom"/>
          </w:tcPr>
          <w:p>
            <w:pPr>
              <w:jc w:val="center"/>
              <w:spacing w:after="0"/>
              <w:rPr>
                <w:sz w:val="20"/>
                <w:szCs w:val="20"/>
                <w:color w:val="auto"/>
              </w:rPr>
            </w:pPr>
            <w:r>
              <w:rPr>
                <w:rFonts w:ascii="Arial" w:cs="Arial" w:eastAsia="Arial" w:hAnsi="Arial"/>
                <w:sz w:val="15"/>
                <w:szCs w:val="15"/>
                <w:color w:val="auto"/>
              </w:rPr>
              <w:t>8-K</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001-40323</w:t>
            </w:r>
          </w:p>
        </w:tc>
        <w:tc>
          <w:tcPr>
            <w:tcW w:w="820" w:type="dxa"/>
            <w:vAlign w:val="bottom"/>
          </w:tcPr>
          <w:p>
            <w:pPr>
              <w:jc w:val="right"/>
              <w:ind w:right="103"/>
              <w:spacing w:after="0"/>
              <w:rPr>
                <w:sz w:val="20"/>
                <w:szCs w:val="20"/>
                <w:color w:val="auto"/>
              </w:rPr>
            </w:pPr>
            <w:r>
              <w:rPr>
                <w:rFonts w:ascii="Arial" w:cs="Arial" w:eastAsia="Arial" w:hAnsi="Arial"/>
                <w:sz w:val="15"/>
                <w:szCs w:val="15"/>
                <w:color w:val="auto"/>
              </w:rPr>
              <w:t>10.1</w:t>
            </w:r>
          </w:p>
        </w:tc>
        <w:tc>
          <w:tcPr>
            <w:tcW w:w="2160" w:type="dxa"/>
            <w:vAlign w:val="bottom"/>
          </w:tcPr>
          <w:p>
            <w:pPr>
              <w:jc w:val="center"/>
              <w:ind w:right="483"/>
              <w:spacing w:after="0"/>
              <w:rPr>
                <w:sz w:val="20"/>
                <w:szCs w:val="20"/>
                <w:color w:val="auto"/>
              </w:rPr>
            </w:pPr>
            <w:r>
              <w:rPr>
                <w:rFonts w:ascii="Arial" w:cs="Arial" w:eastAsia="Arial" w:hAnsi="Arial"/>
                <w:sz w:val="15"/>
                <w:szCs w:val="15"/>
                <w:color w:val="auto"/>
              </w:rPr>
              <w:t>Oct. 25, 2022</w:t>
            </w:r>
          </w:p>
        </w:tc>
      </w:tr>
      <w:tr>
        <w:trPr>
          <w:trHeight w:val="135"/>
        </w:trPr>
        <w:tc>
          <w:tcPr>
            <w:tcW w:w="820" w:type="dxa"/>
            <w:vAlign w:val="bottom"/>
          </w:tcPr>
          <w:p>
            <w:pPr>
              <w:spacing w:after="0"/>
              <w:rPr>
                <w:sz w:val="11"/>
                <w:szCs w:val="11"/>
                <w:color w:val="auto"/>
              </w:rPr>
            </w:pPr>
          </w:p>
        </w:tc>
        <w:tc>
          <w:tcPr>
            <w:tcW w:w="2360" w:type="dxa"/>
            <w:vAlign w:val="bottom"/>
            <w:tcBorders>
              <w:top w:val="single" w:sz="8" w:color="0000FF"/>
              <w:bottom w:val="single" w:sz="8" w:color="0000FF"/>
            </w:tcBorders>
            <w:gridSpan w:val="6"/>
          </w:tcPr>
          <w:p>
            <w:pPr>
              <w:spacing w:after="0" w:line="135" w:lineRule="exact"/>
              <w:rPr>
                <w:rFonts w:ascii="Arial" w:cs="Arial" w:eastAsia="Arial" w:hAnsi="Arial"/>
                <w:sz w:val="15"/>
                <w:szCs w:val="15"/>
                <w:color w:val="0000FF"/>
              </w:rPr>
            </w:pPr>
            <w:hyperlink r:id="rId395">
              <w:r>
                <w:rPr>
                  <w:rFonts w:ascii="Arial" w:cs="Arial" w:eastAsia="Arial" w:hAnsi="Arial"/>
                  <w:sz w:val="15"/>
                  <w:szCs w:val="15"/>
                  <w:color w:val="0000FF"/>
                </w:rPr>
                <w:t>the Company and the Purchasers.</w:t>
              </w:r>
            </w:hyperlink>
          </w:p>
        </w:tc>
        <w:tc>
          <w:tcPr>
            <w:tcW w:w="232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10.38^</w:t>
            </w:r>
          </w:p>
        </w:tc>
        <w:tc>
          <w:tcPr>
            <w:tcW w:w="4800" w:type="dxa"/>
            <w:vAlign w:val="bottom"/>
            <w:gridSpan w:val="28"/>
          </w:tcPr>
          <w:p>
            <w:pPr>
              <w:spacing w:after="0"/>
              <w:rPr>
                <w:rFonts w:ascii="Arial" w:cs="Arial" w:eastAsia="Arial" w:hAnsi="Arial"/>
                <w:sz w:val="15"/>
                <w:szCs w:val="15"/>
                <w:color w:val="0000FF"/>
              </w:rPr>
            </w:pPr>
            <w:hyperlink r:id="rId396">
              <w:r>
                <w:rPr>
                  <w:rFonts w:ascii="Arial" w:cs="Arial" w:eastAsia="Arial" w:hAnsi="Arial"/>
                  <w:sz w:val="15"/>
                  <w:szCs w:val="15"/>
                  <w:color w:val="0000FF"/>
                </w:rPr>
                <w:t>Stock Purchase Agreement, dated July 11, 2023, by and among the</w:t>
              </w:r>
            </w:hyperlink>
          </w:p>
        </w:tc>
        <w:tc>
          <w:tcPr>
            <w:tcW w:w="840" w:type="dxa"/>
            <w:vAlign w:val="bottom"/>
          </w:tcPr>
          <w:p>
            <w:pPr>
              <w:jc w:val="center"/>
              <w:spacing w:after="0"/>
              <w:rPr>
                <w:sz w:val="20"/>
                <w:szCs w:val="20"/>
                <w:color w:val="auto"/>
              </w:rPr>
            </w:pPr>
            <w:r>
              <w:rPr>
                <w:rFonts w:ascii="Arial" w:cs="Arial" w:eastAsia="Arial" w:hAnsi="Arial"/>
                <w:sz w:val="15"/>
                <w:szCs w:val="15"/>
                <w:color w:val="auto"/>
              </w:rPr>
              <w:t>8-K</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001-40323</w:t>
            </w:r>
          </w:p>
        </w:tc>
        <w:tc>
          <w:tcPr>
            <w:tcW w:w="820" w:type="dxa"/>
            <w:vAlign w:val="bottom"/>
          </w:tcPr>
          <w:p>
            <w:pPr>
              <w:jc w:val="right"/>
              <w:ind w:right="103"/>
              <w:spacing w:after="0"/>
              <w:rPr>
                <w:sz w:val="20"/>
                <w:szCs w:val="20"/>
                <w:color w:val="auto"/>
              </w:rPr>
            </w:pPr>
            <w:r>
              <w:rPr>
                <w:rFonts w:ascii="Arial" w:cs="Arial" w:eastAsia="Arial" w:hAnsi="Arial"/>
                <w:sz w:val="15"/>
                <w:szCs w:val="15"/>
                <w:color w:val="auto"/>
              </w:rPr>
              <w:t>10.1</w:t>
            </w:r>
          </w:p>
        </w:tc>
        <w:tc>
          <w:tcPr>
            <w:tcW w:w="2160" w:type="dxa"/>
            <w:vAlign w:val="bottom"/>
          </w:tcPr>
          <w:p>
            <w:pPr>
              <w:jc w:val="center"/>
              <w:ind w:right="483"/>
              <w:spacing w:after="0"/>
              <w:rPr>
                <w:sz w:val="20"/>
                <w:szCs w:val="20"/>
                <w:color w:val="auto"/>
              </w:rPr>
            </w:pPr>
            <w:r>
              <w:rPr>
                <w:rFonts w:ascii="Arial" w:cs="Arial" w:eastAsia="Arial" w:hAnsi="Arial"/>
                <w:sz w:val="15"/>
                <w:szCs w:val="15"/>
                <w:color w:val="auto"/>
              </w:rPr>
              <w:t>July 12, 2023</w:t>
            </w:r>
          </w:p>
        </w:tc>
      </w:tr>
      <w:tr>
        <w:trPr>
          <w:trHeight w:val="135"/>
        </w:trPr>
        <w:tc>
          <w:tcPr>
            <w:tcW w:w="820" w:type="dxa"/>
            <w:vAlign w:val="bottom"/>
          </w:tcPr>
          <w:p>
            <w:pPr>
              <w:spacing w:after="0"/>
              <w:rPr>
                <w:sz w:val="11"/>
                <w:szCs w:val="11"/>
                <w:color w:val="auto"/>
              </w:rPr>
            </w:pPr>
          </w:p>
        </w:tc>
        <w:tc>
          <w:tcPr>
            <w:tcW w:w="1620" w:type="dxa"/>
            <w:vAlign w:val="bottom"/>
            <w:tcBorders>
              <w:top w:val="single" w:sz="8" w:color="0000FF"/>
              <w:bottom w:val="single" w:sz="8" w:color="0000FF"/>
            </w:tcBorders>
            <w:gridSpan w:val="3"/>
          </w:tcPr>
          <w:p>
            <w:pPr>
              <w:spacing w:after="0" w:line="135" w:lineRule="exact"/>
              <w:rPr>
                <w:rFonts w:ascii="Arial" w:cs="Arial" w:eastAsia="Arial" w:hAnsi="Arial"/>
                <w:sz w:val="15"/>
                <w:szCs w:val="15"/>
                <w:color w:val="0000FF"/>
              </w:rPr>
            </w:pPr>
            <w:hyperlink r:id="rId396">
              <w:r>
                <w:rPr>
                  <w:rFonts w:ascii="Arial" w:cs="Arial" w:eastAsia="Arial" w:hAnsi="Arial"/>
                  <w:sz w:val="15"/>
                  <w:szCs w:val="15"/>
                  <w:color w:val="0000FF"/>
                </w:rPr>
                <w:t>Registrant and NVIDIA.</w:t>
              </w:r>
            </w:hyperlink>
          </w:p>
        </w:tc>
        <w:tc>
          <w:tcPr>
            <w:tcW w:w="302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10.39^</w:t>
            </w:r>
          </w:p>
        </w:tc>
        <w:tc>
          <w:tcPr>
            <w:tcW w:w="4800" w:type="dxa"/>
            <w:vAlign w:val="bottom"/>
            <w:gridSpan w:val="28"/>
          </w:tcPr>
          <w:p>
            <w:pPr>
              <w:spacing w:after="0"/>
              <w:rPr>
                <w:sz w:val="20"/>
                <w:szCs w:val="20"/>
                <w:color w:val="auto"/>
              </w:rPr>
            </w:pPr>
            <w:r>
              <w:rPr>
                <w:rFonts w:ascii="Arial" w:cs="Arial" w:eastAsia="Arial" w:hAnsi="Arial"/>
                <w:sz w:val="15"/>
                <w:szCs w:val="15"/>
                <w:color w:val="0000FF"/>
              </w:rPr>
              <w:t>Sales Agreement dated February 28, 2025 by and between the</w:t>
            </w: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35"/>
        </w:trPr>
        <w:tc>
          <w:tcPr>
            <w:tcW w:w="820" w:type="dxa"/>
            <w:vAlign w:val="bottom"/>
          </w:tcPr>
          <w:p>
            <w:pPr>
              <w:spacing w:after="0"/>
              <w:rPr>
                <w:sz w:val="11"/>
                <w:szCs w:val="11"/>
                <w:color w:val="auto"/>
              </w:rPr>
            </w:pPr>
          </w:p>
        </w:tc>
        <w:tc>
          <w:tcPr>
            <w:tcW w:w="4320" w:type="dxa"/>
            <w:vAlign w:val="bottom"/>
            <w:tcBorders>
              <w:top w:val="single" w:sz="8" w:color="0000FF"/>
            </w:tcBorders>
            <w:gridSpan w:val="16"/>
          </w:tcPr>
          <w:p>
            <w:pPr>
              <w:spacing w:after="0" w:line="135" w:lineRule="exact"/>
              <w:rPr>
                <w:sz w:val="20"/>
                <w:szCs w:val="20"/>
                <w:color w:val="auto"/>
              </w:rPr>
            </w:pPr>
            <w:r>
              <w:rPr>
                <w:rFonts w:ascii="Arial" w:cs="Arial" w:eastAsia="Arial" w:hAnsi="Arial"/>
                <w:sz w:val="15"/>
                <w:szCs w:val="15"/>
                <w:color w:val="0000FF"/>
              </w:rPr>
              <w:t>Registrant and Citigroup Capital Markets Inc.</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10.40</w:t>
            </w:r>
          </w:p>
        </w:tc>
        <w:tc>
          <w:tcPr>
            <w:tcW w:w="3080" w:type="dxa"/>
            <w:vAlign w:val="bottom"/>
            <w:tcBorders>
              <w:top w:val="single" w:sz="8" w:color="0000FF"/>
            </w:tcBorders>
            <w:gridSpan w:val="10"/>
          </w:tcPr>
          <w:p>
            <w:pPr>
              <w:spacing w:after="0"/>
              <w:rPr>
                <w:rFonts w:ascii="Arial" w:cs="Arial" w:eastAsia="Arial" w:hAnsi="Arial"/>
                <w:sz w:val="15"/>
                <w:szCs w:val="15"/>
                <w:color w:val="0000FF"/>
              </w:rPr>
            </w:pPr>
            <w:hyperlink r:id="rId397">
              <w:r>
                <w:rPr>
                  <w:rFonts w:ascii="Arial" w:cs="Arial" w:eastAsia="Arial" w:hAnsi="Arial"/>
                  <w:sz w:val="15"/>
                  <w:szCs w:val="15"/>
                  <w:color w:val="0000FF"/>
                </w:rPr>
                <w:t>Form of Voting and Support Agreement.</w:t>
              </w:r>
            </w:hyperlink>
          </w:p>
        </w:tc>
        <w:tc>
          <w:tcPr>
            <w:tcW w:w="1720" w:type="dxa"/>
            <w:vAlign w:val="bottom"/>
            <w:gridSpan w:val="18"/>
          </w:tcPr>
          <w:p>
            <w:pPr>
              <w:spacing w:after="0"/>
              <w:rPr>
                <w:sz w:val="16"/>
                <w:szCs w:val="16"/>
                <w:color w:val="auto"/>
              </w:rPr>
            </w:pPr>
          </w:p>
        </w:tc>
        <w:tc>
          <w:tcPr>
            <w:tcW w:w="840" w:type="dxa"/>
            <w:vAlign w:val="bottom"/>
          </w:tcPr>
          <w:p>
            <w:pPr>
              <w:ind w:left="20"/>
              <w:spacing w:after="0"/>
              <w:rPr>
                <w:sz w:val="20"/>
                <w:szCs w:val="20"/>
                <w:color w:val="auto"/>
              </w:rPr>
            </w:pPr>
            <w:r>
              <w:rPr>
                <w:rFonts w:ascii="Arial" w:cs="Arial" w:eastAsia="Arial" w:hAnsi="Arial"/>
                <w:sz w:val="15"/>
                <w:szCs w:val="15"/>
                <w:color w:val="auto"/>
              </w:rPr>
              <w:t>8-K</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001-40323</w:t>
            </w:r>
          </w:p>
        </w:tc>
        <w:tc>
          <w:tcPr>
            <w:tcW w:w="820" w:type="dxa"/>
            <w:vAlign w:val="bottom"/>
          </w:tcPr>
          <w:p>
            <w:pPr>
              <w:jc w:val="right"/>
              <w:ind w:right="303"/>
              <w:spacing w:after="0"/>
              <w:rPr>
                <w:sz w:val="20"/>
                <w:szCs w:val="20"/>
                <w:color w:val="auto"/>
              </w:rPr>
            </w:pPr>
            <w:r>
              <w:rPr>
                <w:rFonts w:ascii="Arial" w:cs="Arial" w:eastAsia="Arial" w:hAnsi="Arial"/>
                <w:sz w:val="15"/>
                <w:szCs w:val="15"/>
                <w:color w:val="auto"/>
              </w:rPr>
              <w:t>10.1</w:t>
            </w:r>
          </w:p>
        </w:tc>
        <w:tc>
          <w:tcPr>
            <w:tcW w:w="2160" w:type="dxa"/>
            <w:vAlign w:val="bottom"/>
          </w:tcPr>
          <w:p>
            <w:pPr>
              <w:jc w:val="center"/>
              <w:ind w:right="483"/>
              <w:spacing w:after="0"/>
              <w:rPr>
                <w:sz w:val="20"/>
                <w:szCs w:val="20"/>
                <w:color w:val="auto"/>
              </w:rPr>
            </w:pPr>
            <w:r>
              <w:rPr>
                <w:rFonts w:ascii="Arial" w:cs="Arial" w:eastAsia="Arial" w:hAnsi="Arial"/>
                <w:sz w:val="15"/>
                <w:szCs w:val="15"/>
                <w:color w:val="auto"/>
              </w:rPr>
              <w:t>August 8, 2024</w:t>
            </w:r>
          </w:p>
        </w:tc>
      </w:tr>
      <w:tr>
        <w:trPr>
          <w:trHeight w:val="20"/>
        </w:trPr>
        <w:tc>
          <w:tcPr>
            <w:tcW w:w="8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10.41</w:t>
            </w:r>
          </w:p>
        </w:tc>
        <w:tc>
          <w:tcPr>
            <w:tcW w:w="3200" w:type="dxa"/>
            <w:vAlign w:val="bottom"/>
            <w:tcBorders>
              <w:bottom w:val="single" w:sz="8" w:color="0000FF"/>
            </w:tcBorders>
            <w:gridSpan w:val="11"/>
          </w:tcPr>
          <w:p>
            <w:pPr>
              <w:spacing w:after="0"/>
              <w:rPr>
                <w:rFonts w:ascii="Arial" w:cs="Arial" w:eastAsia="Arial" w:hAnsi="Arial"/>
                <w:sz w:val="15"/>
                <w:szCs w:val="15"/>
                <w:color w:val="0000FF"/>
              </w:rPr>
            </w:pPr>
            <w:hyperlink r:id="rId398">
              <w:r>
                <w:rPr>
                  <w:rFonts w:ascii="Arial" w:cs="Arial" w:eastAsia="Arial" w:hAnsi="Arial"/>
                  <w:sz w:val="15"/>
                  <w:szCs w:val="15"/>
                  <w:color w:val="0000FF"/>
                </w:rPr>
                <w:t>Form of Irrevocable Undertaking (Institutional).</w:t>
              </w:r>
            </w:hyperlink>
          </w:p>
        </w:tc>
        <w:tc>
          <w:tcPr>
            <w:tcW w:w="1600" w:type="dxa"/>
            <w:vAlign w:val="bottom"/>
            <w:gridSpan w:val="17"/>
          </w:tcPr>
          <w:p>
            <w:pPr>
              <w:spacing w:after="0"/>
              <w:rPr>
                <w:sz w:val="16"/>
                <w:szCs w:val="16"/>
                <w:color w:val="auto"/>
              </w:rPr>
            </w:pPr>
          </w:p>
        </w:tc>
        <w:tc>
          <w:tcPr>
            <w:tcW w:w="840" w:type="dxa"/>
            <w:vAlign w:val="bottom"/>
          </w:tcPr>
          <w:p>
            <w:pPr>
              <w:ind w:left="20"/>
              <w:spacing w:after="0"/>
              <w:rPr>
                <w:sz w:val="20"/>
                <w:szCs w:val="20"/>
                <w:color w:val="auto"/>
              </w:rPr>
            </w:pPr>
            <w:r>
              <w:rPr>
                <w:rFonts w:ascii="Arial" w:cs="Arial" w:eastAsia="Arial" w:hAnsi="Arial"/>
                <w:sz w:val="15"/>
                <w:szCs w:val="15"/>
                <w:color w:val="auto"/>
              </w:rPr>
              <w:t>8-K</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001-40323</w:t>
            </w:r>
          </w:p>
        </w:tc>
        <w:tc>
          <w:tcPr>
            <w:tcW w:w="820" w:type="dxa"/>
            <w:vAlign w:val="bottom"/>
          </w:tcPr>
          <w:p>
            <w:pPr>
              <w:jc w:val="right"/>
              <w:ind w:right="303"/>
              <w:spacing w:after="0"/>
              <w:rPr>
                <w:sz w:val="20"/>
                <w:szCs w:val="20"/>
                <w:color w:val="auto"/>
              </w:rPr>
            </w:pPr>
            <w:r>
              <w:rPr>
                <w:rFonts w:ascii="Arial" w:cs="Arial" w:eastAsia="Arial" w:hAnsi="Arial"/>
                <w:sz w:val="15"/>
                <w:szCs w:val="15"/>
                <w:color w:val="auto"/>
              </w:rPr>
              <w:t>10.2</w:t>
            </w:r>
          </w:p>
        </w:tc>
        <w:tc>
          <w:tcPr>
            <w:tcW w:w="2160" w:type="dxa"/>
            <w:vAlign w:val="bottom"/>
          </w:tcPr>
          <w:p>
            <w:pPr>
              <w:jc w:val="center"/>
              <w:ind w:right="483"/>
              <w:spacing w:after="0"/>
              <w:rPr>
                <w:sz w:val="20"/>
                <w:szCs w:val="20"/>
                <w:color w:val="auto"/>
              </w:rPr>
            </w:pPr>
            <w:r>
              <w:rPr>
                <w:rFonts w:ascii="Arial" w:cs="Arial" w:eastAsia="Arial" w:hAnsi="Arial"/>
                <w:sz w:val="15"/>
                <w:szCs w:val="15"/>
                <w:color w:val="auto"/>
              </w:rPr>
              <w:t>August 8, 2024</w:t>
            </w: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10.42</w:t>
            </w:r>
          </w:p>
        </w:tc>
        <w:tc>
          <w:tcPr>
            <w:tcW w:w="4800" w:type="dxa"/>
            <w:vAlign w:val="bottom"/>
            <w:gridSpan w:val="28"/>
          </w:tcPr>
          <w:p>
            <w:pPr>
              <w:spacing w:after="0"/>
              <w:rPr>
                <w:rFonts w:ascii="Arial" w:cs="Arial" w:eastAsia="Arial" w:hAnsi="Arial"/>
                <w:sz w:val="15"/>
                <w:szCs w:val="15"/>
                <w:color w:val="0000FF"/>
              </w:rPr>
            </w:pPr>
            <w:hyperlink r:id="rId399">
              <w:r>
                <w:rPr>
                  <w:rFonts w:ascii="Arial" w:cs="Arial" w:eastAsia="Arial" w:hAnsi="Arial"/>
                  <w:sz w:val="15"/>
                  <w:szCs w:val="15"/>
                  <w:color w:val="0000FF"/>
                </w:rPr>
                <w:t>Form of Irrevocable Undertaking (Individual).</w:t>
              </w:r>
            </w:hyperlink>
          </w:p>
        </w:tc>
        <w:tc>
          <w:tcPr>
            <w:tcW w:w="840" w:type="dxa"/>
            <w:vAlign w:val="bottom"/>
          </w:tcPr>
          <w:p>
            <w:pPr>
              <w:ind w:left="20"/>
              <w:spacing w:after="0"/>
              <w:rPr>
                <w:sz w:val="20"/>
                <w:szCs w:val="20"/>
                <w:color w:val="auto"/>
              </w:rPr>
            </w:pPr>
            <w:r>
              <w:rPr>
                <w:rFonts w:ascii="Arial" w:cs="Arial" w:eastAsia="Arial" w:hAnsi="Arial"/>
                <w:sz w:val="15"/>
                <w:szCs w:val="15"/>
                <w:color w:val="auto"/>
              </w:rPr>
              <w:t>8-K</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001-40323</w:t>
            </w:r>
          </w:p>
        </w:tc>
        <w:tc>
          <w:tcPr>
            <w:tcW w:w="820" w:type="dxa"/>
            <w:vAlign w:val="bottom"/>
          </w:tcPr>
          <w:p>
            <w:pPr>
              <w:jc w:val="right"/>
              <w:ind w:right="303"/>
              <w:spacing w:after="0"/>
              <w:rPr>
                <w:sz w:val="20"/>
                <w:szCs w:val="20"/>
                <w:color w:val="auto"/>
              </w:rPr>
            </w:pPr>
            <w:r>
              <w:rPr>
                <w:rFonts w:ascii="Arial" w:cs="Arial" w:eastAsia="Arial" w:hAnsi="Arial"/>
                <w:sz w:val="15"/>
                <w:szCs w:val="15"/>
                <w:color w:val="auto"/>
              </w:rPr>
              <w:t>10.3</w:t>
            </w:r>
          </w:p>
        </w:tc>
        <w:tc>
          <w:tcPr>
            <w:tcW w:w="2160" w:type="dxa"/>
            <w:vAlign w:val="bottom"/>
          </w:tcPr>
          <w:p>
            <w:pPr>
              <w:jc w:val="center"/>
              <w:ind w:right="483"/>
              <w:spacing w:after="0"/>
              <w:rPr>
                <w:sz w:val="20"/>
                <w:szCs w:val="20"/>
                <w:color w:val="auto"/>
              </w:rPr>
            </w:pPr>
            <w:r>
              <w:rPr>
                <w:rFonts w:ascii="Arial" w:cs="Arial" w:eastAsia="Arial" w:hAnsi="Arial"/>
                <w:sz w:val="15"/>
                <w:szCs w:val="15"/>
                <w:color w:val="auto"/>
              </w:rPr>
              <w:t>August 8, 2024</w:t>
            </w:r>
          </w:p>
        </w:tc>
      </w:tr>
      <w:tr>
        <w:trPr>
          <w:trHeight w:val="20"/>
        </w:trPr>
        <w:tc>
          <w:tcPr>
            <w:tcW w:w="8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10.43</w:t>
            </w:r>
          </w:p>
        </w:tc>
        <w:tc>
          <w:tcPr>
            <w:tcW w:w="4800" w:type="dxa"/>
            <w:vAlign w:val="bottom"/>
            <w:gridSpan w:val="28"/>
          </w:tcPr>
          <w:p>
            <w:pPr>
              <w:spacing w:after="0"/>
              <w:rPr>
                <w:rFonts w:ascii="Arial" w:cs="Arial" w:eastAsia="Arial" w:hAnsi="Arial"/>
                <w:sz w:val="15"/>
                <w:szCs w:val="15"/>
                <w:color w:val="0000FF"/>
              </w:rPr>
            </w:pPr>
            <w:hyperlink r:id="rId400">
              <w:r>
                <w:rPr>
                  <w:rFonts w:ascii="Arial" w:cs="Arial" w:eastAsia="Arial" w:hAnsi="Arial"/>
                  <w:sz w:val="15"/>
                  <w:szCs w:val="15"/>
                  <w:color w:val="0000FF"/>
                </w:rPr>
                <w:t>Irrevocable Undertaking of Evotec SE dated August 28, 2024.</w:t>
              </w:r>
            </w:hyperlink>
          </w:p>
        </w:tc>
        <w:tc>
          <w:tcPr>
            <w:tcW w:w="840" w:type="dxa"/>
            <w:vAlign w:val="bottom"/>
          </w:tcPr>
          <w:p>
            <w:pPr>
              <w:ind w:left="20"/>
              <w:spacing w:after="0"/>
              <w:rPr>
                <w:sz w:val="20"/>
                <w:szCs w:val="20"/>
                <w:color w:val="auto"/>
              </w:rPr>
            </w:pPr>
            <w:r>
              <w:rPr>
                <w:rFonts w:ascii="Arial" w:cs="Arial" w:eastAsia="Arial" w:hAnsi="Arial"/>
                <w:sz w:val="15"/>
                <w:szCs w:val="15"/>
                <w:color w:val="auto"/>
              </w:rPr>
              <w:t>8-K</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001-40323</w:t>
            </w:r>
          </w:p>
        </w:tc>
        <w:tc>
          <w:tcPr>
            <w:tcW w:w="820" w:type="dxa"/>
            <w:vAlign w:val="bottom"/>
          </w:tcPr>
          <w:p>
            <w:pPr>
              <w:jc w:val="right"/>
              <w:ind w:right="303"/>
              <w:spacing w:after="0"/>
              <w:rPr>
                <w:sz w:val="20"/>
                <w:szCs w:val="20"/>
                <w:color w:val="auto"/>
              </w:rPr>
            </w:pPr>
            <w:r>
              <w:rPr>
                <w:rFonts w:ascii="Arial" w:cs="Arial" w:eastAsia="Arial" w:hAnsi="Arial"/>
                <w:sz w:val="15"/>
                <w:szCs w:val="15"/>
                <w:color w:val="auto"/>
              </w:rPr>
              <w:t>10.1</w:t>
            </w:r>
          </w:p>
        </w:tc>
        <w:tc>
          <w:tcPr>
            <w:tcW w:w="2160" w:type="dxa"/>
            <w:vAlign w:val="bottom"/>
          </w:tcPr>
          <w:p>
            <w:pPr>
              <w:jc w:val="center"/>
              <w:ind w:right="483"/>
              <w:spacing w:after="0"/>
              <w:rPr>
                <w:sz w:val="20"/>
                <w:szCs w:val="20"/>
                <w:color w:val="auto"/>
              </w:rPr>
            </w:pPr>
            <w:r>
              <w:rPr>
                <w:rFonts w:ascii="Arial" w:cs="Arial" w:eastAsia="Arial" w:hAnsi="Arial"/>
                <w:sz w:val="15"/>
                <w:szCs w:val="15"/>
                <w:color w:val="auto"/>
              </w:rPr>
              <w:t>August 28, 2024</w:t>
            </w: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19.1^</w:t>
            </w:r>
          </w:p>
        </w:tc>
        <w:tc>
          <w:tcPr>
            <w:tcW w:w="4220" w:type="dxa"/>
            <w:vAlign w:val="bottom"/>
            <w:tcBorders>
              <w:top w:val="single" w:sz="8" w:color="0000FF"/>
            </w:tcBorders>
            <w:gridSpan w:val="15"/>
          </w:tcPr>
          <w:p>
            <w:pPr>
              <w:spacing w:after="0"/>
              <w:rPr>
                <w:sz w:val="20"/>
                <w:szCs w:val="20"/>
                <w:color w:val="auto"/>
              </w:rPr>
            </w:pPr>
            <w:r>
              <w:rPr>
                <w:rFonts w:ascii="Arial" w:cs="Arial" w:eastAsia="Arial" w:hAnsi="Arial"/>
                <w:sz w:val="15"/>
                <w:szCs w:val="15"/>
                <w:color w:val="0000FF"/>
              </w:rPr>
              <w:t>Recursion Pharmaceuticals, Inc. Insider Trading Policy.</w:t>
            </w:r>
          </w:p>
        </w:tc>
        <w:tc>
          <w:tcPr>
            <w:tcW w:w="580" w:type="dxa"/>
            <w:vAlign w:val="bottom"/>
            <w:gridSpan w:val="13"/>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21.1</w:t>
            </w:r>
          </w:p>
        </w:tc>
        <w:tc>
          <w:tcPr>
            <w:tcW w:w="3780" w:type="dxa"/>
            <w:vAlign w:val="bottom"/>
            <w:tcBorders>
              <w:top w:val="single" w:sz="8" w:color="0000FF"/>
            </w:tcBorders>
            <w:gridSpan w:val="13"/>
          </w:tcPr>
          <w:p>
            <w:pPr>
              <w:spacing w:after="0"/>
              <w:rPr>
                <w:sz w:val="20"/>
                <w:szCs w:val="20"/>
                <w:color w:val="auto"/>
              </w:rPr>
            </w:pPr>
            <w:r>
              <w:rPr>
                <w:rFonts w:ascii="Arial" w:cs="Arial" w:eastAsia="Arial" w:hAnsi="Arial"/>
                <w:sz w:val="15"/>
                <w:szCs w:val="15"/>
                <w:color w:val="0000FF"/>
              </w:rPr>
              <w:t>List of Subsidiaries.</w:t>
            </w:r>
          </w:p>
        </w:tc>
        <w:tc>
          <w:tcPr>
            <w:tcW w:w="1020" w:type="dxa"/>
            <w:vAlign w:val="bottom"/>
            <w:gridSpan w:val="15"/>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20"/>
        </w:trPr>
        <w:tc>
          <w:tcPr>
            <w:tcW w:w="8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23.1</w:t>
            </w:r>
          </w:p>
        </w:tc>
        <w:tc>
          <w:tcPr>
            <w:tcW w:w="1940" w:type="dxa"/>
            <w:vAlign w:val="bottom"/>
            <w:tcBorders>
              <w:bottom w:val="single" w:sz="8" w:color="0000FF"/>
            </w:tcBorders>
            <w:gridSpan w:val="5"/>
          </w:tcPr>
          <w:p>
            <w:pPr>
              <w:spacing w:after="0"/>
              <w:rPr>
                <w:sz w:val="20"/>
                <w:szCs w:val="20"/>
                <w:color w:val="auto"/>
              </w:rPr>
            </w:pPr>
            <w:r>
              <w:rPr>
                <w:rFonts w:ascii="Arial" w:cs="Arial" w:eastAsia="Arial" w:hAnsi="Arial"/>
                <w:sz w:val="15"/>
                <w:szCs w:val="15"/>
                <w:color w:val="0000FF"/>
              </w:rPr>
              <w:t>Consent of Ernst and Young</w:t>
            </w:r>
          </w:p>
        </w:tc>
        <w:tc>
          <w:tcPr>
            <w:tcW w:w="2860" w:type="dxa"/>
            <w:vAlign w:val="bottom"/>
            <w:gridSpan w:val="23"/>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99"/>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23.2</w:t>
            </w:r>
          </w:p>
        </w:tc>
        <w:tc>
          <w:tcPr>
            <w:tcW w:w="2860" w:type="dxa"/>
            <w:vAlign w:val="bottom"/>
            <w:tcBorders>
              <w:bottom w:val="single" w:sz="8" w:color="0000FF"/>
            </w:tcBorders>
            <w:gridSpan w:val="8"/>
          </w:tcPr>
          <w:p>
            <w:pPr>
              <w:spacing w:after="0"/>
              <w:rPr>
                <w:sz w:val="20"/>
                <w:szCs w:val="20"/>
                <w:color w:val="auto"/>
              </w:rPr>
            </w:pPr>
            <w:r>
              <w:rPr>
                <w:rFonts w:ascii="Arial" w:cs="Arial" w:eastAsia="Arial" w:hAnsi="Arial"/>
                <w:sz w:val="15"/>
                <w:szCs w:val="15"/>
                <w:color w:val="0000FF"/>
              </w:rPr>
              <w:t>Consent of PricewaterhouseCoopers LLP</w:t>
            </w:r>
          </w:p>
        </w:tc>
        <w:tc>
          <w:tcPr>
            <w:tcW w:w="194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99"/>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24.1</w:t>
            </w:r>
          </w:p>
        </w:tc>
        <w:tc>
          <w:tcPr>
            <w:tcW w:w="4800" w:type="dxa"/>
            <w:vAlign w:val="bottom"/>
            <w:gridSpan w:val="28"/>
          </w:tcPr>
          <w:p>
            <w:pPr>
              <w:spacing w:after="0"/>
              <w:rPr>
                <w:sz w:val="20"/>
                <w:szCs w:val="20"/>
                <w:color w:val="auto"/>
              </w:rPr>
            </w:pPr>
            <w:r>
              <w:rPr>
                <w:rFonts w:ascii="Arial" w:cs="Arial" w:eastAsia="Arial" w:hAnsi="Arial"/>
                <w:sz w:val="15"/>
                <w:szCs w:val="15"/>
                <w:color w:val="0000FF"/>
              </w:rPr>
              <w:t>Power of Attorney (included on signature page to this Annual Report</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35"/>
        </w:trPr>
        <w:tc>
          <w:tcPr>
            <w:tcW w:w="820" w:type="dxa"/>
            <w:vAlign w:val="bottom"/>
          </w:tcPr>
          <w:p>
            <w:pPr>
              <w:spacing w:after="0"/>
              <w:rPr>
                <w:sz w:val="11"/>
                <w:szCs w:val="11"/>
                <w:color w:val="auto"/>
              </w:rPr>
            </w:pPr>
          </w:p>
        </w:tc>
        <w:tc>
          <w:tcPr>
            <w:tcW w:w="4700" w:type="dxa"/>
            <w:vAlign w:val="bottom"/>
            <w:tcBorders>
              <w:top w:val="single" w:sz="8" w:color="0000FF"/>
            </w:tcBorders>
            <w:gridSpan w:val="25"/>
          </w:tcPr>
          <w:p>
            <w:pPr>
              <w:spacing w:after="0" w:line="135" w:lineRule="exact"/>
              <w:rPr>
                <w:sz w:val="20"/>
                <w:szCs w:val="20"/>
                <w:color w:val="auto"/>
              </w:rPr>
            </w:pPr>
            <w:r>
              <w:rPr>
                <w:rFonts w:ascii="Arial" w:cs="Arial" w:eastAsia="Arial" w:hAnsi="Arial"/>
                <w:sz w:val="15"/>
                <w:szCs w:val="15"/>
                <w:color w:val="0000FF"/>
              </w:rPr>
              <w:t>on Form 10-K)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31.1</w:t>
            </w:r>
          </w:p>
        </w:tc>
        <w:tc>
          <w:tcPr>
            <w:tcW w:w="4800" w:type="dxa"/>
            <w:vAlign w:val="bottom"/>
            <w:gridSpan w:val="28"/>
          </w:tcPr>
          <w:p>
            <w:pPr>
              <w:spacing w:after="0"/>
              <w:rPr>
                <w:sz w:val="20"/>
                <w:szCs w:val="20"/>
                <w:color w:val="auto"/>
              </w:rPr>
            </w:pPr>
            <w:r>
              <w:rPr>
                <w:rFonts w:ascii="Arial" w:cs="Arial" w:eastAsia="Arial" w:hAnsi="Arial"/>
                <w:sz w:val="15"/>
                <w:szCs w:val="15"/>
                <w:color w:val="0000FF"/>
              </w:rPr>
              <w:t>Certification of Principal Executive Officer Pursuant to Rules 13a-</w:t>
            </w: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35"/>
        </w:trPr>
        <w:tc>
          <w:tcPr>
            <w:tcW w:w="820" w:type="dxa"/>
            <w:vAlign w:val="bottom"/>
          </w:tcPr>
          <w:p>
            <w:pPr>
              <w:spacing w:after="0"/>
              <w:rPr>
                <w:sz w:val="11"/>
                <w:szCs w:val="11"/>
                <w:color w:val="auto"/>
              </w:rPr>
            </w:pPr>
          </w:p>
        </w:tc>
        <w:tc>
          <w:tcPr>
            <w:tcW w:w="4460" w:type="dxa"/>
            <w:vAlign w:val="bottom"/>
            <w:tcBorders>
              <w:top w:val="single" w:sz="8" w:color="0000FF"/>
            </w:tcBorders>
            <w:gridSpan w:val="19"/>
          </w:tcPr>
          <w:p>
            <w:pPr>
              <w:spacing w:after="0" w:line="135" w:lineRule="exact"/>
              <w:rPr>
                <w:sz w:val="20"/>
                <w:szCs w:val="20"/>
                <w:color w:val="auto"/>
              </w:rPr>
            </w:pPr>
            <w:r>
              <w:rPr>
                <w:rFonts w:ascii="Arial" w:cs="Arial" w:eastAsia="Arial" w:hAnsi="Arial"/>
                <w:sz w:val="15"/>
                <w:szCs w:val="15"/>
                <w:color w:val="0000FF"/>
              </w:rPr>
              <w:t>14(a) and 15d-14(a) under the Securities Exchange Act of 1934,</w:t>
            </w:r>
          </w:p>
        </w:tc>
        <w:tc>
          <w:tcPr>
            <w:tcW w:w="340" w:type="dxa"/>
            <w:vAlign w:val="bottom"/>
            <w:gridSpan w:val="9"/>
          </w:tcPr>
          <w:p>
            <w:pPr>
              <w:spacing w:after="0" w:line="135" w:lineRule="exact"/>
              <w:rPr>
                <w:sz w:val="20"/>
                <w:szCs w:val="20"/>
                <w:color w:val="auto"/>
              </w:rPr>
            </w:pPr>
            <w:r>
              <w:rPr>
                <w:rFonts w:ascii="Arial" w:cs="Arial" w:eastAsia="Arial" w:hAnsi="Arial"/>
                <w:sz w:val="15"/>
                <w:szCs w:val="15"/>
                <w:color w:val="0000FF"/>
              </w:rPr>
              <w:t>as</w:t>
            </w: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3240" w:type="dxa"/>
            <w:vAlign w:val="bottom"/>
            <w:gridSpan w:val="1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35"/>
        </w:trPr>
        <w:tc>
          <w:tcPr>
            <w:tcW w:w="820" w:type="dxa"/>
            <w:vAlign w:val="bottom"/>
          </w:tcPr>
          <w:p>
            <w:pPr>
              <w:spacing w:after="0"/>
              <w:rPr>
                <w:sz w:val="11"/>
                <w:szCs w:val="11"/>
                <w:color w:val="auto"/>
              </w:rPr>
            </w:pPr>
          </w:p>
        </w:tc>
        <w:tc>
          <w:tcPr>
            <w:tcW w:w="4800" w:type="dxa"/>
            <w:vAlign w:val="bottom"/>
            <w:gridSpan w:val="28"/>
          </w:tcPr>
          <w:p>
            <w:pPr>
              <w:spacing w:after="0" w:line="135" w:lineRule="exact"/>
              <w:rPr>
                <w:sz w:val="20"/>
                <w:szCs w:val="20"/>
                <w:color w:val="auto"/>
              </w:rPr>
            </w:pPr>
            <w:r>
              <w:rPr>
                <w:rFonts w:ascii="Arial" w:cs="Arial" w:eastAsia="Arial" w:hAnsi="Arial"/>
                <w:sz w:val="15"/>
                <w:szCs w:val="15"/>
                <w:color w:val="0000FF"/>
              </w:rPr>
              <w:t>Adopted Pursuant to Section 302 of the Sarbanes-Oxley Act of 2002.</w:t>
            </w: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3240" w:type="dxa"/>
            <w:vAlign w:val="bottom"/>
            <w:gridSpan w:val="1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31.2</w:t>
            </w:r>
          </w:p>
        </w:tc>
        <w:tc>
          <w:tcPr>
            <w:tcW w:w="4800" w:type="dxa"/>
            <w:vAlign w:val="bottom"/>
            <w:gridSpan w:val="28"/>
          </w:tcPr>
          <w:p>
            <w:pPr>
              <w:spacing w:after="0"/>
              <w:rPr>
                <w:sz w:val="20"/>
                <w:szCs w:val="20"/>
                <w:color w:val="auto"/>
              </w:rPr>
            </w:pPr>
            <w:r>
              <w:rPr>
                <w:rFonts w:ascii="Arial" w:cs="Arial" w:eastAsia="Arial" w:hAnsi="Arial"/>
                <w:sz w:val="15"/>
                <w:szCs w:val="15"/>
                <w:color w:val="0000FF"/>
              </w:rPr>
              <w:t>Certification of Principal Financial Officer Pursuant to Rules 13a-14(a)</w:t>
            </w: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35"/>
        </w:trPr>
        <w:tc>
          <w:tcPr>
            <w:tcW w:w="820" w:type="dxa"/>
            <w:vAlign w:val="bottom"/>
          </w:tcPr>
          <w:p>
            <w:pPr>
              <w:spacing w:after="0"/>
              <w:rPr>
                <w:sz w:val="11"/>
                <w:szCs w:val="11"/>
                <w:color w:val="auto"/>
              </w:rPr>
            </w:pPr>
          </w:p>
        </w:tc>
        <w:tc>
          <w:tcPr>
            <w:tcW w:w="4780" w:type="dxa"/>
            <w:vAlign w:val="bottom"/>
            <w:tcBorders>
              <w:top w:val="single" w:sz="8" w:color="0000FF"/>
            </w:tcBorders>
            <w:gridSpan w:val="27"/>
          </w:tcPr>
          <w:p>
            <w:pPr>
              <w:spacing w:after="0" w:line="135" w:lineRule="exact"/>
              <w:rPr>
                <w:sz w:val="20"/>
                <w:szCs w:val="20"/>
                <w:color w:val="auto"/>
              </w:rPr>
            </w:pPr>
            <w:r>
              <w:rPr>
                <w:rFonts w:ascii="Arial" w:cs="Arial" w:eastAsia="Arial" w:hAnsi="Arial"/>
                <w:sz w:val="15"/>
                <w:szCs w:val="15"/>
                <w:color w:val="0000FF"/>
              </w:rPr>
              <w:t>and 15d-14(a) under the Securities Exchange Act of 1934, as</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3240" w:type="dxa"/>
            <w:vAlign w:val="bottom"/>
            <w:gridSpan w:val="1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35"/>
        </w:trPr>
        <w:tc>
          <w:tcPr>
            <w:tcW w:w="820" w:type="dxa"/>
            <w:vAlign w:val="bottom"/>
          </w:tcPr>
          <w:p>
            <w:pPr>
              <w:spacing w:after="0"/>
              <w:rPr>
                <w:sz w:val="11"/>
                <w:szCs w:val="11"/>
                <w:color w:val="auto"/>
              </w:rPr>
            </w:pPr>
          </w:p>
        </w:tc>
        <w:tc>
          <w:tcPr>
            <w:tcW w:w="4800" w:type="dxa"/>
            <w:vAlign w:val="bottom"/>
            <w:gridSpan w:val="28"/>
          </w:tcPr>
          <w:p>
            <w:pPr>
              <w:spacing w:after="0" w:line="135" w:lineRule="exact"/>
              <w:rPr>
                <w:sz w:val="20"/>
                <w:szCs w:val="20"/>
                <w:color w:val="auto"/>
              </w:rPr>
            </w:pPr>
            <w:r>
              <w:rPr>
                <w:rFonts w:ascii="Arial" w:cs="Arial" w:eastAsia="Arial" w:hAnsi="Arial"/>
                <w:sz w:val="15"/>
                <w:szCs w:val="15"/>
                <w:color w:val="0000FF"/>
              </w:rPr>
              <w:t>Adopted Pursuant to Section 302 of the Sarbanes-Oxley Act of 2002.</w:t>
            </w: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86"/>
        </w:trPr>
        <w:tc>
          <w:tcPr>
            <w:tcW w:w="820" w:type="dxa"/>
            <w:vAlign w:val="bottom"/>
          </w:tcPr>
          <w:p>
            <w:pPr>
              <w:jc w:val="center"/>
              <w:ind w:right="143"/>
              <w:spacing w:after="0"/>
              <w:rPr>
                <w:sz w:val="20"/>
                <w:szCs w:val="20"/>
                <w:color w:val="auto"/>
              </w:rPr>
            </w:pPr>
            <w:r>
              <w:rPr>
                <w:rFonts w:ascii="Arial" w:cs="Arial" w:eastAsia="Arial" w:hAnsi="Arial"/>
                <w:sz w:val="15"/>
                <w:szCs w:val="15"/>
                <w:color w:val="auto"/>
              </w:rPr>
              <w:t>32.1*</w:t>
            </w:r>
          </w:p>
        </w:tc>
        <w:tc>
          <w:tcPr>
            <w:tcW w:w="4720" w:type="dxa"/>
            <w:vAlign w:val="bottom"/>
            <w:tcBorders>
              <w:top w:val="single" w:sz="8" w:color="0000FF"/>
            </w:tcBorders>
            <w:gridSpan w:val="26"/>
          </w:tcPr>
          <w:p>
            <w:pPr>
              <w:spacing w:after="0"/>
              <w:rPr>
                <w:sz w:val="20"/>
                <w:szCs w:val="20"/>
                <w:color w:val="auto"/>
              </w:rPr>
            </w:pPr>
            <w:r>
              <w:rPr>
                <w:rFonts w:ascii="Arial" w:cs="Arial" w:eastAsia="Arial" w:hAnsi="Arial"/>
                <w:sz w:val="15"/>
                <w:szCs w:val="15"/>
                <w:color w:val="0000FF"/>
              </w:rPr>
              <w:t>Certification of Principal Executive Officer and Principal Financial</w:t>
            </w:r>
          </w:p>
        </w:tc>
        <w:tc>
          <w:tcPr>
            <w:tcW w:w="8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35"/>
        </w:trPr>
        <w:tc>
          <w:tcPr>
            <w:tcW w:w="820" w:type="dxa"/>
            <w:vAlign w:val="bottom"/>
          </w:tcPr>
          <w:p>
            <w:pPr>
              <w:spacing w:after="0"/>
              <w:rPr>
                <w:sz w:val="11"/>
                <w:szCs w:val="11"/>
                <w:color w:val="auto"/>
              </w:rPr>
            </w:pPr>
          </w:p>
        </w:tc>
        <w:tc>
          <w:tcPr>
            <w:tcW w:w="4440" w:type="dxa"/>
            <w:vAlign w:val="bottom"/>
            <w:tcBorders>
              <w:top w:val="single" w:sz="8" w:color="0000FF"/>
            </w:tcBorders>
            <w:gridSpan w:val="18"/>
          </w:tcPr>
          <w:p>
            <w:pPr>
              <w:spacing w:after="0" w:line="135" w:lineRule="exact"/>
              <w:rPr>
                <w:sz w:val="20"/>
                <w:szCs w:val="20"/>
                <w:color w:val="auto"/>
              </w:rPr>
            </w:pPr>
            <w:r>
              <w:rPr>
                <w:rFonts w:ascii="Arial" w:cs="Arial" w:eastAsia="Arial" w:hAnsi="Arial"/>
                <w:sz w:val="15"/>
                <w:szCs w:val="15"/>
                <w:color w:val="0000FF"/>
              </w:rPr>
              <w:t>Officer Pursuant to 18 U.S.C. Section 1350, as Adopted Pursuant</w:t>
            </w:r>
          </w:p>
        </w:tc>
        <w:tc>
          <w:tcPr>
            <w:tcW w:w="360" w:type="dxa"/>
            <w:vAlign w:val="bottom"/>
            <w:gridSpan w:val="10"/>
          </w:tcPr>
          <w:p>
            <w:pPr>
              <w:ind w:left="80"/>
              <w:spacing w:after="0" w:line="135" w:lineRule="exact"/>
              <w:rPr>
                <w:sz w:val="20"/>
                <w:szCs w:val="20"/>
                <w:color w:val="auto"/>
              </w:rPr>
            </w:pPr>
            <w:r>
              <w:rPr>
                <w:rFonts w:ascii="Arial" w:cs="Arial" w:eastAsia="Arial" w:hAnsi="Arial"/>
                <w:sz w:val="15"/>
                <w:szCs w:val="15"/>
                <w:color w:val="0000FF"/>
              </w:rPr>
              <w:t>to</w:t>
            </w: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35"/>
        </w:trPr>
        <w:tc>
          <w:tcPr>
            <w:tcW w:w="820" w:type="dxa"/>
            <w:vAlign w:val="bottom"/>
          </w:tcPr>
          <w:p>
            <w:pPr>
              <w:spacing w:after="0"/>
              <w:rPr>
                <w:sz w:val="11"/>
                <w:szCs w:val="11"/>
                <w:color w:val="auto"/>
              </w:rPr>
            </w:pPr>
          </w:p>
        </w:tc>
        <w:tc>
          <w:tcPr>
            <w:tcW w:w="4660" w:type="dxa"/>
            <w:vAlign w:val="bottom"/>
            <w:tcBorders>
              <w:top w:val="single" w:sz="8" w:color="0000FF"/>
            </w:tcBorders>
            <w:gridSpan w:val="23"/>
          </w:tcPr>
          <w:p>
            <w:pPr>
              <w:spacing w:after="0" w:line="135" w:lineRule="exact"/>
              <w:rPr>
                <w:sz w:val="20"/>
                <w:szCs w:val="20"/>
                <w:color w:val="auto"/>
              </w:rPr>
            </w:pPr>
            <w:r>
              <w:rPr>
                <w:rFonts w:ascii="Arial" w:cs="Arial" w:eastAsia="Arial" w:hAnsi="Arial"/>
                <w:sz w:val="15"/>
                <w:szCs w:val="15"/>
                <w:color w:val="0000FF"/>
              </w:rPr>
              <w:t>Section 906 of the Sarbanes-Oxley Act of 2002</w:t>
            </w:r>
            <w:r>
              <w:rPr>
                <w:rFonts w:ascii="Arial" w:cs="Arial" w:eastAsia="Arial" w:hAnsi="Arial"/>
                <w:sz w:val="15"/>
                <w:szCs w:val="15"/>
                <w:color w:val="000000"/>
              </w:rPr>
              <w:t>.</w:t>
            </w:r>
          </w:p>
        </w:tc>
        <w:tc>
          <w:tcPr>
            <w:tcW w:w="140" w:type="dxa"/>
            <w:vAlign w:val="bottom"/>
            <w:gridSpan w:val="5"/>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3240" w:type="dxa"/>
            <w:vAlign w:val="bottom"/>
            <w:gridSpan w:val="12"/>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97.1</w:t>
            </w:r>
          </w:p>
        </w:tc>
        <w:tc>
          <w:tcPr>
            <w:tcW w:w="4800" w:type="dxa"/>
            <w:vAlign w:val="bottom"/>
            <w:gridSpan w:val="28"/>
          </w:tcPr>
          <w:p>
            <w:pPr>
              <w:spacing w:after="0"/>
              <w:rPr>
                <w:rFonts w:ascii="Arial" w:cs="Arial" w:eastAsia="Arial" w:hAnsi="Arial"/>
                <w:sz w:val="15"/>
                <w:szCs w:val="15"/>
                <w:color w:val="0000FF"/>
              </w:rPr>
            </w:pPr>
            <w:hyperlink r:id="rId401">
              <w:r>
                <w:rPr>
                  <w:rFonts w:ascii="Arial" w:cs="Arial" w:eastAsia="Arial" w:hAnsi="Arial"/>
                  <w:sz w:val="15"/>
                  <w:szCs w:val="15"/>
                  <w:color w:val="0000FF"/>
                </w:rPr>
                <w:t>Recursion Pharmaceuticals, Inc. Compensation Recovery Policy</w:t>
              </w:r>
            </w:hyperlink>
            <w:r>
              <w:rPr>
                <w:rFonts w:ascii="Arial" w:cs="Arial" w:eastAsia="Arial" w:hAnsi="Arial"/>
                <w:sz w:val="15"/>
                <w:szCs w:val="15"/>
                <w:color w:val="000000"/>
              </w:rPr>
              <w:t>.</w:t>
            </w:r>
          </w:p>
        </w:tc>
        <w:tc>
          <w:tcPr>
            <w:tcW w:w="840" w:type="dxa"/>
            <w:vAlign w:val="bottom"/>
          </w:tcPr>
          <w:p>
            <w:pPr>
              <w:jc w:val="center"/>
              <w:spacing w:after="0"/>
              <w:rPr>
                <w:sz w:val="20"/>
                <w:szCs w:val="20"/>
                <w:color w:val="auto"/>
              </w:rPr>
            </w:pPr>
            <w:r>
              <w:rPr>
                <w:rFonts w:ascii="Arial" w:cs="Arial" w:eastAsia="Arial" w:hAnsi="Arial"/>
                <w:sz w:val="15"/>
                <w:szCs w:val="15"/>
                <w:color w:val="auto"/>
              </w:rPr>
              <w:t>10-K</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001-40323</w:t>
            </w:r>
          </w:p>
        </w:tc>
        <w:tc>
          <w:tcPr>
            <w:tcW w:w="820" w:type="dxa"/>
            <w:vAlign w:val="bottom"/>
          </w:tcPr>
          <w:p>
            <w:pPr>
              <w:jc w:val="right"/>
              <w:ind w:right="103"/>
              <w:spacing w:after="0"/>
              <w:rPr>
                <w:sz w:val="20"/>
                <w:szCs w:val="20"/>
                <w:color w:val="auto"/>
              </w:rPr>
            </w:pPr>
            <w:r>
              <w:rPr>
                <w:rFonts w:ascii="Arial" w:cs="Arial" w:eastAsia="Arial" w:hAnsi="Arial"/>
                <w:sz w:val="15"/>
                <w:szCs w:val="15"/>
                <w:color w:val="auto"/>
              </w:rPr>
              <w:t>97.1</w:t>
            </w:r>
          </w:p>
        </w:tc>
        <w:tc>
          <w:tcPr>
            <w:tcW w:w="2160" w:type="dxa"/>
            <w:vAlign w:val="bottom"/>
          </w:tcPr>
          <w:p>
            <w:pPr>
              <w:jc w:val="center"/>
              <w:ind w:right="483"/>
              <w:spacing w:after="0"/>
              <w:rPr>
                <w:sz w:val="20"/>
                <w:szCs w:val="20"/>
                <w:color w:val="auto"/>
              </w:rPr>
            </w:pPr>
            <w:r>
              <w:rPr>
                <w:rFonts w:ascii="Arial" w:cs="Arial" w:eastAsia="Arial" w:hAnsi="Arial"/>
                <w:sz w:val="15"/>
                <w:szCs w:val="15"/>
                <w:color w:val="auto"/>
              </w:rPr>
              <w:t>February 29, 2024</w:t>
            </w:r>
          </w:p>
        </w:tc>
      </w:tr>
      <w:tr>
        <w:trPr>
          <w:trHeight w:val="223"/>
        </w:trPr>
        <w:tc>
          <w:tcPr>
            <w:tcW w:w="820" w:type="dxa"/>
            <w:vAlign w:val="bottom"/>
          </w:tcPr>
          <w:p>
            <w:pPr>
              <w:jc w:val="center"/>
              <w:ind w:right="143"/>
              <w:spacing w:after="0"/>
              <w:rPr>
                <w:sz w:val="20"/>
                <w:szCs w:val="20"/>
                <w:color w:val="auto"/>
              </w:rPr>
            </w:pPr>
            <w:r>
              <w:rPr>
                <w:rFonts w:ascii="Arial" w:cs="Arial" w:eastAsia="Arial" w:hAnsi="Arial"/>
                <w:sz w:val="15"/>
                <w:szCs w:val="15"/>
                <w:color w:val="auto"/>
              </w:rPr>
              <w:t>101.INS</w:t>
            </w:r>
          </w:p>
        </w:tc>
        <w:tc>
          <w:tcPr>
            <w:tcW w:w="4420" w:type="dxa"/>
            <w:vAlign w:val="bottom"/>
            <w:tcBorders>
              <w:top w:val="single" w:sz="8" w:color="0000FF"/>
            </w:tcBorders>
            <w:gridSpan w:val="17"/>
          </w:tcPr>
          <w:p>
            <w:pPr>
              <w:spacing w:after="0"/>
              <w:rPr>
                <w:sz w:val="20"/>
                <w:szCs w:val="20"/>
                <w:color w:val="auto"/>
              </w:rPr>
            </w:pPr>
            <w:r>
              <w:rPr>
                <w:rFonts w:ascii="Arial" w:cs="Arial" w:eastAsia="Arial" w:hAnsi="Arial"/>
                <w:sz w:val="15"/>
                <w:szCs w:val="15"/>
                <w:color w:val="auto"/>
              </w:rPr>
              <w:t>XBRL Instance Document</w:t>
            </w:r>
          </w:p>
        </w:tc>
        <w:tc>
          <w:tcPr>
            <w:tcW w:w="380" w:type="dxa"/>
            <w:vAlign w:val="bottom"/>
            <w:gridSpan w:val="11"/>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20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101.SCH</w:t>
            </w:r>
          </w:p>
        </w:tc>
        <w:tc>
          <w:tcPr>
            <w:tcW w:w="4800" w:type="dxa"/>
            <w:vAlign w:val="bottom"/>
            <w:gridSpan w:val="28"/>
          </w:tcPr>
          <w:p>
            <w:pPr>
              <w:spacing w:after="0"/>
              <w:rPr>
                <w:sz w:val="20"/>
                <w:szCs w:val="20"/>
                <w:color w:val="auto"/>
              </w:rPr>
            </w:pPr>
            <w:r>
              <w:rPr>
                <w:rFonts w:ascii="Arial" w:cs="Arial" w:eastAsia="Arial" w:hAnsi="Arial"/>
                <w:sz w:val="15"/>
                <w:szCs w:val="15"/>
                <w:color w:val="auto"/>
              </w:rPr>
              <w:t>XBRL Taxonomy Extension Schema Document</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206"/>
        </w:trPr>
        <w:tc>
          <w:tcPr>
            <w:tcW w:w="820" w:type="dxa"/>
            <w:vAlign w:val="bottom"/>
          </w:tcPr>
          <w:p>
            <w:pPr>
              <w:jc w:val="center"/>
              <w:ind w:right="143"/>
              <w:spacing w:after="0"/>
              <w:rPr>
                <w:sz w:val="20"/>
                <w:szCs w:val="20"/>
                <w:color w:val="auto"/>
              </w:rPr>
            </w:pPr>
            <w:r>
              <w:rPr>
                <w:rFonts w:ascii="Arial" w:cs="Arial" w:eastAsia="Arial" w:hAnsi="Arial"/>
                <w:sz w:val="15"/>
                <w:szCs w:val="15"/>
                <w:color w:val="auto"/>
              </w:rPr>
              <w:t>101.CAL</w:t>
            </w:r>
          </w:p>
        </w:tc>
        <w:tc>
          <w:tcPr>
            <w:tcW w:w="4800" w:type="dxa"/>
            <w:vAlign w:val="bottom"/>
            <w:gridSpan w:val="28"/>
          </w:tcPr>
          <w:p>
            <w:pPr>
              <w:spacing w:after="0"/>
              <w:rPr>
                <w:sz w:val="20"/>
                <w:szCs w:val="20"/>
                <w:color w:val="auto"/>
              </w:rPr>
            </w:pPr>
            <w:r>
              <w:rPr>
                <w:rFonts w:ascii="Arial" w:cs="Arial" w:eastAsia="Arial" w:hAnsi="Arial"/>
                <w:sz w:val="15"/>
                <w:szCs w:val="15"/>
                <w:color w:val="auto"/>
              </w:rPr>
              <w:t>XBRL Taxonomy Extension Calculation Linkbase Document</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206"/>
        </w:trPr>
        <w:tc>
          <w:tcPr>
            <w:tcW w:w="820" w:type="dxa"/>
            <w:vAlign w:val="bottom"/>
          </w:tcPr>
          <w:p>
            <w:pPr>
              <w:jc w:val="center"/>
              <w:ind w:right="123"/>
              <w:spacing w:after="0"/>
              <w:rPr>
                <w:sz w:val="20"/>
                <w:szCs w:val="20"/>
                <w:color w:val="auto"/>
              </w:rPr>
            </w:pPr>
            <w:r>
              <w:rPr>
                <w:rFonts w:ascii="Arial" w:cs="Arial" w:eastAsia="Arial" w:hAnsi="Arial"/>
                <w:sz w:val="15"/>
                <w:szCs w:val="15"/>
                <w:color w:val="auto"/>
              </w:rPr>
              <w:t>101.DEF</w:t>
            </w:r>
          </w:p>
        </w:tc>
        <w:tc>
          <w:tcPr>
            <w:tcW w:w="4800" w:type="dxa"/>
            <w:vAlign w:val="bottom"/>
            <w:gridSpan w:val="28"/>
          </w:tcPr>
          <w:p>
            <w:pPr>
              <w:spacing w:after="0"/>
              <w:rPr>
                <w:sz w:val="20"/>
                <w:szCs w:val="20"/>
                <w:color w:val="auto"/>
              </w:rPr>
            </w:pPr>
            <w:r>
              <w:rPr>
                <w:rFonts w:ascii="Arial" w:cs="Arial" w:eastAsia="Arial" w:hAnsi="Arial"/>
                <w:sz w:val="15"/>
                <w:szCs w:val="15"/>
                <w:color w:val="auto"/>
              </w:rPr>
              <w:t>XBRL Taxonomy Extension Definition Linkbase Document</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206"/>
        </w:trPr>
        <w:tc>
          <w:tcPr>
            <w:tcW w:w="820" w:type="dxa"/>
            <w:vAlign w:val="bottom"/>
          </w:tcPr>
          <w:p>
            <w:pPr>
              <w:jc w:val="center"/>
              <w:ind w:right="143"/>
              <w:spacing w:after="0"/>
              <w:rPr>
                <w:sz w:val="20"/>
                <w:szCs w:val="20"/>
                <w:color w:val="auto"/>
              </w:rPr>
            </w:pPr>
            <w:r>
              <w:rPr>
                <w:rFonts w:ascii="Arial" w:cs="Arial" w:eastAsia="Arial" w:hAnsi="Arial"/>
                <w:sz w:val="15"/>
                <w:szCs w:val="15"/>
                <w:color w:val="auto"/>
              </w:rPr>
              <w:t>101.LAB</w:t>
            </w:r>
          </w:p>
        </w:tc>
        <w:tc>
          <w:tcPr>
            <w:tcW w:w="4800" w:type="dxa"/>
            <w:vAlign w:val="bottom"/>
            <w:gridSpan w:val="28"/>
          </w:tcPr>
          <w:p>
            <w:pPr>
              <w:spacing w:after="0"/>
              <w:rPr>
                <w:sz w:val="20"/>
                <w:szCs w:val="20"/>
                <w:color w:val="auto"/>
              </w:rPr>
            </w:pPr>
            <w:r>
              <w:rPr>
                <w:rFonts w:ascii="Arial" w:cs="Arial" w:eastAsia="Arial" w:hAnsi="Arial"/>
                <w:sz w:val="15"/>
                <w:szCs w:val="15"/>
                <w:color w:val="auto"/>
              </w:rPr>
              <w:t>XBRL Taxonomy Extension Label Linkbase Document</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206"/>
        </w:trPr>
        <w:tc>
          <w:tcPr>
            <w:tcW w:w="820" w:type="dxa"/>
            <w:vAlign w:val="bottom"/>
          </w:tcPr>
          <w:p>
            <w:pPr>
              <w:jc w:val="center"/>
              <w:ind w:right="83"/>
              <w:spacing w:after="0"/>
              <w:rPr>
                <w:sz w:val="20"/>
                <w:szCs w:val="20"/>
                <w:color w:val="auto"/>
              </w:rPr>
            </w:pPr>
            <w:r>
              <w:rPr>
                <w:rFonts w:ascii="Arial" w:cs="Arial" w:eastAsia="Arial" w:hAnsi="Arial"/>
                <w:sz w:val="15"/>
                <w:szCs w:val="15"/>
                <w:color w:val="auto"/>
              </w:rPr>
              <w:t>101.PRE</w:t>
            </w:r>
          </w:p>
        </w:tc>
        <w:tc>
          <w:tcPr>
            <w:tcW w:w="4800" w:type="dxa"/>
            <w:vAlign w:val="bottom"/>
            <w:gridSpan w:val="28"/>
          </w:tcPr>
          <w:p>
            <w:pPr>
              <w:spacing w:after="0"/>
              <w:rPr>
                <w:sz w:val="20"/>
                <w:szCs w:val="20"/>
                <w:color w:val="auto"/>
              </w:rPr>
            </w:pPr>
            <w:r>
              <w:rPr>
                <w:rFonts w:ascii="Arial" w:cs="Arial" w:eastAsia="Arial" w:hAnsi="Arial"/>
                <w:sz w:val="15"/>
                <w:szCs w:val="15"/>
                <w:color w:val="auto"/>
              </w:rPr>
              <w:t>XBRL Taxonomy Extension Presentation Linkbase Document</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ind w:left="2060"/>
              <w:spacing w:after="0"/>
              <w:rPr>
                <w:sz w:val="20"/>
                <w:szCs w:val="20"/>
                <w:color w:val="auto"/>
              </w:rPr>
            </w:pPr>
            <w:r>
              <w:rPr>
                <w:rFonts w:ascii="Arial" w:cs="Arial" w:eastAsia="Arial" w:hAnsi="Arial"/>
                <w:sz w:val="15"/>
                <w:szCs w:val="15"/>
                <w:color w:val="auto"/>
                <w:w w:val="79"/>
              </w:rPr>
              <w:t>X</w:t>
            </w:r>
          </w:p>
        </w:tc>
      </w:tr>
      <w:tr>
        <w:trPr>
          <w:trHeight w:val="157"/>
        </w:trPr>
        <w:tc>
          <w:tcPr>
            <w:tcW w:w="820" w:type="dxa"/>
            <w:vAlign w:val="bottom"/>
          </w:tcPr>
          <w:p>
            <w:pPr>
              <w:jc w:val="center"/>
              <w:ind w:right="123"/>
              <w:spacing w:after="0" w:line="157" w:lineRule="exact"/>
              <w:rPr>
                <w:sz w:val="20"/>
                <w:szCs w:val="20"/>
                <w:color w:val="auto"/>
              </w:rPr>
            </w:pPr>
            <w:r>
              <w:rPr>
                <w:rFonts w:ascii="Arial" w:cs="Arial" w:eastAsia="Arial" w:hAnsi="Arial"/>
                <w:sz w:val="15"/>
                <w:szCs w:val="15"/>
                <w:color w:val="auto"/>
              </w:rPr>
              <w:t>104</w:t>
            </w:r>
          </w:p>
        </w:tc>
        <w:tc>
          <w:tcPr>
            <w:tcW w:w="4800" w:type="dxa"/>
            <w:vAlign w:val="bottom"/>
            <w:gridSpan w:val="28"/>
          </w:tcPr>
          <w:p>
            <w:pPr>
              <w:spacing w:after="0" w:line="157" w:lineRule="exact"/>
              <w:rPr>
                <w:sz w:val="20"/>
                <w:szCs w:val="20"/>
                <w:color w:val="auto"/>
              </w:rPr>
            </w:pPr>
            <w:r>
              <w:rPr>
                <w:rFonts w:ascii="Arial" w:cs="Arial" w:eastAsia="Arial" w:hAnsi="Arial"/>
                <w:sz w:val="15"/>
                <w:szCs w:val="15"/>
                <w:color w:val="auto"/>
              </w:rPr>
              <w:t>Cover Page Interactive Data File (formatted as Inline XBRL and</w:t>
            </w: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60" w:type="dxa"/>
            <w:vAlign w:val="bottom"/>
          </w:tcPr>
          <w:p>
            <w:pPr>
              <w:ind w:left="2060"/>
              <w:spacing w:after="0" w:line="157" w:lineRule="exact"/>
              <w:rPr>
                <w:sz w:val="20"/>
                <w:szCs w:val="20"/>
                <w:color w:val="auto"/>
              </w:rPr>
            </w:pPr>
            <w:r>
              <w:rPr>
                <w:rFonts w:ascii="Arial" w:cs="Arial" w:eastAsia="Arial" w:hAnsi="Arial"/>
                <w:sz w:val="15"/>
                <w:szCs w:val="15"/>
                <w:color w:val="auto"/>
                <w:w w:val="79"/>
              </w:rPr>
              <w:t>X</w:t>
            </w:r>
          </w:p>
        </w:tc>
      </w:tr>
      <w:tr>
        <w:trPr>
          <w:trHeight w:val="204"/>
        </w:trPr>
        <w:tc>
          <w:tcPr>
            <w:tcW w:w="820" w:type="dxa"/>
            <w:vAlign w:val="bottom"/>
          </w:tcPr>
          <w:p>
            <w:pPr>
              <w:spacing w:after="0"/>
              <w:rPr>
                <w:sz w:val="17"/>
                <w:szCs w:val="17"/>
                <w:color w:val="auto"/>
              </w:rPr>
            </w:pPr>
          </w:p>
        </w:tc>
        <w:tc>
          <w:tcPr>
            <w:tcW w:w="4800" w:type="dxa"/>
            <w:vAlign w:val="bottom"/>
            <w:gridSpan w:val="28"/>
          </w:tcPr>
          <w:p>
            <w:pPr>
              <w:spacing w:after="0"/>
              <w:rPr>
                <w:sz w:val="20"/>
                <w:szCs w:val="20"/>
                <w:color w:val="auto"/>
              </w:rPr>
            </w:pPr>
            <w:r>
              <w:rPr>
                <w:rFonts w:ascii="Arial" w:cs="Arial" w:eastAsia="Arial" w:hAnsi="Arial"/>
                <w:sz w:val="15"/>
                <w:szCs w:val="15"/>
                <w:color w:val="auto"/>
              </w:rPr>
              <w:t>contained in Exhibit 101)</w:t>
            </w: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196" w:lineRule="exact"/>
        <w:rPr>
          <w:sz w:val="20"/>
          <w:szCs w:val="20"/>
          <w:color w:val="auto"/>
        </w:rPr>
      </w:pPr>
    </w:p>
    <w:p>
      <w:pPr>
        <w:ind w:left="820" w:hanging="559"/>
        <w:spacing w:after="0"/>
        <w:tabs>
          <w:tab w:leader="none" w:pos="82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Indicates a management contract or compensatory plan.</w:t>
      </w:r>
    </w:p>
    <w:p>
      <w:pPr>
        <w:spacing w:after="0" w:line="34" w:lineRule="exact"/>
        <w:rPr>
          <w:sz w:val="20"/>
          <w:szCs w:val="20"/>
          <w:color w:val="auto"/>
        </w:rPr>
      </w:pPr>
    </w:p>
    <w:p>
      <w:pPr>
        <w:ind w:left="820" w:right="80" w:hanging="557"/>
        <w:spacing w:after="0" w:line="251" w:lineRule="auto"/>
        <w:tabs>
          <w:tab w:leader="none" w:pos="8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Portions of the exhibit, marked by brackets and asterisks [***], have been omitted because the omitted information is not material and (i) would likely cause competitive harm to the registrant if publicly disclosed or (ii) is information that the registrant treats as private or confidential.</w:t>
      </w:r>
    </w:p>
    <w:p>
      <w:pPr>
        <w:ind w:left="820" w:hanging="550"/>
        <w:spacing w:after="0" w:line="259" w:lineRule="auto"/>
        <w:tabs>
          <w:tab w:leader="none" w:pos="8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Certain schedules and exhibits have been omitted pursuant to Item 601(a)(5) of Regulation S-K. A copy of any omitted schedule and/or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626110</wp:posOffset>
            </wp:positionV>
            <wp:extent cx="7164070"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520" w:top="934" w:right="359" w:bottom="1440" w:gutter="0" w:footer="0" w:header="0"/>
        </w:sectPr>
      </w:pPr>
    </w:p>
    <w:bookmarkStart w:id="230" w:name="page231"/>
    <w:bookmarkEnd w:id="230"/>
    <w:p>
      <w:pPr>
        <w:ind w:left="1020" w:hanging="544"/>
        <w:spacing w:after="0" w:line="232" w:lineRule="auto"/>
        <w:tabs>
          <w:tab w:leader="none" w:pos="10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561340</wp:posOffset>
            </wp:positionV>
            <wp:extent cx="7164070" cy="419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940" w:right="45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45"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Pursuant to the requirements of Section 13 or 15(d) of the Securities Act of 1934, Recursion Pharmaceuticals, Inc. has duly caused this report to be signed on its behalf by the undersigned, thereunto duly authorized, in the City of Salt Lake City, Utah, on February 28, 2025.</w:t>
      </w:r>
    </w:p>
    <w:p>
      <w:pPr>
        <w:spacing w:after="0" w:line="1" w:lineRule="exact"/>
        <w:rPr>
          <w:sz w:val="20"/>
          <w:szCs w:val="20"/>
          <w:color w:val="auto"/>
        </w:rPr>
      </w:pPr>
    </w:p>
    <w:p>
      <w:pPr>
        <w:ind w:left="8020"/>
        <w:spacing w:after="0"/>
        <w:rPr>
          <w:sz w:val="20"/>
          <w:szCs w:val="20"/>
          <w:color w:val="auto"/>
        </w:rPr>
      </w:pPr>
      <w:r>
        <w:rPr>
          <w:rFonts w:ascii="Arial" w:cs="Arial" w:eastAsia="Arial" w:hAnsi="Arial"/>
          <w:sz w:val="17"/>
          <w:szCs w:val="17"/>
          <w:color w:val="auto"/>
        </w:rPr>
        <w:t>RECURSION PHARMACEUTICALS, INC.</w:t>
      </w:r>
    </w:p>
    <w:p>
      <w:pPr>
        <w:spacing w:after="0" w:line="307" w:lineRule="exact"/>
        <w:rPr>
          <w:sz w:val="20"/>
          <w:szCs w:val="20"/>
          <w:color w:val="auto"/>
        </w:rPr>
      </w:pPr>
    </w:p>
    <w:p>
      <w:pPr>
        <w:ind w:left="7140"/>
        <w:spacing w:after="0"/>
        <w:tabs>
          <w:tab w:leader="none" w:pos="95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4700905</wp:posOffset>
            </wp:positionH>
            <wp:positionV relativeFrom="paragraph">
              <wp:posOffset>26035</wp:posOffset>
            </wp:positionV>
            <wp:extent cx="24396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42"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Christopher Gibson</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Chief Executive Officer</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24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each of Christopher Gibson and Ben Taylor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each of the undersigned has executed this Power of Attorney as of the date indicated opposite his/her name.</w:t>
      </w:r>
    </w:p>
    <w:p>
      <w:pPr>
        <w:spacing w:after="0" w:line="243"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Pursuant to the requirements of the Securities Act of 1934, this report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516890</wp:posOffset>
            </wp:positionV>
            <wp:extent cx="7164070" cy="419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232" w:name="page233"/>
    <w:bookmarkEnd w:id="232"/>
    <w:p>
      <w:pPr>
        <w:ind w:left="1960"/>
        <w:spacing w:after="0"/>
        <w:tabs>
          <w:tab w:leader="none" w:pos="6520" w:val="left"/>
          <w:tab w:leader="none" w:pos="96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685228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6852285" cy="8255"/>
                    </a:xfrm>
                    <a:prstGeom prst="rect">
                      <a:avLst/>
                    </a:prstGeom>
                    <a:noFill/>
                  </pic:spPr>
                </pic:pic>
              </a:graphicData>
            </a:graphic>
          </wp:anchor>
        </w:drawing>
      </w:r>
    </w:p>
    <w:p>
      <w:pPr>
        <w:sectPr>
          <w:pgSz w:w="11900" w:h="16838" w:orient="portrait"/>
          <w:cols w:equalWidth="0" w:num="1">
            <w:col w:w="10200"/>
          </w:cols>
          <w:pgMar w:left="340" w:top="955" w:right="1359" w:bottom="1440" w:gutter="0" w:footer="0" w:header="0"/>
        </w:sect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20"/>
                <w:szCs w:val="20"/>
                <w:color w:val="auto"/>
              </w:rPr>
            </w:pPr>
            <w:r>
              <w:rPr>
                <w:rFonts w:ascii="Arial" w:cs="Arial" w:eastAsia="Arial" w:hAnsi="Arial"/>
                <w:sz w:val="17"/>
                <w:szCs w:val="17"/>
                <w:color w:val="auto"/>
              </w:rPr>
              <w:t>/s/ Christopher Gibson</w:t>
            </w:r>
          </w:p>
        </w:tc>
        <w:tc>
          <w:tcPr>
            <w:tcW w:w="5300" w:type="dxa"/>
            <w:vAlign w:val="bottom"/>
          </w:tcPr>
          <w:p>
            <w:pPr>
              <w:ind w:left="1500"/>
              <w:spacing w:after="0"/>
              <w:rPr>
                <w:sz w:val="20"/>
                <w:szCs w:val="20"/>
                <w:color w:val="auto"/>
              </w:rPr>
            </w:pPr>
            <w:r>
              <w:rPr>
                <w:rFonts w:ascii="Arial" w:cs="Arial" w:eastAsia="Arial" w:hAnsi="Arial"/>
                <w:sz w:val="17"/>
                <w:szCs w:val="17"/>
                <w:color w:val="auto"/>
              </w:rPr>
              <w:t xml:space="preserve">Chief Executive Officer and Director </w:t>
            </w:r>
            <w:r>
              <w:rPr>
                <w:rFonts w:ascii="Arial" w:cs="Arial" w:eastAsia="Arial" w:hAnsi="Arial"/>
                <w:sz w:val="17"/>
                <w:szCs w:val="17"/>
                <w:i w:val="1"/>
                <w:iCs w:val="1"/>
                <w:color w:val="auto"/>
              </w:rPr>
              <w:t>(Principal</w:t>
            </w:r>
          </w:p>
        </w:tc>
        <w:tc>
          <w:tcPr>
            <w:tcW w:w="1680" w:type="dxa"/>
            <w:vAlign w:val="bottom"/>
          </w:tcPr>
          <w:p>
            <w:pPr>
              <w:ind w:left="280"/>
              <w:spacing w:after="0"/>
              <w:rPr>
                <w:sz w:val="20"/>
                <w:szCs w:val="20"/>
                <w:color w:val="auto"/>
              </w:rPr>
            </w:pPr>
            <w:r>
              <w:rPr>
                <w:rFonts w:ascii="Arial" w:cs="Arial" w:eastAsia="Arial" w:hAnsi="Arial"/>
                <w:sz w:val="17"/>
                <w:szCs w:val="17"/>
                <w:color w:val="auto"/>
                <w:w w:val="99"/>
              </w:rPr>
              <w:t>February 28, 2025</w:t>
            </w:r>
          </w:p>
        </w:tc>
      </w:tr>
      <w:tr>
        <w:trPr>
          <w:trHeight w:val="226"/>
        </w:trPr>
        <w:tc>
          <w:tcPr>
            <w:tcW w:w="3220" w:type="dxa"/>
            <w:vAlign w:val="bottom"/>
          </w:tcPr>
          <w:p>
            <w:pPr>
              <w:spacing w:after="0"/>
              <w:rPr>
                <w:sz w:val="20"/>
                <w:szCs w:val="20"/>
                <w:color w:val="auto"/>
              </w:rPr>
            </w:pPr>
            <w:r>
              <w:rPr>
                <w:rFonts w:ascii="Arial" w:cs="Arial" w:eastAsia="Arial" w:hAnsi="Arial"/>
                <w:sz w:val="17"/>
                <w:szCs w:val="17"/>
                <w:color w:val="auto"/>
              </w:rPr>
              <w:t>Christopher Gibson</w:t>
            </w:r>
          </w:p>
        </w:tc>
        <w:tc>
          <w:tcPr>
            <w:tcW w:w="5300" w:type="dxa"/>
            <w:vAlign w:val="bottom"/>
          </w:tcPr>
          <w:p>
            <w:pPr>
              <w:ind w:left="1500"/>
              <w:spacing w:after="0"/>
              <w:rPr>
                <w:sz w:val="20"/>
                <w:szCs w:val="20"/>
                <w:color w:val="auto"/>
              </w:rPr>
            </w:pPr>
            <w:r>
              <w:rPr>
                <w:rFonts w:ascii="Arial" w:cs="Arial" w:eastAsia="Arial" w:hAnsi="Arial"/>
                <w:sz w:val="17"/>
                <w:szCs w:val="17"/>
                <w:i w:val="1"/>
                <w:iCs w:val="1"/>
                <w:color w:val="auto"/>
              </w:rPr>
              <w:t>Executive Officer)</w:t>
            </w:r>
          </w:p>
        </w:tc>
        <w:tc>
          <w:tcPr>
            <w:tcW w:w="1680" w:type="dxa"/>
            <w:vAlign w:val="bottom"/>
          </w:tcPr>
          <w:p>
            <w:pPr>
              <w:spacing w:after="0"/>
              <w:rPr>
                <w:sz w:val="19"/>
                <w:szCs w:val="19"/>
                <w:color w:val="auto"/>
              </w:rPr>
            </w:pPr>
          </w:p>
        </w:tc>
      </w:tr>
      <w:tr>
        <w:trPr>
          <w:trHeight w:val="496"/>
        </w:trPr>
        <w:tc>
          <w:tcPr>
            <w:tcW w:w="3220" w:type="dxa"/>
            <w:vAlign w:val="bottom"/>
          </w:tcPr>
          <w:p>
            <w:pPr>
              <w:spacing w:after="0"/>
              <w:rPr>
                <w:sz w:val="20"/>
                <w:szCs w:val="20"/>
                <w:color w:val="auto"/>
              </w:rPr>
            </w:pPr>
            <w:r>
              <w:rPr>
                <w:rFonts w:ascii="Arial" w:cs="Arial" w:eastAsia="Arial" w:hAnsi="Arial"/>
                <w:sz w:val="17"/>
                <w:szCs w:val="17"/>
                <w:color w:val="auto"/>
              </w:rPr>
              <w:t>/s/ Ben Taylor</w:t>
            </w:r>
          </w:p>
        </w:tc>
        <w:tc>
          <w:tcPr>
            <w:tcW w:w="5300" w:type="dxa"/>
            <w:vAlign w:val="bottom"/>
          </w:tcPr>
          <w:p>
            <w:pPr>
              <w:ind w:left="1500"/>
              <w:spacing w:after="0"/>
              <w:rPr>
                <w:sz w:val="20"/>
                <w:szCs w:val="20"/>
                <w:color w:val="auto"/>
              </w:rPr>
            </w:pPr>
            <w:r>
              <w:rPr>
                <w:rFonts w:ascii="Arial" w:cs="Arial" w:eastAsia="Arial" w:hAnsi="Arial"/>
                <w:sz w:val="17"/>
                <w:szCs w:val="17"/>
                <w:color w:val="auto"/>
              </w:rPr>
              <w:t xml:space="preserve">Chief Financial Officer </w:t>
            </w:r>
            <w:r>
              <w:rPr>
                <w:rFonts w:ascii="Arial" w:cs="Arial" w:eastAsia="Arial" w:hAnsi="Arial"/>
                <w:sz w:val="17"/>
                <w:szCs w:val="17"/>
                <w:i w:val="1"/>
                <w:iCs w:val="1"/>
                <w:color w:val="auto"/>
              </w:rPr>
              <w:t>(Principal Financial and</w:t>
            </w:r>
          </w:p>
        </w:tc>
        <w:tc>
          <w:tcPr>
            <w:tcW w:w="1680" w:type="dxa"/>
            <w:vAlign w:val="bottom"/>
          </w:tcPr>
          <w:p>
            <w:pPr>
              <w:ind w:left="280"/>
              <w:spacing w:after="0"/>
              <w:rPr>
                <w:sz w:val="20"/>
                <w:szCs w:val="20"/>
                <w:color w:val="auto"/>
              </w:rPr>
            </w:pPr>
            <w:r>
              <w:rPr>
                <w:rFonts w:ascii="Arial" w:cs="Arial" w:eastAsia="Arial" w:hAnsi="Arial"/>
                <w:sz w:val="17"/>
                <w:szCs w:val="17"/>
                <w:color w:val="auto"/>
                <w:w w:val="99"/>
              </w:rPr>
              <w:t>February 28, 2025</w:t>
            </w:r>
          </w:p>
        </w:tc>
      </w:tr>
      <w:tr>
        <w:trPr>
          <w:trHeight w:val="226"/>
        </w:trPr>
        <w:tc>
          <w:tcPr>
            <w:tcW w:w="3220" w:type="dxa"/>
            <w:vAlign w:val="bottom"/>
          </w:tcPr>
          <w:p>
            <w:pPr>
              <w:spacing w:after="0"/>
              <w:rPr>
                <w:sz w:val="20"/>
                <w:szCs w:val="20"/>
                <w:color w:val="auto"/>
              </w:rPr>
            </w:pPr>
            <w:r>
              <w:rPr>
                <w:rFonts w:ascii="Arial" w:cs="Arial" w:eastAsia="Arial" w:hAnsi="Arial"/>
                <w:sz w:val="17"/>
                <w:szCs w:val="17"/>
                <w:color w:val="auto"/>
              </w:rPr>
              <w:t>Ben Taylor</w:t>
            </w:r>
          </w:p>
        </w:tc>
        <w:tc>
          <w:tcPr>
            <w:tcW w:w="5300" w:type="dxa"/>
            <w:vAlign w:val="bottom"/>
          </w:tcPr>
          <w:p>
            <w:pPr>
              <w:ind w:left="1500"/>
              <w:spacing w:after="0"/>
              <w:rPr>
                <w:sz w:val="20"/>
                <w:szCs w:val="20"/>
                <w:color w:val="auto"/>
              </w:rPr>
            </w:pPr>
            <w:r>
              <w:rPr>
                <w:rFonts w:ascii="Arial" w:cs="Arial" w:eastAsia="Arial" w:hAnsi="Arial"/>
                <w:sz w:val="17"/>
                <w:szCs w:val="17"/>
                <w:i w:val="1"/>
                <w:iCs w:val="1"/>
                <w:color w:val="auto"/>
              </w:rPr>
              <w:t>Accounting Officer)</w:t>
            </w:r>
          </w:p>
        </w:tc>
        <w:tc>
          <w:tcPr>
            <w:tcW w:w="1680" w:type="dxa"/>
            <w:vAlign w:val="bottom"/>
          </w:tcPr>
          <w:p>
            <w:pPr>
              <w:spacing w:after="0"/>
              <w:rPr>
                <w:sz w:val="19"/>
                <w:szCs w:val="19"/>
                <w:color w:val="auto"/>
              </w:rPr>
            </w:pPr>
          </w:p>
        </w:tc>
      </w:tr>
      <w:tr>
        <w:trPr>
          <w:trHeight w:val="496"/>
        </w:trPr>
        <w:tc>
          <w:tcPr>
            <w:tcW w:w="3220" w:type="dxa"/>
            <w:vAlign w:val="bottom"/>
          </w:tcPr>
          <w:p>
            <w:pPr>
              <w:spacing w:after="0"/>
              <w:rPr>
                <w:sz w:val="20"/>
                <w:szCs w:val="20"/>
                <w:color w:val="auto"/>
              </w:rPr>
            </w:pPr>
            <w:r>
              <w:rPr>
                <w:rFonts w:ascii="Arial" w:cs="Arial" w:eastAsia="Arial" w:hAnsi="Arial"/>
                <w:sz w:val="17"/>
                <w:szCs w:val="17"/>
                <w:color w:val="auto"/>
              </w:rPr>
              <w:t>/s/ Zachary Bogue</w:t>
            </w:r>
          </w:p>
        </w:tc>
        <w:tc>
          <w:tcPr>
            <w:tcW w:w="5300" w:type="dxa"/>
            <w:vAlign w:val="bottom"/>
          </w:tcPr>
          <w:p>
            <w:pPr>
              <w:ind w:left="1500"/>
              <w:spacing w:after="0"/>
              <w:rPr>
                <w:sz w:val="20"/>
                <w:szCs w:val="20"/>
                <w:color w:val="auto"/>
              </w:rPr>
            </w:pPr>
            <w:r>
              <w:rPr>
                <w:rFonts w:ascii="Arial" w:cs="Arial" w:eastAsia="Arial" w:hAnsi="Arial"/>
                <w:sz w:val="17"/>
                <w:szCs w:val="17"/>
                <w:color w:val="auto"/>
              </w:rPr>
              <w:t>Director</w:t>
            </w:r>
          </w:p>
        </w:tc>
        <w:tc>
          <w:tcPr>
            <w:tcW w:w="1680" w:type="dxa"/>
            <w:vAlign w:val="bottom"/>
          </w:tcPr>
          <w:p>
            <w:pPr>
              <w:ind w:left="280"/>
              <w:spacing w:after="0"/>
              <w:rPr>
                <w:sz w:val="20"/>
                <w:szCs w:val="20"/>
                <w:color w:val="auto"/>
              </w:rPr>
            </w:pPr>
            <w:r>
              <w:rPr>
                <w:rFonts w:ascii="Arial" w:cs="Arial" w:eastAsia="Arial" w:hAnsi="Arial"/>
                <w:sz w:val="17"/>
                <w:szCs w:val="17"/>
                <w:color w:val="auto"/>
                <w:w w:val="99"/>
              </w:rPr>
              <w:t>February 28, 2025</w:t>
            </w:r>
          </w:p>
        </w:tc>
      </w:tr>
      <w:tr>
        <w:trPr>
          <w:trHeight w:val="226"/>
        </w:trPr>
        <w:tc>
          <w:tcPr>
            <w:tcW w:w="3220" w:type="dxa"/>
            <w:vAlign w:val="bottom"/>
          </w:tcPr>
          <w:p>
            <w:pPr>
              <w:spacing w:after="0"/>
              <w:rPr>
                <w:sz w:val="20"/>
                <w:szCs w:val="20"/>
                <w:color w:val="auto"/>
              </w:rPr>
            </w:pPr>
            <w:r>
              <w:rPr>
                <w:rFonts w:ascii="Arial" w:cs="Arial" w:eastAsia="Arial" w:hAnsi="Arial"/>
                <w:sz w:val="17"/>
                <w:szCs w:val="17"/>
                <w:color w:val="auto"/>
              </w:rPr>
              <w:t>Zachary Bogue</w:t>
            </w:r>
          </w:p>
        </w:tc>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96"/>
        </w:trPr>
        <w:tc>
          <w:tcPr>
            <w:tcW w:w="3220" w:type="dxa"/>
            <w:vAlign w:val="bottom"/>
          </w:tcPr>
          <w:p>
            <w:pPr>
              <w:spacing w:after="0"/>
              <w:rPr>
                <w:sz w:val="20"/>
                <w:szCs w:val="20"/>
                <w:color w:val="auto"/>
              </w:rPr>
            </w:pPr>
            <w:r>
              <w:rPr>
                <w:rFonts w:ascii="Arial" w:cs="Arial" w:eastAsia="Arial" w:hAnsi="Arial"/>
                <w:sz w:val="17"/>
                <w:szCs w:val="17"/>
                <w:color w:val="auto"/>
              </w:rPr>
              <w:t>/s/ Blake Borgeson</w:t>
            </w:r>
          </w:p>
        </w:tc>
        <w:tc>
          <w:tcPr>
            <w:tcW w:w="5300" w:type="dxa"/>
            <w:vAlign w:val="bottom"/>
          </w:tcPr>
          <w:p>
            <w:pPr>
              <w:ind w:left="1500"/>
              <w:spacing w:after="0"/>
              <w:rPr>
                <w:sz w:val="20"/>
                <w:szCs w:val="20"/>
                <w:color w:val="auto"/>
              </w:rPr>
            </w:pPr>
            <w:r>
              <w:rPr>
                <w:rFonts w:ascii="Arial" w:cs="Arial" w:eastAsia="Arial" w:hAnsi="Arial"/>
                <w:sz w:val="17"/>
                <w:szCs w:val="17"/>
                <w:color w:val="auto"/>
              </w:rPr>
              <w:t>Director</w:t>
            </w:r>
          </w:p>
        </w:tc>
        <w:tc>
          <w:tcPr>
            <w:tcW w:w="1680" w:type="dxa"/>
            <w:vAlign w:val="bottom"/>
          </w:tcPr>
          <w:p>
            <w:pPr>
              <w:ind w:left="280"/>
              <w:spacing w:after="0"/>
              <w:rPr>
                <w:sz w:val="20"/>
                <w:szCs w:val="20"/>
                <w:color w:val="auto"/>
              </w:rPr>
            </w:pPr>
            <w:r>
              <w:rPr>
                <w:rFonts w:ascii="Arial" w:cs="Arial" w:eastAsia="Arial" w:hAnsi="Arial"/>
                <w:sz w:val="17"/>
                <w:szCs w:val="17"/>
                <w:color w:val="auto"/>
                <w:w w:val="99"/>
              </w:rPr>
              <w:t>February 28, 2025</w:t>
            </w:r>
          </w:p>
        </w:tc>
      </w:tr>
      <w:tr>
        <w:trPr>
          <w:trHeight w:val="226"/>
        </w:trPr>
        <w:tc>
          <w:tcPr>
            <w:tcW w:w="3220" w:type="dxa"/>
            <w:vAlign w:val="bottom"/>
          </w:tcPr>
          <w:p>
            <w:pPr>
              <w:spacing w:after="0"/>
              <w:rPr>
                <w:sz w:val="20"/>
                <w:szCs w:val="20"/>
                <w:color w:val="auto"/>
              </w:rPr>
            </w:pPr>
            <w:r>
              <w:rPr>
                <w:rFonts w:ascii="Arial" w:cs="Arial" w:eastAsia="Arial" w:hAnsi="Arial"/>
                <w:sz w:val="17"/>
                <w:szCs w:val="17"/>
                <w:color w:val="auto"/>
              </w:rPr>
              <w:t>Blake Borgeson</w:t>
            </w:r>
          </w:p>
        </w:tc>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96"/>
        </w:trPr>
        <w:tc>
          <w:tcPr>
            <w:tcW w:w="3220" w:type="dxa"/>
            <w:vAlign w:val="bottom"/>
          </w:tcPr>
          <w:p>
            <w:pPr>
              <w:spacing w:after="0"/>
              <w:rPr>
                <w:sz w:val="20"/>
                <w:szCs w:val="20"/>
                <w:color w:val="auto"/>
              </w:rPr>
            </w:pPr>
            <w:r>
              <w:rPr>
                <w:rFonts w:ascii="Arial" w:cs="Arial" w:eastAsia="Arial" w:hAnsi="Arial"/>
                <w:sz w:val="17"/>
                <w:szCs w:val="17"/>
                <w:color w:val="auto"/>
              </w:rPr>
              <w:t>/s/ Najat Khan</w:t>
            </w:r>
          </w:p>
        </w:tc>
        <w:tc>
          <w:tcPr>
            <w:tcW w:w="5300" w:type="dxa"/>
            <w:vAlign w:val="bottom"/>
          </w:tcPr>
          <w:p>
            <w:pPr>
              <w:ind w:left="1500"/>
              <w:spacing w:after="0"/>
              <w:rPr>
                <w:sz w:val="20"/>
                <w:szCs w:val="20"/>
                <w:color w:val="auto"/>
              </w:rPr>
            </w:pPr>
            <w:r>
              <w:rPr>
                <w:rFonts w:ascii="Arial" w:cs="Arial" w:eastAsia="Arial" w:hAnsi="Arial"/>
                <w:sz w:val="17"/>
                <w:szCs w:val="17"/>
                <w:color w:val="auto"/>
              </w:rPr>
              <w:t>Director</w:t>
            </w:r>
          </w:p>
        </w:tc>
        <w:tc>
          <w:tcPr>
            <w:tcW w:w="1680" w:type="dxa"/>
            <w:vAlign w:val="bottom"/>
          </w:tcPr>
          <w:p>
            <w:pPr>
              <w:ind w:left="280"/>
              <w:spacing w:after="0"/>
              <w:rPr>
                <w:sz w:val="20"/>
                <w:szCs w:val="20"/>
                <w:color w:val="auto"/>
              </w:rPr>
            </w:pPr>
            <w:r>
              <w:rPr>
                <w:rFonts w:ascii="Arial" w:cs="Arial" w:eastAsia="Arial" w:hAnsi="Arial"/>
                <w:sz w:val="17"/>
                <w:szCs w:val="17"/>
                <w:color w:val="auto"/>
                <w:w w:val="99"/>
              </w:rPr>
              <w:t>February 28, 2025</w:t>
            </w:r>
          </w:p>
        </w:tc>
      </w:tr>
      <w:tr>
        <w:trPr>
          <w:trHeight w:val="226"/>
        </w:trPr>
        <w:tc>
          <w:tcPr>
            <w:tcW w:w="3220" w:type="dxa"/>
            <w:vAlign w:val="bottom"/>
          </w:tcPr>
          <w:p>
            <w:pPr>
              <w:spacing w:after="0"/>
              <w:rPr>
                <w:sz w:val="20"/>
                <w:szCs w:val="20"/>
                <w:color w:val="auto"/>
              </w:rPr>
            </w:pPr>
            <w:r>
              <w:rPr>
                <w:rFonts w:ascii="Arial" w:cs="Arial" w:eastAsia="Arial" w:hAnsi="Arial"/>
                <w:sz w:val="17"/>
                <w:szCs w:val="17"/>
                <w:color w:val="auto"/>
              </w:rPr>
              <w:t>Najat Khan</w:t>
            </w:r>
          </w:p>
        </w:tc>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96"/>
        </w:trPr>
        <w:tc>
          <w:tcPr>
            <w:tcW w:w="3220" w:type="dxa"/>
            <w:vAlign w:val="bottom"/>
          </w:tcPr>
          <w:p>
            <w:pPr>
              <w:spacing w:after="0"/>
              <w:rPr>
                <w:sz w:val="20"/>
                <w:szCs w:val="20"/>
                <w:color w:val="auto"/>
              </w:rPr>
            </w:pPr>
            <w:r>
              <w:rPr>
                <w:rFonts w:ascii="Arial" w:cs="Arial" w:eastAsia="Arial" w:hAnsi="Arial"/>
                <w:sz w:val="17"/>
                <w:szCs w:val="17"/>
                <w:color w:val="auto"/>
              </w:rPr>
              <w:t>/s/ Robert Hershberg</w:t>
            </w:r>
          </w:p>
        </w:tc>
        <w:tc>
          <w:tcPr>
            <w:tcW w:w="5300" w:type="dxa"/>
            <w:vAlign w:val="bottom"/>
          </w:tcPr>
          <w:p>
            <w:pPr>
              <w:ind w:left="1500"/>
              <w:spacing w:after="0"/>
              <w:rPr>
                <w:sz w:val="20"/>
                <w:szCs w:val="20"/>
                <w:color w:val="auto"/>
              </w:rPr>
            </w:pPr>
            <w:r>
              <w:rPr>
                <w:rFonts w:ascii="Arial" w:cs="Arial" w:eastAsia="Arial" w:hAnsi="Arial"/>
                <w:sz w:val="17"/>
                <w:szCs w:val="17"/>
                <w:color w:val="auto"/>
              </w:rPr>
              <w:t>Chair of the Board</w:t>
            </w:r>
          </w:p>
        </w:tc>
        <w:tc>
          <w:tcPr>
            <w:tcW w:w="1680" w:type="dxa"/>
            <w:vAlign w:val="bottom"/>
          </w:tcPr>
          <w:p>
            <w:pPr>
              <w:ind w:left="280"/>
              <w:spacing w:after="0"/>
              <w:rPr>
                <w:sz w:val="20"/>
                <w:szCs w:val="20"/>
                <w:color w:val="auto"/>
              </w:rPr>
            </w:pPr>
            <w:r>
              <w:rPr>
                <w:rFonts w:ascii="Arial" w:cs="Arial" w:eastAsia="Arial" w:hAnsi="Arial"/>
                <w:sz w:val="17"/>
                <w:szCs w:val="17"/>
                <w:color w:val="auto"/>
                <w:w w:val="99"/>
              </w:rPr>
              <w:t>February 28, 2025</w:t>
            </w:r>
          </w:p>
        </w:tc>
      </w:tr>
      <w:tr>
        <w:trPr>
          <w:trHeight w:val="226"/>
        </w:trPr>
        <w:tc>
          <w:tcPr>
            <w:tcW w:w="3220" w:type="dxa"/>
            <w:vAlign w:val="bottom"/>
          </w:tcPr>
          <w:p>
            <w:pPr>
              <w:spacing w:after="0"/>
              <w:rPr>
                <w:sz w:val="20"/>
                <w:szCs w:val="20"/>
                <w:color w:val="auto"/>
              </w:rPr>
            </w:pPr>
            <w:r>
              <w:rPr>
                <w:rFonts w:ascii="Arial" w:cs="Arial" w:eastAsia="Arial" w:hAnsi="Arial"/>
                <w:sz w:val="17"/>
                <w:szCs w:val="17"/>
                <w:color w:val="auto"/>
              </w:rPr>
              <w:t>Robert Hershberg</w:t>
            </w:r>
          </w:p>
        </w:tc>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96"/>
        </w:trPr>
        <w:tc>
          <w:tcPr>
            <w:tcW w:w="3220" w:type="dxa"/>
            <w:vAlign w:val="bottom"/>
          </w:tcPr>
          <w:p>
            <w:pPr>
              <w:spacing w:after="0"/>
              <w:rPr>
                <w:sz w:val="20"/>
                <w:szCs w:val="20"/>
                <w:color w:val="auto"/>
              </w:rPr>
            </w:pPr>
            <w:r>
              <w:rPr>
                <w:rFonts w:ascii="Arial" w:cs="Arial" w:eastAsia="Arial" w:hAnsi="Arial"/>
                <w:sz w:val="17"/>
                <w:szCs w:val="17"/>
                <w:color w:val="auto"/>
              </w:rPr>
              <w:t>/s/ Zavain Dar</w:t>
            </w:r>
          </w:p>
        </w:tc>
        <w:tc>
          <w:tcPr>
            <w:tcW w:w="5300" w:type="dxa"/>
            <w:vAlign w:val="bottom"/>
          </w:tcPr>
          <w:p>
            <w:pPr>
              <w:ind w:left="1500"/>
              <w:spacing w:after="0"/>
              <w:rPr>
                <w:sz w:val="20"/>
                <w:szCs w:val="20"/>
                <w:color w:val="auto"/>
              </w:rPr>
            </w:pPr>
            <w:r>
              <w:rPr>
                <w:rFonts w:ascii="Arial" w:cs="Arial" w:eastAsia="Arial" w:hAnsi="Arial"/>
                <w:sz w:val="17"/>
                <w:szCs w:val="17"/>
                <w:color w:val="auto"/>
              </w:rPr>
              <w:t>Director</w:t>
            </w:r>
          </w:p>
        </w:tc>
        <w:tc>
          <w:tcPr>
            <w:tcW w:w="1680" w:type="dxa"/>
            <w:vAlign w:val="bottom"/>
          </w:tcPr>
          <w:p>
            <w:pPr>
              <w:ind w:left="280"/>
              <w:spacing w:after="0"/>
              <w:rPr>
                <w:sz w:val="20"/>
                <w:szCs w:val="20"/>
                <w:color w:val="auto"/>
              </w:rPr>
            </w:pPr>
            <w:r>
              <w:rPr>
                <w:rFonts w:ascii="Arial" w:cs="Arial" w:eastAsia="Arial" w:hAnsi="Arial"/>
                <w:sz w:val="17"/>
                <w:szCs w:val="17"/>
                <w:color w:val="auto"/>
                <w:w w:val="99"/>
              </w:rPr>
              <w:t>February 28, 2025</w:t>
            </w:r>
          </w:p>
        </w:tc>
      </w:tr>
      <w:tr>
        <w:trPr>
          <w:trHeight w:val="226"/>
        </w:trPr>
        <w:tc>
          <w:tcPr>
            <w:tcW w:w="3220" w:type="dxa"/>
            <w:vAlign w:val="bottom"/>
          </w:tcPr>
          <w:p>
            <w:pPr>
              <w:spacing w:after="0"/>
              <w:rPr>
                <w:sz w:val="20"/>
                <w:szCs w:val="20"/>
                <w:color w:val="auto"/>
              </w:rPr>
            </w:pPr>
            <w:r>
              <w:rPr>
                <w:rFonts w:ascii="Arial" w:cs="Arial" w:eastAsia="Arial" w:hAnsi="Arial"/>
                <w:sz w:val="17"/>
                <w:szCs w:val="17"/>
                <w:color w:val="auto"/>
              </w:rPr>
              <w:t>Zavain Dar</w:t>
            </w:r>
          </w:p>
        </w:tc>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96"/>
        </w:trPr>
        <w:tc>
          <w:tcPr>
            <w:tcW w:w="3220" w:type="dxa"/>
            <w:vAlign w:val="bottom"/>
          </w:tcPr>
          <w:p>
            <w:pPr>
              <w:spacing w:after="0"/>
              <w:rPr>
                <w:sz w:val="20"/>
                <w:szCs w:val="20"/>
                <w:color w:val="auto"/>
              </w:rPr>
            </w:pPr>
            <w:r>
              <w:rPr>
                <w:rFonts w:ascii="Arial" w:cs="Arial" w:eastAsia="Arial" w:hAnsi="Arial"/>
                <w:sz w:val="17"/>
                <w:szCs w:val="17"/>
                <w:color w:val="auto"/>
              </w:rPr>
              <w:t>/s/ Dean Li</w:t>
            </w:r>
          </w:p>
        </w:tc>
        <w:tc>
          <w:tcPr>
            <w:tcW w:w="5300" w:type="dxa"/>
            <w:vAlign w:val="bottom"/>
          </w:tcPr>
          <w:p>
            <w:pPr>
              <w:ind w:left="1500"/>
              <w:spacing w:after="0"/>
              <w:rPr>
                <w:sz w:val="20"/>
                <w:szCs w:val="20"/>
                <w:color w:val="auto"/>
              </w:rPr>
            </w:pPr>
            <w:r>
              <w:rPr>
                <w:rFonts w:ascii="Arial" w:cs="Arial" w:eastAsia="Arial" w:hAnsi="Arial"/>
                <w:sz w:val="17"/>
                <w:szCs w:val="17"/>
                <w:color w:val="auto"/>
              </w:rPr>
              <w:t>Director</w:t>
            </w:r>
          </w:p>
        </w:tc>
        <w:tc>
          <w:tcPr>
            <w:tcW w:w="1680" w:type="dxa"/>
            <w:vAlign w:val="bottom"/>
          </w:tcPr>
          <w:p>
            <w:pPr>
              <w:ind w:left="280"/>
              <w:spacing w:after="0"/>
              <w:rPr>
                <w:sz w:val="20"/>
                <w:szCs w:val="20"/>
                <w:color w:val="auto"/>
              </w:rPr>
            </w:pPr>
            <w:r>
              <w:rPr>
                <w:rFonts w:ascii="Arial" w:cs="Arial" w:eastAsia="Arial" w:hAnsi="Arial"/>
                <w:sz w:val="17"/>
                <w:szCs w:val="17"/>
                <w:color w:val="auto"/>
                <w:w w:val="99"/>
              </w:rPr>
              <w:t>February 28, 2025</w:t>
            </w:r>
          </w:p>
        </w:tc>
      </w:tr>
      <w:tr>
        <w:trPr>
          <w:trHeight w:val="226"/>
        </w:trPr>
        <w:tc>
          <w:tcPr>
            <w:tcW w:w="3220" w:type="dxa"/>
            <w:vAlign w:val="bottom"/>
          </w:tcPr>
          <w:p>
            <w:pPr>
              <w:spacing w:after="0"/>
              <w:rPr>
                <w:sz w:val="20"/>
                <w:szCs w:val="20"/>
                <w:color w:val="auto"/>
              </w:rPr>
            </w:pPr>
            <w:r>
              <w:rPr>
                <w:rFonts w:ascii="Arial" w:cs="Arial" w:eastAsia="Arial" w:hAnsi="Arial"/>
                <w:sz w:val="17"/>
                <w:szCs w:val="17"/>
                <w:color w:val="auto"/>
              </w:rPr>
              <w:t>Dean Li</w:t>
            </w:r>
          </w:p>
        </w:tc>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96"/>
        </w:trPr>
        <w:tc>
          <w:tcPr>
            <w:tcW w:w="3220" w:type="dxa"/>
            <w:vAlign w:val="bottom"/>
          </w:tcPr>
          <w:p>
            <w:pPr>
              <w:spacing w:after="0"/>
              <w:rPr>
                <w:sz w:val="20"/>
                <w:szCs w:val="20"/>
                <w:color w:val="auto"/>
              </w:rPr>
            </w:pPr>
            <w:r>
              <w:rPr>
                <w:rFonts w:ascii="Arial" w:cs="Arial" w:eastAsia="Arial" w:hAnsi="Arial"/>
                <w:sz w:val="17"/>
                <w:szCs w:val="17"/>
                <w:color w:val="auto"/>
              </w:rPr>
              <w:t>/s/ Franziska Michor</w:t>
            </w:r>
          </w:p>
        </w:tc>
        <w:tc>
          <w:tcPr>
            <w:tcW w:w="5300" w:type="dxa"/>
            <w:vAlign w:val="bottom"/>
          </w:tcPr>
          <w:p>
            <w:pPr>
              <w:ind w:left="1500"/>
              <w:spacing w:after="0"/>
              <w:rPr>
                <w:sz w:val="20"/>
                <w:szCs w:val="20"/>
                <w:color w:val="auto"/>
              </w:rPr>
            </w:pPr>
            <w:r>
              <w:rPr>
                <w:rFonts w:ascii="Arial" w:cs="Arial" w:eastAsia="Arial" w:hAnsi="Arial"/>
                <w:sz w:val="17"/>
                <w:szCs w:val="17"/>
                <w:color w:val="auto"/>
              </w:rPr>
              <w:t>Director</w:t>
            </w:r>
          </w:p>
        </w:tc>
        <w:tc>
          <w:tcPr>
            <w:tcW w:w="1680" w:type="dxa"/>
            <w:vAlign w:val="bottom"/>
          </w:tcPr>
          <w:p>
            <w:pPr>
              <w:ind w:left="280"/>
              <w:spacing w:after="0"/>
              <w:rPr>
                <w:sz w:val="20"/>
                <w:szCs w:val="20"/>
                <w:color w:val="auto"/>
              </w:rPr>
            </w:pPr>
            <w:r>
              <w:rPr>
                <w:rFonts w:ascii="Arial" w:cs="Arial" w:eastAsia="Arial" w:hAnsi="Arial"/>
                <w:sz w:val="17"/>
                <w:szCs w:val="17"/>
                <w:color w:val="auto"/>
                <w:w w:val="99"/>
              </w:rPr>
              <w:t>February 28, 2025</w:t>
            </w:r>
          </w:p>
        </w:tc>
      </w:tr>
      <w:tr>
        <w:trPr>
          <w:trHeight w:val="226"/>
        </w:trPr>
        <w:tc>
          <w:tcPr>
            <w:tcW w:w="3220" w:type="dxa"/>
            <w:vAlign w:val="bottom"/>
          </w:tcPr>
          <w:p>
            <w:pPr>
              <w:spacing w:after="0"/>
              <w:rPr>
                <w:sz w:val="20"/>
                <w:szCs w:val="20"/>
                <w:color w:val="auto"/>
              </w:rPr>
            </w:pPr>
            <w:r>
              <w:rPr>
                <w:rFonts w:ascii="Arial" w:cs="Arial" w:eastAsia="Arial" w:hAnsi="Arial"/>
                <w:sz w:val="17"/>
                <w:szCs w:val="17"/>
                <w:color w:val="auto"/>
              </w:rPr>
              <w:t>Franziska Michor</w:t>
            </w:r>
          </w:p>
        </w:tc>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ectPr>
          <w:pgSz w:w="11900" w:h="16838" w:orient="portrait"/>
          <w:cols w:equalWidth="0" w:num="1">
            <w:col w:w="10200"/>
          </w:cols>
          <w:pgMar w:left="340" w:top="955" w:right="1359" w:bottom="1440" w:gutter="0" w:footer="0" w:header="0"/>
          <w:type w:val="continuous"/>
        </w:sectPr>
      </w:pPr>
    </w:p>
    <w:bookmarkStart w:id="233" w:name="page234"/>
    <w:bookmarkEnd w:id="233"/>
    <w:p>
      <w:pPr>
        <w:jc w:val="right"/>
        <w:spacing w:after="0"/>
        <w:rPr>
          <w:sz w:val="20"/>
          <w:szCs w:val="20"/>
          <w:color w:val="auto"/>
        </w:rPr>
      </w:pPr>
      <w:r>
        <w:rPr>
          <w:rFonts w:ascii="Arial" w:cs="Arial" w:eastAsia="Arial" w:hAnsi="Arial"/>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RECURSION PHARMACEUTICALS</w:t>
      </w:r>
      <w:r>
        <w:rPr>
          <w:rFonts w:ascii="Times New Roman" w:cs="Times New Roman" w:eastAsia="Times New Roman" w:hAnsi="Times New Roman"/>
          <w:sz w:val="19"/>
          <w:szCs w:val="19"/>
          <w:b w:val="1"/>
          <w:bCs w:val="1"/>
          <w:color w:val="auto"/>
        </w:rPr>
        <w:t>,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(Adopted on March 19, 2021; most recently amended April 27, 2023)</w:t>
      </w:r>
    </w:p>
    <w:p>
      <w:pPr>
        <w:spacing w:after="0" w:line="206" w:lineRule="exact"/>
        <w:rPr>
          <w:sz w:val="20"/>
          <w:szCs w:val="20"/>
          <w:color w:val="auto"/>
        </w:rPr>
      </w:pPr>
    </w:p>
    <w:p>
      <w:pPr>
        <w:ind w:left="620" w:hanging="617"/>
        <w:spacing w:after="0"/>
        <w:tabs>
          <w:tab w:leader="none" w:pos="620" w:val="left"/>
        </w:tabs>
        <w:numPr>
          <w:ilvl w:val="0"/>
          <w:numId w:val="144"/>
        </w:numPr>
        <w:rPr>
          <w:rFonts w:ascii="Arial" w:cs="Arial" w:eastAsia="Arial" w:hAnsi="Arial"/>
          <w:sz w:val="19"/>
          <w:szCs w:val="19"/>
          <w:b w:val="1"/>
          <w:bCs w:val="1"/>
          <w:color w:val="auto"/>
        </w:rPr>
      </w:pPr>
      <w:r>
        <w:rPr>
          <w:rFonts w:ascii="Arial" w:cs="Arial" w:eastAsia="Arial" w:hAnsi="Arial"/>
          <w:sz w:val="19"/>
          <w:szCs w:val="19"/>
          <w:b w:val="1"/>
          <w:bCs w:val="1"/>
          <w:color w:val="auto"/>
        </w:rPr>
        <w:t>POLICY OVERVIEW</w:t>
      </w:r>
    </w:p>
    <w:p>
      <w:pPr>
        <w:spacing w:after="0" w:line="178"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9"/>
          <w:szCs w:val="19"/>
          <w:color w:val="auto"/>
        </w:rPr>
        <w:t>Recursion Pharmaceuticals, Inc. (together with any subsidiaries, collectively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adopted this Insider Trading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to help you comply with the federal and state securities laws and regulations that govern trading in securities and to help the Company minimize its own legal and reputational risk.</w:t>
      </w:r>
    </w:p>
    <w:p>
      <w:pPr>
        <w:spacing w:after="0" w:line="15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6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For purposes of this Policy, the head of Legal serves as the Compliance Officer. The Compliance Officer may designate others, from time to time, to assist with the execution of his or her duties under this Policy.</w:t>
      </w:r>
    </w:p>
    <w:p>
      <w:pPr>
        <w:spacing w:after="0" w:line="129" w:lineRule="exact"/>
        <w:rPr>
          <w:sz w:val="20"/>
          <w:szCs w:val="20"/>
          <w:color w:val="auto"/>
        </w:rPr>
      </w:pPr>
    </w:p>
    <w:p>
      <w:pPr>
        <w:ind w:left="620" w:hanging="617"/>
        <w:spacing w:after="0"/>
        <w:tabs>
          <w:tab w:leader="none" w:pos="620" w:val="left"/>
        </w:tabs>
        <w:numPr>
          <w:ilvl w:val="0"/>
          <w:numId w:val="145"/>
        </w:numPr>
        <w:rPr>
          <w:rFonts w:ascii="Arial" w:cs="Arial" w:eastAsia="Arial" w:hAnsi="Arial"/>
          <w:sz w:val="19"/>
          <w:szCs w:val="19"/>
          <w:b w:val="1"/>
          <w:bCs w:val="1"/>
          <w:color w:val="auto"/>
        </w:rPr>
      </w:pPr>
      <w:r>
        <w:rPr>
          <w:rFonts w:ascii="Arial" w:cs="Arial" w:eastAsia="Arial" w:hAnsi="Arial"/>
          <w:sz w:val="19"/>
          <w:szCs w:val="19"/>
          <w:b w:val="1"/>
          <w:bCs w:val="1"/>
          <w:color w:val="auto"/>
        </w:rPr>
        <w:t>POLICY STATEMENT</w:t>
      </w:r>
    </w:p>
    <w:p>
      <w:pPr>
        <w:spacing w:after="0" w:line="181" w:lineRule="exact"/>
        <w:rPr>
          <w:rFonts w:ascii="Arial" w:cs="Arial" w:eastAsia="Arial" w:hAnsi="Arial"/>
          <w:sz w:val="19"/>
          <w:szCs w:val="19"/>
          <w:b w:val="1"/>
          <w:bCs w:val="1"/>
          <w:color w:val="auto"/>
        </w:rPr>
      </w:pPr>
    </w:p>
    <w:p>
      <w:pPr>
        <w:ind w:firstLine="622"/>
        <w:spacing w:after="0"/>
        <w:tabs>
          <w:tab w:leader="none" w:pos="1237"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Trading on Material Nonpublic Information</w:t>
      </w:r>
      <w:r>
        <w:rPr>
          <w:rFonts w:ascii="Times New Roman" w:cs="Times New Roman" w:eastAsia="Times New Roman" w:hAnsi="Times New Roman"/>
          <w:sz w:val="19"/>
          <w:szCs w:val="19"/>
          <w:color w:val="auto"/>
        </w:rPr>
        <w:t>. It is illegal for anyone to trade in securities on the basis of material nonpublic information. If you are in possession of material nonpublic information about the Company, you are prohibited from:</w:t>
      </w:r>
    </w:p>
    <w:p>
      <w:pPr>
        <w:spacing w:after="0" w:line="143"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2"/>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using it to transact in securities of the Company;</w:t>
      </w:r>
    </w:p>
    <w:p>
      <w:pPr>
        <w:spacing w:after="0" w:line="181"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2"/>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disclosing it to other directors, officers, employees, consultants, contractors or advisors whose roles do not require them to have the information;</w:t>
      </w:r>
    </w:p>
    <w:p>
      <w:pPr>
        <w:spacing w:after="0" w:line="143" w:lineRule="exact"/>
        <w:rPr>
          <w:rFonts w:ascii="Times New Roman" w:cs="Times New Roman" w:eastAsia="Times New Roman" w:hAnsi="Times New Roman"/>
          <w:sz w:val="19"/>
          <w:szCs w:val="19"/>
          <w:color w:val="auto"/>
        </w:rPr>
      </w:pPr>
    </w:p>
    <w:p>
      <w:pPr>
        <w:ind w:left="1560" w:hanging="629"/>
        <w:spacing w:after="0"/>
        <w:tabs>
          <w:tab w:leader="none" w:pos="1549" w:val="left"/>
        </w:tabs>
        <w:numPr>
          <w:ilvl w:val="2"/>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disclosing it to anyone outside of the Company, including family, friends, business associates, investors or consulting firms, without prior written authorization from the Compliance Officer; or</w:t>
      </w:r>
    </w:p>
    <w:p>
      <w:pPr>
        <w:spacing w:after="0" w:line="156"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2"/>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using it to express an opinion or make a recommendation about trading in the Company’s securities.</w:t>
      </w:r>
    </w:p>
    <w:p>
      <w:pPr>
        <w:spacing w:after="0" w:line="18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In addition, material nonpublic information about another company that you learn through your service with the Company is subject to these same restrictions around disclosure and trading and you cannot use that information to trade securities. Any such action will be deemed a violation of this Policy.</w:t>
      </w:r>
    </w:p>
    <w:p>
      <w:pPr>
        <w:spacing w:after="0" w:line="161" w:lineRule="exact"/>
        <w:rPr>
          <w:sz w:val="20"/>
          <w:szCs w:val="20"/>
          <w:color w:val="auto"/>
        </w:rPr>
      </w:pPr>
    </w:p>
    <w:p>
      <w:pPr>
        <w:jc w:val="both"/>
        <w:ind w:firstLine="622"/>
        <w:spacing w:after="0" w:line="222" w:lineRule="auto"/>
        <w:tabs>
          <w:tab w:leader="none" w:pos="1237"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Disclosure of Confidential Information</w:t>
      </w:r>
      <w:r>
        <w:rPr>
          <w:rFonts w:ascii="Times New Roman" w:cs="Times New Roman" w:eastAsia="Times New Roman" w:hAnsi="Times New Roman"/>
          <w:sz w:val="19"/>
          <w:szCs w:val="19"/>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w:t>
      </w:r>
    </w:p>
    <w:p>
      <w:pPr>
        <w:sectPr>
          <w:pgSz w:w="11900" w:h="16838" w:orient="portrait"/>
          <w:cols w:equalWidth="0" w:num="1">
            <w:col w:w="11240"/>
          </w:cols>
          <w:pgMar w:left="320" w:top="122" w:right="339" w:bottom="1440" w:gutter="0" w:footer="0" w:header="0"/>
        </w:sectPr>
      </w:pPr>
    </w:p>
    <w:bookmarkStart w:id="234" w:name="page235"/>
    <w:bookmarkEnd w:id="234"/>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has with them and limit your use of the confidential information to the purpose for which it was disclosed.</w:t>
      </w:r>
    </w:p>
    <w:p>
      <w:pPr>
        <w:spacing w:after="0" w:line="19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Chief Financial Officer. Responding to a request yourself may violate this Policy and, in some circumstances, the law. Please consult the Company’s External Communications Policy for more details.</w:t>
      </w:r>
    </w:p>
    <w:p>
      <w:pPr>
        <w:spacing w:after="0" w:line="167" w:lineRule="exact"/>
        <w:rPr>
          <w:sz w:val="20"/>
          <w:szCs w:val="20"/>
          <w:color w:val="auto"/>
        </w:rPr>
      </w:pPr>
    </w:p>
    <w:p>
      <w:pPr>
        <w:jc w:val="both"/>
        <w:ind w:firstLine="622"/>
        <w:spacing w:after="0" w:line="223" w:lineRule="auto"/>
        <w:tabs>
          <w:tab w:leader="none" w:pos="1237"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 of Material Nonpublic Information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Material information</w:t>
      </w:r>
      <w:r>
        <w:rPr>
          <w:rFonts w:ascii="Times New Roman" w:cs="Times New Roman" w:eastAsia="Times New Roman" w:hAnsi="Times New Roman"/>
          <w:sz w:val="19"/>
          <w:szCs w:val="19"/>
          <w:color w:val="auto"/>
        </w:rPr>
        <w:t>” means information that a reasonable investor would be substantially likely to consider important in deciding whether to buy, hold or sell securities of the Company or view as significantly altering the total mix of information available in the marketplace about the Company as an issuer of the securities. In general, any information that could reasonably be expected to affect the market price of a security is likely to be material. Either positive or negative information may be material.</w:t>
      </w:r>
    </w:p>
    <w:p>
      <w:pPr>
        <w:spacing w:after="0" w:line="172"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It is not possible to define all categories of “material” information. However, some examples of information that could be regarded as material include, but are not limited to:</w:t>
      </w:r>
    </w:p>
    <w:p>
      <w:pPr>
        <w:spacing w:after="0" w:line="155" w:lineRule="exact"/>
        <w:rPr>
          <w:sz w:val="20"/>
          <w:szCs w:val="20"/>
          <w:color w:val="auto"/>
        </w:rPr>
      </w:pPr>
    </w:p>
    <w:p>
      <w:pPr>
        <w:ind w:left="1560" w:hanging="629"/>
        <w:spacing w:after="0"/>
        <w:tabs>
          <w:tab w:leader="none" w:pos="1549"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developments in research and development, relating to the Company’s pre-clinical and clinical studies, including, without limitation, status, results and communications with regulatory agencies, or relating to intellectual property;</w:t>
      </w:r>
    </w:p>
    <w:p>
      <w:pPr>
        <w:spacing w:after="0" w:line="143"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legal or regulatory developments, whether positive or negative, actual or threatened, including litigation or resolving litigation and government investigations;</w:t>
      </w:r>
    </w:p>
    <w:p>
      <w:pPr>
        <w:spacing w:after="0" w:line="143"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plans or budgets;</w:t>
      </w:r>
    </w:p>
    <w:p>
      <w:pPr>
        <w:spacing w:after="0" w:line="181"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creation of significant financial obligations, or any significant default under or acceleration of any financial obligation;</w:t>
      </w:r>
    </w:p>
    <w:p>
      <w:pPr>
        <w:spacing w:after="0" w:line="181" w:lineRule="exact"/>
        <w:rPr>
          <w:rFonts w:ascii="Times New Roman" w:cs="Times New Roman" w:eastAsia="Times New Roman" w:hAnsi="Times New Roman"/>
          <w:sz w:val="19"/>
          <w:szCs w:val="19"/>
          <w:color w:val="auto"/>
        </w:rPr>
      </w:pPr>
    </w:p>
    <w:p>
      <w:pPr>
        <w:ind w:left="1560" w:hanging="629"/>
        <w:spacing w:after="0" w:line="233" w:lineRule="auto"/>
        <w:tabs>
          <w:tab w:leader="none" w:pos="1549"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55" w:lineRule="exact"/>
        <w:rPr>
          <w:rFonts w:ascii="Times New Roman" w:cs="Times New Roman" w:eastAsia="Times New Roman" w:hAnsi="Times New Roman"/>
          <w:sz w:val="19"/>
          <w:szCs w:val="19"/>
          <w:color w:val="auto"/>
        </w:rPr>
      </w:pPr>
    </w:p>
    <w:p>
      <w:pPr>
        <w:ind w:left="1560" w:hanging="629"/>
        <w:spacing w:after="0"/>
        <w:tabs>
          <w:tab w:leader="none" w:pos="1554"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results, key metrics, financial conditions, earnings pre-announcements, guidance, projections or forecasts, particularly if inconsistent with the Company’s guidance or the expectations of the investment community;</w:t>
      </w:r>
    </w:p>
    <w:p>
      <w:pPr>
        <w:spacing w:after="0" w:line="143"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restatements of financial results, impending bankruptcy, financial liquidity problems, material impairments, write-offs or restructurings;</w:t>
      </w:r>
    </w:p>
    <w:p>
      <w:pPr>
        <w:spacing w:after="0" w:line="156"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independent auditors, or notification that the Company may no longer rely on an audit report;</w:t>
      </w:r>
    </w:p>
    <w:p>
      <w:pPr>
        <w:spacing w:after="0" w:line="168"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information relating to a product or potential product;</w:t>
      </w:r>
    </w:p>
    <w:p>
      <w:pPr>
        <w:spacing w:after="0" w:line="181" w:lineRule="exact"/>
        <w:rPr>
          <w:rFonts w:ascii="Times New Roman" w:cs="Times New Roman" w:eastAsia="Times New Roman" w:hAnsi="Times New Roman"/>
          <w:sz w:val="19"/>
          <w:szCs w:val="19"/>
          <w:color w:val="auto"/>
        </w:rPr>
      </w:pPr>
    </w:p>
    <w:p>
      <w:pPr>
        <w:jc w:val="both"/>
        <w:ind w:left="1560" w:hanging="629"/>
        <w:spacing w:after="0" w:line="226" w:lineRule="auto"/>
        <w:tabs>
          <w:tab w:leader="none" w:pos="1557"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56"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10" w:lineRule="exact"/>
        <w:rPr>
          <w:sz w:val="20"/>
          <w:szCs w:val="20"/>
          <w:color w:val="auto"/>
        </w:rPr>
      </w:pPr>
    </w:p>
    <w:p>
      <w:pPr>
        <w:ind w:left="1540" w:hanging="609"/>
        <w:spacing w:after="0"/>
        <w:tabs>
          <w:tab w:leader="none" w:pos="154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personnel changes, such as changes in senior management, key employees or employee lay-offs;</w:t>
      </w:r>
    </w:p>
    <w:p>
      <w:pPr>
        <w:spacing w:after="0" w:line="181"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data breaches or other cybersecurity events;</w:t>
      </w:r>
    </w:p>
    <w:p>
      <w:pPr>
        <w:spacing w:after="0" w:line="168"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updates regarding any prior material disclosure that will materially change or has materially changed; and</w:t>
      </w:r>
    </w:p>
    <w:p>
      <w:pPr>
        <w:spacing w:after="0" w:line="181"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 special restricted trading period.</w:t>
      </w:r>
    </w:p>
    <w:p>
      <w:pPr>
        <w:spacing w:after="0" w:line="19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nonpublic information</w:t>
      </w:r>
      <w:r>
        <w:rPr>
          <w:rFonts w:ascii="Times New Roman" w:cs="Times New Roman" w:eastAsia="Times New Roman" w:hAnsi="Times New Roman"/>
          <w:sz w:val="19"/>
          <w:szCs w:val="19"/>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6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being considered public.</w:t>
      </w:r>
    </w:p>
    <w:p>
      <w:pPr>
        <w:spacing w:after="0" w:line="15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a rule of thumb, if you think something might be material nonpublic information, it probably is and you should treat it as such. You can always reach out to the Compliance Officer if you have questions.</w:t>
      </w:r>
    </w:p>
    <w:p>
      <w:pPr>
        <w:spacing w:after="0" w:line="129" w:lineRule="exact"/>
        <w:rPr>
          <w:sz w:val="20"/>
          <w:szCs w:val="20"/>
          <w:color w:val="auto"/>
        </w:rPr>
      </w:pPr>
    </w:p>
    <w:p>
      <w:pPr>
        <w:ind w:left="620" w:hanging="617"/>
        <w:spacing w:after="0"/>
        <w:tabs>
          <w:tab w:leader="none" w:pos="620" w:val="left"/>
        </w:tabs>
        <w:numPr>
          <w:ilvl w:val="0"/>
          <w:numId w:val="150"/>
        </w:numPr>
        <w:rPr>
          <w:rFonts w:ascii="Arial" w:cs="Arial" w:eastAsia="Arial" w:hAnsi="Arial"/>
          <w:sz w:val="19"/>
          <w:szCs w:val="19"/>
          <w:b w:val="1"/>
          <w:bCs w:val="1"/>
          <w:color w:val="auto"/>
        </w:rPr>
      </w:pPr>
      <w:r>
        <w:rPr>
          <w:rFonts w:ascii="Arial" w:cs="Arial" w:eastAsia="Arial" w:hAnsi="Arial"/>
          <w:sz w:val="19"/>
          <w:szCs w:val="19"/>
          <w:b w:val="1"/>
          <w:bCs w:val="1"/>
          <w:color w:val="auto"/>
        </w:rPr>
        <w:t>PERSONS COVERED BY THIS POLICY</w:t>
      </w:r>
    </w:p>
    <w:p>
      <w:pPr>
        <w:spacing w:after="0" w:line="19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provided, however, that this Policy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w:t>
      </w:r>
      <w:r>
        <w:rPr>
          <w:rFonts w:ascii="Times New Roman" w:cs="Times New Roman" w:eastAsia="Times New Roman" w:hAnsi="Times New Roman"/>
          <w:sz w:val="19"/>
          <w:szCs w:val="19"/>
          <w:u w:val="single" w:color="auto"/>
          <w:color w:val="auto"/>
        </w:rPr>
        <w:t>but for the avoidance of doubt this Policy applies to any director of the Company that is affiliated with any such entity.</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You are responsible for making sure that these other individuals and entities comply with this Policy.</w:t>
      </w:r>
    </w:p>
    <w:p>
      <w:pPr>
        <w:spacing w:after="0" w:line="20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restricted trading period under this Policy at the time you leave the Company, you must abide by the applicable trading restrictions until at least the end of the relevant restricted trading period.</w:t>
      </w:r>
    </w:p>
    <w:p>
      <w:pPr>
        <w:spacing w:after="0" w:line="165" w:lineRule="exact"/>
        <w:rPr>
          <w:sz w:val="20"/>
          <w:szCs w:val="20"/>
          <w:color w:val="auto"/>
        </w:rPr>
      </w:pPr>
    </w:p>
    <w:p>
      <w:pPr>
        <w:ind w:left="620" w:hanging="617"/>
        <w:spacing w:after="0"/>
        <w:tabs>
          <w:tab w:leader="none" w:pos="620" w:val="left"/>
        </w:tabs>
        <w:numPr>
          <w:ilvl w:val="0"/>
          <w:numId w:val="151"/>
        </w:numPr>
        <w:rPr>
          <w:rFonts w:ascii="Arial" w:cs="Arial" w:eastAsia="Arial" w:hAnsi="Arial"/>
          <w:sz w:val="19"/>
          <w:szCs w:val="19"/>
          <w:b w:val="1"/>
          <w:bCs w:val="1"/>
          <w:color w:val="auto"/>
        </w:rPr>
      </w:pPr>
      <w:r>
        <w:rPr>
          <w:rFonts w:ascii="Arial" w:cs="Arial" w:eastAsia="Arial" w:hAnsi="Arial"/>
          <w:sz w:val="19"/>
          <w:szCs w:val="19"/>
          <w:b w:val="1"/>
          <w:bCs w:val="1"/>
          <w:color w:val="auto"/>
        </w:rPr>
        <w:t>TRADING COVERED BY THIS POLICY</w:t>
      </w:r>
    </w:p>
    <w:p>
      <w:pPr>
        <w:spacing w:after="0" w:line="17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Except as discussed in Section H (</w:t>
      </w:r>
      <w:r>
        <w:rPr>
          <w:rFonts w:ascii="Times New Roman" w:cs="Times New Roman" w:eastAsia="Times New Roman" w:hAnsi="Times New Roman"/>
          <w:sz w:val="19"/>
          <w:szCs w:val="19"/>
          <w:i w:val="1"/>
          <w:iCs w:val="1"/>
          <w:color w:val="auto"/>
        </w:rPr>
        <w:t>Exceptions to Trading Restrictions</w:t>
      </w:r>
      <w:r>
        <w:rPr>
          <w:rFonts w:ascii="Times New Roman" w:cs="Times New Roman" w:eastAsia="Times New Roman" w:hAnsi="Times New Roman"/>
          <w:sz w:val="19"/>
          <w:szCs w:val="19"/>
          <w:color w:val="auto"/>
        </w:rPr>
        <w:t>), this Policy applies to all transactions involving the Company’s securities or other companies’ securities for which you possess material nonpublic information obtained in connection with your service with the Company. This Policy therefore applies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10" w:lineRule="exact"/>
        <w:rPr>
          <w:sz w:val="20"/>
          <w:szCs w:val="20"/>
          <w:color w:val="auto"/>
        </w:rPr>
      </w:pPr>
    </w:p>
    <w:p>
      <w:pPr>
        <w:jc w:val="both"/>
        <w:ind w:firstLine="622"/>
        <w:spacing w:after="0" w:line="226" w:lineRule="auto"/>
        <w:tabs>
          <w:tab w:leader="none" w:pos="1237"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56"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in the form of a gift of any securities of the Company;</w:t>
      </w:r>
    </w:p>
    <w:p>
      <w:pPr>
        <w:spacing w:after="0" w:line="181"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distribution to holders of interests in an entity if the entity is subject to this Policy; and</w:t>
      </w:r>
    </w:p>
    <w:p>
      <w:pPr>
        <w:spacing w:after="0" w:line="168" w:lineRule="exact"/>
        <w:rPr>
          <w:rFonts w:ascii="Times New Roman" w:cs="Times New Roman" w:eastAsia="Times New Roman" w:hAnsi="Times New Roman"/>
          <w:sz w:val="19"/>
          <w:szCs w:val="19"/>
          <w:color w:val="auto"/>
        </w:rPr>
      </w:pPr>
    </w:p>
    <w:p>
      <w:pPr>
        <w:jc w:val="both"/>
        <w:ind w:firstLine="622"/>
        <w:spacing w:after="0" w:line="231" w:lineRule="auto"/>
        <w:tabs>
          <w:tab w:leader="none" w:pos="1237"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There are no exceptions from insider trading laws or this Policy based on the size of the transaction or the type of consideration received.</w:t>
      </w:r>
    </w:p>
    <w:p>
      <w:pPr>
        <w:spacing w:after="0" w:line="206" w:lineRule="exact"/>
        <w:rPr>
          <w:sz w:val="20"/>
          <w:szCs w:val="20"/>
          <w:color w:val="auto"/>
        </w:rPr>
      </w:pPr>
    </w:p>
    <w:p>
      <w:pPr>
        <w:ind w:left="620" w:hanging="617"/>
        <w:spacing w:after="0"/>
        <w:tabs>
          <w:tab w:leader="none" w:pos="620" w:val="left"/>
        </w:tabs>
        <w:numPr>
          <w:ilvl w:val="0"/>
          <w:numId w:val="153"/>
        </w:numPr>
        <w:rPr>
          <w:rFonts w:ascii="Arial" w:cs="Arial" w:eastAsia="Arial" w:hAnsi="Arial"/>
          <w:sz w:val="19"/>
          <w:szCs w:val="19"/>
          <w:b w:val="1"/>
          <w:bCs w:val="1"/>
          <w:color w:val="auto"/>
        </w:rPr>
      </w:pPr>
      <w:r>
        <w:rPr>
          <w:rFonts w:ascii="Arial" w:cs="Arial" w:eastAsia="Arial" w:hAnsi="Arial"/>
          <w:sz w:val="19"/>
          <w:szCs w:val="19"/>
          <w:b w:val="1"/>
          <w:bCs w:val="1"/>
          <w:color w:val="auto"/>
        </w:rPr>
        <w:t>TRADING RESTRICTIONS</w:t>
      </w:r>
    </w:p>
    <w:p>
      <w:pPr>
        <w:spacing w:after="0" w:line="194" w:lineRule="exact"/>
        <w:rPr>
          <w:rFonts w:ascii="Arial" w:cs="Arial" w:eastAsia="Arial" w:hAnsi="Arial"/>
          <w:sz w:val="19"/>
          <w:szCs w:val="19"/>
          <w:b w:val="1"/>
          <w:bCs w:val="1"/>
          <w:color w:val="auto"/>
        </w:rPr>
      </w:pPr>
    </w:p>
    <w:p>
      <w:pPr>
        <w:ind w:left="620"/>
        <w:spacing w:after="0"/>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Subject to the exceptions set forth below, this Policy restricts trading during certain periods and by certain people as follows:</w:t>
      </w:r>
    </w:p>
    <w:p>
      <w:pPr>
        <w:spacing w:after="0" w:line="190" w:lineRule="exact"/>
        <w:rPr>
          <w:rFonts w:ascii="Arial" w:cs="Arial" w:eastAsia="Arial" w:hAnsi="Arial"/>
          <w:sz w:val="19"/>
          <w:szCs w:val="19"/>
          <w:b w:val="1"/>
          <w:bCs w:val="1"/>
          <w:color w:val="auto"/>
        </w:rPr>
      </w:pPr>
    </w:p>
    <w:p>
      <w:pPr>
        <w:jc w:val="both"/>
        <w:ind w:firstLine="622"/>
        <w:spacing w:after="0" w:line="216" w:lineRule="auto"/>
        <w:tabs>
          <w:tab w:leader="none" w:pos="1237"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Quarterly Restricted Trading Periods</w:t>
      </w:r>
      <w:r>
        <w:rPr>
          <w:rFonts w:ascii="Times New Roman" w:cs="Times New Roman" w:eastAsia="Times New Roman" w:hAnsi="Times New Roman"/>
          <w:sz w:val="19"/>
          <w:szCs w:val="19"/>
          <w:color w:val="auto"/>
        </w:rPr>
        <w:t>. Except as discussed in Section H (</w:t>
      </w:r>
      <w:r>
        <w:rPr>
          <w:rFonts w:ascii="Times New Roman" w:cs="Times New Roman" w:eastAsia="Times New Roman" w:hAnsi="Times New Roman"/>
          <w:sz w:val="19"/>
          <w:szCs w:val="19"/>
          <w:i w:val="1"/>
          <w:iCs w:val="1"/>
          <w:color w:val="auto"/>
        </w:rPr>
        <w:t>Exceptions to Trading Restrictions</w:t>
      </w:r>
      <w:r>
        <w:rPr>
          <w:rFonts w:ascii="Times New Roman" w:cs="Times New Roman" w:eastAsia="Times New Roman" w:hAnsi="Times New Roman"/>
          <w:sz w:val="19"/>
          <w:szCs w:val="19"/>
          <w:color w:val="auto"/>
        </w:rPr>
        <w:t>), all directors and officers of the Company, and those employees identified by the Company must refrain from conducting transactions involving the Company’s securities during quarterly restricted trading periods. Individuals subject to quarterly restricted trading periods will be informed by the Compliance Officer that they are listed on the covered persons list maintained by the Compliance Officer (the “</w:t>
      </w:r>
      <w:r>
        <w:rPr>
          <w:rFonts w:ascii="Times New Roman" w:cs="Times New Roman" w:eastAsia="Times New Roman" w:hAnsi="Times New Roman"/>
          <w:sz w:val="19"/>
          <w:szCs w:val="19"/>
          <w:b w:val="1"/>
          <w:bCs w:val="1"/>
          <w:color w:val="auto"/>
        </w:rPr>
        <w:t>Covered Person List</w:t>
      </w:r>
      <w:r>
        <w:rPr>
          <w:rFonts w:ascii="Times New Roman" w:cs="Times New Roman" w:eastAsia="Times New Roman" w:hAnsi="Times New Roman"/>
          <w:sz w:val="19"/>
          <w:szCs w:val="19"/>
          <w:color w:val="auto"/>
        </w:rPr>
        <w:t>”). To the extent applicable to you, quarterly restricted trading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restricted trading periods, you should exercise caution when engaging in transactions during quarterly restricted trading periods because of the heightened risk of insider trading exposure.</w:t>
      </w:r>
    </w:p>
    <w:p>
      <w:pPr>
        <w:spacing w:after="0" w:line="158"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Quarterly restricted trading periods will start at the end of the last day of each fiscal quarter and will end at the start of the second full trading day following the Company’s earnings release.</w:t>
      </w:r>
    </w:p>
    <w:p>
      <w:pPr>
        <w:spacing w:after="0" w:line="15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prohibition against trading during the restricted trading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restricted trading period, including “limit orders” to buy or sell stock at a specific price or better and “stop orders” to buy or sell stock once the price of the stock reaches a specified price. If you are subject to restricted trading periods or pre-clearance requirements, you should so inform any broker with whom such an open order is placed at the time it is placed.</w:t>
      </w:r>
    </w:p>
    <w:p>
      <w:pPr>
        <w:spacing w:after="0" w:line="18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From time to time, the Company may identify other persons who should be subject to quarterly restricted trading periods, and the Compliance Officer may update and revise the Covered Persons List as appropriate.</w:t>
      </w:r>
    </w:p>
    <w:p>
      <w:pPr>
        <w:spacing w:after="0" w:line="155" w:lineRule="exact"/>
        <w:rPr>
          <w:sz w:val="20"/>
          <w:szCs w:val="20"/>
          <w:color w:val="auto"/>
        </w:rPr>
      </w:pPr>
    </w:p>
    <w:p>
      <w:pPr>
        <w:ind w:firstLine="622"/>
        <w:spacing w:after="0" w:line="233" w:lineRule="auto"/>
        <w:tabs>
          <w:tab w:leader="none" w:pos="1237"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Restricted trading Periods</w:t>
      </w:r>
      <w:r>
        <w:rPr>
          <w:rFonts w:ascii="Times New Roman" w:cs="Times New Roman" w:eastAsia="Times New Roman" w:hAnsi="Times New Roman"/>
          <w:sz w:val="19"/>
          <w:szCs w:val="19"/>
          <w:color w:val="auto"/>
        </w:rPr>
        <w:t>. The Company always retains the right to impose additional or longer trading restricted trading periods at any time on any or all of its directors,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44</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consultants, contractors, and advisors. The Compliance Officer will notify you if you are subject to a special restricted trading period by</w:t>
      </w:r>
    </w:p>
    <w:p>
      <w:pPr>
        <w:spacing w:after="0" w:line="6"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providing to you a notice in writing, which may be via email. If you are notified that you are subject to a special restricted trading period, you may not engage in any transaction involving the Company’s securities until the special restricted trading period has ended other than the transactions that</w:t>
      </w:r>
    </w:p>
    <w:p>
      <w:pPr>
        <w:spacing w:after="0" w:line="225" w:lineRule="auto"/>
        <w:rPr>
          <w:sz w:val="20"/>
          <w:szCs w:val="20"/>
          <w:color w:val="auto"/>
        </w:rPr>
      </w:pPr>
      <w:r>
        <w:rPr>
          <w:rFonts w:ascii="Times New Roman" w:cs="Times New Roman" w:eastAsia="Times New Roman" w:hAnsi="Times New Roman"/>
          <w:sz w:val="18"/>
          <w:szCs w:val="18"/>
          <w:color w:val="auto"/>
        </w:rPr>
        <w:t>are covered by the exceptions below. You also may not disclose to anyone else that the Company has imposed a special restricted trading period. To</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the extent applicable to you, special restricted trading periods also cover your immediate family members, persons with whom you share a household, persons who are your economic dependents, and any entity whose transactions in securities you influence, direct or control.</w:t>
      </w:r>
    </w:p>
    <w:p>
      <w:pPr>
        <w:spacing w:after="0" w:line="156" w:lineRule="exact"/>
        <w:rPr>
          <w:sz w:val="20"/>
          <w:szCs w:val="20"/>
          <w:color w:val="auto"/>
        </w:rPr>
      </w:pPr>
    </w:p>
    <w:p>
      <w:pPr>
        <w:jc w:val="both"/>
        <w:ind w:firstLine="622"/>
        <w:spacing w:after="0" w:line="215" w:lineRule="auto"/>
        <w:tabs>
          <w:tab w:leader="none" w:pos="1237"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Regulation BTR</w:t>
      </w:r>
      <w:r>
        <w:rPr>
          <w:rFonts w:ascii="Times New Roman" w:cs="Times New Roman" w:eastAsia="Times New Roman" w:hAnsi="Times New Roman"/>
          <w:sz w:val="19"/>
          <w:szCs w:val="19"/>
          <w:color w:val="auto"/>
        </w:rPr>
        <w:t xml:space="preserve"> . Directors and officers may also be subject to restricted trading periods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trading restriction under Regulation BTR. Failure to comply with an applicable restricted trading period in accordance with Regulation BTR is a violation of law and this Policy.</w:t>
      </w:r>
    </w:p>
    <w:p>
      <w:pPr>
        <w:spacing w:after="0" w:line="148" w:lineRule="exact"/>
        <w:rPr>
          <w:rFonts w:ascii="Times New Roman" w:cs="Times New Roman" w:eastAsia="Times New Roman" w:hAnsi="Times New Roman"/>
          <w:sz w:val="19"/>
          <w:szCs w:val="19"/>
          <w:color w:val="auto"/>
        </w:rPr>
      </w:pPr>
    </w:p>
    <w:p>
      <w:pPr>
        <w:ind w:left="580" w:hanging="577"/>
        <w:spacing w:after="0"/>
        <w:tabs>
          <w:tab w:leader="none" w:pos="580" w:val="left"/>
        </w:tabs>
        <w:numPr>
          <w:ilvl w:val="0"/>
          <w:numId w:val="156"/>
        </w:numPr>
        <w:rPr>
          <w:rFonts w:ascii="Arial" w:cs="Arial" w:eastAsia="Arial" w:hAnsi="Arial"/>
          <w:sz w:val="19"/>
          <w:szCs w:val="19"/>
          <w:b w:val="1"/>
          <w:bCs w:val="1"/>
          <w:color w:val="auto"/>
        </w:rPr>
      </w:pPr>
      <w:r>
        <w:rPr>
          <w:rFonts w:ascii="Arial" w:cs="Arial" w:eastAsia="Arial" w:hAnsi="Arial"/>
          <w:sz w:val="19"/>
          <w:szCs w:val="19"/>
          <w:b w:val="1"/>
          <w:bCs w:val="1"/>
          <w:color w:val="auto"/>
        </w:rPr>
        <w:t>PROHIBITED TRANSACTIONS</w:t>
      </w:r>
    </w:p>
    <w:p>
      <w:pPr>
        <w:spacing w:after="0" w:line="195"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You may not engage in any of the following types of transactions other than as noted below, regardless of whether you have material nonpublic information or not.</w:t>
      </w:r>
    </w:p>
    <w:p>
      <w:pPr>
        <w:spacing w:after="0" w:line="155" w:lineRule="exact"/>
        <w:rPr>
          <w:sz w:val="20"/>
          <w:szCs w:val="20"/>
          <w:color w:val="auto"/>
        </w:rPr>
      </w:pPr>
    </w:p>
    <w:p>
      <w:pPr>
        <w:ind w:firstLine="622"/>
        <w:spacing w:after="0"/>
        <w:tabs>
          <w:tab w:leader="none" w:pos="1237"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Short Sales</w:t>
      </w:r>
      <w:r>
        <w:rPr>
          <w:rFonts w:ascii="Times New Roman" w:cs="Times New Roman" w:eastAsia="Times New Roman" w:hAnsi="Times New Roman"/>
          <w:sz w:val="19"/>
          <w:szCs w:val="19"/>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43" w:lineRule="exact"/>
        <w:rPr>
          <w:rFonts w:ascii="Times New Roman" w:cs="Times New Roman" w:eastAsia="Times New Roman" w:hAnsi="Times New Roman"/>
          <w:sz w:val="19"/>
          <w:szCs w:val="19"/>
          <w:color w:val="auto"/>
        </w:rPr>
      </w:pPr>
    </w:p>
    <w:p>
      <w:pPr>
        <w:jc w:val="both"/>
        <w:ind w:firstLine="622"/>
        <w:spacing w:after="0" w:line="219" w:lineRule="auto"/>
        <w:tabs>
          <w:tab w:leader="none" w:pos="1237"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Derivative Securities and Hedging Transactions</w:t>
      </w:r>
      <w:r>
        <w:rPr>
          <w:rFonts w:ascii="Times New Roman" w:cs="Times New Roman" w:eastAsia="Times New Roman" w:hAnsi="Times New Roman"/>
          <w:sz w:val="19"/>
          <w:szCs w:val="19"/>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spacing w:after="0" w:line="144" w:lineRule="exact"/>
        <w:rPr>
          <w:rFonts w:ascii="Times New Roman" w:cs="Times New Roman" w:eastAsia="Times New Roman" w:hAnsi="Times New Roman"/>
          <w:sz w:val="19"/>
          <w:szCs w:val="19"/>
          <w:color w:val="auto"/>
        </w:rPr>
      </w:pPr>
    </w:p>
    <w:p>
      <w:pPr>
        <w:ind w:firstLine="622"/>
        <w:spacing w:after="0"/>
        <w:tabs>
          <w:tab w:leader="none" w:pos="1237"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Pledging Transactions</w:t>
      </w:r>
      <w:r>
        <w:rPr>
          <w:rFonts w:ascii="Times New Roman" w:cs="Times New Roman" w:eastAsia="Times New Roman" w:hAnsi="Times New Roman"/>
          <w:sz w:val="19"/>
          <w:szCs w:val="19"/>
          <w:color w:val="auto"/>
        </w:rPr>
        <w:t>. If you are required to comply with the restricted trading periods or pre-clearance requirements under this Policy, you may not pledge the Company’s securities as collateral for any loan or as part of any other pledging transaction.</w:t>
      </w:r>
    </w:p>
    <w:p>
      <w:pPr>
        <w:spacing w:after="0" w:line="156" w:lineRule="exact"/>
        <w:rPr>
          <w:rFonts w:ascii="Times New Roman" w:cs="Times New Roman" w:eastAsia="Times New Roman" w:hAnsi="Times New Roman"/>
          <w:sz w:val="19"/>
          <w:szCs w:val="19"/>
          <w:color w:val="auto"/>
        </w:rPr>
      </w:pPr>
    </w:p>
    <w:p>
      <w:pPr>
        <w:ind w:firstLine="622"/>
        <w:spacing w:after="0" w:line="233" w:lineRule="auto"/>
        <w:tabs>
          <w:tab w:leader="none" w:pos="1237"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Margin Accounts</w:t>
      </w:r>
      <w:r>
        <w:rPr>
          <w:rFonts w:ascii="Times New Roman" w:cs="Times New Roman" w:eastAsia="Times New Roman" w:hAnsi="Times New Roman"/>
          <w:sz w:val="19"/>
          <w:szCs w:val="19"/>
          <w:color w:val="auto"/>
        </w:rPr>
        <w:t>. If you are required to comply with the restricted trading periods or pre-clearance requirements under this Policy, you may not hold the Company’s common stock in margin accounts.</w:t>
      </w:r>
    </w:p>
    <w:p>
      <w:pPr>
        <w:spacing w:after="0" w:line="155"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158"/>
        </w:numPr>
        <w:rPr>
          <w:rFonts w:ascii="Arial" w:cs="Arial" w:eastAsia="Arial" w:hAnsi="Arial"/>
          <w:sz w:val="19"/>
          <w:szCs w:val="19"/>
          <w:b w:val="1"/>
          <w:bCs w:val="1"/>
          <w:color w:val="auto"/>
        </w:rPr>
      </w:pPr>
      <w:r>
        <w:rPr>
          <w:rFonts w:ascii="Arial" w:cs="Arial" w:eastAsia="Arial" w:hAnsi="Arial"/>
          <w:sz w:val="19"/>
          <w:szCs w:val="19"/>
          <w:b w:val="1"/>
          <w:bCs w:val="1"/>
          <w:color w:val="auto"/>
        </w:rPr>
        <w:t>PRE-CLEARANCE OF TRADES</w:t>
      </w:r>
    </w:p>
    <w:p>
      <w:pPr>
        <w:spacing w:after="0" w:line="194" w:lineRule="exact"/>
        <w:rPr>
          <w:rFonts w:ascii="Arial" w:cs="Arial" w:eastAsia="Arial" w:hAnsi="Arial"/>
          <w:sz w:val="19"/>
          <w:szCs w:val="19"/>
          <w:b w:val="1"/>
          <w:bCs w:val="1"/>
          <w:color w:val="auto"/>
        </w:rPr>
      </w:pPr>
    </w:p>
    <w:p>
      <w:pPr>
        <w:ind w:left="620"/>
        <w:spacing w:after="0"/>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 xml:space="preserve">The Company’s directors and officers and any other persons identified on </w:t>
      </w:r>
      <w:r>
        <w:rPr>
          <w:rFonts w:ascii="Times New Roman" w:cs="Times New Roman" w:eastAsia="Times New Roman" w:hAnsi="Times New Roman"/>
          <w:sz w:val="19"/>
          <w:szCs w:val="19"/>
          <w:u w:val="single" w:color="auto"/>
          <w:color w:val="auto"/>
        </w:rPr>
        <w:t>the Covered Persons List</w:t>
      </w:r>
      <w:r>
        <w:rPr>
          <w:rFonts w:ascii="Times New Roman" w:cs="Times New Roman" w:eastAsia="Times New Roman" w:hAnsi="Times New Roman"/>
          <w:sz w:val="19"/>
          <w:szCs w:val="19"/>
          <w:color w:val="auto"/>
        </w:rPr>
        <w:t xml:space="preserve"> as being subject to pre-clearance</w:t>
      </w:r>
    </w:p>
    <w:p>
      <w:pPr>
        <w:spacing w:after="0" w:line="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requirements must obtain pre-clearance prior to trading the Company’s securities. If you are subject to pre-clearance requirements, you should submit a pre-clearance request in the form attached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the Compliance Officer at least two business days prior to your desired trade date. The pre-clearance request must be made on the form provided by the Compliance Officer. The person requesting pre-clearance will be asked to certify that he or she is not in possession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55</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2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material nonpublic information about the Company. The Compliance Officer is under no obligation to approve a transaction submitted for pre-clearance and may determine not to permit the transaction.</w:t>
      </w:r>
    </w:p>
    <w:p>
      <w:pPr>
        <w:spacing w:after="0" w:line="142"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8"/>
          <w:szCs w:val="18"/>
          <w:color w:val="auto"/>
        </w:rPr>
        <w:t>If the Compliance Officer is the requester, then the Company’s Chief Executive Officer, Chief Financial Officer, or their delegate, must pre-clear or deny any trade. If recommended by the Compliance Officer, trades made by the Chief Executive Officer or the Chief Financial Officer also must be approved by a committee of the Company’s board of directors. All trades must be executed within two business days of any pre-clearance.</w:t>
      </w:r>
    </w:p>
    <w:p>
      <w:pPr>
        <w:spacing w:after="0" w:line="15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Even after preclearance, a person may not trade the Company’s securities if they become subject to a restricted trading period or aware of material nonpublic information prior to the trade being executed.</w:t>
      </w:r>
    </w:p>
    <w:p>
      <w:pPr>
        <w:spacing w:after="0" w:line="142"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From time to time, the Company may identify other persons who should be subject to the pre-clearance requirements set forth above, and the Compliance Officer may update and revise the Covered Persons List as appropriate.</w:t>
      </w:r>
    </w:p>
    <w:p>
      <w:pPr>
        <w:spacing w:after="0" w:line="129" w:lineRule="exact"/>
        <w:rPr>
          <w:sz w:val="20"/>
          <w:szCs w:val="20"/>
          <w:color w:val="auto"/>
        </w:rPr>
      </w:pPr>
    </w:p>
    <w:p>
      <w:pPr>
        <w:ind w:left="620" w:hanging="617"/>
        <w:spacing w:after="0"/>
        <w:tabs>
          <w:tab w:leader="none" w:pos="620" w:val="left"/>
        </w:tabs>
        <w:numPr>
          <w:ilvl w:val="0"/>
          <w:numId w:val="159"/>
        </w:numPr>
        <w:rPr>
          <w:rFonts w:ascii="Arial" w:cs="Arial" w:eastAsia="Arial" w:hAnsi="Arial"/>
          <w:sz w:val="19"/>
          <w:szCs w:val="19"/>
          <w:b w:val="1"/>
          <w:bCs w:val="1"/>
          <w:color w:val="auto"/>
        </w:rPr>
      </w:pPr>
      <w:r>
        <w:rPr>
          <w:rFonts w:ascii="Arial" w:cs="Arial" w:eastAsia="Arial" w:hAnsi="Arial"/>
          <w:sz w:val="19"/>
          <w:szCs w:val="19"/>
          <w:b w:val="1"/>
          <w:bCs w:val="1"/>
          <w:color w:val="auto"/>
        </w:rPr>
        <w:t>EXCEPTIONS TO TRADING RESTRICTIONS</w:t>
      </w:r>
    </w:p>
    <w:p>
      <w:pPr>
        <w:spacing w:after="0" w:line="19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There are no unconditional “safe harbors” for trades made at particular times, and all persons subject to this Policy should exercise good judgment at all times. Even when a quarterly restricted trading period is not in effect, you may be prohibited from engaging in transactions involving the Company’s securities because you possess material nonpublic information, are subject to a special restricted trading period or are otherwise restricted under this Policy.</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are certain limited exceptions to the restricted trading period restrictions and pre-clearance requirements imposed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under this Policy:</w:t>
      </w:r>
    </w:p>
    <w:p>
      <w:pPr>
        <w:spacing w:after="0" w:line="177" w:lineRule="exact"/>
        <w:rPr>
          <w:sz w:val="20"/>
          <w:szCs w:val="20"/>
          <w:color w:val="auto"/>
        </w:rPr>
      </w:pPr>
    </w:p>
    <w:p>
      <w:pPr>
        <w:ind w:left="1240" w:hanging="618"/>
        <w:spacing w:after="0"/>
        <w:tabs>
          <w:tab w:leader="none" w:pos="124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option exercises where the purchase price of such stock options is paid in cash and there is no other associated market</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activity;</w:t>
      </w:r>
    </w:p>
    <w:p>
      <w:pPr>
        <w:spacing w:after="0" w:line="161"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vesting of stock options, restricted stock units, restricted stock or other equity compensation awards from the Company;</w:t>
      </w:r>
    </w:p>
    <w:p>
      <w:pPr>
        <w:spacing w:after="0" w:line="192" w:lineRule="exact"/>
        <w:rPr>
          <w:rFonts w:ascii="Times New Roman" w:cs="Times New Roman" w:eastAsia="Times New Roman" w:hAnsi="Times New Roman"/>
          <w:sz w:val="18"/>
          <w:szCs w:val="18"/>
          <w:color w:val="auto"/>
        </w:rPr>
      </w:pPr>
    </w:p>
    <w:p>
      <w:pPr>
        <w:ind w:left="1240" w:hanging="618"/>
        <w:spacing w:after="0"/>
        <w:tabs>
          <w:tab w:leader="none" w:pos="124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purchases pursuant to the employee stock purchase plan; however, this exception does not apply to subsequent sales of the shares;</w:t>
      </w:r>
    </w:p>
    <w:p>
      <w:pPr>
        <w:spacing w:after="0" w:line="168" w:lineRule="exact"/>
        <w:rPr>
          <w:rFonts w:ascii="Times New Roman" w:cs="Times New Roman" w:eastAsia="Times New Roman" w:hAnsi="Times New Roman"/>
          <w:sz w:val="19"/>
          <w:szCs w:val="19"/>
          <w:color w:val="auto"/>
        </w:rPr>
      </w:pPr>
    </w:p>
    <w:p>
      <w:pPr>
        <w:jc w:val="both"/>
        <w:ind w:firstLine="622"/>
        <w:spacing w:after="0" w:line="222" w:lineRule="auto"/>
        <w:tabs>
          <w:tab w:leader="none" w:pos="1237"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share withholding with respect to equity awards where shares are withheld by the Company in order to satisfy tax withholding requirements, (x) as required by either the Company’s board of directors (or a committee thereof) or the award agreement governing such equity award or (y) if permitted by the Company, so long as any election is irrevocable and made in writing at a time when a restricted trading period is not in place and you are not in possession of material nonpublic information;</w:t>
      </w:r>
    </w:p>
    <w:p>
      <w:pPr>
        <w:spacing w:after="0" w:line="158" w:lineRule="exact"/>
        <w:rPr>
          <w:rFonts w:ascii="Times New Roman" w:cs="Times New Roman" w:eastAsia="Times New Roman" w:hAnsi="Times New Roman"/>
          <w:sz w:val="19"/>
          <w:szCs w:val="19"/>
          <w:color w:val="auto"/>
        </w:rPr>
      </w:pPr>
    </w:p>
    <w:p>
      <w:pPr>
        <w:jc w:val="both"/>
        <w:ind w:firstLine="622"/>
        <w:spacing w:after="0" w:line="222" w:lineRule="auto"/>
        <w:tabs>
          <w:tab w:leader="none" w:pos="1237"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to cover transactions where shares are sold on your behalf upon vesting of equity awards and sold in order to satisfy tax withholding requirements, (x) as required by either the Company’s board of directors (or a committee thereof) or the award agreement governing such equity award or (y) if permitted by the Company, so long as any election is irrevocable and made in writing at a time when a restricted trading period is not in place and you are not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66</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however, this exception does not apply to any other market sale for the purposes of paying required withholding;</w:t>
      </w:r>
    </w:p>
    <w:p>
      <w:pPr>
        <w:spacing w:after="0" w:line="177" w:lineRule="exact"/>
        <w:rPr>
          <w:sz w:val="20"/>
          <w:szCs w:val="20"/>
          <w:color w:val="auto"/>
        </w:rPr>
      </w:pPr>
    </w:p>
    <w:p>
      <w:pPr>
        <w:ind w:left="1240" w:hanging="618"/>
        <w:spacing w:after="0"/>
        <w:tabs>
          <w:tab w:leader="none" w:pos="124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made pursuant to a valid 10b5-1 trading plan approved by the Company (see Section I (</w:t>
      </w:r>
      <w:r>
        <w:rPr>
          <w:rFonts w:ascii="Times New Roman" w:cs="Times New Roman" w:eastAsia="Times New Roman" w:hAnsi="Times New Roman"/>
          <w:sz w:val="19"/>
          <w:szCs w:val="19"/>
          <w:i w:val="1"/>
          <w:iCs w:val="1"/>
          <w:color w:val="auto"/>
        </w:rPr>
        <w:t>10b5-1 Trading Plans</w:t>
      </w:r>
      <w:r>
        <w:rPr>
          <w:rFonts w:ascii="Times New Roman" w:cs="Times New Roman" w:eastAsia="Times New Roman" w:hAnsi="Times New Roman"/>
          <w:sz w:val="19"/>
          <w:szCs w:val="19"/>
          <w:color w:val="auto"/>
        </w:rPr>
        <w:t>) below);</w:t>
      </w:r>
    </w:p>
    <w:p>
      <w:pPr>
        <w:spacing w:after="0" w:line="172" w:lineRule="exact"/>
        <w:rPr>
          <w:rFonts w:ascii="Times New Roman" w:cs="Times New Roman" w:eastAsia="Times New Roman" w:hAnsi="Times New Roman"/>
          <w:sz w:val="19"/>
          <w:szCs w:val="19"/>
          <w:color w:val="auto"/>
        </w:rPr>
      </w:pPr>
    </w:p>
    <w:p>
      <w:pPr>
        <w:jc w:val="both"/>
        <w:ind w:firstLine="622"/>
        <w:spacing w:after="0" w:line="216" w:lineRule="auto"/>
        <w:tabs>
          <w:tab w:leader="none" w:pos="1237"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purchases of the Company’s stock in the 401(k) plan resulting from periodic contributions to the plan based on your payroll contribution election;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trading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157" w:lineRule="exact"/>
        <w:rPr>
          <w:rFonts w:ascii="Times New Roman" w:cs="Times New Roman" w:eastAsia="Times New Roman" w:hAnsi="Times New Roman"/>
          <w:sz w:val="19"/>
          <w:szCs w:val="19"/>
          <w:color w:val="auto"/>
        </w:rPr>
      </w:pPr>
    </w:p>
    <w:p>
      <w:pPr>
        <w:jc w:val="both"/>
        <w:ind w:firstLine="622"/>
        <w:spacing w:after="0" w:line="226" w:lineRule="auto"/>
        <w:tabs>
          <w:tab w:leader="none" w:pos="1237"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 and</w:t>
      </w:r>
    </w:p>
    <w:p>
      <w:pPr>
        <w:spacing w:after="0" w:line="156" w:lineRule="exact"/>
        <w:rPr>
          <w:rFonts w:ascii="Times New Roman" w:cs="Times New Roman" w:eastAsia="Times New Roman" w:hAnsi="Times New Roman"/>
          <w:sz w:val="19"/>
          <w:szCs w:val="19"/>
          <w:color w:val="auto"/>
        </w:rPr>
      </w:pPr>
    </w:p>
    <w:p>
      <w:pPr>
        <w:ind w:firstLine="622"/>
        <w:spacing w:after="0"/>
        <w:tabs>
          <w:tab w:leader="none" w:pos="1237"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number of the Company’s securities you hold due to a stock split or a stock dividend that applies equally to all securities of a class, or similar transactions.</w:t>
      </w:r>
    </w:p>
    <w:p>
      <w:pPr>
        <w:spacing w:after="0" w:line="15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If there is a Regulation BTR restricted trading period then the limited exceptions set forth in Regulation BTR will apply. Please be aware that even if a transaction is subject to an exception to this Policy, you will need to separately assess whether the transaction complies with applicable law. Any other Policy exceptions must be approved by the Compliance Officer, in consultation with the Company’s board of directors or an independent committee of the board of directors.</w:t>
      </w:r>
    </w:p>
    <w:p>
      <w:pPr>
        <w:spacing w:after="0" w:line="165" w:lineRule="exact"/>
        <w:rPr>
          <w:sz w:val="20"/>
          <w:szCs w:val="20"/>
          <w:color w:val="auto"/>
        </w:rPr>
      </w:pPr>
    </w:p>
    <w:p>
      <w:pPr>
        <w:ind w:left="620" w:hanging="617"/>
        <w:spacing w:after="0"/>
        <w:tabs>
          <w:tab w:leader="none" w:pos="620"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color w:val="auto"/>
        </w:rPr>
        <w:t>10B5-1 TRADING PLANS</w:t>
      </w:r>
    </w:p>
    <w:p>
      <w:pPr>
        <w:spacing w:after="0" w:line="182"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9"/>
          <w:szCs w:val="19"/>
          <w:color w:val="auto"/>
        </w:rPr>
        <w:t xml:space="preserve">The Company requires all its directors and officers who are subject to Section 16 of the Securities and Exchange Act of 1934 who trade in the Company’s securities and permits its other officers and employees to adopt written 10b5-1 trading plans in order to mitigate the risk of trading on material nonpublic information. These plans allow for individuals to enter into a prearranged trading plan as long as the plan is not established or modified during a restricted trading period or when the individual is otherwise in possession of material nonpublic information. To be approved by the Company and qualify for the exception to this Policy, any 10b5-1 trading plan adopted by a director, officer or employee must be submitted to the Compliance Officer for approval and must comply with the requirements set forth in the Requirements for Trading Plans attached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If the Compliance Officer is the requester, then the Company’s Chief Executive Officer, Chief Financial Officer, or their delegate, must approve the written 10b5-1 trading plan. From time to time, the Compliance Officer or his or her delegate may update and revise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as necessary or desirable and in consultation with outside counsel for the Company, subject to review and ratification by the Company’s board of directors on an annual basis to the extent there are any such updates or revisions.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77</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10" w:lineRule="exact"/>
        <w:rPr>
          <w:sz w:val="20"/>
          <w:szCs w:val="20"/>
          <w:color w:val="auto"/>
        </w:rPr>
      </w:pPr>
    </w:p>
    <w:p>
      <w:pPr>
        <w:ind w:left="620" w:hanging="617"/>
        <w:spacing w:after="0"/>
        <w:tabs>
          <w:tab w:leader="none" w:pos="620" w:val="left"/>
        </w:tabs>
        <w:numPr>
          <w:ilvl w:val="0"/>
          <w:numId w:val="163"/>
        </w:numPr>
        <w:rPr>
          <w:rFonts w:ascii="Arial" w:cs="Arial" w:eastAsia="Arial" w:hAnsi="Arial"/>
          <w:sz w:val="19"/>
          <w:szCs w:val="19"/>
          <w:b w:val="1"/>
          <w:bCs w:val="1"/>
          <w:color w:val="auto"/>
        </w:rPr>
      </w:pPr>
      <w:r>
        <w:rPr>
          <w:rFonts w:ascii="Arial" w:cs="Arial" w:eastAsia="Arial" w:hAnsi="Arial"/>
          <w:sz w:val="19"/>
          <w:szCs w:val="19"/>
          <w:b w:val="1"/>
          <w:bCs w:val="1"/>
          <w:color w:val="auto"/>
        </w:rPr>
        <w:t>SECTION 16 COMPLIANCE</w:t>
      </w:r>
    </w:p>
    <w:p>
      <w:pPr>
        <w:spacing w:after="0" w:line="19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6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19"/>
          <w:szCs w:val="19"/>
          <w:i w:val="1"/>
          <w:iCs w:val="1"/>
          <w:color w:val="auto"/>
        </w:rPr>
        <w:t>etc.</w:t>
      </w:r>
      <w:r>
        <w:rPr>
          <w:rFonts w:ascii="Times New Roman" w:cs="Times New Roman" w:eastAsia="Times New Roman" w:hAnsi="Times New Roman"/>
          <w:sz w:val="19"/>
          <w:szCs w:val="19"/>
          <w:color w:val="auto"/>
        </w:rPr>
        <w:t>) about his or her transactions involving the Company’s securities.</w:t>
      </w:r>
    </w:p>
    <w:p>
      <w:pPr>
        <w:spacing w:after="0" w:line="15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Company is available to assist in filing Section 16 reports, but the obligation to comply with Section 16 is personal. If you have any questions, you should check with the Compliance Officer.</w:t>
      </w:r>
    </w:p>
    <w:p>
      <w:pPr>
        <w:spacing w:after="0" w:line="129" w:lineRule="exact"/>
        <w:rPr>
          <w:sz w:val="20"/>
          <w:szCs w:val="20"/>
          <w:color w:val="auto"/>
        </w:rPr>
      </w:pPr>
    </w:p>
    <w:p>
      <w:pPr>
        <w:ind w:left="620" w:hanging="617"/>
        <w:spacing w:after="0"/>
        <w:tabs>
          <w:tab w:leader="none" w:pos="620" w:val="left"/>
        </w:tabs>
        <w:numPr>
          <w:ilvl w:val="0"/>
          <w:numId w:val="164"/>
        </w:numPr>
        <w:rPr>
          <w:rFonts w:ascii="Arial" w:cs="Arial" w:eastAsia="Arial" w:hAnsi="Arial"/>
          <w:sz w:val="19"/>
          <w:szCs w:val="19"/>
          <w:b w:val="1"/>
          <w:bCs w:val="1"/>
          <w:color w:val="auto"/>
        </w:rPr>
      </w:pPr>
      <w:r>
        <w:rPr>
          <w:rFonts w:ascii="Arial" w:cs="Arial" w:eastAsia="Arial" w:hAnsi="Arial"/>
          <w:sz w:val="19"/>
          <w:szCs w:val="19"/>
          <w:b w:val="1"/>
          <w:bCs w:val="1"/>
          <w:color w:val="auto"/>
        </w:rPr>
        <w:t>VIOLATIONS OF THIS POLICY</w:t>
      </w:r>
    </w:p>
    <w:p>
      <w:pPr>
        <w:spacing w:after="0" w:line="19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7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66"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9"/>
          <w:szCs w:val="19"/>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trading-restricted period will not extend the term of your options. As a consequence, you may be prevented from exercising your options by this Policy or as a result of a restricted trading period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spacing w:after="0" w:line="159" w:lineRule="exact"/>
        <w:rPr>
          <w:sz w:val="20"/>
          <w:szCs w:val="20"/>
          <w:color w:val="auto"/>
        </w:rPr>
      </w:pPr>
    </w:p>
    <w:p>
      <w:pPr>
        <w:ind w:left="600" w:hanging="597"/>
        <w:spacing w:after="0"/>
        <w:tabs>
          <w:tab w:leader="none" w:pos="600" w:val="left"/>
        </w:tabs>
        <w:numPr>
          <w:ilvl w:val="0"/>
          <w:numId w:val="165"/>
        </w:numPr>
        <w:rPr>
          <w:rFonts w:ascii="Arial" w:cs="Arial" w:eastAsia="Arial" w:hAnsi="Arial"/>
          <w:sz w:val="19"/>
          <w:szCs w:val="19"/>
          <w:b w:val="1"/>
          <w:bCs w:val="1"/>
          <w:color w:val="auto"/>
        </w:rPr>
      </w:pPr>
      <w:r>
        <w:rPr>
          <w:rFonts w:ascii="Arial" w:cs="Arial" w:eastAsia="Arial" w:hAnsi="Arial"/>
          <w:sz w:val="19"/>
          <w:szCs w:val="19"/>
          <w:b w:val="1"/>
          <w:bCs w:val="1"/>
          <w:color w:val="auto"/>
        </w:rPr>
        <w:t>PROTECTED ACTIVITY NOT PROHIBITED</w:t>
      </w:r>
    </w:p>
    <w:p>
      <w:pPr>
        <w:spacing w:after="0" w:line="19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88</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10" w:lineRule="exact"/>
        <w:rPr>
          <w:sz w:val="20"/>
          <w:szCs w:val="20"/>
          <w:color w:val="auto"/>
        </w:rPr>
      </w:pPr>
    </w:p>
    <w:p>
      <w:pPr>
        <w:ind w:left="620" w:hanging="617"/>
        <w:spacing w:after="0"/>
        <w:tabs>
          <w:tab w:leader="none" w:pos="620" w:val="left"/>
        </w:tabs>
        <w:numPr>
          <w:ilvl w:val="0"/>
          <w:numId w:val="166"/>
        </w:numPr>
        <w:rPr>
          <w:rFonts w:ascii="Arial" w:cs="Arial" w:eastAsia="Arial" w:hAnsi="Arial"/>
          <w:sz w:val="19"/>
          <w:szCs w:val="19"/>
          <w:b w:val="1"/>
          <w:bCs w:val="1"/>
          <w:color w:val="auto"/>
        </w:rPr>
      </w:pPr>
      <w:r>
        <w:rPr>
          <w:rFonts w:ascii="Arial" w:cs="Arial" w:eastAsia="Arial" w:hAnsi="Arial"/>
          <w:sz w:val="19"/>
          <w:szCs w:val="19"/>
          <w:b w:val="1"/>
          <w:bCs w:val="1"/>
          <w:color w:val="auto"/>
        </w:rPr>
        <w:t>REPORTING</w:t>
      </w:r>
    </w:p>
    <w:p>
      <w:pPr>
        <w:spacing w:after="0" w:line="19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spacing w:after="0" w:line="148" w:lineRule="exact"/>
        <w:rPr>
          <w:sz w:val="20"/>
          <w:szCs w:val="20"/>
          <w:color w:val="auto"/>
        </w:rPr>
      </w:pPr>
    </w:p>
    <w:p>
      <w:pPr>
        <w:ind w:left="620" w:hanging="617"/>
        <w:spacing w:after="0"/>
        <w:tabs>
          <w:tab w:leader="none" w:pos="620" w:val="left"/>
        </w:tabs>
        <w:numPr>
          <w:ilvl w:val="0"/>
          <w:numId w:val="167"/>
        </w:numPr>
        <w:rPr>
          <w:rFonts w:ascii="Arial" w:cs="Arial" w:eastAsia="Arial" w:hAnsi="Arial"/>
          <w:sz w:val="19"/>
          <w:szCs w:val="19"/>
          <w:b w:val="1"/>
          <w:bCs w:val="1"/>
          <w:color w:val="auto"/>
        </w:rPr>
      </w:pPr>
      <w:r>
        <w:rPr>
          <w:rFonts w:ascii="Arial" w:cs="Arial" w:eastAsia="Arial" w:hAnsi="Arial"/>
          <w:sz w:val="19"/>
          <w:szCs w:val="19"/>
          <w:b w:val="1"/>
          <w:bCs w:val="1"/>
          <w:color w:val="auto"/>
        </w:rPr>
        <w:t>AMENDMENTS</w:t>
      </w:r>
    </w:p>
    <w:p>
      <w:pPr>
        <w:spacing w:after="0" w:line="19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9"/>
          <w:szCs w:val="19"/>
          <w:color w:val="auto"/>
        </w:rPr>
        <w:t>99</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Person proposing to trade:</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Proposed trade (type and amount):</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Manner of trade:</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Proposed trade date: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Affiliate of the Company: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Person does not have a 10b5-1 Plan</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 CHECKLIST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899160</wp:posOffset>
            </wp:positionV>
            <wp:extent cx="4521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4521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719455</wp:posOffset>
            </wp:positionV>
            <wp:extent cx="4521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4521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539115</wp:posOffset>
            </wp:positionV>
            <wp:extent cx="4521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4521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359410</wp:posOffset>
            </wp:positionV>
            <wp:extent cx="4521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4521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0" w:hanging="206"/>
        <w:spacing w:after="0" w:line="196" w:lineRule="exact"/>
        <w:tabs>
          <w:tab w:leader="none" w:pos="280" w:val="left"/>
        </w:tabs>
        <w:numPr>
          <w:ilvl w:val="0"/>
          <w:numId w:val="16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w:t>
      </w:r>
    </w:p>
    <w:p>
      <w:pPr>
        <w:spacing w:after="0" w:line="178" w:lineRule="exact"/>
        <w:rPr>
          <w:rFonts w:ascii="MS PGothic" w:cs="MS PGothic" w:eastAsia="MS PGothic" w:hAnsi="MS PGothic"/>
          <w:sz w:val="17"/>
          <w:szCs w:val="17"/>
          <w:color w:val="auto"/>
          <w:highlight w:val="black"/>
        </w:rPr>
      </w:pPr>
    </w:p>
    <w:p>
      <w:pPr>
        <w:ind w:left="280" w:hanging="206"/>
        <w:spacing w:after="0" w:line="196" w:lineRule="exact"/>
        <w:tabs>
          <w:tab w:leader="none" w:pos="280" w:val="left"/>
        </w:tabs>
        <w:numPr>
          <w:ilvl w:val="0"/>
          <w:numId w:val="16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4521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4521835"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500" w:space="720"/>
            <w:col w:w="7020"/>
          </w:cols>
          <w:pgMar w:left="320" w:top="1108" w:right="339" w:bottom="1440" w:gutter="0" w:footer="0" w:header="0"/>
        </w:sectPr>
      </w:pPr>
    </w:p>
    <w:p>
      <w:pPr>
        <w:spacing w:after="0" w:line="133" w:lineRule="exact"/>
        <w:rPr>
          <w:sz w:val="20"/>
          <w:szCs w:val="20"/>
          <w:color w:val="auto"/>
        </w:rPr>
      </w:pPr>
    </w:p>
    <w:p>
      <w:pPr>
        <w:ind w:left="320" w:hanging="317"/>
        <w:spacing w:after="0"/>
        <w:tabs>
          <w:tab w:leader="none" w:pos="320" w:val="left"/>
        </w:tabs>
        <w:numPr>
          <w:ilvl w:val="0"/>
          <w:numId w:val="169"/>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 xml:space="preserve">No restricted trading period. </w:t>
      </w:r>
      <w:r>
        <w:rPr>
          <w:rFonts w:ascii="Times New Roman" w:cs="Times New Roman" w:eastAsia="Times New Roman" w:hAnsi="Times New Roman"/>
          <w:sz w:val="17"/>
          <w:szCs w:val="17"/>
          <w:color w:val="auto"/>
        </w:rPr>
        <w:t>The proposed trade will not be made during a quarterly or special restricted trading period.</w:t>
      </w:r>
    </w:p>
    <w:p>
      <w:pPr>
        <w:spacing w:after="0" w:line="113" w:lineRule="exact"/>
        <w:rPr>
          <w:rFonts w:ascii="MS PGothic" w:cs="MS PGothic" w:eastAsia="MS PGothic" w:hAnsi="MS PGothic"/>
          <w:sz w:val="17"/>
          <w:szCs w:val="17"/>
          <w:color w:val="auto"/>
          <w:highlight w:val="black"/>
        </w:rPr>
      </w:pPr>
    </w:p>
    <w:p>
      <w:pPr>
        <w:ind w:left="320" w:hanging="317"/>
        <w:spacing w:after="0"/>
        <w:tabs>
          <w:tab w:leader="none" w:pos="320" w:val="left"/>
        </w:tabs>
        <w:numPr>
          <w:ilvl w:val="0"/>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No pension fund restricted trading period under Regulation BTR.* </w:t>
      </w:r>
      <w:r>
        <w:rPr>
          <w:rFonts w:ascii="Times New Roman" w:cs="Times New Roman" w:eastAsia="Times New Roman" w:hAnsi="Times New Roman"/>
          <w:sz w:val="17"/>
          <w:szCs w:val="17"/>
          <w:color w:val="auto"/>
        </w:rPr>
        <w:t>There is no pension fund restricted trading period in effect.</w:t>
      </w:r>
    </w:p>
    <w:p>
      <w:pPr>
        <w:spacing w:after="0" w:line="113" w:lineRule="exact"/>
        <w:rPr>
          <w:rFonts w:ascii="MS PGothic" w:cs="MS PGothic" w:eastAsia="MS PGothic" w:hAnsi="MS PGothic"/>
          <w:sz w:val="17"/>
          <w:szCs w:val="17"/>
          <w:color w:val="auto"/>
        </w:rPr>
      </w:pPr>
    </w:p>
    <w:p>
      <w:pPr>
        <w:ind w:left="320" w:hanging="317"/>
        <w:spacing w:after="0"/>
        <w:tabs>
          <w:tab w:leader="none" w:pos="320" w:val="left"/>
        </w:tabs>
        <w:numPr>
          <w:ilvl w:val="0"/>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No prohibition under Insider Trading Policy. </w:t>
      </w:r>
      <w:r>
        <w:rPr>
          <w:rFonts w:ascii="Times New Roman" w:cs="Times New Roman" w:eastAsia="Times New Roman" w:hAnsi="Times New Roman"/>
          <w:sz w:val="17"/>
          <w:szCs w:val="17"/>
          <w:color w:val="auto"/>
        </w:rPr>
        <w:t>The person confirmed that the proposed transaction is not prohibited under the Insider Trading Policy.</w:t>
      </w:r>
    </w:p>
    <w:p>
      <w:pPr>
        <w:spacing w:after="0" w:line="113" w:lineRule="exact"/>
        <w:rPr>
          <w:rFonts w:ascii="MS PGothic" w:cs="MS PGothic" w:eastAsia="MS PGothic" w:hAnsi="MS PGothic"/>
          <w:sz w:val="17"/>
          <w:szCs w:val="17"/>
          <w:color w:val="auto"/>
        </w:rPr>
      </w:pPr>
    </w:p>
    <w:p>
      <w:pPr>
        <w:ind w:left="620" w:hanging="617"/>
        <w:spacing w:after="0" w:line="292" w:lineRule="auto"/>
        <w:tabs>
          <w:tab w:leader="none" w:pos="328" w:val="left"/>
        </w:tabs>
        <w:numPr>
          <w:ilvl w:val="0"/>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Section 16 compliance.* </w:t>
      </w:r>
      <w:r>
        <w:rPr>
          <w:rFonts w:ascii="Times New Roman" w:cs="Times New Roman" w:eastAsia="Times New Roman" w:hAnsi="Times New Roman"/>
          <w:sz w:val="17"/>
          <w:szCs w:val="17"/>
          <w:color w:val="auto"/>
        </w:rPr>
        <w:t>The person confirmed that the proposed trade will not give rise to any potential liability under Section 16 as a result of matched past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intended future) transactions.</w:t>
      </w:r>
    </w:p>
    <w:p>
      <w:pPr>
        <w:spacing w:after="0" w:line="40" w:lineRule="exact"/>
        <w:rPr>
          <w:rFonts w:ascii="MS PGothic" w:cs="MS PGothic" w:eastAsia="MS PGothic" w:hAnsi="MS PGothic"/>
          <w:sz w:val="17"/>
          <w:szCs w:val="17"/>
          <w:color w:val="auto"/>
        </w:rPr>
      </w:pPr>
    </w:p>
    <w:p>
      <w:pPr>
        <w:ind w:left="320" w:hanging="317"/>
        <w:spacing w:after="0"/>
        <w:tabs>
          <w:tab w:leader="none" w:pos="320" w:val="left"/>
        </w:tabs>
        <w:numPr>
          <w:ilvl w:val="0"/>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Form 4 filing.* </w:t>
      </w:r>
      <w:r>
        <w:rPr>
          <w:rFonts w:ascii="Times New Roman" w:cs="Times New Roman" w:eastAsia="Times New Roman" w:hAnsi="Times New Roman"/>
          <w:sz w:val="17"/>
          <w:szCs w:val="17"/>
          <w:color w:val="auto"/>
        </w:rPr>
        <w:t>A Form 4 has been or will be completed and will be timely filed with the SEC, if applicable.</w:t>
      </w:r>
    </w:p>
    <w:p>
      <w:pPr>
        <w:spacing w:after="0" w:line="111" w:lineRule="exact"/>
        <w:rPr>
          <w:rFonts w:ascii="MS PGothic" w:cs="MS PGothic" w:eastAsia="MS PGothic" w:hAnsi="MS PGothic"/>
          <w:sz w:val="17"/>
          <w:szCs w:val="17"/>
          <w:color w:val="auto"/>
        </w:rPr>
      </w:pPr>
    </w:p>
    <w:p>
      <w:pPr>
        <w:ind w:left="320" w:hanging="317"/>
        <w:spacing w:after="0"/>
        <w:tabs>
          <w:tab w:leader="none" w:pos="320" w:val="left"/>
        </w:tabs>
        <w:numPr>
          <w:ilvl w:val="0"/>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Rule 144 compliance (</w:t>
      </w:r>
      <w:r>
        <w:rPr>
          <w:rFonts w:ascii="Times New Roman" w:cs="Times New Roman" w:eastAsia="Times New Roman" w:hAnsi="Times New Roman"/>
          <w:sz w:val="17"/>
          <w:szCs w:val="17"/>
          <w:b w:val="1"/>
          <w:bCs w:val="1"/>
          <w:i w:val="1"/>
          <w:iCs w:val="1"/>
          <w:color w:val="auto"/>
        </w:rPr>
        <w:t>Response required only from affiliates of the Company</w:t>
      </w:r>
      <w:r>
        <w:rPr>
          <w:rFonts w:ascii="Times New Roman" w:cs="Times New Roman" w:eastAsia="Times New Roman" w:hAnsi="Times New Roman"/>
          <w:sz w:val="17"/>
          <w:szCs w:val="17"/>
          <w:b w:val="1"/>
          <w:bCs w:val="1"/>
          <w:color w:val="auto"/>
        </w:rPr>
        <w:t>).</w:t>
      </w:r>
    </w:p>
    <w:p>
      <w:pPr>
        <w:spacing w:after="0" w:line="115" w:lineRule="exact"/>
        <w:rPr>
          <w:rFonts w:ascii="MS PGothic" w:cs="MS PGothic" w:eastAsia="MS PGothic" w:hAnsi="MS PGothic"/>
          <w:sz w:val="17"/>
          <w:szCs w:val="17"/>
          <w:color w:val="auto"/>
        </w:rPr>
      </w:pPr>
    </w:p>
    <w:p>
      <w:pPr>
        <w:ind w:left="1240" w:hanging="618"/>
        <w:spacing w:after="0" w:line="292" w:lineRule="auto"/>
        <w:tabs>
          <w:tab w:leader="none" w:pos="996" w:val="left"/>
        </w:tabs>
        <w:numPr>
          <w:ilvl w:val="2"/>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“current public information” requirement has been met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all 10-Ks, 10-Qs and other relevant reports during the last 12 months have been filed);</w:t>
      </w:r>
    </w:p>
    <w:p>
      <w:pPr>
        <w:spacing w:after="0" w:line="44" w:lineRule="exact"/>
        <w:rPr>
          <w:rFonts w:ascii="MS PGothic" w:cs="MS PGothic" w:eastAsia="MS PGothic" w:hAnsi="MS PGothic"/>
          <w:sz w:val="17"/>
          <w:szCs w:val="17"/>
          <w:color w:val="auto"/>
        </w:rPr>
      </w:pPr>
    </w:p>
    <w:p>
      <w:pPr>
        <w:ind w:left="940" w:hanging="318"/>
        <w:spacing w:after="0"/>
        <w:tabs>
          <w:tab w:leader="none" w:pos="940" w:val="left"/>
        </w:tabs>
        <w:numPr>
          <w:ilvl w:val="2"/>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shares that the person proposes to trade are not restricted or, if restricted, the applicable holding period has been met;</w:t>
      </w:r>
    </w:p>
    <w:p>
      <w:pPr>
        <w:spacing w:after="0" w:line="113" w:lineRule="exact"/>
        <w:rPr>
          <w:rFonts w:ascii="MS PGothic" w:cs="MS PGothic" w:eastAsia="MS PGothic" w:hAnsi="MS PGothic"/>
          <w:sz w:val="17"/>
          <w:szCs w:val="17"/>
          <w:color w:val="auto"/>
        </w:rPr>
      </w:pPr>
    </w:p>
    <w:p>
      <w:pPr>
        <w:ind w:left="1240" w:hanging="618"/>
        <w:spacing w:after="0" w:line="287" w:lineRule="auto"/>
        <w:tabs>
          <w:tab w:leader="none" w:pos="979" w:val="left"/>
        </w:tabs>
        <w:numPr>
          <w:ilvl w:val="2"/>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Volume limitations (greater of 1% of outstanding securities of the same class or the average weekly trading volume during the last four weeks) are not exceeded, and the person is not part of an aggregated group;</w:t>
      </w:r>
    </w:p>
    <w:p>
      <w:pPr>
        <w:spacing w:after="0" w:line="48" w:lineRule="exact"/>
        <w:rPr>
          <w:rFonts w:ascii="MS PGothic" w:cs="MS PGothic" w:eastAsia="MS PGothic" w:hAnsi="MS PGothic"/>
          <w:sz w:val="17"/>
          <w:szCs w:val="17"/>
          <w:color w:val="auto"/>
        </w:rPr>
      </w:pPr>
    </w:p>
    <w:p>
      <w:pPr>
        <w:ind w:left="940" w:hanging="318"/>
        <w:spacing w:after="0"/>
        <w:tabs>
          <w:tab w:leader="none" w:pos="940" w:val="left"/>
        </w:tabs>
        <w:numPr>
          <w:ilvl w:val="2"/>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manner of sale requirements will be met (a “brokers’ transaction” or directly with a market maker or a “riskless principal transaction”); and</w:t>
      </w:r>
    </w:p>
    <w:p>
      <w:pPr>
        <w:spacing w:after="0" w:line="113" w:lineRule="exact"/>
        <w:rPr>
          <w:rFonts w:ascii="MS PGothic" w:cs="MS PGothic" w:eastAsia="MS PGothic" w:hAnsi="MS PGothic"/>
          <w:sz w:val="17"/>
          <w:szCs w:val="17"/>
          <w:color w:val="auto"/>
        </w:rPr>
      </w:pPr>
    </w:p>
    <w:p>
      <w:pPr>
        <w:ind w:left="940" w:hanging="318"/>
        <w:spacing w:after="0"/>
        <w:tabs>
          <w:tab w:leader="none" w:pos="940" w:val="left"/>
        </w:tabs>
        <w:numPr>
          <w:ilvl w:val="2"/>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 Form 144, if applicable, has been completed and will be timely filed with the SEC.</w:t>
      </w:r>
    </w:p>
    <w:p>
      <w:pPr>
        <w:spacing w:after="0" w:line="109" w:lineRule="exact"/>
        <w:rPr>
          <w:rFonts w:ascii="MS PGothic" w:cs="MS PGothic" w:eastAsia="MS PGothic" w:hAnsi="MS PGothic"/>
          <w:sz w:val="17"/>
          <w:szCs w:val="17"/>
          <w:color w:val="auto"/>
        </w:rPr>
      </w:pPr>
    </w:p>
    <w:p>
      <w:pPr>
        <w:ind w:left="620" w:hanging="617"/>
        <w:spacing w:after="0" w:line="272" w:lineRule="auto"/>
        <w:tabs>
          <w:tab w:leader="none" w:pos="405" w:val="left"/>
        </w:tabs>
        <w:numPr>
          <w:ilvl w:val="0"/>
          <w:numId w:val="169"/>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Rule 10b-5 concerns. </w:t>
      </w:r>
      <w:r>
        <w:rPr>
          <w:rFonts w:ascii="Times New Roman" w:cs="Times New Roman" w:eastAsia="Times New Roman" w:hAnsi="Times New Roman"/>
          <w:sz w:val="17"/>
          <w:szCs w:val="17"/>
          <w:color w:val="auto"/>
        </w:rPr>
        <w:t>The person has been reminded that trading is prohibited when in possession of any material nonpublic information regarding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that has not been adequately disclosed to the public. The individual has discussed with the Compliance Officer any information known to the individual or the Compliance Officer that the individual believes may be material.</w:t>
      </w:r>
    </w:p>
    <w:p>
      <w:pPr>
        <w:spacing w:after="0" w:line="57" w:lineRule="exact"/>
        <w:rPr>
          <w:rFonts w:ascii="MS PGothic" w:cs="MS PGothic" w:eastAsia="MS PGothic" w:hAnsi="MS PGothic"/>
          <w:sz w:val="17"/>
          <w:szCs w:val="17"/>
          <w:color w:val="auto"/>
        </w:rPr>
      </w:pPr>
    </w:p>
    <w:p>
      <w:pPr>
        <w:ind w:left="32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Applies if the individual is a director or an officer subject to Section 16 of the Securities Exchange Act of 1934.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-6350</wp:posOffset>
            </wp:positionV>
            <wp:extent cx="1092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109220"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-6350</wp:posOffset>
            </wp:positionV>
            <wp:extent cx="1092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(Signature of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250190</wp:posOffset>
            </wp:positionV>
            <wp:extent cx="1092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5"/>
          <w:szCs w:val="15"/>
          <w:color w:val="auto"/>
        </w:rPr>
        <w:t>(Print name of Compliance Officer)</w:t>
      </w:r>
    </w:p>
    <w:p>
      <w:pPr>
        <w:spacing w:after="0" w:line="2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 am not aware of material nonpublic information regarding the Company. I am not trading on the basis of any material nonpublic information. The transaction is in accordance with the Insider Trading Policy and applicable law. I intend to comply with any applicable reporting and disclosure requirements on a timely basis. I understand that I must execute the trade by the end of the second trading day after the date on which the trade is cleared by the Compliance Officer. I understand that by signing below, I am not obligated to execute the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233680</wp:posOffset>
            </wp:positionV>
            <wp:extent cx="1200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(Signature of person proposing to trade)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A</w:t>
      </w:r>
    </w:p>
    <w:p>
      <w:pPr>
        <w:sectPr>
          <w:pgSz w:w="11900" w:h="16838" w:orient="portrait"/>
          <w:cols w:equalWidth="0" w:num="1">
            <w:col w:w="11240"/>
          </w:cols>
          <w:pgMar w:left="320" w:top="1108" w:right="339" w:bottom="1440" w:gutter="0" w:footer="0" w:header="0"/>
          <w:type w:val="continuous"/>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REQUIREMENTS FOR TRADING PLANS</w:t>
      </w:r>
    </w:p>
    <w:p>
      <w:pPr>
        <w:spacing w:after="0" w:line="2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9"/>
          <w:szCs w:val="19"/>
          <w:color w:val="auto"/>
        </w:rPr>
        <w:t>For transactions under a trading plan to be exempt from (A) the prohibitions in the Company’s Insider Trading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of Recursion Pharmaceuticals, Inc. (together with any subsidiaries, collectively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with respect to transactions made while aware of material nonpublic information and (B) the pre-clearance procedures and restricted trading periods established under the Policy, the trading plan must comply with the affirmative defense set forth in Exchange Act Rule 10b5-1 and must meet the following requirements:</w:t>
      </w:r>
    </w:p>
    <w:p>
      <w:pPr>
        <w:spacing w:after="0" w:line="175" w:lineRule="exact"/>
        <w:rPr>
          <w:sz w:val="20"/>
          <w:szCs w:val="20"/>
          <w:color w:val="auto"/>
        </w:rPr>
      </w:pPr>
    </w:p>
    <w:p>
      <w:pPr>
        <w:ind w:left="1240" w:hanging="618"/>
        <w:spacing w:after="0"/>
        <w:tabs>
          <w:tab w:leader="none" w:pos="1240"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be in writing and signed by the person adopting the trading plan.</w:t>
      </w:r>
    </w:p>
    <w:p>
      <w:pPr>
        <w:spacing w:after="0" w:line="206"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be adopted at a time when:</w:t>
      </w:r>
    </w:p>
    <w:p>
      <w:pPr>
        <w:spacing w:after="0" w:line="219"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2"/>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adopting the trading plan is not aware of any material nonpublic information; and</w:t>
      </w:r>
    </w:p>
    <w:p>
      <w:pPr>
        <w:spacing w:after="0" w:line="219"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2"/>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quarterly, special or other restricted trading period in effect with respect to the person adopting the plan.</w:t>
      </w:r>
    </w:p>
    <w:p>
      <w:pPr>
        <w:spacing w:after="0" w:line="206" w:lineRule="exact"/>
        <w:rPr>
          <w:rFonts w:ascii="Times New Roman" w:cs="Times New Roman" w:eastAsia="Times New Roman" w:hAnsi="Times New Roman"/>
          <w:sz w:val="19"/>
          <w:szCs w:val="19"/>
          <w:color w:val="auto"/>
        </w:rPr>
      </w:pPr>
    </w:p>
    <w:p>
      <w:pPr>
        <w:ind w:firstLine="622"/>
        <w:spacing w:after="0" w:line="283" w:lineRule="auto"/>
        <w:tabs>
          <w:tab w:leader="none" w:pos="1237"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trading plan must be entered in good faith and not as part of a plan or scheme to evade the prohibitions of Rule 10b5-1, and </w:t>
      </w:r>
      <w:r>
        <w:rPr>
          <w:rFonts w:ascii="Times New Roman" w:cs="Times New Roman" w:eastAsia="Times New Roman" w:hAnsi="Times New Roman"/>
          <w:sz w:val="19"/>
          <w:szCs w:val="19"/>
          <w:color w:val="003644"/>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3644"/>
        </w:rPr>
        <w:t>person adopting the trading plan must act in good faith with respect to the trading plan.</w:t>
      </w:r>
    </w:p>
    <w:p>
      <w:pPr>
        <w:spacing w:after="0" w:line="142"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include representations that, on the date of adoption of the trading plan, the person adopting the trading plan:</w:t>
      </w:r>
    </w:p>
    <w:p>
      <w:pPr>
        <w:spacing w:after="0" w:line="219" w:lineRule="exact"/>
        <w:rPr>
          <w:rFonts w:ascii="Times New Roman" w:cs="Times New Roman" w:eastAsia="Times New Roman" w:hAnsi="Times New Roman"/>
          <w:sz w:val="19"/>
          <w:szCs w:val="19"/>
          <w:color w:val="auto"/>
        </w:rPr>
      </w:pPr>
    </w:p>
    <w:p>
      <w:pPr>
        <w:ind w:left="1540" w:hanging="609"/>
        <w:spacing w:after="0"/>
        <w:tabs>
          <w:tab w:leader="none" w:pos="1540" w:val="left"/>
        </w:tabs>
        <w:numPr>
          <w:ilvl w:val="2"/>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aware of material nonpublic information about the securities or the Company; and</w:t>
      </w:r>
    </w:p>
    <w:p>
      <w:pPr>
        <w:spacing w:after="0" w:line="219" w:lineRule="exact"/>
        <w:rPr>
          <w:rFonts w:ascii="Times New Roman" w:cs="Times New Roman" w:eastAsia="Times New Roman" w:hAnsi="Times New Roman"/>
          <w:sz w:val="19"/>
          <w:szCs w:val="19"/>
          <w:color w:val="auto"/>
        </w:rPr>
      </w:pPr>
    </w:p>
    <w:p>
      <w:pPr>
        <w:ind w:left="1560" w:hanging="629"/>
        <w:spacing w:after="0"/>
        <w:tabs>
          <w:tab w:leader="none" w:pos="1560" w:val="left"/>
        </w:tabs>
        <w:numPr>
          <w:ilvl w:val="2"/>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adopting the trading plan in good faith and not as part of a plan or scheme to evade the prohibitions of Rule 10b5-1.</w:t>
      </w:r>
    </w:p>
    <w:p>
      <w:pPr>
        <w:spacing w:after="0" w:line="206" w:lineRule="exact"/>
        <w:rPr>
          <w:rFonts w:ascii="Times New Roman" w:cs="Times New Roman" w:eastAsia="Times New Roman" w:hAnsi="Times New Roman"/>
          <w:sz w:val="19"/>
          <w:szCs w:val="19"/>
          <w:color w:val="auto"/>
        </w:rPr>
      </w:pPr>
    </w:p>
    <w:p>
      <w:pPr>
        <w:ind w:firstLine="622"/>
        <w:spacing w:after="0" w:line="283" w:lineRule="auto"/>
        <w:tabs>
          <w:tab w:leader="none" w:pos="1237"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42" w:lineRule="exact"/>
        <w:rPr>
          <w:rFonts w:ascii="Times New Roman" w:cs="Times New Roman" w:eastAsia="Times New Roman" w:hAnsi="Times New Roman"/>
          <w:sz w:val="19"/>
          <w:szCs w:val="19"/>
          <w:color w:val="auto"/>
        </w:rPr>
      </w:pPr>
    </w:p>
    <w:p>
      <w:pPr>
        <w:jc w:val="both"/>
        <w:ind w:firstLine="622"/>
        <w:spacing w:after="0" w:line="258" w:lineRule="auto"/>
        <w:tabs>
          <w:tab w:leader="none" w:pos="1237"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first trade under the trading plan for directors and officers (as defined in Rule 16a-1(f) of the Securities Exchange Act of 1934) may not occur until the expiration of a cooling-off period consisting of the later of (a) 90 calendar days after the adoption of the trading plan and</w:t>
      </w:r>
    </w:p>
    <w:p>
      <w:pPr>
        <w:spacing w:after="0" w:line="1" w:lineRule="exact"/>
        <w:rPr>
          <w:rFonts w:ascii="Times New Roman" w:cs="Times New Roman" w:eastAsia="Times New Roman" w:hAnsi="Times New Roman"/>
          <w:sz w:val="19"/>
          <w:szCs w:val="19"/>
          <w:color w:val="auto"/>
        </w:rPr>
      </w:pPr>
    </w:p>
    <w:p>
      <w:pPr>
        <w:ind w:left="280" w:hanging="277"/>
        <w:spacing w:after="0"/>
        <w:tabs>
          <w:tab w:leader="none" w:pos="2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business days after the filing by the Company of its financial results in a Form 10-Q or Form 10-K for the completed fiscal quarter in which</w:t>
      </w:r>
    </w:p>
    <w:p>
      <w:pPr>
        <w:spacing w:after="0" w:line="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trading plan was adopted (but, in any event, this required cooling-off period is subject to a maximum of 120 days after adoption of the trading plan). The first trade under the trading plan for all other persons (other than the Company) may not occur until the expiration of a cooling-off period that is 30 calendar days after adoption of the trading plan.</w:t>
      </w:r>
    </w:p>
    <w:p>
      <w:pPr>
        <w:spacing w:after="0" w:line="181" w:lineRule="exact"/>
        <w:rPr>
          <w:sz w:val="20"/>
          <w:szCs w:val="20"/>
          <w:color w:val="auto"/>
        </w:rPr>
      </w:pPr>
    </w:p>
    <w:p>
      <w:pPr>
        <w:ind w:left="1240" w:hanging="618"/>
        <w:spacing w:after="0"/>
        <w:tabs>
          <w:tab w:leader="none" w:pos="124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have a minimum term of one year starting from the date of adoption.</w:t>
      </w:r>
    </w:p>
    <w:p>
      <w:pPr>
        <w:spacing w:after="0" w:line="206" w:lineRule="exact"/>
        <w:rPr>
          <w:rFonts w:ascii="Times New Roman" w:cs="Times New Roman" w:eastAsia="Times New Roman" w:hAnsi="Times New Roman"/>
          <w:sz w:val="19"/>
          <w:szCs w:val="19"/>
          <w:color w:val="auto"/>
        </w:rPr>
      </w:pPr>
    </w:p>
    <w:p>
      <w:pPr>
        <w:jc w:val="both"/>
        <w:ind w:firstLine="622"/>
        <w:spacing w:after="0" w:line="269" w:lineRule="auto"/>
        <w:tabs>
          <w:tab w:leader="none" w:pos="1237"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transactions during the term of the trading plan (except for the “Exceptions to Trading Restrictions” identified in the Policy and </w:t>
      </w:r>
      <w:r>
        <w:rPr>
          <w:rFonts w:ascii="Times New Roman" w:cs="Times New Roman" w:eastAsia="Times New Roman" w:hAnsi="Times New Roman"/>
          <w:sz w:val="19"/>
          <w:szCs w:val="19"/>
          <w:i w:val="1"/>
          <w:iCs w:val="1"/>
          <w:color w:val="auto"/>
        </w:rPr>
        <w:t xml:space="preserve">bona fide </w:t>
      </w:r>
      <w:r>
        <w:rPr>
          <w:rFonts w:ascii="Times New Roman" w:cs="Times New Roman" w:eastAsia="Times New Roman" w:hAnsi="Times New Roman"/>
          <w:sz w:val="19"/>
          <w:szCs w:val="19"/>
          <w:color w:val="auto"/>
        </w:rPr>
        <w:t>gifts) must be conducted through the trading plan. In addition, the person adopting the trading plan may not have an outstanding (and may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 subsequently enter into any additional) trading plan except as permitted by Rule 10b5-1.</w:t>
      </w:r>
    </w:p>
    <w:p>
      <w:pPr>
        <w:sectPr>
          <w:pgSz w:w="11900" w:h="16838" w:orient="portrait"/>
          <w:cols w:equalWidth="0" w:num="1">
            <w:col w:w="11240"/>
          </w:cols>
          <w:pgMar w:left="320" w:top="978" w:right="339" w:bottom="1440" w:gutter="0" w:footer="0" w:header="0"/>
        </w:sectPr>
      </w:pPr>
    </w:p>
    <w:bookmarkStart w:id="244" w:name="page245"/>
    <w:bookmarkEnd w:id="244"/>
    <w:p>
      <w:pPr>
        <w:jc w:val="both"/>
        <w:ind w:firstLine="622"/>
        <w:spacing w:after="0" w:line="262" w:lineRule="auto"/>
        <w:tabs>
          <w:tab w:leader="none" w:pos="1237"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modification or change to the amount, price or timing of transactions under the trading plan (each such modification or change, a “</w:t>
      </w:r>
      <w:r>
        <w:rPr>
          <w:rFonts w:ascii="Times New Roman" w:cs="Times New Roman" w:eastAsia="Times New Roman" w:hAnsi="Times New Roman"/>
          <w:sz w:val="19"/>
          <w:szCs w:val="19"/>
          <w:b w:val="1"/>
          <w:bCs w:val="1"/>
          <w:color w:val="auto"/>
        </w:rPr>
        <w:t>Material Modification</w:t>
      </w:r>
      <w:r>
        <w:rPr>
          <w:rFonts w:ascii="Times New Roman" w:cs="Times New Roman" w:eastAsia="Times New Roman" w:hAnsi="Times New Roman"/>
          <w:sz w:val="19"/>
          <w:szCs w:val="19"/>
          <w:color w:val="auto"/>
        </w:rPr>
        <w:t>”) is deemed the termination of the trading plan and the adoption of a new trading plan. Therefore, any plan adopted by making a Material Modification is subject to the same conditions as a new trading plan as set forth in Sections 1 through 8 herein.</w:t>
      </w:r>
    </w:p>
    <w:p>
      <w:pPr>
        <w:spacing w:after="0" w:line="174" w:lineRule="exact"/>
        <w:rPr>
          <w:rFonts w:ascii="Times New Roman" w:cs="Times New Roman" w:eastAsia="Times New Roman" w:hAnsi="Times New Roman"/>
          <w:sz w:val="19"/>
          <w:szCs w:val="19"/>
          <w:color w:val="auto"/>
        </w:rPr>
      </w:pPr>
    </w:p>
    <w:p>
      <w:pPr>
        <w:ind w:left="620" w:hanging="307"/>
        <w:spacing w:after="0" w:line="283" w:lineRule="auto"/>
        <w:tabs>
          <w:tab w:leader="none" w:pos="611"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the one year preceding the adoption of a trading plan (including the adoption of a plan by making a Material Modification), a person may not have otherwise adopted a plan more than once.</w:t>
      </w:r>
    </w:p>
    <w:p>
      <w:pPr>
        <w:spacing w:after="0" w:line="142" w:lineRule="exact"/>
        <w:rPr>
          <w:rFonts w:ascii="Times New Roman" w:cs="Times New Roman" w:eastAsia="Times New Roman" w:hAnsi="Times New Roman"/>
          <w:sz w:val="19"/>
          <w:szCs w:val="19"/>
          <w:color w:val="auto"/>
        </w:rPr>
      </w:pPr>
    </w:p>
    <w:p>
      <w:pPr>
        <w:ind w:left="620" w:hanging="307"/>
        <w:spacing w:after="0" w:line="283" w:lineRule="auto"/>
        <w:tabs>
          <w:tab w:leader="none" w:pos="604"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may adopt a trading plan designed to cover a single trade only once in any consecutive 12-month period except as permitted by Rule 10b5-1.</w:t>
      </w:r>
    </w:p>
    <w:p>
      <w:pPr>
        <w:spacing w:after="0" w:line="168" w:lineRule="exact"/>
        <w:rPr>
          <w:rFonts w:ascii="Times New Roman" w:cs="Times New Roman" w:eastAsia="Times New Roman" w:hAnsi="Times New Roman"/>
          <w:sz w:val="19"/>
          <w:szCs w:val="19"/>
          <w:color w:val="auto"/>
        </w:rPr>
      </w:pPr>
    </w:p>
    <w:p>
      <w:pPr>
        <w:jc w:val="both"/>
        <w:ind w:firstLine="622"/>
        <w:spacing w:after="0" w:line="269" w:lineRule="auto"/>
        <w:tabs>
          <w:tab w:leader="none" w:pos="1229"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person that adopted the trading plan terminates the plan prior to its stated duration, he or she may not trade in the Company’s securities until after the later of (a) the completion of the next quarterly restricted trading period after termination (or, if the plan is terminated during a quarterly restricted trading period, the end of that restricted trading period) and (b) 30 calendar days after termination.</w:t>
      </w:r>
    </w:p>
    <w:p>
      <w:pPr>
        <w:spacing w:after="0" w:line="154" w:lineRule="exact"/>
        <w:rPr>
          <w:rFonts w:ascii="Times New Roman" w:cs="Times New Roman" w:eastAsia="Times New Roman" w:hAnsi="Times New Roman"/>
          <w:sz w:val="19"/>
          <w:szCs w:val="19"/>
          <w:color w:val="auto"/>
        </w:rPr>
      </w:pPr>
    </w:p>
    <w:p>
      <w:pPr>
        <w:ind w:firstLine="622"/>
        <w:spacing w:after="0" w:line="283" w:lineRule="auto"/>
        <w:tabs>
          <w:tab w:leader="none" w:pos="1229"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must be promptly notified of any modification or termination of the trading plan, including any suspension of trading under the trading plan.</w:t>
      </w:r>
    </w:p>
    <w:p>
      <w:pPr>
        <w:spacing w:after="0" w:line="142"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must have authority to require the suspension or cancellation of the trading plan at any time.</w:t>
      </w:r>
    </w:p>
    <w:p>
      <w:pPr>
        <w:spacing w:after="0" w:line="219"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trading plan grants discretion to a stockbroker or other person with respect to the execution of trades under the trading plan:</w:t>
      </w:r>
    </w:p>
    <w:p>
      <w:pPr>
        <w:spacing w:after="0" w:line="219" w:lineRule="exact"/>
        <w:rPr>
          <w:rFonts w:ascii="Times New Roman" w:cs="Times New Roman" w:eastAsia="Times New Roman" w:hAnsi="Times New Roman"/>
          <w:sz w:val="19"/>
          <w:szCs w:val="19"/>
          <w:color w:val="auto"/>
        </w:rPr>
      </w:pPr>
    </w:p>
    <w:p>
      <w:pPr>
        <w:ind w:left="1560" w:hanging="629"/>
        <w:spacing w:after="0" w:line="269" w:lineRule="auto"/>
        <w:tabs>
          <w:tab w:leader="none" w:pos="1549" w:val="left"/>
        </w:tabs>
        <w:numPr>
          <w:ilvl w:val="2"/>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trades made under the trading plan must be executed by someone other than the stockbroker or other person that executes trades in other securities for the person adopting the trading plan;</w:t>
      </w:r>
    </w:p>
    <w:p>
      <w:pPr>
        <w:spacing w:after="0" w:line="167" w:lineRule="exact"/>
        <w:rPr>
          <w:rFonts w:ascii="Times New Roman" w:cs="Times New Roman" w:eastAsia="Times New Roman" w:hAnsi="Times New Roman"/>
          <w:sz w:val="19"/>
          <w:szCs w:val="19"/>
          <w:color w:val="auto"/>
        </w:rPr>
      </w:pPr>
    </w:p>
    <w:p>
      <w:pPr>
        <w:ind w:left="1560" w:hanging="629"/>
        <w:spacing w:after="0" w:line="269" w:lineRule="auto"/>
        <w:tabs>
          <w:tab w:leader="none" w:pos="1560" w:val="left"/>
        </w:tabs>
        <w:numPr>
          <w:ilvl w:val="2"/>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adopting the trading plan may not confer with the person administering the trading plan regarding the Company or its securities; and</w:t>
      </w:r>
    </w:p>
    <w:p>
      <w:pPr>
        <w:spacing w:after="0" w:line="167" w:lineRule="exact"/>
        <w:rPr>
          <w:rFonts w:ascii="Times New Roman" w:cs="Times New Roman" w:eastAsia="Times New Roman" w:hAnsi="Times New Roman"/>
          <w:sz w:val="19"/>
          <w:szCs w:val="19"/>
          <w:color w:val="auto"/>
        </w:rPr>
      </w:pPr>
    </w:p>
    <w:p>
      <w:pPr>
        <w:ind w:left="1560" w:hanging="629"/>
        <w:spacing w:after="0" w:line="269" w:lineRule="auto"/>
        <w:tabs>
          <w:tab w:leader="none" w:pos="1549" w:val="left"/>
        </w:tabs>
        <w:numPr>
          <w:ilvl w:val="2"/>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administering the trading plan must provide prompt notice to the Company of the execution of a transaction pursuant to the plan.</w:t>
      </w:r>
    </w:p>
    <w:p>
      <w:pPr>
        <w:spacing w:after="0" w:line="167"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transactions under the trading plan must be in accordance with applicable law.</w:t>
      </w:r>
    </w:p>
    <w:p>
      <w:pPr>
        <w:spacing w:after="0" w:line="219"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(including any modified trading plan) must meet such other requirements as the Compliance Officer may</w:t>
      </w:r>
    </w:p>
    <w:p>
      <w:pPr>
        <w:spacing w:after="0" w:line="2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w:t>
      </w:r>
    </w:p>
    <w:p>
      <w:pPr>
        <w:spacing w:after="0" w:line="199" w:lineRule="exact"/>
        <w:rPr>
          <w:rFonts w:ascii="Times New Roman" w:cs="Times New Roman" w:eastAsia="Times New Roman" w:hAnsi="Times New Roman"/>
          <w:sz w:val="19"/>
          <w:szCs w:val="19"/>
          <w:color w:val="auto"/>
        </w:rPr>
      </w:pPr>
    </w:p>
    <w:p>
      <w:pPr>
        <w:ind w:firstLine="622"/>
        <w:spacing w:after="0" w:line="269" w:lineRule="auto"/>
        <w:tabs>
          <w:tab w:leader="none" w:pos="1229"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plan must be submitted to the Company’s Compliance Officer with an executed certificate stating that the trading plan complies with Rule 10b5-1 and the criteria set forth above.</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Any trading plans adopted or modified prior to February 27, 2023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are permitted to continue in place until all trades are executed thereunder or they expire by their terms (“</w:t>
      </w:r>
      <w:r>
        <w:rPr>
          <w:rFonts w:ascii="Times New Roman" w:cs="Times New Roman" w:eastAsia="Times New Roman" w:hAnsi="Times New Roman"/>
          <w:sz w:val="19"/>
          <w:szCs w:val="19"/>
          <w:b w:val="1"/>
          <w:bCs w:val="1"/>
          <w:color w:val="auto"/>
        </w:rPr>
        <w:t>Grandfathered Plans</w:t>
      </w:r>
      <w:r>
        <w:rPr>
          <w:rFonts w:ascii="Times New Roman" w:cs="Times New Roman" w:eastAsia="Times New Roman" w:hAnsi="Times New Roman"/>
          <w:sz w:val="19"/>
          <w:szCs w:val="19"/>
          <w:color w:val="auto"/>
        </w:rPr>
        <w:t>”). If the person undertakes a Modification of a Grandfathered Plan on or after the Effective Date, then the Modification must meet all of the requirements set forth herein.</w:t>
      </w:r>
    </w:p>
    <w:p>
      <w:pPr>
        <w:sectPr>
          <w:pgSz w:w="11900" w:h="16838" w:orient="portrait"/>
          <w:cols w:equalWidth="0" w:num="1">
            <w:col w:w="11240"/>
          </w:cols>
          <w:pgMar w:left="320" w:top="983"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DESCRIPTION OF THE REGISTRANT’S SECURITIES</w:t>
      </w:r>
    </w:p>
    <w:p>
      <w:pPr>
        <w:ind w:left="3560"/>
        <w:spacing w:after="0" w:line="221" w:lineRule="auto"/>
        <w:rPr>
          <w:sz w:val="20"/>
          <w:szCs w:val="20"/>
          <w:color w:val="auto"/>
        </w:rPr>
      </w:pPr>
      <w:r>
        <w:rPr>
          <w:rFonts w:ascii="Arial" w:cs="Arial" w:eastAsia="Arial" w:hAnsi="Arial"/>
          <w:sz w:val="17"/>
          <w:szCs w:val="17"/>
          <w:b w:val="1"/>
          <w:bCs w:val="1"/>
          <w:color w:val="auto"/>
        </w:rPr>
        <w:t>REGISTERED PURSUANT TO SECTION 12 OF THE</w:t>
      </w: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Recursion Pharmaceuticals, Inc. (the “Company”) has one class of securities registered under Section 12 of the Securities Exchange Act of 1934,</w:t>
      </w:r>
    </w:p>
    <w:p>
      <w:pPr>
        <w:spacing w:after="0" w:line="37"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as amended: our Class A common stock, par value $0.00001 per share. As used in this summary, the terms “Recursion,” “the Company,” “we,” “our” and “us” refer to Recursion Pharmaceuticals, Inc.</w:t>
      </w:r>
    </w:p>
    <w:p>
      <w:pPr>
        <w:spacing w:after="0" w:line="172"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The following is a description of the material terms and provisions relating to our capital stock. The following description is a summary that is not complete and is subject to and qualified in its entirety by reference to our amended and restated certificate of incorporation and our amended and restated bylaws, and to provisions of the Delaware General Corporation Law, or DGCL. Copies of our amended and restated certificate of</w:t>
      </w:r>
    </w:p>
    <w:p>
      <w:pPr>
        <w:spacing w:after="0" w:line="2" w:lineRule="exact"/>
        <w:rPr>
          <w:sz w:val="20"/>
          <w:szCs w:val="20"/>
          <w:color w:val="auto"/>
        </w:rPr>
      </w:pPr>
    </w:p>
    <w:p>
      <w:pPr>
        <w:ind w:right="480"/>
        <w:spacing w:after="0" w:line="239" w:lineRule="auto"/>
        <w:rPr>
          <w:sz w:val="20"/>
          <w:szCs w:val="20"/>
          <w:color w:val="auto"/>
        </w:rPr>
      </w:pPr>
      <w:r>
        <w:rPr>
          <w:rFonts w:ascii="Arial" w:cs="Arial" w:eastAsia="Arial" w:hAnsi="Arial"/>
          <w:sz w:val="17"/>
          <w:szCs w:val="17"/>
          <w:color w:val="auto"/>
        </w:rPr>
        <w:t>incorporation and our amended and restated bylaws, each of which may be amended from time to time, are included as exhibits to the Annual Report on Form 10-K to which this description is an Exhibit.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32"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Our authorized capital stock consists of 2,200,000,000 shares of capital stock, $0.00001 par value per share, of which 200,000,000 shares are designated preferred stock and 2,000,000,000 shares are designated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32"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We have two series of authorized common stock, Class A common stock and Class B common stock. 1,989,032,117 shares are designated as Class A common stock and 10,967,883 shares are designated as Class B common stock. The rights of the holders of Class A common stock and Class B common stock are identical, except with respect to voting and conversion.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30"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Each holder of Class A common stock is entitled to one vote for each share on all matters submitted to a vote of the stockholders, including the election of directors, and each holder of Class B common stock is entitled to ten votes for each share on all matters submitted to a vote of the stockholders, including the election of directors. The holders of Class A common stock and Class B common stock vote together as a single class,</w:t>
      </w:r>
    </w:p>
    <w:p>
      <w:pPr>
        <w:spacing w:after="0" w:line="2"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unless otherwise required by law. Under our amended and restated certificate of incorporation, approval of the holders of a majority of the outstanding shares of our Class B common stock voting as a separate class is required to increase the number of authorized shares of our Class B</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common stock. In addition, Delaware law could require either the holders of our Class A common stock or Class B common stock to vote separately as a single class in the following circumstances:</w:t>
      </w:r>
    </w:p>
    <w:p>
      <w:pPr>
        <w:spacing w:after="0" w:line="228" w:lineRule="exact"/>
        <w:rPr>
          <w:sz w:val="20"/>
          <w:szCs w:val="20"/>
          <w:color w:val="auto"/>
        </w:rPr>
      </w:pPr>
    </w:p>
    <w:p>
      <w:pPr>
        <w:ind w:left="620" w:right="60" w:hanging="307"/>
        <w:spacing w:after="0" w:line="230" w:lineRule="auto"/>
        <w:tabs>
          <w:tab w:leader="none" w:pos="615" w:val="left"/>
        </w:tabs>
        <w:numPr>
          <w:ilvl w:val="0"/>
          <w:numId w:val="175"/>
        </w:numPr>
        <w:rPr>
          <w:rFonts w:ascii="Arial" w:cs="Arial" w:eastAsia="Arial" w:hAnsi="Arial"/>
          <w:sz w:val="21"/>
          <w:szCs w:val="21"/>
          <w:color w:val="auto"/>
        </w:rPr>
      </w:pPr>
      <w:r>
        <w:rPr>
          <w:rFonts w:ascii="Arial" w:cs="Arial" w:eastAsia="Arial" w:hAnsi="Arial"/>
          <w:sz w:val="17"/>
          <w:szCs w:val="17"/>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238" w:lineRule="exact"/>
        <w:rPr>
          <w:rFonts w:ascii="Arial" w:cs="Arial" w:eastAsia="Arial" w:hAnsi="Arial"/>
          <w:sz w:val="21"/>
          <w:szCs w:val="21"/>
          <w:color w:val="auto"/>
        </w:rPr>
      </w:pPr>
    </w:p>
    <w:p>
      <w:pPr>
        <w:ind w:left="620" w:right="320" w:hanging="307"/>
        <w:spacing w:after="0" w:line="232" w:lineRule="auto"/>
        <w:tabs>
          <w:tab w:leader="none" w:pos="615" w:val="left"/>
        </w:tabs>
        <w:numPr>
          <w:ilvl w:val="0"/>
          <w:numId w:val="175"/>
        </w:numPr>
        <w:rPr>
          <w:rFonts w:ascii="Arial" w:cs="Arial" w:eastAsia="Arial" w:hAnsi="Arial"/>
          <w:sz w:val="21"/>
          <w:szCs w:val="21"/>
          <w:color w:val="auto"/>
        </w:rPr>
      </w:pPr>
      <w:r>
        <w:rPr>
          <w:rFonts w:ascii="Arial" w:cs="Arial" w:eastAsia="Arial" w:hAnsi="Arial"/>
          <w:sz w:val="17"/>
          <w:szCs w:val="17"/>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201"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Until the Final Conversion Date (described below), approval of the holders of at least two-thirds of the outstanding shares of our Class B common stock voting as a separate class is required to amend, repeal or adopt any provision of the amended and restated certificate of incorporation inconsistent with, or</w:t>
      </w:r>
    </w:p>
    <w:p>
      <w:pPr>
        <w:sectPr>
          <w:pgSz w:w="11900" w:h="16838" w:orient="portrait"/>
          <w:cols w:equalWidth="0" w:num="1">
            <w:col w:w="11240"/>
          </w:cols>
          <w:pgMar w:left="320" w:top="106" w:right="339" w:bottom="1440" w:gutter="0" w:footer="0" w:header="0"/>
        </w:sectPr>
      </w:pPr>
    </w:p>
    <w:bookmarkStart w:id="246" w:name="page247"/>
    <w:bookmarkEnd w:id="246"/>
    <w:p>
      <w:pPr>
        <w:spacing w:after="0" w:line="249" w:lineRule="auto"/>
        <w:rPr>
          <w:sz w:val="20"/>
          <w:szCs w:val="20"/>
          <w:color w:val="auto"/>
        </w:rPr>
      </w:pPr>
      <w:r>
        <w:rPr>
          <w:rFonts w:ascii="Arial" w:cs="Arial" w:eastAsia="Arial" w:hAnsi="Arial"/>
          <w:sz w:val="17"/>
          <w:szCs w:val="17"/>
          <w:color w:val="auto"/>
        </w:rPr>
        <w:t>otherwise alter, any provision of the amended and restated certificate of incorporation relating to the voting, conversion, or other rights, powers, preferences privileges, or restrictions of our Class B common stock so as to affect them adversely or to reclassify any outstanding shares of Class A common stock into shares having rights as to dividends or liquidation that are senior to the Class B common stock or the right to have more than one vote for each share thereof, except as required by law.</w:t>
      </w:r>
    </w:p>
    <w:p>
      <w:pPr>
        <w:spacing w:after="0" w:line="194" w:lineRule="exact"/>
        <w:rPr>
          <w:sz w:val="20"/>
          <w:szCs w:val="20"/>
          <w:color w:val="auto"/>
        </w:rPr>
      </w:pPr>
    </w:p>
    <w:p>
      <w:pPr>
        <w:ind w:right="300"/>
        <w:spacing w:after="0" w:line="247" w:lineRule="auto"/>
        <w:rPr>
          <w:sz w:val="20"/>
          <w:szCs w:val="20"/>
          <w:color w:val="auto"/>
        </w:rPr>
      </w:pPr>
      <w:r>
        <w:rPr>
          <w:rFonts w:ascii="Arial" w:cs="Arial" w:eastAsia="Arial" w:hAnsi="Arial"/>
          <w:sz w:val="17"/>
          <w:szCs w:val="17"/>
          <w:color w:val="auto"/>
        </w:rPr>
        <w:t>Our amended and restated certificate of incorporation and amended and restated bylaws do not provide for cumulative voting rights. Because of this, the holders of a plurality of the shares of Class A common stock and Class B common stock entitled to vote in any election of directors can</w:t>
      </w:r>
    </w:p>
    <w:p>
      <w:pPr>
        <w:jc w:val="both"/>
        <w:ind w:right="20"/>
        <w:spacing w:after="0" w:line="229" w:lineRule="auto"/>
        <w:rPr>
          <w:sz w:val="20"/>
          <w:szCs w:val="20"/>
          <w:color w:val="auto"/>
        </w:rPr>
      </w:pPr>
      <w:r>
        <w:rPr>
          <w:rFonts w:ascii="Arial" w:cs="Arial" w:eastAsia="Arial" w:hAnsi="Arial"/>
          <w:sz w:val="17"/>
          <w:szCs w:val="17"/>
          <w:color w:val="auto"/>
        </w:rPr>
        <w:t>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30"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Subject to preferences that may be applicable to any then-outstanding preferred stock, holders of our Class A common stock and Class B common stock are entitled to receive dividends, if any, as may be declared from time to time by our board of directors out of legally available funds.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23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the event of our liquidation, dissolution, or winding up, holders of our Class A common stock and Class B common stock are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of Class B Common Stock</w:t>
      </w:r>
    </w:p>
    <w:p>
      <w:pPr>
        <w:spacing w:after="0" w:line="23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Shares of Class B common stock automatically convert into shares of Class A common stock upon sale or transfer except for certain transfers described in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certificate of incorporation, including transfers for estate planning.</w:t>
      </w:r>
    </w:p>
    <w:p>
      <w:pPr>
        <w:spacing w:after="0" w:line="21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each share of Class B common stock will convert automatically into one share of Class A common stock upon the earliest of (i) the seven year anniversary of the first day of trading of our shares of Class A common stock on the Nasdaq Global Select Market, (ii) the date specified by written consent or agreement of the holders of at least 66 2/3% of our then outstanding shares of Class B common Stock, (iii) nine months after Dr. Christopher Gibson, our co-founder and Chief Executive Officer, ceases to hold any positions as an officer or director with us or (iv) nine months after the death or disability of Dr. Gibson. We refer to the date on which such final conversion of all outstanding shares of Class B common stock pursuant to the terms of our amended and restated certificate of incorporation occurs as the Final Conversion Date.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230"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Holders of our Class A common stock have no preemptive, conversion, subscription, or other rights, and there are no redemption or sinking fund provisions applicable to our Class A common stock. Holders of our Class B common stock have no preemptive or subscription rights, but have conversion rights. There are no redemption or sinking fund provisions applicable to our Class B common stock. The rights, preferences and privileges of the holders of our Class A common stock and Class B common stock are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47" w:right="339" w:bottom="1440" w:gutter="0" w:footer="0" w:header="0"/>
        </w:sectPr>
      </w:pPr>
    </w:p>
    <w:bookmarkStart w:id="247" w:name="page248"/>
    <w:bookmarkEnd w:id="247"/>
    <w:p>
      <w:pPr>
        <w:ind w:right="360"/>
        <w:spacing w:after="0" w:line="274" w:lineRule="auto"/>
        <w:rPr>
          <w:sz w:val="20"/>
          <w:szCs w:val="20"/>
          <w:color w:val="auto"/>
        </w:rPr>
      </w:pPr>
      <w:r>
        <w:rPr>
          <w:rFonts w:ascii="Arial" w:cs="Arial" w:eastAsia="Arial" w:hAnsi="Arial"/>
          <w:sz w:val="17"/>
          <w:szCs w:val="17"/>
          <w:color w:val="auto"/>
        </w:rPr>
        <w:t>subject to and may be adversely affected by the rights of the holders of shares of any series of our preferred stock that we may designate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230"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All of our outstanding shares of Class A common stock and Class B common stock are, and the shares of Class A common stock to be issued in this offering, upon payment and delivery in accordance with the sales agreement, will be fully paid and nonassessable.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32"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up to 200,000,000 shares of preferred stock in one or more series and to fix the rights, preferences, privileges and</w:t>
      </w:r>
    </w:p>
    <w:p>
      <w:pPr>
        <w:spacing w:after="0" w:line="1"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Class A common stock and Class B common stock. The issuance of preferred stock could adversely affect the voting power of holders of Class A common stock and Class B common stock and the likelihood that such holders will receive dividend payments</w:t>
      </w:r>
    </w:p>
    <w:p>
      <w:pPr>
        <w:spacing w:after="0" w:line="3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and payments upon liquidation. In addition, the issuance of preferred stock could have the effect of delaying, deferring or preventing a change in our control or other corporate action.</w:t>
      </w:r>
    </w:p>
    <w:p>
      <w:pPr>
        <w:spacing w:after="0" w:line="170"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color w:val="auto"/>
        </w:rPr>
        <w:t>Anti-takeover Effects of Certain Provisions of Delaware Law, Our Amended and Restated Certificate of Incorporation and Our Amended and Restated Bylaws</w:t>
      </w:r>
    </w:p>
    <w:p>
      <w:pPr>
        <w:spacing w:after="0" w:line="150"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Our amended and restated certificate of incorporation provides that our board of directors is divided into three classes, designated Class I, Class II,</w:t>
      </w:r>
    </w:p>
    <w:p>
      <w:pPr>
        <w:spacing w:after="0" w:line="14" w:lineRule="exact"/>
        <w:rPr>
          <w:sz w:val="20"/>
          <w:szCs w:val="20"/>
          <w:color w:val="auto"/>
        </w:rPr>
      </w:pPr>
    </w:p>
    <w:p>
      <w:pPr>
        <w:ind w:right="420"/>
        <w:spacing w:after="0" w:line="229" w:lineRule="auto"/>
        <w:rPr>
          <w:sz w:val="20"/>
          <w:szCs w:val="20"/>
          <w:color w:val="auto"/>
        </w:rPr>
      </w:pPr>
      <w:r>
        <w:rPr>
          <w:rFonts w:ascii="Arial" w:cs="Arial" w:eastAsia="Arial" w:hAnsi="Arial"/>
          <w:sz w:val="17"/>
          <w:szCs w:val="17"/>
          <w:color w:val="auto"/>
        </w:rPr>
        <w:t>and Class III. Each class consists of an equal number of directors, as nearly as possible, consisting of one third of the total number of directors constituting the entire board of directors. The directors in each class serve for a three-year term, one class being elected each year by our</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stockholders, with staggered three-year terms. Only one class of directors is elected at each annual meeting of stockholders, with the other classes continuing for the remainder of their respective three-year terms.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230"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Vacancies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Our amended and restated certificate of incorporation authorized only our board of directors to fill vacant directorships.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48" w:right="339" w:bottom="1440" w:gutter="0" w:footer="0" w:header="0"/>
        </w:sectPr>
      </w:pPr>
    </w:p>
    <w:bookmarkStart w:id="248" w:name="page249"/>
    <w:bookmarkEnd w:id="248"/>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Our amended and restated certificate of incorporation provides that stockholders do not have the right to cumulate votes in the election of directors.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23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procedures for director nominations</w:t>
      </w:r>
    </w:p>
    <w:p>
      <w:pPr>
        <w:spacing w:after="0" w:line="230"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Our amended and restated bylaws provide that stockholders seeking to nominate candidates for election as directors at an annual or special meeting of stockholders must provide timely notice thereof in writing. To be timely, a stockholder’s notice generally has to be delivered to and</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Action by Written Consent</w:t>
      </w:r>
    </w:p>
    <w:p>
      <w:pPr>
        <w:spacing w:after="0" w:line="230"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Amending our Certificate of Incorporation and Bylaws</w:t>
      </w:r>
    </w:p>
    <w:p>
      <w:pPr>
        <w:spacing w:after="0" w:line="230" w:lineRule="exact"/>
        <w:rPr>
          <w:sz w:val="20"/>
          <w:szCs w:val="20"/>
          <w:color w:val="auto"/>
        </w:rPr>
      </w:pPr>
    </w:p>
    <w:p>
      <w:pPr>
        <w:ind w:right="260"/>
        <w:spacing w:after="0" w:line="247"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w:t>
      </w:r>
    </w:p>
    <w:p>
      <w:pPr>
        <w:ind w:right="220"/>
        <w:spacing w:after="0" w:line="229" w:lineRule="auto"/>
        <w:rPr>
          <w:sz w:val="20"/>
          <w:szCs w:val="20"/>
          <w:color w:val="auto"/>
        </w:rPr>
      </w:pPr>
      <w:r>
        <w:rPr>
          <w:rFonts w:ascii="Arial" w:cs="Arial" w:eastAsia="Arial" w:hAnsi="Arial"/>
          <w:sz w:val="17"/>
          <w:szCs w:val="17"/>
          <w:color w:val="auto"/>
        </w:rPr>
        <w:t>the then outstanding shares of the Class A common stock and Class B common stock, except for any amendment of the above provisions, which would require the approval of a two-thirds majority of our then outstanding Class A common stock and Class B common stock or the separate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approval of a majority of our Class B common stock for any increase to the authorized number of Class B common stock or two-thirds of our then outstanding Class B common stock for certain amendments to our Class B common stock or certain reclassifications of our Class A common stock described above. Additionally, our amended and restated certificate of incorporation provides that our bylaws may be amended, altered, or repealed by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23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authorized but unissued shares of Class A common stock, Class B common stock, and preferred stock is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Class A common stock, Class B common stock, and preferred stock could render more difficult or discourage an attempt to obtain control of the Company by means of a proxy contest, tender offer, merger,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Exclusive Jurisdiction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440" w:right="359" w:bottom="1440" w:gutter="0" w:footer="0" w:header="0"/>
        </w:sectPr>
      </w:pPr>
    </w:p>
    <w:bookmarkStart w:id="249" w:name="page250"/>
    <w:bookmarkEnd w:id="249"/>
    <w:p>
      <w:pPr>
        <w:spacing w:after="0" w:line="14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of America</w:t>
      </w:r>
    </w:p>
    <w:p>
      <w:pPr>
        <w:spacing w:after="0" w:line="3"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are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w:t>
      </w:r>
    </w:p>
    <w:p>
      <w:pPr>
        <w:spacing w:after="0" w:line="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 with Interested Stockholders</w:t>
      </w:r>
    </w:p>
    <w:p>
      <w:pPr>
        <w:spacing w:after="0" w:line="23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(1) prior to such time the board of directors of such corporation approved either the business combination or the transaction that resulted in the stockholder becoming an interested stockholder; (2) upon consummation of</w:t>
      </w:r>
    </w:p>
    <w:p>
      <w:pPr>
        <w:spacing w:after="0" w:line="1" w:lineRule="exact"/>
        <w:rPr>
          <w:sz w:val="20"/>
          <w:szCs w:val="20"/>
          <w:color w:val="auto"/>
        </w:rPr>
      </w:pPr>
    </w:p>
    <w:p>
      <w:pPr>
        <w:ind w:right="380"/>
        <w:spacing w:after="0" w:line="229" w:lineRule="auto"/>
        <w:rPr>
          <w:sz w:val="20"/>
          <w:szCs w:val="20"/>
          <w:color w:val="auto"/>
        </w:rPr>
      </w:pPr>
      <w:r>
        <w:rPr>
          <w:rFonts w:ascii="Arial" w:cs="Arial" w:eastAsia="Arial" w:hAnsi="Arial"/>
          <w:sz w:val="17"/>
          <w:szCs w:val="17"/>
          <w:color w:val="auto"/>
        </w:rPr>
        <w:t>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(3) at or subsequent to such time the business combination is approved by the board of directors of such corporation and authorized at a meeting of stockholders (and not by written consent) by</w:t>
      </w:r>
    </w:p>
    <w:p>
      <w:pPr>
        <w:spacing w:after="0" w:line="3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affirmative vote of at least 66 2/3% of the outstanding voting stock of such corporation not owned by the interested stockholder. 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9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17"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In October 2022, in connection with a private placement of our Class A common stock to certain investors, we entered into a registration rights agreement providing for the registration for resale of the shares of</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250" w:name="page251"/>
    <w:bookmarkEnd w:id="250"/>
    <w:p>
      <w:pPr>
        <w:ind w:right="40"/>
        <w:spacing w:after="0" w:line="244" w:lineRule="auto"/>
        <w:rPr>
          <w:sz w:val="20"/>
          <w:szCs w:val="20"/>
          <w:color w:val="auto"/>
        </w:rPr>
      </w:pPr>
      <w:r>
        <w:rPr>
          <w:rFonts w:ascii="Arial" w:cs="Arial" w:eastAsia="Arial" w:hAnsi="Arial"/>
          <w:sz w:val="17"/>
          <w:szCs w:val="17"/>
          <w:color w:val="auto"/>
        </w:rPr>
        <w:t>Class A common stock issued in such transaction. A prospectus supplement to our registration statement (File No. 333-264845), or the Shelf Registration Statement, was subsequently filed in October 2022 to register the resale of the shares of Class A common stock purchased by such investors. Such agreement and the registration rights thereunder must remain effective until registrable securities covered by the agreement have been sold by the holders or otherwise transferred and subsequent public distribution does not require registration under the Securities Act. In the event the holders cannot sell their shares due to certain circumstances causing the agreement to be ineffective, we must pay each holder of shares outstanding on the date and each month thereafter 1% of the aggregate purchase price paid by the holder without limit until the agreement is cured.</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May 2023, in connection with the acquisition of Valence Discovery Inc., or Valence, we entered into a Registration Agreement with certain stockholders of Valence providing for the registration for resale of the shares of Class A common stock issued in such transaction as well as shares</w:t>
      </w:r>
    </w:p>
    <w:p>
      <w:pPr>
        <w:spacing w:after="0" w:line="1" w:lineRule="exact"/>
        <w:rPr>
          <w:sz w:val="20"/>
          <w:szCs w:val="20"/>
          <w:color w:val="auto"/>
        </w:rPr>
      </w:pPr>
    </w:p>
    <w:p>
      <w:pPr>
        <w:jc w:val="both"/>
        <w:ind w:right="400"/>
        <w:spacing w:after="0" w:line="246" w:lineRule="auto"/>
        <w:rPr>
          <w:sz w:val="20"/>
          <w:szCs w:val="20"/>
          <w:color w:val="auto"/>
        </w:rPr>
      </w:pPr>
      <w:r>
        <w:rPr>
          <w:rFonts w:ascii="Arial" w:cs="Arial" w:eastAsia="Arial" w:hAnsi="Arial"/>
          <w:sz w:val="17"/>
          <w:szCs w:val="17"/>
          <w:color w:val="auto"/>
        </w:rPr>
        <w:t>of Class A common stock issuable upon exchange of exchangeable shares of one of our subsidiaries issued in such transaction. A registration statement on Form S-3 (File No. 333-272281) was filed to register the shares for resale by the holders. The registration statement must remain effective for a period of not less than three years.</w:t>
      </w:r>
    </w:p>
    <w:p>
      <w:pPr>
        <w:spacing w:after="0" w:line="195"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May 2023, in connection with the acquisition of Cyclica, Inc., or Cyclica, we entered into a registration agreement providing for the registration for resale of the shares of Class A common stock issued in such transaction. A prospectus supplement to the Shelf Registration Statement was subsequently filed in June 2023 to register the shares for resale by the holders. The Shelf Registration Statement must be continuously effective until the earlier of the date that all shares have been sold thereunder or are able to be publicly sold by relying on Rule 144 of the Securities Act without registration.</w:t>
      </w:r>
    </w:p>
    <w:p>
      <w:pPr>
        <w:spacing w:after="0" w:line="197"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In July 2023, in connection with a private placement of shares of Class A common stock to NVIDIA Corporation, or NVIDIA, we entered into a Registration Rights Agreement providing for the registration for resale of the shares of Class A common stock issued in such transaction. A prospectus supplement to the Shelf Registration Statement was subsequently filed in August 2023 to register the resale of the shares of Class A</w:t>
      </w:r>
    </w:p>
    <w:p>
      <w:pPr>
        <w:spacing w:after="0" w:line="2" w:lineRule="exact"/>
        <w:rPr>
          <w:sz w:val="20"/>
          <w:szCs w:val="20"/>
          <w:color w:val="auto"/>
        </w:rPr>
      </w:pPr>
    </w:p>
    <w:p>
      <w:pPr>
        <w:ind w:right="340"/>
        <w:spacing w:after="0" w:line="229" w:lineRule="auto"/>
        <w:rPr>
          <w:sz w:val="20"/>
          <w:szCs w:val="20"/>
          <w:color w:val="auto"/>
        </w:rPr>
      </w:pPr>
      <w:r>
        <w:rPr>
          <w:rFonts w:ascii="Arial" w:cs="Arial" w:eastAsia="Arial" w:hAnsi="Arial"/>
          <w:sz w:val="17"/>
          <w:szCs w:val="17"/>
          <w:color w:val="auto"/>
        </w:rPr>
        <w:t>common stock issued to NVIDIA. We agreed to use commercially reasonable efforts to keep a registration statement continuously effective until such date that all registrable securities under the agreement have been sold. In the event the holders cannot sell their shares due to certain</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circumstances causing a registration statement to be ineffective, we must pay each holder of shares outstanding on the date and each month thereafter 1% of the aggregate purchase price with the maximum payable amount of 5% of the aggregate purchase price. We have also agreed that so long as a registration statement is in effect with respect to such shares of Class A common stock issued to NVIDIA, we will provide certain assistance in connection with underwritten offerings if requested by NVIDIA.</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2023, we entered into a Master Agreement, or the Tempus Agreement, with Tempus AI, Inc. (formerly known as Tempus Labs, Inc.) pursuant to which Tempus will provide certain services and deliverables to us and license certain data to us. Under the Tempus Agreement, in November 2023, we issued to Tempus an aggregate of 3.2 million shares of our Class A common stock in lieu of a cash payment of $22.0 million for the initial license fee owed to Tempus in exchange for the rights granted to us under the Tempus Agreement. We may in the future issue shares as payment for fees under the Tempus Agreement in lieu of cash payment. We have agreed pursuant to the Tempus Agreement to prepare and file a registration statement (or a prospectus supplement to an effective registration statement on Form S-3 that will become automatically effective upon filing with the SEC pursuant to Rule 462(e)) with the SEC, for resale of the shares of Class A common stock issued or issuable under the Tempus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Agreement. A prospectus supplement to the Shelf Registration Statement was subsequently filed in December 2023 to register for resale the shares of Class A common stock issued to Tempus for the initial license fee under the Tempus Agreement. After registration of any shares issued to</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Tempus under the Tempus Agreement, we have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spacing w:after="0" w:line="195"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We have agreed to pay certain expenses in connection with the registration of shares of our Class A common stock pursuant to the registration rights described above.”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48" w:right="339" w:bottom="1440" w:gutter="0" w:footer="0" w:header="0"/>
        </w:sectPr>
      </w:pPr>
    </w:p>
    <w:bookmarkStart w:id="251" w:name="page252"/>
    <w:bookmarkEnd w:id="251"/>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Listing</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Our Class A common stock is listed on the Nasdaq Global Select Market under the symbol “RXRX.”</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23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transfer agent and registrar for our Class A common stock is Equiniti Trust Company, LLC. The transfer agent and registrar’s address is 48 Wall Street, 23rd Floor, New York, NY 10005.</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9"/>
          <w:szCs w:val="19"/>
          <w:b w:val="1"/>
          <w:bCs w:val="1"/>
          <w:color w:val="auto"/>
        </w:rPr>
        <w:t>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775335</wp:posOffset>
            </wp:positionV>
            <wp:extent cx="7146925" cy="523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7146925"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 w:right="460"/>
        <w:spacing w:after="0" w:line="264" w:lineRule="auto"/>
        <w:rPr>
          <w:sz w:val="20"/>
          <w:szCs w:val="20"/>
          <w:color w:val="auto"/>
        </w:rPr>
      </w:pPr>
      <w:r>
        <w:rPr>
          <w:rFonts w:ascii="Times New Roman" w:cs="Times New Roman" w:eastAsia="Times New Roman" w:hAnsi="Times New Roman"/>
          <w:sz w:val="21"/>
          <w:szCs w:val="21"/>
          <w:b w:val="1"/>
          <w:bCs w:val="1"/>
          <w:color w:val="auto"/>
        </w:rPr>
        <w:t>Certain information in this document, marked by brackets [****], has been excluded pursuant to Item 601(b)(10)(iv) of Regulation S-K under the Securities Act of 1933, as amended, because it is both (i) not material and (ii)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Global Access Commitments Agreement</w:t>
      </w:r>
    </w:p>
    <w:p>
      <w:pPr>
        <w:spacing w:after="0" w:line="236"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This Global Access Commitments Agreement (including all appendices, exhibits and attachments hereto,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as of September 1, 2021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by and among the Bill &amp; Melinda Gates Foundation, a Washington charitable trust that is a tax-exempt private foundation (the “</w:t>
      </w:r>
      <w:r>
        <w:rPr>
          <w:rFonts w:ascii="Times New Roman" w:cs="Times New Roman" w:eastAsia="Times New Roman" w:hAnsi="Times New Roman"/>
          <w:sz w:val="21"/>
          <w:szCs w:val="21"/>
          <w:b w:val="1"/>
          <w:bCs w:val="1"/>
          <w:color w:val="auto"/>
        </w:rPr>
        <w:t>Foundation</w:t>
      </w:r>
      <w:r>
        <w:rPr>
          <w:rFonts w:ascii="Times New Roman" w:cs="Times New Roman" w:eastAsia="Times New Roman" w:hAnsi="Times New Roman"/>
          <w:sz w:val="21"/>
          <w:szCs w:val="21"/>
          <w:color w:val="auto"/>
        </w:rPr>
        <w:t>”), Exscientia Limited (registered number 13483814), a private limited company incorporated in England and Wales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Exscientia AI Limited, (registered number SC428761), a private limited company incorporated under the laws of Scotland that is a wholly-owned subsidiary of the Company (“</w:t>
      </w:r>
      <w:r>
        <w:rPr>
          <w:rFonts w:ascii="Times New Roman" w:cs="Times New Roman" w:eastAsia="Times New Roman" w:hAnsi="Times New Roman"/>
          <w:sz w:val="21"/>
          <w:szCs w:val="21"/>
          <w:b w:val="1"/>
          <w:bCs w:val="1"/>
          <w:color w:val="auto"/>
        </w:rPr>
        <w:t>Exscientia</w:t>
      </w:r>
      <w:r>
        <w:rPr>
          <w:rFonts w:ascii="Times New Roman" w:cs="Times New Roman" w:eastAsia="Times New Roman" w:hAnsi="Times New Roman"/>
          <w:sz w:val="21"/>
          <w:szCs w:val="21"/>
          <w:color w:val="auto"/>
        </w:rPr>
        <w:t>”), in connection with the investment by the Foundation of Thirty-Five Million dollars (US$35,000,000) (the “</w:t>
      </w:r>
      <w:r>
        <w:rPr>
          <w:rFonts w:ascii="Times New Roman" w:cs="Times New Roman" w:eastAsia="Times New Roman" w:hAnsi="Times New Roman"/>
          <w:sz w:val="21"/>
          <w:szCs w:val="21"/>
          <w:b w:val="1"/>
          <w:bCs w:val="1"/>
          <w:color w:val="auto"/>
        </w:rPr>
        <w:t>Foundation Investment</w:t>
      </w:r>
      <w:r>
        <w:rPr>
          <w:rFonts w:ascii="Times New Roman" w:cs="Times New Roman" w:eastAsia="Times New Roman" w:hAnsi="Times New Roman"/>
          <w:sz w:val="21"/>
          <w:szCs w:val="21"/>
          <w:color w:val="auto"/>
        </w:rPr>
        <w:t>”) in American Depositary Shares of the Company. The Foundation is making the Foundation Investment to induce the Company and Exscientia to perform the Global Access Commitments set forth herein, and the Company and Exscientia acknowledge and agree that they would not undertake such Global Access Commitments absent the Foundation Investment. The Foundation Investment will be made in accordance with the Subscription Agreement dated September 1, 2021 (the “</w:t>
      </w:r>
      <w:r>
        <w:rPr>
          <w:rFonts w:ascii="Times New Roman" w:cs="Times New Roman" w:eastAsia="Times New Roman" w:hAnsi="Times New Roman"/>
          <w:sz w:val="21"/>
          <w:szCs w:val="21"/>
          <w:b w:val="1"/>
          <w:bCs w:val="1"/>
          <w:color w:val="auto"/>
        </w:rPr>
        <w:t>Investment Agreement</w:t>
      </w:r>
      <w:r>
        <w:rPr>
          <w:rFonts w:ascii="Times New Roman" w:cs="Times New Roman" w:eastAsia="Times New Roman" w:hAnsi="Times New Roman"/>
          <w:sz w:val="21"/>
          <w:szCs w:val="21"/>
          <w:color w:val="auto"/>
        </w:rPr>
        <w:t>”), this Agreement, and any additional agreements executed in connection therewith (collectively, and together with any additional agreements that may be executed in connection with the Foundation Investment, in each case as amended from time to time in accordance with their terms, the “</w:t>
      </w:r>
      <w:r>
        <w:rPr>
          <w:rFonts w:ascii="Times New Roman" w:cs="Times New Roman" w:eastAsia="Times New Roman" w:hAnsi="Times New Roman"/>
          <w:sz w:val="21"/>
          <w:szCs w:val="21"/>
          <w:b w:val="1"/>
          <w:bCs w:val="1"/>
          <w:color w:val="auto"/>
        </w:rPr>
        <w:t>Investment Documents</w:t>
      </w:r>
      <w:r>
        <w:rPr>
          <w:rFonts w:ascii="Times New Roman" w:cs="Times New Roman" w:eastAsia="Times New Roman" w:hAnsi="Times New Roman"/>
          <w:sz w:val="21"/>
          <w:szCs w:val="21"/>
          <w:color w:val="auto"/>
        </w:rPr>
        <w:t>”). The Foundation Investment is conditioned upon the execution and delivery of the applicable Investment Documents by the parties thereto and the Foundation obtaining a written legal opinion from tax counsel that the Foundation Investment will qualify as a program-related investment under the Code.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consideration of the Foundation making the Foundation Investment on the terms and conditions stated herein and in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Documents, and for other good and valuable consideration, the parties hereto hereby irrevocably agree as follows:</w:t>
      </w:r>
    </w:p>
    <w:p>
      <w:pPr>
        <w:spacing w:after="0" w:line="184" w:lineRule="exact"/>
        <w:rPr>
          <w:sz w:val="20"/>
          <w:szCs w:val="20"/>
          <w:color w:val="auto"/>
        </w:rPr>
      </w:pPr>
    </w:p>
    <w:p>
      <w:pPr>
        <w:ind w:left="620" w:hanging="617"/>
        <w:spacing w:after="0"/>
        <w:tabs>
          <w:tab w:leader="none" w:pos="620" w:val="left"/>
        </w:tabs>
        <w:numPr>
          <w:ilvl w:val="0"/>
          <w:numId w:val="1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 For the purposes of this Agreement the following terms have the meanings indicated.</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Acquisition Transaction</w:t>
      </w:r>
      <w:r>
        <w:rPr>
          <w:rFonts w:ascii="Times New Roman" w:cs="Times New Roman" w:eastAsia="Times New Roman" w:hAnsi="Times New Roman"/>
          <w:sz w:val="21"/>
          <w:szCs w:val="21"/>
          <w:color w:val="auto"/>
        </w:rPr>
        <w:t>” means (a) the acquisition, directly or indirectly, after the date of this Agreement, by any person or group (within the meaning of Section 13(d)(3) of the Exchange Act) of beneficial ownership of securities of the Company or Exscientia possessing more than 50% of the total combined voting power of all outstanding voting securities of the Company or Exscientia, as applicable, (b) a merger, consolidation or other similar transaction involving the Company or Exscientia, except for a transaction in which the holders of the outstanding voting securities of the Company or Exscientia, as applicable, immediately prior to such merger,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consolidation or other transaction hold, in the aggregate, securities possessing more than 50% of the total combined voting power of all outstanding voting securities of the surviving entity immediately after such merger, consolidation or other transaction, or (c) an assignment, sale, transfer or exclusive license of all or substantially all of the Company’s or Exscientia’s assets, whether by merger, stock transfer,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Projects</w:t>
      </w:r>
      <w:r>
        <w:rPr>
          <w:rFonts w:ascii="Times New Roman" w:cs="Times New Roman" w:eastAsia="Times New Roman" w:hAnsi="Times New Roman"/>
          <w:sz w:val="21"/>
          <w:szCs w:val="21"/>
          <w:color w:val="auto"/>
        </w:rPr>
        <w:t>” has the meaning set forth in Section 3(a)(iv).</w:t>
      </w:r>
    </w:p>
    <w:p>
      <w:pPr>
        <w:spacing w:after="0" w:line="2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as to any person or entity, any person or entity that, directly or indirectly, controls, is controlled by or is under common control with such person or entity at any time and for so long as that control exists, where “control” (for purposes of this definition of “Affiliate” only) means having the decision-making authority as to the person or entity and, further, control will be deemed to exist where a person or entity owns more than 50% of the equity (or that lesser percentage that is the maximum allowed to be owned by a foreign corporation in a particular jurisdiction) entitled to vote regarding composition of the board of directors or other body entitled to direct the affairs of the person or entity.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has the meaning set forth in the introductory paragraph.</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AI Platform</w:t>
      </w:r>
      <w:r>
        <w:rPr>
          <w:rFonts w:ascii="Times New Roman" w:cs="Times New Roman" w:eastAsia="Times New Roman" w:hAnsi="Times New Roman"/>
          <w:sz w:val="20"/>
          <w:szCs w:val="20"/>
          <w:color w:val="auto"/>
        </w:rPr>
        <w:t>” means (a) the proprietary coding, software, mathematical or probabilistic models that predict the likelihood of compounds being active against a specified biological target or having a particular ADMET parameter, automated design algorithms, evolutionary design algorithms, active learning algorithms, an integrated structural database, and structure-based design programs, in each case which are controlled by the Company or any of its Affiliates and which comprise the Company’s or any of its Affiliate’s artificial intelligence-based drug discovery platform; and (b) any enhancement, refinement, modification or improvement to any technology falling within the scope of (a); but in all events the “AI Platform” excludes the data, information and other output generated through the use of the foregoing items in (a) and (b) above, including identification of compounds and associated data and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Antiviral Product</w:t>
      </w:r>
      <w:r>
        <w:rPr>
          <w:rFonts w:ascii="Times New Roman" w:cs="Times New Roman" w:eastAsia="Times New Roman" w:hAnsi="Times New Roman"/>
          <w:sz w:val="20"/>
          <w:szCs w:val="20"/>
          <w:color w:val="auto"/>
        </w:rPr>
        <w:t>” means any product developed by the Company or any of its Affiliates to treat the Target Diseases and Conditions.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Antiviral Program</w:t>
      </w:r>
      <w:r>
        <w:rPr>
          <w:rFonts w:ascii="Times New Roman" w:cs="Times New Roman" w:eastAsia="Times New Roman" w:hAnsi="Times New Roman"/>
          <w:sz w:val="21"/>
          <w:szCs w:val="21"/>
          <w:color w:val="auto"/>
        </w:rPr>
        <w:t>” means collectively the Initial Antiviral Projects, any Additional Projects, and the Foundation grant Investment ID INV-031996 (GPP COVID-19 CTA: AI-accelerated discovery of a Mpro inhibitors), including further development, and any and all associated compounds, compound designs, data, documentation, test results, or other information that is owned or controlled, by the Company or its Affiliates, as further described below.</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Background IP</w:t>
      </w:r>
      <w:r>
        <w:rPr>
          <w:rFonts w:ascii="Times New Roman" w:cs="Times New Roman" w:eastAsia="Times New Roman" w:hAnsi="Times New Roman"/>
          <w:sz w:val="21"/>
          <w:szCs w:val="21"/>
          <w:color w:val="auto"/>
        </w:rPr>
        <w:t>” means all Intellectual Property acquired, licensed, made, conceived or first reduced to practice by or for Exscientia, the Company or any of their respective Affiliates prior to commencement or independent of the Antiviral Program. For clarity the portions of the Platform Technology made, conceived or first reduced to practice prior to commencement or independent of the Antiviral Program is included within Exscientia and Company Background IP.</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Code</w:t>
      </w:r>
      <w:r>
        <w:rPr>
          <w:rFonts w:ascii="Times New Roman" w:cs="Times New Roman" w:eastAsia="Times New Roman" w:hAnsi="Times New Roman"/>
          <w:sz w:val="21"/>
          <w:szCs w:val="21"/>
          <w:color w:val="auto"/>
        </w:rPr>
        <w:t xml:space="preserve">” means the United States Bankruptcy Code (11 U.S.C. Section 101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as amended from time to time, and any successor statute.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Charitability Default</w:t>
      </w:r>
      <w:r>
        <w:rPr>
          <w:rFonts w:ascii="Times New Roman" w:cs="Times New Roman" w:eastAsia="Times New Roman" w:hAnsi="Times New Roman"/>
          <w:sz w:val="21"/>
          <w:szCs w:val="21"/>
          <w:color w:val="auto"/>
        </w:rPr>
        <w:t>” has the meaning set forth in Section 5(b).</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Charitable Purpose</w:t>
      </w:r>
      <w:r>
        <w:rPr>
          <w:rFonts w:ascii="Times New Roman" w:cs="Times New Roman" w:eastAsia="Times New Roman" w:hAnsi="Times New Roman"/>
          <w:sz w:val="21"/>
          <w:szCs w:val="21"/>
          <w:color w:val="auto"/>
        </w:rPr>
        <w:t>” has the meaning set forth in Section 2(a).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Claim</w:t>
      </w:r>
      <w:r>
        <w:rPr>
          <w:rFonts w:ascii="Times New Roman" w:cs="Times New Roman" w:eastAsia="Times New Roman" w:hAnsi="Times New Roman"/>
          <w:sz w:val="21"/>
          <w:szCs w:val="21"/>
          <w:color w:val="auto"/>
        </w:rPr>
        <w:t>” has the meaning set forth in Section 13.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United States Internal Revenue Code of 1986, as amended.</w:t>
      </w: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COGS</w:t>
      </w:r>
      <w:r>
        <w:rPr>
          <w:rFonts w:ascii="Times New Roman" w:cs="Times New Roman" w:eastAsia="Times New Roman" w:hAnsi="Times New Roman"/>
          <w:sz w:val="21"/>
          <w:szCs w:val="21"/>
          <w:color w:val="auto"/>
        </w:rPr>
        <w:t>” means, with respect to an Antiviral Product, the Company’s and Exscientia’s fully burdened manufacturing and sales costs, which shall include: (a) all costs incurred in manufacturing such product; (b) all amounts paid to suppliers of any applicable ingredients or materials with respect to such product, (c) all costs incurred in connection with the storage, testing, shipment (including freight), packaging, labelling, warehousing or customs clearance for any such product; (d) any insurance costs with respect to such product; (e) all overhead and employee expenses directly and reasonably incurred by the Company and Exscientia in connection with the manufacturing, marketing or distribution of any such product in Developing Country markets (including regulatory and licensing costs); and (f) all sales taxes, duties and tariffs incurred by the Company and Exscientia in the manufacture, distribution and sale of such product in Developing Countries. In no event shall COGS include costs covered by any Antiviral Program-related funding provided by the Foundation (including the Foundation Investment), any Foundation-Supported Entity, or other non-dilutive government, multilateral organization, or public sector funding.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the meaning set forth in the introductory paragraph.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Developing Countries</w:t>
      </w:r>
      <w:r>
        <w:rPr>
          <w:rFonts w:ascii="Times New Roman" w:cs="Times New Roman" w:eastAsia="Times New Roman" w:hAnsi="Times New Roman"/>
          <w:sz w:val="21"/>
          <w:szCs w:val="21"/>
          <w:color w:val="auto"/>
        </w:rPr>
        <w:t xml:space="preserve">” means those countries described as “Developing Countries” on </w:t>
      </w:r>
      <w:r>
        <w:rPr>
          <w:rFonts w:ascii="Times New Roman" w:cs="Times New Roman" w:eastAsia="Times New Roman" w:hAnsi="Times New Roman"/>
          <w:sz w:val="21"/>
          <w:szCs w:val="21"/>
          <w:i w:val="1"/>
          <w:iCs w:val="1"/>
          <w:color w:val="auto"/>
        </w:rPr>
        <w:t>Appendix A</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has the meaning set forth in Section 19.</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has the meaning set forth in the introductory paragraph.</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Escrow Agent</w:t>
      </w:r>
      <w:r>
        <w:rPr>
          <w:rFonts w:ascii="Times New Roman" w:cs="Times New Roman" w:eastAsia="Times New Roman" w:hAnsi="Times New Roman"/>
          <w:sz w:val="21"/>
          <w:szCs w:val="21"/>
          <w:color w:val="auto"/>
        </w:rPr>
        <w:t>” has the meaning set forth in Section 3(i)(iii).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Escrow Agreement</w:t>
      </w:r>
      <w:r>
        <w:rPr>
          <w:rFonts w:ascii="Times New Roman" w:cs="Times New Roman" w:eastAsia="Times New Roman" w:hAnsi="Times New Roman"/>
          <w:sz w:val="21"/>
          <w:szCs w:val="21"/>
          <w:color w:val="auto"/>
        </w:rPr>
        <w:t>” has the meaning set forth in Section 3(i)(iii).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Escrowed Materials</w:t>
      </w:r>
      <w:r>
        <w:rPr>
          <w:rFonts w:ascii="Times New Roman" w:cs="Times New Roman" w:eastAsia="Times New Roman" w:hAnsi="Times New Roman"/>
          <w:sz w:val="21"/>
          <w:szCs w:val="21"/>
          <w:color w:val="auto"/>
        </w:rPr>
        <w:t>” has the meaning set forth in Section 3(i)(iii).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United States Securities Exchange Act of 1934, as amended.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Exercise Event</w:t>
      </w:r>
      <w:r>
        <w:rPr>
          <w:rFonts w:ascii="Times New Roman" w:cs="Times New Roman" w:eastAsia="Times New Roman" w:hAnsi="Times New Roman"/>
          <w:sz w:val="21"/>
          <w:szCs w:val="21"/>
          <w:color w:val="auto"/>
        </w:rPr>
        <w:t>” has the meaning set forth in Section 3(i)(ii).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Existing Agreements</w:t>
      </w:r>
      <w:r>
        <w:rPr>
          <w:rFonts w:ascii="Times New Roman" w:cs="Times New Roman" w:eastAsia="Times New Roman" w:hAnsi="Times New Roman"/>
          <w:sz w:val="21"/>
          <w:szCs w:val="21"/>
          <w:color w:val="auto"/>
        </w:rPr>
        <w:t xml:space="preserve">” means the existing collaboration or license agreements of the Company set forth on </w:t>
      </w:r>
      <w:r>
        <w:rPr>
          <w:rFonts w:ascii="Times New Roman" w:cs="Times New Roman" w:eastAsia="Times New Roman" w:hAnsi="Times New Roman"/>
          <w:sz w:val="21"/>
          <w:szCs w:val="21"/>
          <w:i w:val="1"/>
          <w:iCs w:val="1"/>
          <w:color w:val="auto"/>
        </w:rPr>
        <w:t>Appendix B</w:t>
      </w:r>
      <w:r>
        <w:rPr>
          <w:rFonts w:ascii="Times New Roman" w:cs="Times New Roman" w:eastAsia="Times New Roman" w:hAnsi="Times New Roman"/>
          <w:sz w:val="21"/>
          <w:szCs w:val="21"/>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Exscientia</w:t>
      </w:r>
      <w:r>
        <w:rPr>
          <w:rFonts w:ascii="Times New Roman" w:cs="Times New Roman" w:eastAsia="Times New Roman" w:hAnsi="Times New Roman"/>
          <w:sz w:val="21"/>
          <w:szCs w:val="21"/>
          <w:color w:val="auto"/>
        </w:rPr>
        <w:t>” has the meaning set forth in the introductory paragraph.</w:t>
      </w:r>
    </w:p>
    <w:p>
      <w:pPr>
        <w:spacing w:after="0" w:line="2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Fair Market Value</w:t>
      </w:r>
      <w:r>
        <w:rPr>
          <w:rFonts w:ascii="Times New Roman" w:cs="Times New Roman" w:eastAsia="Times New Roman" w:hAnsi="Times New Roman"/>
          <w:sz w:val="21"/>
          <w:szCs w:val="21"/>
          <w:color w:val="auto"/>
        </w:rPr>
        <w:t>” means (a) if the Foundation Securities are freely tradable, the closing price of the Foundation Securities on the most recent day the Foundation Securities were traded on the applicable exchange prior to the closing date of the redemption or purchase or (b) if the Foundation Securities are not freely tradable, the then current fair market value as determined by a mutually agreed upon (such agreement not to be unreasonably withheld) independent third-party appraiser.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Foundation</w:t>
      </w:r>
      <w:r>
        <w:rPr>
          <w:rFonts w:ascii="Times New Roman" w:cs="Times New Roman" w:eastAsia="Times New Roman" w:hAnsi="Times New Roman"/>
          <w:sz w:val="21"/>
          <w:szCs w:val="21"/>
          <w:color w:val="auto"/>
        </w:rPr>
        <w:t>” has the meaning set forth in the introductory paragraph.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Foundation Investment</w:t>
      </w:r>
      <w:r>
        <w:rPr>
          <w:rFonts w:ascii="Times New Roman" w:cs="Times New Roman" w:eastAsia="Times New Roman" w:hAnsi="Times New Roman"/>
          <w:sz w:val="21"/>
          <w:szCs w:val="21"/>
          <w:color w:val="auto"/>
        </w:rPr>
        <w:t>” has the meaning set forth in the introductory paragraph.</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Foundation Securities</w:t>
      </w:r>
      <w:r>
        <w:rPr>
          <w:rFonts w:ascii="Times New Roman" w:cs="Times New Roman" w:eastAsia="Times New Roman" w:hAnsi="Times New Roman"/>
          <w:sz w:val="21"/>
          <w:szCs w:val="21"/>
          <w:color w:val="auto"/>
        </w:rPr>
        <w:t>” has the meaning set forth in Section 5(c).</w:t>
      </w: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Foundation-supported Entity</w:t>
      </w:r>
      <w:r>
        <w:rPr>
          <w:rFonts w:ascii="Times New Roman" w:cs="Times New Roman" w:eastAsia="Times New Roman" w:hAnsi="Times New Roman"/>
          <w:sz w:val="21"/>
          <w:szCs w:val="21"/>
          <w:color w:val="auto"/>
        </w:rPr>
        <w:t>” means an entity selected by the Foundation for participation in a project that receives funding, directly or indirectly, from the Foundation, collaborates with the Foundation, or both, for the purpose of accomplishing the Foundation’s charitable objectives.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Funded Developments</w:t>
      </w:r>
      <w:r>
        <w:rPr>
          <w:rFonts w:ascii="Times New Roman" w:cs="Times New Roman" w:eastAsia="Times New Roman" w:hAnsi="Times New Roman"/>
          <w:sz w:val="21"/>
          <w:szCs w:val="21"/>
          <w:color w:val="auto"/>
        </w:rPr>
        <w:t>” means the Intellectual Property made, conceived or first reduced to practice by or on behalf of Exscientia or the Company in connection with the Antiviral Program. For clarity (a) Antiviral Products and (b) the portions of the Platform Technology made, conceived or first reduced to practice in connection with the Antiviral Program is included within Funded Developments.</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Global Access</w:t>
      </w:r>
      <w:r>
        <w:rPr>
          <w:rFonts w:ascii="Times New Roman" w:cs="Times New Roman" w:eastAsia="Times New Roman" w:hAnsi="Times New Roman"/>
          <w:sz w:val="21"/>
          <w:szCs w:val="21"/>
          <w:color w:val="auto"/>
        </w:rPr>
        <w:t>” means that (a) knowledge gained using the Foundation’s funding is promptly and broadly disseminated and (b) the products and technologies developed or supported with the Foundation’s funding will be made available and accessible at an affordable price to people most in need in Developing Countries.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Global Access Commitments</w:t>
      </w:r>
      <w:r>
        <w:rPr>
          <w:rFonts w:ascii="Times New Roman" w:cs="Times New Roman" w:eastAsia="Times New Roman" w:hAnsi="Times New Roman"/>
          <w:sz w:val="21"/>
          <w:szCs w:val="21"/>
          <w:color w:val="auto"/>
        </w:rPr>
        <w:t>” has the meaning set forth in Section 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Global Health License</w:t>
      </w:r>
      <w:r>
        <w:rPr>
          <w:rFonts w:ascii="Times New Roman" w:cs="Times New Roman" w:eastAsia="Times New Roman" w:hAnsi="Times New Roman"/>
          <w:sz w:val="21"/>
          <w:szCs w:val="21"/>
          <w:color w:val="auto"/>
        </w:rPr>
        <w:t>” has the meaning set forth in Section 3(i)(i).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Indemnitees</w:t>
      </w:r>
      <w:r>
        <w:rPr>
          <w:rFonts w:ascii="Times New Roman" w:cs="Times New Roman" w:eastAsia="Times New Roman" w:hAnsi="Times New Roman"/>
          <w:sz w:val="21"/>
          <w:szCs w:val="21"/>
          <w:color w:val="auto"/>
        </w:rPr>
        <w:t>” has the meaning set forth in Section 13.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Antiviral Projects</w:t>
      </w:r>
      <w:r>
        <w:rPr>
          <w:rFonts w:ascii="Times New Roman" w:cs="Times New Roman" w:eastAsia="Times New Roman" w:hAnsi="Times New Roman"/>
          <w:sz w:val="21"/>
          <w:szCs w:val="21"/>
          <w:color w:val="auto"/>
        </w:rPr>
        <w:t>” has the meaning set forth in Section 3(a)(i).</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means all (a) technology and other subject matter, including all: inventions (whether or not patentable), discoveries, machines, equipment, tangible compositions of matter, devices, articles of manufacture, assays, biological, chemical or physical materials and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other similar materials, processes, formulae, designs, methods, techniques, procedures, concepts, developments, data (including pharmacological, toxicological and clinical information and test data, and related reports, statistical analyses, expert opinions and the like), information, know-how, works of authorship, computer applications, software, files, databases, documentation, reports and regulatory submissions, drawings, lists and other proprietary, non-public or confidential information, documents or materials in any media; and (b) Intellectual Property Rights.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 xml:space="preserve">” means all rights, privileges and priorities provided under federal, state, foreign and multinational law, including any and all: (a) rights under any of the following, whether existing now or in the future: (i) a domestic, international or foreign patent, utility model, design registration, certificate of invention, patent of addition or substitution, or other governmental grant for the protection of inventions or industrial designs anywhere in the world, including any reissue, renewal, re-examination or extension thereof; and (ii) any application for any of the foregoing, including any international, provisional, divisional, continuation, continuation-in-part, or continued prosecution application; (b) copyrights and copyright registrations; (c) trade secrets and other rights in know-how; (d) </w:t>
      </w:r>
      <w:r>
        <w:rPr>
          <w:rFonts w:ascii="Times New Roman" w:cs="Times New Roman" w:eastAsia="Times New Roman" w:hAnsi="Times New Roman"/>
          <w:sz w:val="21"/>
          <w:szCs w:val="21"/>
          <w:i w:val="1"/>
          <w:iCs w:val="1"/>
          <w:color w:val="auto"/>
        </w:rPr>
        <w:t>sui generis</w:t>
      </w:r>
      <w:r>
        <w:rPr>
          <w:rFonts w:ascii="Times New Roman" w:cs="Times New Roman" w:eastAsia="Times New Roman" w:hAnsi="Times New Roman"/>
          <w:sz w:val="21"/>
          <w:szCs w:val="21"/>
          <w:color w:val="auto"/>
        </w:rPr>
        <w:t xml:space="preserve"> protections for databases and other rights in data as intangible property; and (e) rights in trademarks, logos, service marks and other indicia of origin, all goodwill associated therewith and all applications and registrations with respect thereto.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Investment Agreement</w:t>
      </w:r>
      <w:r>
        <w:rPr>
          <w:rFonts w:ascii="Times New Roman" w:cs="Times New Roman" w:eastAsia="Times New Roman" w:hAnsi="Times New Roman"/>
          <w:sz w:val="21"/>
          <w:szCs w:val="21"/>
          <w:color w:val="auto"/>
        </w:rPr>
        <w:t>” has the meaning set forth in the introductory paragraph.</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Investment Documents</w:t>
      </w:r>
      <w:r>
        <w:rPr>
          <w:rFonts w:ascii="Times New Roman" w:cs="Times New Roman" w:eastAsia="Times New Roman" w:hAnsi="Times New Roman"/>
          <w:sz w:val="21"/>
          <w:szCs w:val="21"/>
          <w:color w:val="auto"/>
        </w:rPr>
        <w:t>” has the meaning set forth in the introductory paragraph.</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Steering Committee</w:t>
      </w:r>
      <w:r>
        <w:rPr>
          <w:rFonts w:ascii="Times New Roman" w:cs="Times New Roman" w:eastAsia="Times New Roman" w:hAnsi="Times New Roman"/>
          <w:sz w:val="21"/>
          <w:szCs w:val="21"/>
          <w:color w:val="auto"/>
        </w:rPr>
        <w:t>” has the meaning set forth in Section 3(f)(i).</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Minimum Purchase Price</w:t>
      </w:r>
      <w:r>
        <w:rPr>
          <w:rFonts w:ascii="Times New Roman" w:cs="Times New Roman" w:eastAsia="Times New Roman" w:hAnsi="Times New Roman"/>
          <w:sz w:val="21"/>
          <w:szCs w:val="21"/>
          <w:color w:val="auto"/>
        </w:rPr>
        <w:t>” means the original purchase price per share for the Foundation Securities, as adjusted for any conversion, share dividend, share split, combination or other similar recapitalization or share capital reorganization.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Outbreak</w:t>
      </w:r>
      <w:r>
        <w:rPr>
          <w:rFonts w:ascii="Times New Roman" w:cs="Times New Roman" w:eastAsia="Times New Roman" w:hAnsi="Times New Roman"/>
          <w:sz w:val="21"/>
          <w:szCs w:val="21"/>
          <w:color w:val="auto"/>
        </w:rPr>
        <w:t>” has the meaning set forth in Section 3(e)(i).</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Platform Technology</w:t>
      </w:r>
      <w:r>
        <w:rPr>
          <w:rFonts w:ascii="Times New Roman" w:cs="Times New Roman" w:eastAsia="Times New Roman" w:hAnsi="Times New Roman"/>
          <w:sz w:val="21"/>
          <w:szCs w:val="21"/>
          <w:color w:val="auto"/>
        </w:rPr>
        <w:t>” means the Intellectual Property acquired, licensed, made, conceived or first reduced to practice by or on behalf of the Company, Exscientia or one of their respective Affiliates relating to research, development, clinical, regulatory, manufacturing, commercialization, service and support, and distribution capabilities in respect of small molecule therapeutics and other products, whether such Intellectual Property exists as of the Effective Date or is later acquired, licensed, made, conceived or first reduced to practice by the Company, Exscientia or any of their respective Affiliates.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clarity, the Platform Technology includes the AI Platform but the Global Health License will not apply to the AI Platform.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Quantities</w:t>
      </w:r>
      <w:r>
        <w:rPr>
          <w:rFonts w:ascii="Times New Roman" w:cs="Times New Roman" w:eastAsia="Times New Roman" w:hAnsi="Times New Roman"/>
          <w:sz w:val="21"/>
          <w:szCs w:val="21"/>
          <w:color w:val="auto"/>
        </w:rPr>
        <w:t>” has the meaning set forth in Section 3(e)(i).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SAR</w:t>
      </w:r>
      <w:r>
        <w:rPr>
          <w:rFonts w:ascii="Times New Roman" w:cs="Times New Roman" w:eastAsia="Times New Roman" w:hAnsi="Times New Roman"/>
          <w:sz w:val="21"/>
          <w:szCs w:val="21"/>
          <w:color w:val="auto"/>
        </w:rPr>
        <w:t>” has the meaning set forth in Section 3(g)(ii).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w:t>
      </w:r>
    </w:p>
    <w:p>
      <w:pPr>
        <w:spacing w:after="0" w:line="23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Target Diseases and Conditions</w:t>
      </w:r>
      <w:r>
        <w:rPr>
          <w:rFonts w:ascii="Times New Roman" w:cs="Times New Roman" w:eastAsia="Times New Roman" w:hAnsi="Times New Roman"/>
          <w:sz w:val="21"/>
          <w:szCs w:val="21"/>
          <w:color w:val="auto"/>
        </w:rPr>
        <w:t xml:space="preserve">” means the diseases and conditions set forth on </w:t>
      </w:r>
      <w:r>
        <w:rPr>
          <w:rFonts w:ascii="Times New Roman" w:cs="Times New Roman" w:eastAsia="Times New Roman" w:hAnsi="Times New Roman"/>
          <w:sz w:val="21"/>
          <w:szCs w:val="21"/>
          <w:i w:val="1"/>
          <w:iCs w:val="1"/>
          <w:color w:val="auto"/>
        </w:rPr>
        <w:t>Appendix C</w:t>
      </w:r>
      <w:r>
        <w:rPr>
          <w:rFonts w:ascii="Times New Roman" w:cs="Times New Roman" w:eastAsia="Times New Roman" w:hAnsi="Times New Roman"/>
          <w:sz w:val="21"/>
          <w:szCs w:val="21"/>
          <w:color w:val="auto"/>
        </w:rPr>
        <w:t xml:space="preserve">, subject to amendment as set forth on </w:t>
      </w:r>
      <w:r>
        <w:rPr>
          <w:rFonts w:ascii="Times New Roman" w:cs="Times New Roman" w:eastAsia="Times New Roman" w:hAnsi="Times New Roman"/>
          <w:sz w:val="21"/>
          <w:szCs w:val="21"/>
          <w:i w:val="1"/>
          <w:iCs w:val="1"/>
          <w:color w:val="auto"/>
        </w:rPr>
        <w:t>Appendix C</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TPP</w:t>
      </w:r>
      <w:r>
        <w:rPr>
          <w:rFonts w:ascii="Times New Roman" w:cs="Times New Roman" w:eastAsia="Times New Roman" w:hAnsi="Times New Roman"/>
          <w:sz w:val="21"/>
          <w:szCs w:val="21"/>
          <w:color w:val="auto"/>
        </w:rPr>
        <w:t>” has the meaning set forth in Section 3(a)(iv).</w:t>
      </w:r>
    </w:p>
    <w:p>
      <w:pPr>
        <w:spacing w:after="0" w:line="23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Use</w:t>
      </w:r>
      <w:r>
        <w:rPr>
          <w:rFonts w:ascii="Times New Roman" w:cs="Times New Roman" w:eastAsia="Times New Roman" w:hAnsi="Times New Roman"/>
          <w:sz w:val="21"/>
          <w:szCs w:val="21"/>
          <w:color w:val="auto"/>
        </w:rPr>
        <w:t>” means to reproduce, modify, have modified, create and have created derivative works of, distribute, manufacture, use, sell, offer for sale, import and otherwise dispose of, commercialize and otherwise exploit.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Withdrawal Right</w:t>
      </w:r>
      <w:r>
        <w:rPr>
          <w:rFonts w:ascii="Times New Roman" w:cs="Times New Roman" w:eastAsia="Times New Roman" w:hAnsi="Times New Roman"/>
          <w:sz w:val="21"/>
          <w:szCs w:val="21"/>
          <w:color w:val="auto"/>
        </w:rPr>
        <w:t>” has the meaning set forth in Section 5(c).</w:t>
      </w:r>
    </w:p>
    <w:p>
      <w:pPr>
        <w:spacing w:after="0" w:line="210" w:lineRule="exact"/>
        <w:rPr>
          <w:sz w:val="20"/>
          <w:szCs w:val="20"/>
          <w:color w:val="auto"/>
        </w:rPr>
      </w:pPr>
    </w:p>
    <w:p>
      <w:pPr>
        <w:ind w:left="620" w:hanging="617"/>
        <w:spacing w:after="0"/>
        <w:tabs>
          <w:tab w:leader="none" w:pos="620" w:val="left"/>
        </w:tabs>
        <w:numPr>
          <w:ilvl w:val="0"/>
          <w:numId w:val="1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Charitable Purpose; Use of Proceeds</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19"/>
          <w:szCs w:val="19"/>
          <w:b w:val="1"/>
          <w:bCs w:val="1"/>
          <w:color w:val="auto"/>
        </w:rPr>
      </w:pPr>
    </w:p>
    <w:p>
      <w:pPr>
        <w:jc w:val="both"/>
        <w:ind w:firstLine="622"/>
        <w:spacing w:after="0" w:line="250" w:lineRule="auto"/>
        <w:tabs>
          <w:tab w:leader="none" w:pos="1234"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Charitable Purpose</w:t>
      </w:r>
      <w:r>
        <w:rPr>
          <w:rFonts w:ascii="Times New Roman" w:cs="Times New Roman" w:eastAsia="Times New Roman" w:hAnsi="Times New Roman"/>
          <w:sz w:val="21"/>
          <w:szCs w:val="21"/>
          <w:color w:val="auto"/>
        </w:rPr>
        <w:t>. The Foundation is making the Foundation Investment as a “program-related investment” within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meaning of Section 4944(c) of the Code. The Foundation’s primary purpose in making the Foundation Investment is to further significantly the accomplishment of the Foundation’s charitable purposes, including the relief of the poor, distressed and underprivileged, the advancement of science, and the promotion of health by accelerating the development of lifesaving and low-cost drugs, vaccines, therapeutics and diagnostics to reduce the burden of disease in Developing Countries in furtherance of its mission to help all people lead healthy, productive lives (collectively, the “</w:t>
      </w:r>
      <w:r>
        <w:rPr>
          <w:rFonts w:ascii="Times New Roman" w:cs="Times New Roman" w:eastAsia="Times New Roman" w:hAnsi="Times New Roman"/>
          <w:sz w:val="21"/>
          <w:szCs w:val="21"/>
          <w:b w:val="1"/>
          <w:bCs w:val="1"/>
          <w:color w:val="auto"/>
        </w:rPr>
        <w:t>Charitable Purpose</w:t>
      </w:r>
      <w:r>
        <w:rPr>
          <w:rFonts w:ascii="Times New Roman" w:cs="Times New Roman" w:eastAsia="Times New Roman" w:hAnsi="Times New Roman"/>
          <w:sz w:val="21"/>
          <w:szCs w:val="21"/>
          <w:color w:val="auto"/>
        </w:rPr>
        <w:t>”). In furtherance of the Charitable Purpose, the Foundation requires that the innovations, products and information developed with its funding be created and managed to ensure Global Access can be achieved. In furtherance of the Charitable Purpose, the Foundation Investment in the Company will secure the Global Access Commitments set forth below.</w:t>
      </w:r>
    </w:p>
    <w:p>
      <w:pPr>
        <w:spacing w:after="0" w:line="198" w:lineRule="exact"/>
        <w:rPr>
          <w:rFonts w:ascii="Times New Roman" w:cs="Times New Roman" w:eastAsia="Times New Roman" w:hAnsi="Times New Roman"/>
          <w:sz w:val="21"/>
          <w:szCs w:val="21"/>
          <w:color w:val="auto"/>
        </w:rPr>
      </w:pPr>
    </w:p>
    <w:p>
      <w:pPr>
        <w:jc w:val="both"/>
        <w:ind w:firstLine="622"/>
        <w:spacing w:after="0" w:line="257" w:lineRule="auto"/>
        <w:tabs>
          <w:tab w:leader="none" w:pos="1233"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Use of Proceeds</w:t>
      </w:r>
      <w:r>
        <w:rPr>
          <w:rFonts w:ascii="Times New Roman" w:cs="Times New Roman" w:eastAsia="Times New Roman" w:hAnsi="Times New Roman"/>
          <w:sz w:val="21"/>
          <w:szCs w:val="21"/>
          <w:color w:val="auto"/>
        </w:rPr>
        <w:t>. The Company through its subsidiary, Exscientia, will use the proceeds from the Foundation Investment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solely in furtherance of the Charitable Purpose to conduct the Initial Antiviral Projects as described below. The proceeds from the Foundation Investment will not be required to be segregated in a separate account nor required to be used for dedicated employees or facilities.</w:t>
      </w:r>
    </w:p>
    <w:p>
      <w:pPr>
        <w:spacing w:after="0" w:line="190"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1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Global Access Commitments</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As a condition to the Foundation making the Foundation Investment and to ensure satisfaction of the Charitable Purpose,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and Exscientia agree to the following (collectively “</w:t>
      </w:r>
      <w:r>
        <w:rPr>
          <w:rFonts w:ascii="Times New Roman" w:cs="Times New Roman" w:eastAsia="Times New Roman" w:hAnsi="Times New Roman"/>
          <w:sz w:val="21"/>
          <w:szCs w:val="21"/>
          <w:b w:val="1"/>
          <w:bCs w:val="1"/>
          <w:color w:val="auto"/>
        </w:rPr>
        <w:t>Global Access Commitments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40" w:hanging="618"/>
        <w:spacing w:after="0"/>
        <w:tabs>
          <w:tab w:leader="none" w:pos="124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Conduct of Antiviral Program; Initial Antiviral Projects</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color w:val="auto"/>
        </w:rPr>
      </w:pPr>
    </w:p>
    <w:p>
      <w:pPr>
        <w:jc w:val="both"/>
        <w:ind w:firstLine="1241"/>
        <w:spacing w:after="0" w:line="251" w:lineRule="auto"/>
        <w:tabs>
          <w:tab w:leader="none" w:pos="1845"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Exscientia will diligently establish and conduct the Antiviral Program, beginning with the Initial Antiviral Projects. The “</w:t>
      </w:r>
      <w:r>
        <w:rPr>
          <w:rFonts w:ascii="Times New Roman" w:cs="Times New Roman" w:eastAsia="Times New Roman" w:hAnsi="Times New Roman"/>
          <w:sz w:val="21"/>
          <w:szCs w:val="21"/>
          <w:b w:val="1"/>
          <w:bCs w:val="1"/>
          <w:color w:val="auto"/>
        </w:rPr>
        <w:t>Initial Antiviral Projects</w:t>
      </w:r>
      <w:r>
        <w:rPr>
          <w:rFonts w:ascii="Times New Roman" w:cs="Times New Roman" w:eastAsia="Times New Roman" w:hAnsi="Times New Roman"/>
          <w:sz w:val="21"/>
          <w:szCs w:val="21"/>
          <w:color w:val="auto"/>
        </w:rPr>
        <w:t xml:space="preserve">” means a four (4) year, $70 million program to apply the Platform Technology to research, discover, and develop small molecule anti-infective therapeutics for future pandemic preparedness, with a specific focus on developing therapeutics that can be applied against multiple species of coronaviridae, influenza, and paramyxoviridae. Exscientia will dedicate a team of at least [****], to conduct the Initial Antiviral Projects and will conduct the Initial Antiviral Projects in accordance with the Scope of Work in </w:t>
      </w:r>
      <w:r>
        <w:rPr>
          <w:rFonts w:ascii="Times New Roman" w:cs="Times New Roman" w:eastAsia="Times New Roman" w:hAnsi="Times New Roman"/>
          <w:sz w:val="21"/>
          <w:szCs w:val="21"/>
          <w:i w:val="1"/>
          <w:iCs w:val="1"/>
          <w:color w:val="auto"/>
        </w:rPr>
        <w:t>Appendix D</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1"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through its subsidiary, Exscientia, will use the proceeds from the Foundation Investment solely to fund the Initial Antiviral Projects and in addition will provide $35 million in matching contributions, through both in-kind support and funding for third-party activities. Exscientia will provide quarterly reports that specify the nature and amounts of the in-kind support and funding for third-party activities provided by Exscientia with respect to the Initial Antiviral Projects, and will provide such additional information as the Foundation may reasonably request to confirm these amounts. For clarity, the Initial Antiviral Projects will not include funding from prior grants of the Foundation or require additional funding from the Foundation other than the Foundation Investment to support the Company’s or Exscientia’s internal or third-party activities.</w:t>
      </w:r>
    </w:p>
    <w:p>
      <w:pPr>
        <w:spacing w:after="0" w:line="192"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6"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Exscientia will be free to share the compounds and data from the Antiviral Program with other internal programs conducted by the Company or Exscientia or any of their respective Affiliates, provided that neither the Company nor Exscientia will grant to a third-party any license or other rights or enter into any arrangements or agreements or otherwise take any actions that would limit or restrict the Foundation’s right to continue with further development or any other Global Access Commitments, including with respect to the Funded Developments and Antiviral Products.</w:t>
      </w:r>
    </w:p>
    <w:p>
      <w:pPr>
        <w:spacing w:after="0" w:line="191" w:lineRule="exact"/>
        <w:rPr>
          <w:rFonts w:ascii="Times New Roman" w:cs="Times New Roman" w:eastAsia="Times New Roman" w:hAnsi="Times New Roman"/>
          <w:sz w:val="21"/>
          <w:szCs w:val="21"/>
          <w:color w:val="auto"/>
        </w:rPr>
      </w:pPr>
    </w:p>
    <w:p>
      <w:pPr>
        <w:jc w:val="both"/>
        <w:ind w:firstLine="1241"/>
        <w:spacing w:after="0" w:line="247" w:lineRule="auto"/>
        <w:tabs>
          <w:tab w:leader="none" w:pos="1845"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Initial Antiviral Projects, if requested by the Foundation, Exscientia will utilize the Platform Technology and data collected in the Antiviral Program to diligently conduct up to two “</w:t>
      </w:r>
      <w:r>
        <w:rPr>
          <w:rFonts w:ascii="Times New Roman" w:cs="Times New Roman" w:eastAsia="Times New Roman" w:hAnsi="Times New Roman"/>
          <w:sz w:val="21"/>
          <w:szCs w:val="21"/>
          <w:b w:val="1"/>
          <w:bCs w:val="1"/>
          <w:color w:val="auto"/>
        </w:rPr>
        <w:t>Additional Projects</w:t>
      </w:r>
      <w:r>
        <w:rPr>
          <w:rFonts w:ascii="Times New Roman" w:cs="Times New Roman" w:eastAsia="Times New Roman" w:hAnsi="Times New Roman"/>
          <w:sz w:val="21"/>
          <w:szCs w:val="21"/>
          <w:color w:val="auto"/>
        </w:rPr>
        <w:t>” proposed at the discretion of the Foundation or a Foundation-supported Entity. Each Additional Project will be conducted by the Company and Exscientia utilizing the Platform Technology to research and develop a drug or other product with respect to any Target Disease and Condition selected by the Foundation. If the Foundation requests Exscientia to conduct an Additional Project, the Company and Exscientia will negotiate in good faith with the Foundation or a Foundation-Supported Entity designated by the Foundation to reach agreement upon a scope of work and Target Product Profile (“</w:t>
      </w:r>
      <w:r>
        <w:rPr>
          <w:rFonts w:ascii="Times New Roman" w:cs="Times New Roman" w:eastAsia="Times New Roman" w:hAnsi="Times New Roman"/>
          <w:sz w:val="21"/>
          <w:szCs w:val="21"/>
          <w:b w:val="1"/>
          <w:bCs w:val="1"/>
          <w:color w:val="auto"/>
        </w:rPr>
        <w:t>TPP</w:t>
      </w:r>
      <w:r>
        <w:rPr>
          <w:rFonts w:ascii="Times New Roman" w:cs="Times New Roman" w:eastAsia="Times New Roman" w:hAnsi="Times New Roman"/>
          <w:sz w:val="21"/>
          <w:szCs w:val="21"/>
          <w:color w:val="auto"/>
        </w:rPr>
        <w:t>”) for the Additional Project. Each Additional Project will be funded and conducted pursuant to the Foundation’s standard funding terms and processes, which would include a proposal prepared in good faith by the Company and Exscientia describing the relevant work to be conducted by the Company and Exscientia and other related documents acceptable to the Foundation.</w:t>
      </w:r>
    </w:p>
    <w:p>
      <w:pPr>
        <w:spacing w:after="0" w:line="183" w:lineRule="exact"/>
        <w:rPr>
          <w:rFonts w:ascii="Times New Roman" w:cs="Times New Roman" w:eastAsia="Times New Roman" w:hAnsi="Times New Roman"/>
          <w:sz w:val="21"/>
          <w:szCs w:val="21"/>
          <w:color w:val="auto"/>
        </w:rPr>
      </w:pPr>
    </w:p>
    <w:p>
      <w:pPr>
        <w:ind w:firstLine="1241"/>
        <w:spacing w:after="0" w:line="282" w:lineRule="auto"/>
        <w:tabs>
          <w:tab w:leader="none" w:pos="1852"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part of the Antiviral Program, prior to the initiation of phase 2 clinical studies of any Antiviral Product, Exscientia will develop a plan in consultation with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Foundation to minimize delays in availability of Antiviral Products in Developing Countries versus non-Developing Countries. Such a plan should outline activities to facilitate World Health Organization Pre-Qualification, emergency use authorization(s), or other relevant regulatory approvals for Developing Countries, and manufacturing activities such as stockpiling or identification and qualification of potential manufacturing partners with cGMP standards verified by a competent stringent regulatory authority.</w:t>
      </w:r>
      <w:r>
        <w:rPr>
          <w:rFonts w:ascii="Times New Roman" w:cs="Times New Roman" w:eastAsia="Times New Roman" w:hAnsi="Times New Roman"/>
          <w:sz w:val="26"/>
          <w:szCs w:val="26"/>
          <w:color w:val="auto"/>
          <w:vertAlign w:val="superscript"/>
        </w:rPr>
        <w:t>1</w:t>
      </w:r>
    </w:p>
    <w:p>
      <w:pPr>
        <w:spacing w:after="0" w:line="82" w:lineRule="exact"/>
        <w:rPr>
          <w:sz w:val="20"/>
          <w:szCs w:val="20"/>
          <w:color w:val="auto"/>
        </w:rPr>
      </w:pPr>
    </w:p>
    <w:p>
      <w:pPr>
        <w:jc w:val="both"/>
        <w:ind w:firstLine="1241"/>
        <w:spacing w:after="0" w:line="251" w:lineRule="auto"/>
        <w:tabs>
          <w:tab w:leader="none" w:pos="1845"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Exscientia has completed the initial scope of work for the Initial Antiviral Projects, the Foundation will have the right, at its sole discretion, to provide grant funding (directly or through a Foundation-supported Entity) to advance the Antiviral Products through development, manufacturing, commercialization and distribution of a final product in accordance with the applicable TPP, in accordance with Section 3(b) below, provided that any such additional grant funding will be in the Foundation’s discretion and subject to execution of grant documents for such projects in accordance with the Foundation’s standard grant making process.</w:t>
      </w:r>
    </w:p>
    <w:p>
      <w:pPr>
        <w:spacing w:after="0" w:line="173" w:lineRule="exact"/>
        <w:rPr>
          <w:rFonts w:ascii="Times New Roman" w:cs="Times New Roman" w:eastAsia="Times New Roman" w:hAnsi="Times New Roman"/>
          <w:sz w:val="21"/>
          <w:szCs w:val="21"/>
          <w:color w:val="auto"/>
        </w:rPr>
      </w:pPr>
    </w:p>
    <w:p>
      <w:pPr>
        <w:jc w:val="both"/>
        <w:ind w:firstLine="1241"/>
        <w:spacing w:after="0" w:line="251" w:lineRule="auto"/>
        <w:tabs>
          <w:tab w:leader="none" w:pos="1851"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Exscientia will use the same level of diligence, efforts, resources, time, and expediency in conducting the Antiviral Program and Outbreak Response as Exscientia uses with respect to the research and development, manufacturing, regulatory approval and commercialization of any other Exscientia products at a similar stage in development, including Exscientia’s lead commercial products intended for markets other than in Developing Countries, including using the same level of diligence with respect to the identification and training of manufacturing partners, technology transfer to partners in a way that minimizes COGS, and delivery in Developing Countries that Exscientia uses in markets other than Developing Countries.</w:t>
      </w:r>
    </w:p>
    <w:p>
      <w:pPr>
        <w:spacing w:after="0" w:line="169"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Further Development.</w:t>
      </w:r>
    </w:p>
    <w:p>
      <w:pPr>
        <w:spacing w:after="0" w:line="213" w:lineRule="exact"/>
        <w:rPr>
          <w:rFonts w:ascii="Times New Roman" w:cs="Times New Roman" w:eastAsia="Times New Roman" w:hAnsi="Times New Roman"/>
          <w:sz w:val="21"/>
          <w:szCs w:val="21"/>
          <w:color w:val="auto"/>
        </w:rPr>
      </w:pPr>
    </w:p>
    <w:p>
      <w:pPr>
        <w:jc w:val="both"/>
        <w:ind w:firstLine="1241"/>
        <w:spacing w:after="0" w:line="248" w:lineRule="auto"/>
        <w:tabs>
          <w:tab w:leader="none" w:pos="1845"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completion of the initial scope of work for the Initial Antivirals Projects or an Additional Project, if the Foundation requests the Company and/or Exscientia to conduct further development, modifications, or clinical trials with respect to the Antiviral Products, the Company and Exscientia will negotiate in good faith with the Foundation or a Foundation-Supported Entity designated by the Foundation to reach agreement upon a project plan, which may include work to be undertaken, responsibilities, participation by other parties, timelines and milestones, project management, contributions in-kind and funding requirements, a commercialization plan, and any additional Global Access commitments. The specific level of funding responsibilities for the additional work will be mutually agreed in good faith in a written agreement between the parties. In no event will the Foundation be responsible for any amount of such funding that would constitute a taxable expenditure under Treasury Regulation 53.4945-6(a)-(b). Any additional work may be divided into milestones or phases. The Foundation will have the right, at its sole and absolute discretion, to continue providing funding (directly or through a Foundation-supported Entity) to advance the Antiviral Products through to product launch of a final product for the purpose of enabling Global Access. For the avoidance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15716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92" w:lineRule="exact"/>
        <w:rPr>
          <w:sz w:val="20"/>
          <w:szCs w:val="20"/>
          <w:color w:val="auto"/>
        </w:rPr>
      </w:pPr>
    </w:p>
    <w:p>
      <w:pPr>
        <w:ind w:left="100" w:hanging="97"/>
        <w:spacing w:after="0"/>
        <w:tabs>
          <w:tab w:leader="none" w:pos="100" w:val="left"/>
        </w:tabs>
        <w:numPr>
          <w:ilvl w:val="0"/>
          <w:numId w:val="1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https://www.who.int/initiatives/who-listed-authority-reg-authorities/SRAs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doubt, if the Foundation elects to proceed with further development it will provide additional funding as described herein.</w:t>
      </w:r>
    </w:p>
    <w:p>
      <w:pPr>
        <w:spacing w:after="0" w:line="210" w:lineRule="exact"/>
        <w:rPr>
          <w:sz w:val="20"/>
          <w:szCs w:val="20"/>
          <w:color w:val="auto"/>
        </w:rPr>
      </w:pPr>
    </w:p>
    <w:p>
      <w:pPr>
        <w:jc w:val="both"/>
        <w:ind w:firstLine="1241"/>
        <w:spacing w:after="0" w:line="256" w:lineRule="auto"/>
        <w:tabs>
          <w:tab w:leader="none" w:pos="1851"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or Exscientia elects to conduct further development of an Antiviral Product without additional funding from the Foundation, the Company and/or Exscientia, as applicable, will not grant to a third-party any rights or enter into any arrangements or agreements or otherwise take any actions that would limit or restrict the Foundation’s right to continue with further development or the Global Access Commitments, including with respect to the Funded Developments and Antiviral Products.</w:t>
      </w:r>
    </w:p>
    <w:p>
      <w:pPr>
        <w:spacing w:after="0" w:line="164" w:lineRule="exact"/>
        <w:rPr>
          <w:rFonts w:ascii="Times New Roman" w:cs="Times New Roman" w:eastAsia="Times New Roman" w:hAnsi="Times New Roman"/>
          <w:sz w:val="21"/>
          <w:szCs w:val="21"/>
          <w:color w:val="auto"/>
        </w:rPr>
      </w:pPr>
    </w:p>
    <w:p>
      <w:pPr>
        <w:jc w:val="both"/>
        <w:ind w:firstLine="622"/>
        <w:spacing w:after="0" w:line="257" w:lineRule="auto"/>
        <w:tabs>
          <w:tab w:leader="none" w:pos="1234"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 The Company and Exscientia represent and covenant that the Company and/or Exscientia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and will continue to have all necessary rights to the Platform Technology, Funded Developments and Background IP (including all Intellectual Property Rights and other right in data, confidential information, know-how, and other Intellectual Property) needed to perform the Global Access Commitments and grant the licenses hereunder.</w:t>
      </w:r>
    </w:p>
    <w:p>
      <w:pPr>
        <w:spacing w:after="0" w:line="164"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3"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Pricing and Volume Commitments</w:t>
      </w:r>
      <w:r>
        <w:rPr>
          <w:rFonts w:ascii="Times New Roman" w:cs="Times New Roman" w:eastAsia="Times New Roman" w:hAnsi="Times New Roman"/>
          <w:sz w:val="21"/>
          <w:szCs w:val="21"/>
          <w:color w:val="auto"/>
        </w:rPr>
        <w:t>. The Company and Exscientia agree that they will make all Antiviral Products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available in Developing Countries (i) at a price [****] and (ii) in quantities meeting or exceeding those set forth in the applicable statement of work (or other applicable Global Access agreements between the Foundation and the Company and/or Exscientia). It is understood that no party will be expected to undertake sales of an Antiviral Product at a loss.</w:t>
      </w:r>
    </w:p>
    <w:p>
      <w:pPr>
        <w:spacing w:after="0" w:line="167"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Outbreak Response</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45"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 emerging or declared public health crisis either in Developing Countries as determined by a relevant governmental entity, multilateral organization or by mutual agreement of the parties (an “</w:t>
      </w:r>
      <w:r>
        <w:rPr>
          <w:rFonts w:ascii="Times New Roman" w:cs="Times New Roman" w:eastAsia="Times New Roman" w:hAnsi="Times New Roman"/>
          <w:sz w:val="21"/>
          <w:szCs w:val="21"/>
          <w:b w:val="1"/>
          <w:bCs w:val="1"/>
          <w:color w:val="auto"/>
        </w:rPr>
        <w:t>Outbreak</w:t>
      </w:r>
      <w:r>
        <w:rPr>
          <w:rFonts w:ascii="Times New Roman" w:cs="Times New Roman" w:eastAsia="Times New Roman" w:hAnsi="Times New Roman"/>
          <w:sz w:val="21"/>
          <w:szCs w:val="21"/>
          <w:color w:val="auto"/>
        </w:rPr>
        <w:t>”), if requested by the Foundation, the Company and Exscientia will agree to make available in Developing Countries relevant Antiviral Products, through their own manufacturing or existing out-licensing arrangements with other manufacturers, in sufficient quantities to meet reasonably expected demand in Developing Countries (</w:t>
      </w:r>
      <w:r>
        <w:rPr>
          <w:rFonts w:ascii="Times New Roman" w:cs="Times New Roman" w:eastAsia="Times New Roman" w:hAnsi="Times New Roman"/>
          <w:sz w:val="21"/>
          <w:szCs w:val="21"/>
          <w:b w:val="1"/>
          <w:bCs w:val="1"/>
          <w:color w:val="auto"/>
        </w:rPr>
        <w:t>“Required Quantities”)</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jc w:val="both"/>
        <w:ind w:firstLine="1241"/>
        <w:spacing w:after="0" w:line="251" w:lineRule="auto"/>
        <w:tabs>
          <w:tab w:leader="none" w:pos="1851"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and Exscientia cannot manufacture the Required Quantities plus the volumes reasonably expected outside Developing Countries through their own manufacturing or existing out-licensing arrangements with other manufacturers, then the Company and Exscientia will work with the Foundation or a Foundation-Supported Entity designated by the Foundation to develop a manufacturing and/or licensing plan to produce the Required Quantities. The specific level of funding responsibilities for the manufacturing and/or licensing plan will be decided as mutually agreed in good faith in a written agreement between the parties.</w:t>
      </w:r>
    </w:p>
    <w:p>
      <w:pPr>
        <w:spacing w:after="0" w:line="173"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56"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understood that in the event of an Outbreak, the pricing and volume commitments in Section 3(d) will apply. It is further understood that in the event of an Outbreak, available capacity for the relevant Antiviral Product will be allocated to Developing Countries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aggregate) at a percentage of available capacity that is [****], for each quarter of production for the duration of the Outbreak.</w:t>
      </w:r>
    </w:p>
    <w:p>
      <w:pPr>
        <w:spacing w:after="0" w:line="210" w:lineRule="exact"/>
        <w:rPr>
          <w:sz w:val="20"/>
          <w:szCs w:val="20"/>
          <w:color w:val="auto"/>
        </w:rPr>
      </w:pPr>
    </w:p>
    <w:p>
      <w:pPr>
        <w:ind w:firstLine="1241"/>
        <w:spacing w:after="0" w:line="269" w:lineRule="auto"/>
        <w:tabs>
          <w:tab w:leader="none" w:pos="1845" w:val="left"/>
        </w:tabs>
        <w:numPr>
          <w:ilvl w:val="2"/>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Antiviral Product does not meet the COGS criteria outlined in the applicable TPP, the Company will make a good faith effort to consider donations of the Antiviral Product to Developing Countries.</w:t>
      </w:r>
    </w:p>
    <w:p>
      <w:pPr>
        <w:spacing w:after="0" w:line="163"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Joint Steering Committee</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color w:val="auto"/>
        </w:rPr>
      </w:pPr>
    </w:p>
    <w:p>
      <w:pPr>
        <w:jc w:val="both"/>
        <w:ind w:firstLine="1241"/>
        <w:spacing w:after="0" w:line="253" w:lineRule="auto"/>
        <w:tabs>
          <w:tab w:leader="none" w:pos="1845" w:val="left"/>
        </w:tabs>
        <w:numPr>
          <w:ilvl w:val="2"/>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Foundation will each designate [****] individuals who are subject matter experts to be part of a joint steering committee (the “</w:t>
      </w:r>
      <w:r>
        <w:rPr>
          <w:rFonts w:ascii="Times New Roman" w:cs="Times New Roman" w:eastAsia="Times New Roman" w:hAnsi="Times New Roman"/>
          <w:sz w:val="21"/>
          <w:szCs w:val="21"/>
          <w:b w:val="1"/>
          <w:bCs w:val="1"/>
          <w:color w:val="auto"/>
        </w:rPr>
        <w:t>Joint Steering Committee</w:t>
      </w:r>
      <w:r>
        <w:rPr>
          <w:rFonts w:ascii="Times New Roman" w:cs="Times New Roman" w:eastAsia="Times New Roman" w:hAnsi="Times New Roman"/>
          <w:sz w:val="21"/>
          <w:szCs w:val="21"/>
          <w:color w:val="auto"/>
        </w:rPr>
        <w:t>”) that will provide a forum to review and discuss the overall scientific strategy, progress toward goals and changes to the scope of work, based on agreed upon criteria of each project in the Antiviral Program. At the start of the Initial Antiviral Projects, the Company will designate [****] as its Joint Steering Committee representatives. Additional non-voting representatives may attend based on specific agenda topics.</w:t>
      </w:r>
    </w:p>
    <w:p>
      <w:pPr>
        <w:spacing w:after="0" w:line="171" w:lineRule="exact"/>
        <w:rPr>
          <w:rFonts w:ascii="Times New Roman" w:cs="Times New Roman" w:eastAsia="Times New Roman" w:hAnsi="Times New Roman"/>
          <w:sz w:val="21"/>
          <w:szCs w:val="21"/>
          <w:color w:val="auto"/>
        </w:rPr>
      </w:pPr>
    </w:p>
    <w:p>
      <w:pPr>
        <w:jc w:val="both"/>
        <w:ind w:firstLine="1241"/>
        <w:spacing w:after="0" w:line="261" w:lineRule="auto"/>
        <w:tabs>
          <w:tab w:leader="none" w:pos="1851"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Joint Steering Committee will review the Company’s and Exscientia’s data, portfolio progress, and recommendations and the following decisions will be subject to the Joint Steering Committee’s authorization: (1) criteria for target prioritization, (2) prioritization of targets, (3) selection of initial compounds for each viral family, (4) criteria for hit selection, (5) criteria for selection of CROs and network assay partners, (6) selection of targets and whole-cell assays for antiviral efficacy evaluation,</w:t>
      </w:r>
    </w:p>
    <w:p>
      <w:pPr>
        <w:spacing w:after="0" w:line="1" w:lineRule="exact"/>
        <w:rPr>
          <w:rFonts w:ascii="Times New Roman" w:cs="Times New Roman" w:eastAsia="Times New Roman" w:hAnsi="Times New Roman"/>
          <w:sz w:val="20"/>
          <w:szCs w:val="20"/>
          <w:color w:val="auto"/>
        </w:rPr>
      </w:pPr>
    </w:p>
    <w:p>
      <w:pPr>
        <w:ind w:firstLine="3"/>
        <w:spacing w:after="0" w:line="285" w:lineRule="auto"/>
        <w:tabs>
          <w:tab w:leader="none" w:pos="29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screening strategy and assay specifications, (8) prioritization of final hits, (9) criteria for lead selection, (10) preclinical models, (11) selection of final leads, (12) project transitions, and (13) development, partnering, and Intellectual Property strategy and agreements.</w:t>
      </w:r>
    </w:p>
    <w:p>
      <w:pPr>
        <w:spacing w:after="0" w:line="140" w:lineRule="exact"/>
        <w:rPr>
          <w:rFonts w:ascii="Times New Roman" w:cs="Times New Roman" w:eastAsia="Times New Roman" w:hAnsi="Times New Roman"/>
          <w:sz w:val="20"/>
          <w:szCs w:val="20"/>
          <w:color w:val="auto"/>
        </w:rPr>
      </w:pPr>
    </w:p>
    <w:p>
      <w:pPr>
        <w:jc w:val="both"/>
        <w:ind w:firstLine="1241"/>
        <w:spacing w:after="0" w:line="252" w:lineRule="auto"/>
        <w:tabs>
          <w:tab w:leader="none" w:pos="1856" w:val="left"/>
        </w:tabs>
        <w:numPr>
          <w:ilvl w:val="2"/>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Exscientia will manage the pipeline of hits and leads such that there is an appropriate balance of projects and resources to deliver [****] lead candidates [****] and will prioritize leads based on their ability to meet the TPP criteria, including activity against multiple species within virus families. The pipeline and leads will be reviewed by the Joint Steering Committee and must be acceptable to the Joint Steering Committee (such acceptance not to be unreasonably withheld).</w:t>
      </w:r>
    </w:p>
    <w:p>
      <w:pPr>
        <w:spacing w:after="0" w:line="184"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45" w:val="left"/>
        </w:tabs>
        <w:numPr>
          <w:ilvl w:val="2"/>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Joint Steering Committee will meet at least once each calendar quarter via teleconference or videoconference and at least once annually in-person, if feasible, for the duration necessary to conclude the Initial Antiviral Projects, Additional Projects, and corresponding further development of related Antiviral Products. With the agreement of both parties and subject to the execution of appropriate confidentiality agreements, third parties may be invited from time to time to participate in certain Joint Steering Committee discussions. Decisions made at the Joint Steering Committee must be approved by a majority of the representatives of the Foundation and a majority of the representatives of the Company. If the members of the Joint Steering Committee from both parties cannot reach mutual agreement on a decision that this Agreement specifies shall be made by the Joint Steering Committee, then such</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62" w:name="page263"/>
    <w:bookmarkEnd w:id="262"/>
    <w:p>
      <w:pPr>
        <w:ind w:left="10300"/>
        <w:spacing w:after="0"/>
        <w:rPr>
          <w:sz w:val="20"/>
          <w:szCs w:val="20"/>
          <w:color w:val="auto"/>
        </w:rPr>
      </w:pPr>
      <w:r>
        <w:rPr>
          <w:rFonts w:ascii="Arial" w:cs="Arial" w:eastAsia="Arial" w:hAnsi="Arial"/>
          <w:sz w:val="18"/>
          <w:szCs w:val="18"/>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matter will be resolved in accordance with the dispute resolution procedure set forth in Section 19.</w:t>
      </w:r>
    </w:p>
    <w:p>
      <w:pPr>
        <w:spacing w:after="0" w:line="232" w:lineRule="exact"/>
        <w:rPr>
          <w:sz w:val="20"/>
          <w:szCs w:val="20"/>
          <w:color w:val="auto"/>
        </w:rPr>
      </w:pPr>
    </w:p>
    <w:p>
      <w:pPr>
        <w:ind w:firstLine="622"/>
        <w:spacing w:after="0" w:line="273" w:lineRule="auto"/>
        <w:tabs>
          <w:tab w:leader="none" w:pos="123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Publication; Access to Data and Information</w:t>
      </w:r>
      <w:r>
        <w:rPr>
          <w:rFonts w:ascii="Times New Roman" w:cs="Times New Roman" w:eastAsia="Times New Roman" w:hAnsi="Times New Roman"/>
          <w:sz w:val="21"/>
          <w:szCs w:val="21"/>
          <w:color w:val="auto"/>
        </w:rPr>
        <w:t>. The Company and Exscientia will (in addition to the publication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of any other agreements with the Foundation):</w:t>
      </w:r>
    </w:p>
    <w:p>
      <w:pPr>
        <w:spacing w:after="0" w:line="189" w:lineRule="exact"/>
        <w:rPr>
          <w:rFonts w:ascii="Times New Roman" w:cs="Times New Roman" w:eastAsia="Times New Roman" w:hAnsi="Times New Roman"/>
          <w:sz w:val="21"/>
          <w:szCs w:val="21"/>
          <w:color w:val="auto"/>
        </w:rPr>
      </w:pPr>
    </w:p>
    <w:p>
      <w:pPr>
        <w:jc w:val="both"/>
        <w:ind w:firstLine="1241"/>
        <w:spacing w:after="0" w:line="251" w:lineRule="auto"/>
        <w:tabs>
          <w:tab w:leader="none" w:pos="1845"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publish the results and information developed in connection with the Antiviral Program within a reasonable period of time after such information or results are obtained, subject to reasonable delays or limitations on content of such publications that are necessary to protect Intellectual Property Rights covering the Platform Technology itself. Subject to the preceding sentence, all publications must be made in accordance with “open access” terms and conditions consistent with the Foundation’s Open Access Policy (available at: http://www.gatesfoundation.org/How-We-Work/General-Information/Open-Access-Policy), which may be modified from time to time;</w:t>
      </w:r>
    </w:p>
    <w:p>
      <w:pPr>
        <w:spacing w:after="0" w:line="199"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1"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provide to the Foundation access to all data, results, and information regarding the Antiviral Program (such data and information will include, but not be limited to: disease and target KnowledgeGraphs, HotSpot target assessment data, structural domains, “stage 2” structure-activity-relationship (“</w:t>
      </w:r>
      <w:r>
        <w:rPr>
          <w:rFonts w:ascii="Times New Roman" w:cs="Times New Roman" w:eastAsia="Times New Roman" w:hAnsi="Times New Roman"/>
          <w:sz w:val="21"/>
          <w:szCs w:val="21"/>
          <w:b w:val="1"/>
          <w:bCs w:val="1"/>
          <w:color w:val="auto"/>
        </w:rPr>
        <w:t>SAR</w:t>
      </w:r>
      <w:r>
        <w:rPr>
          <w:rFonts w:ascii="Times New Roman" w:cs="Times New Roman" w:eastAsia="Times New Roman" w:hAnsi="Times New Roman"/>
          <w:sz w:val="21"/>
          <w:szCs w:val="21"/>
          <w:color w:val="auto"/>
        </w:rPr>
        <w:t>”) data, three-dimensional structural models, lists of proposed compounds proposed for synthesis, SAR data for all synthesized compounds (including chemical structure, biological assay data on potency, cell activity, physical properties, absorption, distribution, metabolism, and excretion and pharmacokinetic data), and MERIT data. Such data, results and information will be updated quarterly and maintained in a database/repository that the Foundation can fully access;</w:t>
      </w:r>
    </w:p>
    <w:p>
      <w:pPr>
        <w:spacing w:after="0" w:line="205" w:lineRule="exact"/>
        <w:rPr>
          <w:rFonts w:ascii="Times New Roman" w:cs="Times New Roman" w:eastAsia="Times New Roman" w:hAnsi="Times New Roman"/>
          <w:sz w:val="21"/>
          <w:szCs w:val="21"/>
          <w:color w:val="auto"/>
        </w:rPr>
      </w:pPr>
    </w:p>
    <w:p>
      <w:pPr>
        <w:jc w:val="both"/>
        <w:ind w:firstLine="1241"/>
        <w:spacing w:after="0" w:line="256" w:lineRule="auto"/>
        <w:tabs>
          <w:tab w:leader="none" w:pos="1856"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provide to the Foundation rights to share such data and information regarding the Antiviral Program, and the reasonably contemplated use of the Platform Technology for the Antiviral Program, subject to the reasonable need to protect confidential information and to avoid untimely public disclosures that may bar access to patent protection or public disclosures that may undermine trade secret protection; and</w:t>
      </w:r>
    </w:p>
    <w:p>
      <w:pPr>
        <w:spacing w:after="0" w:line="194" w:lineRule="exact"/>
        <w:rPr>
          <w:rFonts w:ascii="Times New Roman" w:cs="Times New Roman" w:eastAsia="Times New Roman" w:hAnsi="Times New Roman"/>
          <w:sz w:val="21"/>
          <w:szCs w:val="21"/>
          <w:color w:val="auto"/>
        </w:rPr>
      </w:pPr>
    </w:p>
    <w:p>
      <w:pPr>
        <w:ind w:firstLine="1241"/>
        <w:spacing w:after="0" w:line="269" w:lineRule="auto"/>
        <w:tabs>
          <w:tab w:leader="none" w:pos="1845"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 good faith effort to negotiate and agree to a Confidential Disclosure Agreement and share data and information regarding the Antiviral Program with the to-be-established Pandemics Antiviral Discovery partnership.</w:t>
      </w:r>
    </w:p>
    <w:p>
      <w:pPr>
        <w:spacing w:after="0" w:line="176" w:lineRule="exact"/>
        <w:rPr>
          <w:rFonts w:ascii="Times New Roman" w:cs="Times New Roman" w:eastAsia="Times New Roman" w:hAnsi="Times New Roman"/>
          <w:sz w:val="21"/>
          <w:szCs w:val="21"/>
          <w:color w:val="auto"/>
        </w:rPr>
      </w:pPr>
    </w:p>
    <w:p>
      <w:pPr>
        <w:jc w:val="both"/>
        <w:ind w:firstLine="622"/>
        <w:spacing w:after="0" w:line="257" w:lineRule="auto"/>
        <w:tabs>
          <w:tab w:leader="none" w:pos="123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Inconsistent Rights</w:t>
      </w:r>
      <w:r>
        <w:rPr>
          <w:rFonts w:ascii="Times New Roman" w:cs="Times New Roman" w:eastAsia="Times New Roman" w:hAnsi="Times New Roman"/>
          <w:sz w:val="21"/>
          <w:szCs w:val="21"/>
          <w:color w:val="auto"/>
        </w:rPr>
        <w:t>. Subject to the Existing Agreements, neither the Company nor Exscientia will grant to a third-party any rights or enter into any arrangements or agreements that would limit or restrict the Foundation’s ability to exercise its rights or the Company’s or Exscientia’s ability to perform its obligations under this Agreement (including the licenses granted in this Agreement). The Foundation will not be required to take any action or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enter into any arrangement or agreement that would limit or restrict the Foundation’s ability to exercise its rights under this Agreement.</w:t>
      </w:r>
    </w:p>
    <w:p>
      <w:pPr>
        <w:spacing w:after="0" w:line="256" w:lineRule="exact"/>
        <w:rPr>
          <w:sz w:val="20"/>
          <w:szCs w:val="20"/>
          <w:color w:val="auto"/>
        </w:rPr>
      </w:pPr>
    </w:p>
    <w:p>
      <w:pPr>
        <w:ind w:left="1220" w:hanging="598"/>
        <w:spacing w:after="0"/>
        <w:tabs>
          <w:tab w:leader="none" w:pos="122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Global Health License</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jc w:val="both"/>
        <w:ind w:firstLine="1241"/>
        <w:spacing w:after="0" w:line="247" w:lineRule="auto"/>
        <w:tabs>
          <w:tab w:leader="none" w:pos="1845"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Global Health License</w:t>
      </w:r>
      <w:r>
        <w:rPr>
          <w:rFonts w:ascii="Times New Roman" w:cs="Times New Roman" w:eastAsia="Times New Roman" w:hAnsi="Times New Roman"/>
          <w:sz w:val="21"/>
          <w:szCs w:val="21"/>
          <w:color w:val="auto"/>
        </w:rPr>
        <w:t>. Each of the Company, Exscientia and their respective Affiliates hereby grants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Foundation and/or Foundation-supported Entities (at the Foundation’s option and election) a worldwide, exclusive (except as to Company and Exscientia, as well as with respect to Background IP, for which this license shall be non-exclusive), non-terminable, irrevocable, perpetual, royalty-free, fully paid up license (with the right to grant and authorize sublicenses) under all Intellectual Property Rights (other than any Intellectual Property Rights existing in, or which come into existence in, the AI Platform) owned, controlled or in-licensed by the Company, Exscientia or any of their respective Affiliates to Use the Funded Developments and Background IP for the purpose of researching, developing, manufacturing, using, selling, offering for sale, distributing, importing, and otherwise disposing of, commercializing and otherwise exploiting Antiviral Products for the purpose of benefiting people in Developing Countries (“</w:t>
      </w:r>
      <w:r>
        <w:rPr>
          <w:rFonts w:ascii="Times New Roman" w:cs="Times New Roman" w:eastAsia="Times New Roman" w:hAnsi="Times New Roman"/>
          <w:sz w:val="21"/>
          <w:szCs w:val="21"/>
          <w:b w:val="1"/>
          <w:bCs w:val="1"/>
          <w:color w:val="auto"/>
        </w:rPr>
        <w:t>Global Health License</w:t>
      </w:r>
      <w:r>
        <w:rPr>
          <w:rFonts w:ascii="Times New Roman" w:cs="Times New Roman" w:eastAsia="Times New Roman" w:hAnsi="Times New Roman"/>
          <w:sz w:val="21"/>
          <w:szCs w:val="21"/>
          <w:color w:val="auto"/>
        </w:rPr>
        <w:t>”). The Global Health License is a presently granted license. If an Exercise Event as described in Section 3(i)(ii) below occurs, all rights and licenses granted under or pursuant to this Agreement by the Company, Exscientia or any of their respective Affiliates are, and shall be deemed to be, for purposes of Section 365(n) of the Bankruptcy Code and any similar law or regulation in any other country, licenses of rights to "intellectual property" as such term is defined in Section 101(35A) of the Bankruptcy Code. The parties agree that all Intellectual Property Rights licensed hereunder are part of the "intellectual property" as defined under Section 101(35A) of the Bankruptcy Code subject to the protections afforded the non-terminating party under Section 365(n) of the Bankruptcy Code, and any similar law or regulation in any other country. For clarity, the Global Health License does not grant the Foundation a license or any other right to Use the AI Platform. The Company and Exscientia represent and warrant that the Funded Developments do not and will not embody any Intellectual Property Rights that are embodied in the AI Platform and no such Intellectual Property Rights are reasonably required for the Use of the Funded Developments. If third party Intellectual Property is included within the rights granted under this Section 3(i), the Company shall be responsible for any royalties or other consideration owed with respect to the Use thereof in exercise of the foregoing license.</w:t>
      </w:r>
    </w:p>
    <w:p>
      <w:pPr>
        <w:spacing w:after="0" w:line="302" w:lineRule="exact"/>
        <w:rPr>
          <w:rFonts w:ascii="Times New Roman" w:cs="Times New Roman" w:eastAsia="Times New Roman" w:hAnsi="Times New Roman"/>
          <w:sz w:val="21"/>
          <w:szCs w:val="21"/>
          <w:color w:val="auto"/>
        </w:rPr>
      </w:pPr>
    </w:p>
    <w:p>
      <w:pPr>
        <w:ind w:firstLine="1241"/>
        <w:spacing w:after="0" w:line="286" w:lineRule="auto"/>
        <w:tabs>
          <w:tab w:leader="none" w:pos="1851"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Exercise Events</w:t>
      </w:r>
      <w:r>
        <w:rPr>
          <w:rFonts w:ascii="Times New Roman" w:cs="Times New Roman" w:eastAsia="Times New Roman" w:hAnsi="Times New Roman"/>
          <w:sz w:val="21"/>
          <w:szCs w:val="21"/>
          <w:color w:val="auto"/>
        </w:rPr>
        <w:t>. The Foundation will not exercise its rights under the Global Health License (including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sublicensing rights) unless at least one of the following occurs (each, an “</w:t>
      </w:r>
      <w:r>
        <w:rPr>
          <w:rFonts w:ascii="Times New Roman" w:cs="Times New Roman" w:eastAsia="Times New Roman" w:hAnsi="Times New Roman"/>
          <w:sz w:val="21"/>
          <w:szCs w:val="21"/>
          <w:b w:val="1"/>
          <w:bCs w:val="1"/>
          <w:color w:val="auto"/>
        </w:rPr>
        <w:t>Exercise Event</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2"/>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Charitability Default; or</w:t>
      </w:r>
    </w:p>
    <w:p>
      <w:pPr>
        <w:spacing w:after="0" w:line="235" w:lineRule="exact"/>
        <w:rPr>
          <w:rFonts w:ascii="Times New Roman" w:cs="Times New Roman" w:eastAsia="Times New Roman" w:hAnsi="Times New Roman"/>
          <w:sz w:val="21"/>
          <w:szCs w:val="21"/>
          <w:color w:val="auto"/>
        </w:rPr>
      </w:pPr>
    </w:p>
    <w:p>
      <w:pPr>
        <w:jc w:val="both"/>
        <w:ind w:firstLine="1860"/>
        <w:spacing w:after="0" w:line="256" w:lineRule="auto"/>
        <w:tabs>
          <w:tab w:leader="none" w:pos="2467" w:val="left"/>
        </w:tabs>
        <w:numPr>
          <w:ilvl w:val="2"/>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or Exscientia (including any successors or assigns or the Affiliates of the Company or Exscientia, or their respective successors or assigns) (i) institutes any bankruptcy, insolvency, appointment of a receiver and/or trustee or reorganization (in either case for the release of financially distressed debtors), general assignment for the benefit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of creditors, winding-up, dissolution, liquidation or similar proceeding relating to it under the laws of any jurisdiction or any such proceeding is instituted against the Company or Exscientia which remains undismissed or unstayed for a period of [****] or (ii) ceases to conduct business in the ordinary course or is determined to no longer be a going concern.</w:t>
      </w:r>
    </w:p>
    <w:p>
      <w:pPr>
        <w:spacing w:after="0" w:line="18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If either the Foundation, the Company or Exscientia becomes aware of an Exercise Event, it will promptly notify the other parties in writing of the occurrence of such Exercise Event; provided that failure by the Foundation to provide such notice will not affect the Foundation’s rights hereunder.</w:t>
      </w:r>
    </w:p>
    <w:p>
      <w:pPr>
        <w:spacing w:after="0" w:line="190" w:lineRule="exact"/>
        <w:rPr>
          <w:sz w:val="20"/>
          <w:szCs w:val="20"/>
          <w:color w:val="auto"/>
        </w:rPr>
      </w:pPr>
    </w:p>
    <w:p>
      <w:pPr>
        <w:jc w:val="both"/>
        <w:ind w:firstLine="1241"/>
        <w:spacing w:after="0" w:line="249" w:lineRule="auto"/>
        <w:tabs>
          <w:tab w:leader="none" w:pos="1856" w:val="left"/>
        </w:tabs>
        <w:numPr>
          <w:ilvl w:val="2"/>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Escrow</w:t>
      </w:r>
      <w:r>
        <w:rPr>
          <w:rFonts w:ascii="Times New Roman" w:cs="Times New Roman" w:eastAsia="Times New Roman" w:hAnsi="Times New Roman"/>
          <w:sz w:val="21"/>
          <w:szCs w:val="21"/>
          <w:color w:val="auto"/>
        </w:rPr>
        <w:t>. Within [****] after the Effective Date, the Company and Exscientia shall (A) negotiate with a third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escrow agent mutually acceptable to the Company and the Foundation (the “</w:t>
      </w:r>
      <w:r>
        <w:rPr>
          <w:rFonts w:ascii="Times New Roman" w:cs="Times New Roman" w:eastAsia="Times New Roman" w:hAnsi="Times New Roman"/>
          <w:sz w:val="21"/>
          <w:szCs w:val="21"/>
          <w:b w:val="1"/>
          <w:bCs w:val="1"/>
          <w:color w:val="auto"/>
        </w:rPr>
        <w:t>Escrow Agent</w:t>
      </w:r>
      <w:r>
        <w:rPr>
          <w:rFonts w:ascii="Times New Roman" w:cs="Times New Roman" w:eastAsia="Times New Roman" w:hAnsi="Times New Roman"/>
          <w:sz w:val="21"/>
          <w:szCs w:val="21"/>
          <w:color w:val="auto"/>
        </w:rPr>
        <w:t>”) an escrow agreement by and among such Escrow Agent, the Company, Exscientia and the Foundation (the “</w:t>
      </w:r>
      <w:r>
        <w:rPr>
          <w:rFonts w:ascii="Times New Roman" w:cs="Times New Roman" w:eastAsia="Times New Roman" w:hAnsi="Times New Roman"/>
          <w:sz w:val="21"/>
          <w:szCs w:val="21"/>
          <w:b w:val="1"/>
          <w:bCs w:val="1"/>
          <w:color w:val="auto"/>
        </w:rPr>
        <w:t>Escrow Agreement</w:t>
      </w:r>
      <w:r>
        <w:rPr>
          <w:rFonts w:ascii="Times New Roman" w:cs="Times New Roman" w:eastAsia="Times New Roman" w:hAnsi="Times New Roman"/>
          <w:sz w:val="21"/>
          <w:szCs w:val="21"/>
          <w:color w:val="auto"/>
        </w:rPr>
        <w:t>”) and (B) deposit with the Escrow Agent, pursuant to such Escrow Agreement, the Intellectual Property covered by the Global Health License, including the data, results, and information referenced in Section 3(g)(ii) and samples of synthesized compounds (collectively, the “</w:t>
      </w:r>
      <w:r>
        <w:rPr>
          <w:rFonts w:ascii="Times New Roman" w:cs="Times New Roman" w:eastAsia="Times New Roman" w:hAnsi="Times New Roman"/>
          <w:sz w:val="21"/>
          <w:szCs w:val="21"/>
          <w:b w:val="1"/>
          <w:bCs w:val="1"/>
          <w:color w:val="auto"/>
        </w:rPr>
        <w:t>Escrowed Materials</w:t>
      </w:r>
      <w:r>
        <w:rPr>
          <w:rFonts w:ascii="Times New Roman" w:cs="Times New Roman" w:eastAsia="Times New Roman" w:hAnsi="Times New Roman"/>
          <w:sz w:val="21"/>
          <w:szCs w:val="21"/>
          <w:color w:val="auto"/>
        </w:rPr>
        <w:t>”). The release conditions to be set forth in the Escrow Agreement will be the same as an Exercise Event. The Company and Exscientia shall update the Escrowed Materials quarterly. The Escrow Agreement will include a process to enable verification of the Escrowed Materials and updates thereto by the Foundation. The Foundation will have the right to obtain release of any of the Escrowed Materials from the Escrow Agent at any time following a Charitability Default to the extent necessary to enable the Foundation to exercise the Global Health License.</w:t>
      </w:r>
    </w:p>
    <w:p>
      <w:pPr>
        <w:spacing w:after="0" w:line="201" w:lineRule="exact"/>
        <w:rPr>
          <w:rFonts w:ascii="Times New Roman" w:cs="Times New Roman" w:eastAsia="Times New Roman" w:hAnsi="Times New Roman"/>
          <w:sz w:val="21"/>
          <w:szCs w:val="21"/>
          <w:color w:val="auto"/>
        </w:rPr>
      </w:pPr>
    </w:p>
    <w:p>
      <w:pPr>
        <w:jc w:val="both"/>
        <w:ind w:firstLine="622"/>
        <w:spacing w:after="0" w:line="252" w:lineRule="auto"/>
        <w:tabs>
          <w:tab w:leader="none" w:pos="1226"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Cooperation; Technology Transfer</w:t>
      </w:r>
      <w:r>
        <w:rPr>
          <w:rFonts w:ascii="Times New Roman" w:cs="Times New Roman" w:eastAsia="Times New Roman" w:hAnsi="Times New Roman"/>
          <w:sz w:val="21"/>
          <w:szCs w:val="21"/>
          <w:color w:val="auto"/>
        </w:rPr>
        <w:t>. In connection with the exercise of the Global Health License, each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Exscientia will take further actions, including Intellectual Property transfer (subject to appropriate confidentiality obligations), as would be commercially reasonable industry practice at the time with respect to providing a biotechnology license to a third party, to accommodate that the Foundation, the Foundation’s sublicensees, and/or the relevant Foundation-supported Entity can effectively exercise the Global Health License and use the related technology and manufacture the relevant products if an Exercise Event occurs (including the right to reference regulatory filings related to the applicable Antiviral Products).</w:t>
      </w:r>
    </w:p>
    <w:p>
      <w:pPr>
        <w:spacing w:after="0" w:line="193" w:lineRule="exact"/>
        <w:rPr>
          <w:rFonts w:ascii="Times New Roman" w:cs="Times New Roman" w:eastAsia="Times New Roman" w:hAnsi="Times New Roman"/>
          <w:sz w:val="21"/>
          <w:szCs w:val="21"/>
          <w:color w:val="auto"/>
        </w:rPr>
      </w:pPr>
    </w:p>
    <w:p>
      <w:pPr>
        <w:ind w:firstLine="622"/>
        <w:spacing w:after="0" w:line="286" w:lineRule="auto"/>
        <w:tabs>
          <w:tab w:leader="none" w:pos="1233"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Duration of Global Access Commitments</w:t>
      </w:r>
      <w:r>
        <w:rPr>
          <w:rFonts w:ascii="Times New Roman" w:cs="Times New Roman" w:eastAsia="Times New Roman" w:hAnsi="Times New Roman"/>
          <w:sz w:val="21"/>
          <w:szCs w:val="21"/>
          <w:color w:val="auto"/>
        </w:rPr>
        <w:t>. The Global Access Commitments will be ongoing and will continue for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long as the Foundation exists.</w:t>
      </w:r>
    </w:p>
    <w:p>
      <w:pPr>
        <w:spacing w:after="0" w:line="133"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19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Survival of Global Access Commitments</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19"/>
          <w:szCs w:val="19"/>
          <w:b w:val="1"/>
          <w:bCs w:val="1"/>
          <w:color w:val="auto"/>
        </w:rPr>
      </w:pPr>
    </w:p>
    <w:p>
      <w:pPr>
        <w:ind w:left="6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In the event of (i) an Acquisition Transaction, or (ii) the sale, exclusive license, or other transfer of the Platform Technology or</w:t>
      </w:r>
    </w:p>
    <w:p>
      <w:pPr>
        <w:spacing w:after="0" w:line="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Funded Developments, the Global Access Commitments will survive and be assumed in full by the purchaser, transferee, licensee, or acquirer and the Company and Exscientia will take all action necessary to ensure such assumption. Prior to signing the definitive agreement with respect to a transaction described in the previous sentence, the Company and Exscientia will allow the Foundation to review the provisions of the written agreement with such third-party that relate to the assumption of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Global Access Commitments to confirm that the Global Access Commitments will survive and be assumed by the third-party and will continue to be directly enforceable by the Foundation. For clarity, notwithstanding anything to the contrary in this Agreement, the Foundation’s rights hereunder that exist on the date of the Acquisition Transaction or sale, exclusive license, or other transfer of the Platform Technology or the Funded Developments will not be terminated by any such transaction.</w:t>
      </w:r>
    </w:p>
    <w:p>
      <w:pPr>
        <w:spacing w:after="0" w:line="29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In addition, at the earlier to occur of (a) the agreement by the Company or Exscientia with a third party on the key terms of an Acquisition Transaction or the sale, exclusive license, or other transfer of the Platform Technology or the Funded Developments or (b) </w:t>
      </w:r>
      <w:r>
        <w:rPr>
          <w:rFonts w:ascii="Calibri" w:cs="Calibri" w:eastAsia="Calibri" w:hAnsi="Calibri"/>
          <w:sz w:val="18"/>
          <w:szCs w:val="18"/>
          <w:color w:val="auto"/>
        </w:rPr>
        <w:t xml:space="preserve">[****] </w:t>
      </w:r>
      <w:r>
        <w:rPr>
          <w:rFonts w:ascii="Times New Roman" w:cs="Times New Roman" w:eastAsia="Times New Roman" w:hAnsi="Times New Roman"/>
          <w:sz w:val="20"/>
          <w:szCs w:val="20"/>
          <w:color w:val="auto"/>
        </w:rPr>
        <w:t>prior to the closing of an Acquisition Transaction the sale, exclusive license, or other transfer of the Platform Technology or the</w:t>
      </w:r>
      <w:r>
        <w:rPr>
          <w:rFonts w:ascii="Calibri" w:cs="Calibri" w:eastAsia="Calibri" w:hAnsi="Calibri"/>
          <w:sz w:val="18"/>
          <w:szCs w:val="18"/>
          <w:color w:val="auto"/>
        </w:rPr>
        <w:t xml:space="preserve"> </w:t>
      </w:r>
      <w:r>
        <w:rPr>
          <w:rFonts w:ascii="Times New Roman" w:cs="Times New Roman" w:eastAsia="Times New Roman" w:hAnsi="Times New Roman"/>
          <w:sz w:val="20"/>
          <w:szCs w:val="20"/>
          <w:color w:val="auto"/>
        </w:rPr>
        <w:t>Funded Developments, the Company will provide the Foundation with written notice of the proposed Acquisition Transaction or sale, license or other transfer.</w:t>
      </w:r>
    </w:p>
    <w:p>
      <w:pPr>
        <w:spacing w:after="0" w:line="165" w:lineRule="exact"/>
        <w:rPr>
          <w:sz w:val="20"/>
          <w:szCs w:val="20"/>
          <w:color w:val="auto"/>
        </w:rPr>
      </w:pPr>
    </w:p>
    <w:p>
      <w:pPr>
        <w:ind w:left="620" w:hanging="617"/>
        <w:spacing w:after="0"/>
        <w:tabs>
          <w:tab w:leader="none" w:pos="620" w:val="left"/>
        </w:tabs>
        <w:numPr>
          <w:ilvl w:val="0"/>
          <w:numId w:val="1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Withdrawal Right</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19"/>
          <w:szCs w:val="19"/>
          <w:b w:val="1"/>
          <w:bCs w:val="1"/>
          <w:color w:val="auto"/>
        </w:rPr>
      </w:pPr>
    </w:p>
    <w:p>
      <w:pPr>
        <w:ind w:left="1240" w:hanging="618"/>
        <w:spacing w:after="0"/>
        <w:tabs>
          <w:tab w:leader="none" w:pos="124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Withdrawal Right described and defined in this Section 5 will be triggered only as a result of a Charitability Default.</w:t>
      </w:r>
    </w:p>
    <w:p>
      <w:pPr>
        <w:spacing w:after="0" w:line="217" w:lineRule="exact"/>
        <w:rPr>
          <w:rFonts w:ascii="Times New Roman" w:cs="Times New Roman" w:eastAsia="Times New Roman" w:hAnsi="Times New Roman"/>
          <w:sz w:val="20"/>
          <w:szCs w:val="20"/>
          <w:color w:val="auto"/>
        </w:rPr>
      </w:pPr>
    </w:p>
    <w:p>
      <w:pPr>
        <w:jc w:val="both"/>
        <w:ind w:firstLine="622"/>
        <w:spacing w:after="0" w:line="248" w:lineRule="auto"/>
        <w:tabs>
          <w:tab w:leader="none" w:pos="1233"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color w:val="auto"/>
        </w:rPr>
        <w:t>Charitability Default</w:t>
      </w:r>
      <w:r>
        <w:rPr>
          <w:rFonts w:ascii="Times New Roman" w:cs="Times New Roman" w:eastAsia="Times New Roman" w:hAnsi="Times New Roman"/>
          <w:sz w:val="21"/>
          <w:szCs w:val="21"/>
          <w:color w:val="auto"/>
        </w:rPr>
        <w:t>” means that the Company or Exscientia (i) is in material breach of any of the Global Access Commitments, including the failure to conduct the Antiviral Program as described herein, other than for reasons of technical or scientific failure not within the control of the Company or Exscientia and not known to the Company or Exscientia at or before closing of the Foundation Investment, (ii) fails to comply with the restrictions in Sections 2 and 8 of this Agreement on the use of proceeds from the Foundation Investment, or (iii) fails to comply with the other related U.S. legal obligations set forth in this Agreement, including the requirements set forth in Sections 6, 10, and 11. Each party agrees to promptly notify the other party in writing if it becomes aware of a Charitability Default and the Company and Exscientia will thereafter promptly provide to the Foundation a proposed strategy to remedy the Charitability Default. Notwithstanding the foregoing, the Foundation will not lose any rights or remedies solely as a result of a failure to notify the Company or Exscientia after it becomes aware of a Charitability Default.</w:t>
      </w:r>
    </w:p>
    <w:p>
      <w:pPr>
        <w:spacing w:after="0" w:line="194" w:lineRule="exact"/>
        <w:rPr>
          <w:rFonts w:ascii="Times New Roman" w:cs="Times New Roman" w:eastAsia="Times New Roman" w:hAnsi="Times New Roman"/>
          <w:sz w:val="21"/>
          <w:szCs w:val="21"/>
          <w:color w:val="auto"/>
        </w:rPr>
      </w:pPr>
    </w:p>
    <w:p>
      <w:pPr>
        <w:jc w:val="both"/>
        <w:ind w:firstLine="622"/>
        <w:spacing w:after="0" w:line="249" w:lineRule="auto"/>
        <w:tabs>
          <w:tab w:leader="none" w:pos="1234"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or Exscientia fails to cure the Charitability Default within [****] of the occurrence thereof, and if the Foundation holds any securities of the Company issued in connection with the Foundation Investment, including securities issued in respect of or upon conversion or exercise of such securities (collectively, the “</w:t>
      </w:r>
      <w:r>
        <w:rPr>
          <w:rFonts w:ascii="Times New Roman" w:cs="Times New Roman" w:eastAsia="Times New Roman" w:hAnsi="Times New Roman"/>
          <w:sz w:val="21"/>
          <w:szCs w:val="21"/>
          <w:b w:val="1"/>
          <w:bCs w:val="1"/>
          <w:color w:val="auto"/>
        </w:rPr>
        <w:t>Foundation Securities</w:t>
      </w:r>
      <w:r>
        <w:rPr>
          <w:rFonts w:ascii="Times New Roman" w:cs="Times New Roman" w:eastAsia="Times New Roman" w:hAnsi="Times New Roman"/>
          <w:sz w:val="21"/>
          <w:szCs w:val="21"/>
          <w:color w:val="auto"/>
        </w:rPr>
        <w:t>”), the Company will have the obligation, if requested by the Foundation, to (i) repurchase all of the Foundation Securities at a price per share equal to the greater of the Minimum Purchase Price or the Fair Market Value, or (ii) locate a third-party that will purchase the Foundation Securities at price per share equal to the greater of the Minimum Purchase Price or the Fair Market Value ((i) and (ii), the “</w:t>
      </w:r>
      <w:r>
        <w:rPr>
          <w:rFonts w:ascii="Times New Roman" w:cs="Times New Roman" w:eastAsia="Times New Roman" w:hAnsi="Times New Roman"/>
          <w:sz w:val="21"/>
          <w:szCs w:val="21"/>
          <w:b w:val="1"/>
          <w:bCs w:val="1"/>
          <w:color w:val="auto"/>
        </w:rPr>
        <w:t>Withdrawal Right</w:t>
      </w:r>
      <w:r>
        <w:rPr>
          <w:rFonts w:ascii="Times New Roman" w:cs="Times New Roman" w:eastAsia="Times New Roman" w:hAnsi="Times New Roman"/>
          <w:sz w:val="21"/>
          <w:szCs w:val="21"/>
          <w:color w:val="auto"/>
        </w:rPr>
        <w:t>”). If the Company is unable to repurchase all of the Foundation Securities, and no third party purchases the Foundation Securities, then the Company will use its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best efforts to effect the Withdrawal Right, consistent with the Code and applicable law, as soon as practicable.</w:t>
      </w:r>
    </w:p>
    <w:p>
      <w:pPr>
        <w:spacing w:after="0" w:line="210" w:lineRule="exact"/>
        <w:rPr>
          <w:sz w:val="20"/>
          <w:szCs w:val="20"/>
          <w:color w:val="auto"/>
        </w:rPr>
      </w:pPr>
    </w:p>
    <w:p>
      <w:pPr>
        <w:jc w:val="both"/>
        <w:ind w:firstLine="622"/>
        <w:spacing w:after="0" w:line="248" w:lineRule="auto"/>
        <w:tabs>
          <w:tab w:leader="none" w:pos="1233"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the time of a Charitability Default the Foundation Securities consist of a class of securities of the Company that (i) is registered under section 12 (or any successor provision) of the Securities Exchange Act of 1934, as amended, (ii) is not subject to restrictions from trading under the Securities Act or state securities laws and (iii) is listed on a U.S. national securities exchange and the Company is current in filing its financial reports and other required filings with the Securities and Exchange Commission, then the Company may elect to satisfy the Withdrawal Right by registering the resale of the Foundation Securities on an effective registration statement filed under the Securities Act and keeping the registration statement continuously effective under the Securities Act until the earlier of (x) the date all of the Foundation Securities have been sold and (y) the date that is [****] following the effective date of the registration statement; provided that the Company shall not be obligated to register the resale of the Foundation Securities if the Foundation can sell the Foundation Securities to the public under Rule 144 of the Securities Act without volume limitations. If the Company elects to satisfy the Withdrawal Right pursuant to this provision and the Foundation receives less than the Minimum Purchase Price, then the Company will pay the Foundation as soon as practicable the difference between the amount received by the Foundation as a result of the sale of the Foundation Securities on the securities exchange and the amount of the Minimum Purchase Price. The Company shall pay all registration and other fees and expenses incident to the performance of or compliance with this provision, including the legal fees of a single counsel to the Foundation.</w:t>
      </w:r>
    </w:p>
    <w:p>
      <w:pPr>
        <w:spacing w:after="0" w:line="180" w:lineRule="exact"/>
        <w:rPr>
          <w:rFonts w:ascii="Times New Roman" w:cs="Times New Roman" w:eastAsia="Times New Roman" w:hAnsi="Times New Roman"/>
          <w:sz w:val="21"/>
          <w:szCs w:val="21"/>
          <w:color w:val="auto"/>
        </w:rPr>
      </w:pPr>
    </w:p>
    <w:p>
      <w:pPr>
        <w:jc w:val="both"/>
        <w:ind w:firstLine="622"/>
        <w:spacing w:after="0" w:line="264" w:lineRule="auto"/>
        <w:tabs>
          <w:tab w:leader="none" w:pos="123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when the Company is unable to exercise its obligation to repurchase or find a purchaser of the Foundation Securities, the Company will not pay dividends on any of its shares, repurchase the shares of any other shareholder of the Company (excluding repurchases of shares from former employees, officers, directors, consultants or other persons who performed services for the Company or any subsidiary in connection with the cessation of such employment or service at the lower of the original purchase price or the then-current fair market value thereof) or otherwise make any other distribution to any other shareholder of the Company (other than ordinary shares or share options issued to employees or directors of, or consultants or advisors to, the Company or any of its subsidiaries pursuant to a plan, agreement or arrangement approved by the Board of Directors of the Company).</w:t>
      </w:r>
    </w:p>
    <w:p>
      <w:pPr>
        <w:spacing w:after="0" w:line="162" w:lineRule="exact"/>
        <w:rPr>
          <w:rFonts w:ascii="Times New Roman" w:cs="Times New Roman" w:eastAsia="Times New Roman" w:hAnsi="Times New Roman"/>
          <w:sz w:val="20"/>
          <w:szCs w:val="20"/>
          <w:color w:val="auto"/>
        </w:rPr>
      </w:pPr>
    </w:p>
    <w:p>
      <w:pPr>
        <w:ind w:firstLine="622"/>
        <w:spacing w:after="0" w:line="269" w:lineRule="auto"/>
        <w:tabs>
          <w:tab w:leader="none" w:pos="1237"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exercise of the Withdrawal Right by the Foundation, the Foundation’s rights under the Global Access Commitments will survive.</w:t>
      </w:r>
    </w:p>
    <w:p>
      <w:pPr>
        <w:spacing w:after="0" w:line="163"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1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Required Reporting; Audit Rights</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19"/>
          <w:szCs w:val="19"/>
          <w:b w:val="1"/>
          <w:bCs w:val="1"/>
          <w:color w:val="auto"/>
        </w:rPr>
      </w:pPr>
    </w:p>
    <w:p>
      <w:pPr>
        <w:ind w:firstLine="622"/>
        <w:spacing w:after="0" w:line="269" w:lineRule="auto"/>
        <w:tabs>
          <w:tab w:leader="none" w:pos="1234"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reports required to be delivered to the Foundation under the Investment Documents and Section 3(g) above, the Company and Exscientia will furnish, or cause to be furnished, to the Foundation the following reports and certifications:</w:t>
      </w:r>
    </w:p>
    <w:p>
      <w:pPr>
        <w:spacing w:after="0" w:line="180" w:lineRule="exact"/>
        <w:rPr>
          <w:rFonts w:ascii="Times New Roman" w:cs="Times New Roman" w:eastAsia="Times New Roman" w:hAnsi="Times New Roman"/>
          <w:sz w:val="21"/>
          <w:szCs w:val="21"/>
          <w:color w:val="auto"/>
        </w:rPr>
      </w:pPr>
    </w:p>
    <w:p>
      <w:pPr>
        <w:ind w:firstLine="1241"/>
        <w:spacing w:after="0" w:line="282" w:lineRule="auto"/>
        <w:tabs>
          <w:tab w:leader="none" w:pos="1845" w:val="left"/>
        </w:tabs>
        <w:numPr>
          <w:ilvl w:val="2"/>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 after the end of each of the Company’s and Exscientia’s fiscal years during which the Foundation owns any securities in the Company, a certificate from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the Company and Exscientia signed by an officer of the Company and Exscientia and substantially in the form attached to this Agreement as </w:t>
      </w:r>
      <w:r>
        <w:rPr>
          <w:rFonts w:ascii="Times New Roman" w:cs="Times New Roman" w:eastAsia="Times New Roman" w:hAnsi="Times New Roman"/>
          <w:sz w:val="21"/>
          <w:szCs w:val="21"/>
          <w:i w:val="1"/>
          <w:iCs w:val="1"/>
          <w:color w:val="auto"/>
        </w:rPr>
        <w:t>Appendix E</w:t>
      </w:r>
      <w:r>
        <w:rPr>
          <w:rFonts w:ascii="Times New Roman" w:cs="Times New Roman" w:eastAsia="Times New Roman" w:hAnsi="Times New Roman"/>
          <w:sz w:val="21"/>
          <w:szCs w:val="21"/>
          <w:color w:val="auto"/>
        </w:rPr>
        <w:t>, certifying that the requirements of the Foundation Investment set forth in this Agreement were met during the immediately preceding fiscal year, describing the use of the proceeds of the Foundation Investment, the in-kind support and funding for third-party activities provided by the Company and Exscientia with respect to the Initial Antiviral Projects and evaluating the Company’s and Exscientia’s progress toward achieving the Global Access Commitments;</w:t>
      </w:r>
    </w:p>
    <w:p>
      <w:pPr>
        <w:spacing w:after="0" w:line="197" w:lineRule="exact"/>
        <w:rPr>
          <w:sz w:val="20"/>
          <w:szCs w:val="20"/>
          <w:color w:val="auto"/>
        </w:rPr>
      </w:pPr>
    </w:p>
    <w:p>
      <w:pPr>
        <w:jc w:val="both"/>
        <w:ind w:firstLine="1241"/>
        <w:spacing w:after="0" w:line="249" w:lineRule="auto"/>
        <w:tabs>
          <w:tab w:leader="none" w:pos="1851"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 after the end of the Company’s and Exscientia’s fiscal year during which the Foundation ceases to own any securities in the Company, a certificate from the Company and Exscientia signed by an officer of the Company and Exscientia and substantially in the form attached to this Agreement as </w:t>
      </w:r>
      <w:r>
        <w:rPr>
          <w:rFonts w:ascii="Times New Roman" w:cs="Times New Roman" w:eastAsia="Times New Roman" w:hAnsi="Times New Roman"/>
          <w:sz w:val="21"/>
          <w:szCs w:val="21"/>
          <w:i w:val="1"/>
          <w:iCs w:val="1"/>
          <w:color w:val="auto"/>
        </w:rPr>
        <w:t>Appendix F</w:t>
      </w:r>
      <w:r>
        <w:rPr>
          <w:rFonts w:ascii="Times New Roman" w:cs="Times New Roman" w:eastAsia="Times New Roman" w:hAnsi="Times New Roman"/>
          <w:sz w:val="21"/>
          <w:szCs w:val="21"/>
          <w:color w:val="auto"/>
        </w:rPr>
        <w:t>, certifying that the requirements of the Foundation Investment set forth in this Agreement were met during the term of the Foundation Investment, describing the use of the proceeds of the Foundation Investment, the in-kind support and funding for third-party activities provided by the Company and Exscientia with respect to the Initial Antiviral Projects and evaluating the Company’s and Exscientia’s progress toward achieving the Global Access Commitments;</w:t>
      </w:r>
    </w:p>
    <w:p>
      <w:pPr>
        <w:spacing w:after="0" w:line="218" w:lineRule="exact"/>
        <w:rPr>
          <w:rFonts w:ascii="Times New Roman" w:cs="Times New Roman" w:eastAsia="Times New Roman" w:hAnsi="Times New Roman"/>
          <w:sz w:val="21"/>
          <w:szCs w:val="21"/>
          <w:color w:val="auto"/>
        </w:rPr>
      </w:pPr>
    </w:p>
    <w:p>
      <w:pPr>
        <w:jc w:val="both"/>
        <w:ind w:firstLine="1241"/>
        <w:spacing w:after="0" w:line="251" w:lineRule="auto"/>
        <w:tabs>
          <w:tab w:leader="none" w:pos="1856"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information respecting the operations, activities and financial condition of the Company and Exscientia as the Foundation may from time to time reasonably request to discharge any expenditure responsibility, within the meaning of Sections 4945(d)(4) and 4945(h) of the Code, of the Foundation with respect to the Foundation Investment, and to otherwise monitor the charitable benefits intended to be served by the Foundation Investment. The Foundation will reimburse the Company and Exscientia for any reasonable third-party expenses incurred by the Company or Exscientia in order to prepare any information they are required to prepare solely as a result of this Section 6(a)(iii); and</w:t>
      </w:r>
    </w:p>
    <w:p>
      <w:pPr>
        <w:spacing w:after="0" w:line="199" w:lineRule="exact"/>
        <w:rPr>
          <w:rFonts w:ascii="Times New Roman" w:cs="Times New Roman" w:eastAsia="Times New Roman" w:hAnsi="Times New Roman"/>
          <w:sz w:val="21"/>
          <w:szCs w:val="21"/>
          <w:color w:val="auto"/>
        </w:rPr>
      </w:pPr>
    </w:p>
    <w:p>
      <w:pPr>
        <w:ind w:firstLine="1241"/>
        <w:spacing w:after="0" w:line="269" w:lineRule="auto"/>
        <w:tabs>
          <w:tab w:leader="none" w:pos="1845"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full and complete financial reports of the type ordinarily required by commercial investors under similar circumstances to the extent required pursuant to Treasury Regulation 53.4945-5(b)(4).</w:t>
      </w:r>
    </w:p>
    <w:p>
      <w:pPr>
        <w:spacing w:after="0" w:line="154"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Foundation’s reasonable request, the Company and Exscientia will provide the Foundation with a summary of scientific data and progress to date on the Antiviral Program and any Platform Technology related to the foregoing, and the considerations made by the Company and Exscientia with respect to accessibility, affordability and cost-effectiveness of the applicable Antiviral Products for the benefit of people in Developing Countries, in addition to the information that may be required under any grant agreements or other funding agreements.</w:t>
      </w:r>
    </w:p>
    <w:p>
      <w:pPr>
        <w:spacing w:after="0" w:line="171"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4"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at the Foundation’s request, the Company and Exscientia will permit the Foundation or its representatives to inspect (at a reasonable time and location) the scientific records of the Company and Exscientia relating to the Antiviral Program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any Antiviral Products with due regard to the reasonable need to protect trade secrets covering the Platform Technology.</w:t>
      </w:r>
    </w:p>
    <w:p>
      <w:pPr>
        <w:spacing w:after="0" w:line="210" w:lineRule="exact"/>
        <w:rPr>
          <w:sz w:val="20"/>
          <w:szCs w:val="20"/>
          <w:color w:val="auto"/>
        </w:rPr>
      </w:pPr>
    </w:p>
    <w:p>
      <w:pPr>
        <w:jc w:val="both"/>
        <w:ind w:firstLine="622"/>
        <w:spacing w:after="0" w:line="251" w:lineRule="auto"/>
        <w:tabs>
          <w:tab w:leader="none" w:pos="1233"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Exscientia shall maintain books and records adequate to provide such information as is necessary to document the use of the Foundation Investment in compliance with Treasury Regulations section 53.4945-5(b)(4), as amended from time to time and the in-kind support and funding for third-party activities provided by the Company and Exscientia with respect to the Initial Antiviral Projects. The Company and Exscientia will retain such books and records for [****] after the Foundation ceases to hold Company securities and will make such books and records available to the Foundation at reasonable times to enable the Foundation to monitor and evaluate how the Foundation’s funds have been used.</w:t>
      </w:r>
    </w:p>
    <w:p>
      <w:pPr>
        <w:spacing w:after="0" w:line="173" w:lineRule="exact"/>
        <w:rPr>
          <w:rFonts w:ascii="Times New Roman" w:cs="Times New Roman" w:eastAsia="Times New Roman" w:hAnsi="Times New Roman"/>
          <w:sz w:val="21"/>
          <w:szCs w:val="21"/>
          <w:color w:val="auto"/>
        </w:rPr>
      </w:pPr>
    </w:p>
    <w:p>
      <w:pPr>
        <w:jc w:val="both"/>
        <w:ind w:firstLine="622"/>
        <w:spacing w:after="0" w:line="250" w:lineRule="auto"/>
        <w:tabs>
          <w:tab w:leader="none" w:pos="1234"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Exscientia will permit employees or agents of the Foundation at any reasonable time and upon reasonable prior notice, during normal business hours, to examine or audit the Company’s and Exscientia’s books and accounts of record, in each case at the Foundation’s expense to audit the Company’s and Exscientia’s compliance with the use of the Foundation Investment and the Global Access Commitments; provided that the Foundation will not conduct any such audit more than [****]. If the Company or Exscientia maintains any records (including computer-generated records and computer software programs for the generation of such records) in the possession of a third party, then in connection with any audit described in the preceding sentence, the Company and Exscientia, upon request of the Foundation, will notify such party to permit the Foundation access to such records in connection with such audit, all at the Foundation’s expense.</w:t>
      </w:r>
    </w:p>
    <w:p>
      <w:pPr>
        <w:spacing w:after="0" w:line="175"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1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Notwithstanding anything in this Agreement or any Investment Document to the contrary, the Foundation will have the right to assign this Agreement or transfer the Foundation Securities to (a) any successor charitable organization of the Foundation from time to time that is a tax-exempt organization as described in Section 501(c)(3) of the Code, or (b) any tax-exempt organization as described in Section 501(c)(3) of the Code controlled by one or more trustees of the Foundation, provided that Exscientia has provided its prior written consent (which it will not unreasonably withhold, condition or delay). The Foundation will notify the Company of any such assignment, including the identity of the assignee, in a timely manner. For the avoidance of doubt, if the Foundation transfers the Foundation Securities as permitted by this Section 7, the Foundation may assign to any such transferee all of its rights attached to such Foundation Securities, including the Withdrawal Right.</w:t>
      </w:r>
    </w:p>
    <w:p>
      <w:pPr>
        <w:spacing w:after="0" w:line="175" w:lineRule="exact"/>
        <w:rPr>
          <w:sz w:val="20"/>
          <w:szCs w:val="20"/>
          <w:color w:val="auto"/>
        </w:rPr>
      </w:pPr>
    </w:p>
    <w:p>
      <w:pPr>
        <w:ind w:left="620" w:hanging="617"/>
        <w:spacing w:after="0"/>
        <w:tabs>
          <w:tab w:leader="none" w:pos="620" w:val="left"/>
        </w:tabs>
        <w:numPr>
          <w:ilvl w:val="0"/>
          <w:numId w:val="2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Prohibited Uses</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Neither the Company nor Exscientia will expend any proceeds of the Foundation Investment to carry on propaganda or otherwise to attempt to influence legislation, to influence the outcome of any specific public election or to carry on, directly or indirectly, any voter registration drive, or to participate or intervene in any political campaign on behalf of or in opposition to any candidate for public office within the meaning of Section 4945(d) of the Code. The proceeds of the Foundation Investment will not (a) be earmarked to be used for any activity,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appearance or communication associated with the activities described in the foregoing sentence, nor (b) be intended for the direct benefit, and will not benefit, any person having a personal or private interest in the Foundation, including descendants of the founders of the Foundation, or persons related to or controlled by, directly or indirectly, such private interests.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For the avoidance of doubt, the Company will not use the funds received from the Foundation to pay a dividend or redeem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w:t>
      </w:r>
    </w:p>
    <w:p>
      <w:pPr>
        <w:spacing w:after="0" w:line="184" w:lineRule="exact"/>
        <w:rPr>
          <w:sz w:val="20"/>
          <w:szCs w:val="20"/>
          <w:color w:val="auto"/>
        </w:rPr>
      </w:pPr>
    </w:p>
    <w:p>
      <w:pPr>
        <w:ind w:left="620" w:hanging="617"/>
        <w:spacing w:after="0"/>
        <w:tabs>
          <w:tab w:leader="none" w:pos="620" w:val="left"/>
        </w:tabs>
        <w:numPr>
          <w:ilvl w:val="0"/>
          <w:numId w:val="20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Disqualified Person</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Neither the Company nor (to the best knowledge of the Company) any stockholder of the Company is a “disqualified person” with respect to the Foundation (as the term “disqualified person” is defined in Section 4946(a) of the Code). The Foundation does not, and one or more disqualified persons with respect to the Foundation do not, directly or indirectly, control the Company.</w:t>
      </w:r>
    </w:p>
    <w:p>
      <w:pPr>
        <w:spacing w:after="0" w:line="164" w:lineRule="exact"/>
        <w:rPr>
          <w:sz w:val="20"/>
          <w:szCs w:val="20"/>
          <w:color w:val="auto"/>
        </w:rPr>
      </w:pPr>
    </w:p>
    <w:p>
      <w:pPr>
        <w:ind w:left="620" w:hanging="617"/>
        <w:spacing w:after="0"/>
        <w:tabs>
          <w:tab w:leader="none" w:pos="620" w:val="left"/>
        </w:tabs>
        <w:numPr>
          <w:ilvl w:val="0"/>
          <w:numId w:val="2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Anti-Terrorism</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Neither the Company nor Exscientia will use any portion of the Foundation Investment, directly or indirectly, in support of activities (a) prohibited by U.S. laws related to combatting terrorism; (b) with persons on the List of Specially Designated Nationals (www.treasury.gov/sdn) or entities owned or controlled by such persons; or (c) in or with countries or territories against which the U.S. maintains comprehensive sanctions (currently, Cuba, Iran, Syria, North Korea, and the Crimean Region of Ukraine), including paying or reimbursing the expenses of persons from such countries or territories, unless such activities are fully authorized by the U.S. government under applicable law and specifically approved by the Foundation in its sole discretion.</w:t>
      </w:r>
    </w:p>
    <w:p>
      <w:pPr>
        <w:spacing w:after="0" w:line="170" w:lineRule="exact"/>
        <w:rPr>
          <w:sz w:val="20"/>
          <w:szCs w:val="20"/>
          <w:color w:val="auto"/>
        </w:rPr>
      </w:pPr>
    </w:p>
    <w:p>
      <w:pPr>
        <w:ind w:left="600" w:hanging="597"/>
        <w:spacing w:after="0"/>
        <w:tabs>
          <w:tab w:leader="none" w:pos="600" w:val="left"/>
        </w:tabs>
        <w:numPr>
          <w:ilvl w:val="0"/>
          <w:numId w:val="2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Anti-Corruption and Anti-Bribery</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Neither the Company nor Exscientia will offer or provide money, gifts, or any other things of value directly or indirectly to anyone in order to improperly influence any act or decision relating to the Foundation or any activities contemplated by this Agreement, including by assisting any party to secure an unlawful advantage. Training and information on compliance with these requirements are available at www.learnfoundationlaw.org.</w:t>
      </w:r>
    </w:p>
    <w:p>
      <w:pPr>
        <w:spacing w:after="0" w:line="168" w:lineRule="exact"/>
        <w:rPr>
          <w:sz w:val="20"/>
          <w:szCs w:val="20"/>
          <w:color w:val="auto"/>
        </w:rPr>
      </w:pPr>
    </w:p>
    <w:p>
      <w:pPr>
        <w:ind w:left="620" w:hanging="617"/>
        <w:spacing w:after="0"/>
        <w:tabs>
          <w:tab w:leader="none" w:pos="620" w:val="left"/>
        </w:tabs>
        <w:numPr>
          <w:ilvl w:val="0"/>
          <w:numId w:val="20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Public Reports; Use of Name</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The Foundation may include information about this investment in its periodic public reports and may make the investment public at any time on its web page and as part of press releases, public reports, speeches, newsletters and other public documents, and to the extent required by applicable law or regulation. Any announcement of the Foundation Investment by any other party, including the Company or Exscientia, their representatives, directors, stockholders, members, agents, or any investor, will require the Foundation’s prior written approval. Such parties will also obtain the Foundation’s prior written approval for any other use of the Foundation’s name or logo in any respect; provided, however, that the Company may use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Foundation’s name for any uses that have been pre-approved in writing by the Foundation. Notwithstanding the foregoing, the Foundation’s name and logo will not be used by any party in any manner to market, sell or otherwise promote the Company or Exscientia, or their products, services and/or business.</w:t>
      </w:r>
    </w:p>
    <w:p>
      <w:pPr>
        <w:spacing w:after="0" w:line="177" w:lineRule="exact"/>
        <w:rPr>
          <w:sz w:val="20"/>
          <w:szCs w:val="20"/>
          <w:color w:val="auto"/>
        </w:rPr>
      </w:pPr>
    </w:p>
    <w:p>
      <w:pPr>
        <w:ind w:left="620" w:hanging="617"/>
        <w:spacing w:after="0"/>
        <w:tabs>
          <w:tab w:leader="none" w:pos="620" w:val="left"/>
        </w:tabs>
        <w:numPr>
          <w:ilvl w:val="0"/>
          <w:numId w:val="2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Exscientia will indemnify, hold harmless, and defend the Foundation and its co-chairs, trustees, directors, officers, and employees (collectively, the “</w:t>
      </w:r>
      <w:r>
        <w:rPr>
          <w:rFonts w:ascii="Times New Roman" w:cs="Times New Roman" w:eastAsia="Times New Roman" w:hAnsi="Times New Roman"/>
          <w:sz w:val="21"/>
          <w:szCs w:val="21"/>
          <w:b w:val="1"/>
          <w:bCs w:val="1"/>
          <w:color w:val="auto"/>
        </w:rPr>
        <w:t>Indemnitees</w:t>
      </w:r>
      <w:r>
        <w:rPr>
          <w:rFonts w:ascii="Times New Roman" w:cs="Times New Roman" w:eastAsia="Times New Roman" w:hAnsi="Times New Roman"/>
          <w:sz w:val="21"/>
          <w:szCs w:val="21"/>
          <w:color w:val="auto"/>
        </w:rPr>
        <w:t>”) from and against any and all third party causes of action, claims, suits, legal proceedings, judgments, settlements, damages, penalties, losses, liabilities and costs (including reasonable attorneys’ fees and costs) (each a “</w:t>
      </w:r>
      <w:r>
        <w:rPr>
          <w:rFonts w:ascii="Times New Roman" w:cs="Times New Roman" w:eastAsia="Times New Roman" w:hAnsi="Times New Roman"/>
          <w:sz w:val="21"/>
          <w:szCs w:val="21"/>
          <w:b w:val="1"/>
          <w:bCs w:val="1"/>
          <w:color w:val="auto"/>
        </w:rPr>
        <w:t>Claim</w:t>
      </w:r>
      <w:r>
        <w:rPr>
          <w:rFonts w:ascii="Times New Roman" w:cs="Times New Roman" w:eastAsia="Times New Roman" w:hAnsi="Times New Roman"/>
          <w:sz w:val="21"/>
          <w:szCs w:val="21"/>
          <w:color w:val="auto"/>
        </w:rPr>
        <w:t>”) finally awarded to such-third party by a court of competent jurisdiction against any of the Indemnitees or agreed to as part of a monetary settlement of the Claim and arising out of or relating to (a) bodily injury or death directly caused by the activities or omissions of the Company or any Company Affiliate, relating to the conduct of the Antiviral Program or the development of the Funded Developments (including any failure to comply with applicable laws, regulations or rules in connection therewith), (b) any Claim that the Platform Technology, any Funded Development, any Background IP or any product or service of the Company, Exscientia or one of their respective Affiliates infringes, misappropriates or otherwise violates an Intellectual Property Right or other right of a third-party (provided that the foregoing shall not apply to: (i) modifications of any of the foregoing made by a person or entity other than the Company, Exscientia or their respective Affiliates after an Exercise Event if the infringement, misappropriation or violation would not have arisen but for such modification; or (ii) by the combination, operation or use of any of the foregoing with any third party products, services, hardware, software or technology if the infringement, misappropriation or violation would not have arisen but for such combination, operation or use), or (c) the Company’s or any Company Affiliate’s fraud, gross negligence or willful misconduct. The Foundation will give Exscientia prompt written notice of any Claim subject to indemnification pursuant to this Section 13; provided, that the Foundation’s failure to promptly notify Exscientia will not affect Exscientia’s indemnification obligations except to the extent that the Foundation’s delay prejudices Exscientia’s ability to defend the Claim. Exscientia will have sole control over the defense and settlement of each and every Claim, with counsel of its own choosing which is reasonably acceptable to the Foundation; provided, that Exscientia conducts the defense actively and diligently at the sole cost and expense of Exscientia and provided further that Exscientia will not enter into any settlement that adversely affects any Indemnitee without the applicable Indemnitee’s prior written consent, such consent not to be unreasonably withheld, conditioned or delayed. The Foundation will provide Exscientia, upon request, with reasonable cooperation in connection with the defense and settlement of the Claim. Subject to Exscientia’s rights above to control the defense and settlement of Claims, the Foundation and any Indemnitee may, at its own expense, employ separate counsel to monitor and participate in the defense of any Claim under this Section 13. For the avoidance of doubt, Exscientia shall have no obligation to indemnify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Foundation pursuant to this Section 13 to the extent the Claim arises out of the Foundation’s fraud, gross negligence or willful misconduct.</w:t>
      </w:r>
    </w:p>
    <w:p>
      <w:pPr>
        <w:spacing w:after="0" w:line="16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The parties will not be liable to each other for any indirect, incidental, consequential, or special damages (including lost revenues, lost savings, or lost profits suffered by such other party) suffered by such other party arising under or in connection with this Agreement, regardless of the form of action, whether in contract or tort, including negligence of any kind, whether active or passive, and regardless of whether the party knew of the possibility that such damages could result; provided, that to the extent an Indemnitee is entitled to be indemnified hereunder for Claims of third parties and such third party has been awarded indirect, incidental, consequential, reliance, or special damages (including lost revenues, lost savings, or lost profits), Exscientia’s indemnification obligations to the Indemnitee will extend to and include such third party’s indirect, incidental, consequential, reliance, or special damages (including lost revenues, lost savings, or lost profits). The parties further agree that under no circumstances will any party be liable to the other party (or to any Indemnitee) more than once for the same losses arising under or in connection with this Agreement.</w:t>
      </w:r>
    </w:p>
    <w:p>
      <w:pPr>
        <w:spacing w:after="0" w:line="160" w:lineRule="exact"/>
        <w:rPr>
          <w:sz w:val="20"/>
          <w:szCs w:val="20"/>
          <w:color w:val="auto"/>
        </w:rPr>
      </w:pPr>
    </w:p>
    <w:p>
      <w:pPr>
        <w:ind w:left="620" w:hanging="617"/>
        <w:spacing w:after="0"/>
        <w:tabs>
          <w:tab w:leader="none" w:pos="620" w:val="left"/>
        </w:tabs>
        <w:numPr>
          <w:ilvl w:val="0"/>
          <w:numId w:val="2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Insurance</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Exscientia agrees to maintain insurance coverage sufficient to cover the activities, risks, and potential omissions in respect of the work contemplated by or in connection with this Agreement in accordance with generally-accepted industry standards and as required by law. Exscientia will ensure all subcontractors maintain insurance coverage consistent with this paragraph.</w:t>
      </w:r>
    </w:p>
    <w:p>
      <w:pPr>
        <w:spacing w:after="0" w:line="177" w:lineRule="exact"/>
        <w:rPr>
          <w:sz w:val="20"/>
          <w:szCs w:val="20"/>
          <w:color w:val="auto"/>
        </w:rPr>
      </w:pPr>
    </w:p>
    <w:p>
      <w:pPr>
        <w:ind w:left="620" w:hanging="617"/>
        <w:spacing w:after="0"/>
        <w:tabs>
          <w:tab w:leader="none" w:pos="620" w:val="left"/>
        </w:tabs>
        <w:numPr>
          <w:ilvl w:val="0"/>
          <w:numId w:val="2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Compliance with Laws and Requirements; Responsibility</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Exscientia will comply with (and cause its Affiliates to comply with) all applicable laws, regulations, and rules and will use commercially reasonable efforts to not infringe, misappropriate, or violate the Intellectual Property Rights, privacy or publicity or other rights of any third party. Exscientia will conduct, control, manage, and monitor all work performed in connection with or as contemplated by this Agreement using the Foundation Investment in compliance with all applicable ethical, legal, regulatory, and safety requirements and obtain and maintain all necessary approvals, consents, and reviews for such activities. If any work conducted by Exscientia in connection with or as contemplated by this Agreement involves:</w:t>
      </w:r>
    </w:p>
    <w:p>
      <w:pPr>
        <w:spacing w:after="0" w:line="199" w:lineRule="exact"/>
        <w:rPr>
          <w:sz w:val="20"/>
          <w:szCs w:val="20"/>
          <w:color w:val="auto"/>
        </w:rPr>
      </w:pPr>
    </w:p>
    <w:p>
      <w:pPr>
        <w:ind w:firstLine="622"/>
        <w:spacing w:after="0" w:line="269" w:lineRule="auto"/>
        <w:tabs>
          <w:tab w:leader="none" w:pos="1234"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protected information (including personally identifiable, protected health, or third party confidential information), neither the Company nor Exscientia will disclose this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information to the Foundation without obtaining the Foundation’s prior written approval and all necessary consents to disclose such information;</w:t>
      </w:r>
    </w:p>
    <w:p>
      <w:pPr>
        <w:spacing w:after="0" w:line="167" w:lineRule="exact"/>
        <w:rPr>
          <w:sz w:val="20"/>
          <w:szCs w:val="20"/>
          <w:color w:val="auto"/>
        </w:rPr>
      </w:pPr>
    </w:p>
    <w:p>
      <w:pPr>
        <w:ind w:left="1240" w:hanging="618"/>
        <w:spacing w:after="0"/>
        <w:tabs>
          <w:tab w:leader="none" w:pos="1240"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children, students, or vulnerable subjects, Exscientia will obtain any necessary consents and approvals unique to these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subjects; or</w:t>
      </w:r>
    </w:p>
    <w:p>
      <w:pPr>
        <w:spacing w:after="0" w:line="213" w:lineRule="exact"/>
        <w:rPr>
          <w:rFonts w:ascii="Times New Roman" w:cs="Times New Roman" w:eastAsia="Times New Roman" w:hAnsi="Times New Roman"/>
          <w:sz w:val="21"/>
          <w:szCs w:val="21"/>
          <w:color w:val="auto"/>
        </w:rPr>
      </w:pPr>
    </w:p>
    <w:p>
      <w:pPr>
        <w:jc w:val="both"/>
        <w:ind w:firstLine="622"/>
        <w:spacing w:after="0" w:line="251" w:lineRule="auto"/>
        <w:tabs>
          <w:tab w:leader="none" w:pos="1234"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trial involving human subjects, Exscientia will adhere to current Good Clinical Practice as defined by the International Council on Harmonisation (ICH) E-6 Standards (or local regulations if more stringent) and will obtain applicable trial insurance.</w:t>
      </w:r>
    </w:p>
    <w:p>
      <w:pPr>
        <w:jc w:val="both"/>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Exscientia will be solely responsible and liable for all activities related to the conduct of the Antiviral Program and development of the Antiviral Products. Any activities by the Foundation or the Joint Steering Committee in reviewing documents and providing input or funding do not modify the Company’s and Exscientia’s responsibility, including responsibility for determining and complying with the provisions of this Section 15.</w:t>
      </w:r>
    </w:p>
    <w:p>
      <w:pPr>
        <w:spacing w:after="0" w:line="199"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Company Assurance of Performance</w:t>
      </w:r>
      <w:r>
        <w:rPr>
          <w:rFonts w:ascii="Times New Roman" w:cs="Times New Roman" w:eastAsia="Times New Roman" w:hAnsi="Times New Roman"/>
          <w:sz w:val="21"/>
          <w:szCs w:val="21"/>
          <w:b w:val="1"/>
          <w:bCs w:val="1"/>
          <w:color w:val="auto"/>
        </w:rPr>
        <w:t>.</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Company shall cause Exscientia to comply in all respects with each of its representations, warranties, covenants, obligations, agreements and undertakings pursuant to or otherwise in connection with this Agreement and the transactions contemplated by this Agreement.</w:t>
      </w:r>
    </w:p>
    <w:p>
      <w:pPr>
        <w:spacing w:after="0" w:line="177" w:lineRule="exact"/>
        <w:rPr>
          <w:sz w:val="20"/>
          <w:szCs w:val="20"/>
          <w:color w:val="auto"/>
        </w:rPr>
      </w:pPr>
    </w:p>
    <w:p>
      <w:pPr>
        <w:ind w:left="620" w:hanging="617"/>
        <w:spacing w:after="0"/>
        <w:tabs>
          <w:tab w:leader="none" w:pos="620" w:val="left"/>
        </w:tabs>
        <w:numPr>
          <w:ilvl w:val="0"/>
          <w:numId w:val="2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Specific Performance</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Company and Exscientia acknowledge and agree that the Foundation would be damaged irreparably in the event any of the provisions of this Agreement are not performed in accordance with their specific terms or otherwise are breached or violated. Accordingly, the Company and Exscientia agree that, without posting bond or other undertaking, the Foundation will be entitled to an injunction or injunctions to prevent breaches or violations of the provisions of this Agreement and to enforce specifically this Agreement and the terms and provisions hereof in any action instituted in any court having jurisdiction over the Company or Exscientia and the matter in addition to any other remedy to which it may be entitled, at law or in equity. The Company and Exscientia further agree that, in the event of any action for specific performance in respect of such breach or violation, it will not assert the defense that a remedy at law would be adequate.</w:t>
      </w:r>
    </w:p>
    <w:p>
      <w:pPr>
        <w:spacing w:after="0" w:line="183" w:lineRule="exact"/>
        <w:rPr>
          <w:sz w:val="20"/>
          <w:szCs w:val="20"/>
          <w:color w:val="auto"/>
        </w:rPr>
      </w:pPr>
    </w:p>
    <w:p>
      <w:pPr>
        <w:ind w:left="620" w:hanging="617"/>
        <w:spacing w:after="0"/>
        <w:tabs>
          <w:tab w:leader="none" w:pos="620" w:val="left"/>
        </w:tabs>
        <w:numPr>
          <w:ilvl w:val="0"/>
          <w:numId w:val="2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Authority; Governing Law</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Each of the signatories below covenants, represents and warrants that he, she or it had all authority necessary to execute this Agreement and that, on execution, this Agreement will be fully binding and enforceable in accordance with its terms, and that no other consents or approvals of any other person or third parties are required or necessary for this Agreement to be so binding. This Agreement will be governed by the laws of the state of New York, United States, excluding its conflicts of laws provisions.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hanging="617"/>
        <w:spacing w:after="0"/>
        <w:tabs>
          <w:tab w:leader="none" w:pos="620" w:val="left"/>
        </w:tabs>
        <w:numPr>
          <w:ilvl w:val="0"/>
          <w:numId w:val="2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Dispute Resolution</w:t>
      </w:r>
    </w:p>
    <w:p>
      <w:pPr>
        <w:spacing w:after="0" w:line="252"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The parties will resolve any dispute, controversy or claim arising out of or relating to this Agreement, or the breach, termination or invalidity hereof (“</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in accordance with this Section 19.</w:t>
      </w:r>
    </w:p>
    <w:p>
      <w:pPr>
        <w:spacing w:after="0" w:line="177" w:lineRule="exact"/>
        <w:rPr>
          <w:sz w:val="20"/>
          <w:szCs w:val="20"/>
          <w:color w:val="auto"/>
        </w:rPr>
      </w:pPr>
    </w:p>
    <w:p>
      <w:pPr>
        <w:jc w:val="both"/>
        <w:ind w:firstLine="622"/>
        <w:spacing w:after="0" w:line="262" w:lineRule="auto"/>
        <w:tabs>
          <w:tab w:leader="none" w:pos="123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Designated Representatives; Escalation to CEOs</w:t>
      </w:r>
      <w:r>
        <w:rPr>
          <w:rFonts w:ascii="Times New Roman" w:cs="Times New Roman" w:eastAsia="Times New Roman" w:hAnsi="Times New Roman"/>
          <w:sz w:val="20"/>
          <w:szCs w:val="20"/>
          <w:color w:val="auto"/>
        </w:rPr>
        <w:t>. If a Dispute arises, the parties will each appoint a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representative whose task it will be to meet for the purpose of endeavoring to resolve such Dispute. The designated representatives shall meet as often as the parties reasonably deem necessary to discuss the problem in an effort to resolve the Dispute without the necessity of any formal proceeding. If such representatives are unable to resolve the Dispute within [****] after the Dispute is submitted to them, the Dispute shall be immediately referred by written notice to the Chief Executive Officer of the Company and the President of Global Health (or any equivalent successor position) or the Chief Executive Officer of the Foundation. No settlement reached under this Section 19(a) shall be binding on the parties unless reduced to a writing signed by the parties. The existence and substance of the negotiations pursuant to this Section 19(a) shall be considered confidential under this Agreement, shall be treated as compromise and settlement negotiations for purposes of Federal Rule of Evidence 408 and any comparable provision, and shall not be used by any party in any court, agency or tribunal in any country for any reason. If such officers are unable to resolve such Dispute within [****] after the Dispute is submitted to them, then the Dispute shall be submitted to arbitration in accordance with this Section 19.</w:t>
      </w:r>
    </w:p>
    <w:p>
      <w:pPr>
        <w:spacing w:after="0" w:line="190" w:lineRule="exact"/>
        <w:rPr>
          <w:rFonts w:ascii="Times New Roman" w:cs="Times New Roman" w:eastAsia="Times New Roman" w:hAnsi="Times New Roman"/>
          <w:sz w:val="20"/>
          <w:szCs w:val="20"/>
          <w:color w:val="auto"/>
        </w:rPr>
      </w:pPr>
    </w:p>
    <w:p>
      <w:pPr>
        <w:ind w:left="1240" w:hanging="618"/>
        <w:spacing w:after="0"/>
        <w:tabs>
          <w:tab w:leader="none" w:pos="1240"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Arbitration</w:t>
      </w:r>
      <w:r>
        <w:rPr>
          <w:rFonts w:ascii="Times New Roman" w:cs="Times New Roman" w:eastAsia="Times New Roman" w:hAnsi="Times New Roman"/>
          <w:sz w:val="21"/>
          <w:szCs w:val="21"/>
          <w:color w:val="auto"/>
        </w:rPr>
        <w:t>.</w:t>
      </w:r>
    </w:p>
    <w:p>
      <w:pPr>
        <w:spacing w:after="0" w:line="252"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2"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Dispute that has not been resolved pursuant to Section 19(a) shall be referred to the London Court of International Arbitration for determination by arbitration in accordance with the LCIA Arbitration Rules in effect at the time of submitting the request for arbitration. It is the intent of the parties that, barring extraordinary circumstances, the arbitration proceedings shall be concluded within [****] from the date the arbitrator is confirmed. The parties may agree to extend this time limit or the arbitrator may do so in its discretion for a period of up to an additional [****], if it determines that the interest of justice so requires. The arbitrator shall use its best efforts to issue the final award or awards within such time period. Failure to adhere to this time limit shall not be a basis for challenging the award.</w:t>
      </w:r>
    </w:p>
    <w:p>
      <w:pPr>
        <w:spacing w:after="0" w:line="205" w:lineRule="exact"/>
        <w:rPr>
          <w:rFonts w:ascii="Times New Roman" w:cs="Times New Roman" w:eastAsia="Times New Roman" w:hAnsi="Times New Roman"/>
          <w:sz w:val="21"/>
          <w:szCs w:val="21"/>
          <w:color w:val="auto"/>
        </w:rPr>
      </w:pPr>
    </w:p>
    <w:p>
      <w:pPr>
        <w:jc w:val="both"/>
        <w:ind w:firstLine="1241"/>
        <w:spacing w:after="0" w:line="249" w:lineRule="auto"/>
        <w:tabs>
          <w:tab w:leader="none" w:pos="1852"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governing law and seat of this arbitration agreement will be New York, United States. The physical location of the arbitration will be in London, England. The arbitration shall be conducted by a single, neutral arbitrator who shall be experienced in the field of the Dispute and shall have no ongoing business relationship with any party. Such arbitrator shall be selected by mutual agreement of the parties and the parties will be entitled to select arbitrators that are not on the LCIA-established panel of arbitrators. If the parties are unable to reach an agreement on the choice of arbitrator, then the arbitrator will be selected by the London Court of International Arbitration. The arbitrator may grant legal, equitable and monetary relief and shall award to the prevailing party such party’s costs and expenses incurred in connection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with the arbitration and the collection of judgment, including reasonable attorneys’ fees. In no case, however, shall indirect, incidental, consequential, or special damages (including lost revenues, lost savings, or lost profits) be awarded by the arbitrator, except as permitted by Section 13. Judgment upon the award rendered by the arbitrator shall be binding, final and non-appealable (absent manifest error) and may be entered and enforced in any court having jurisdiction thereof. The language used in the arbitration proceedings shall be English.</w:t>
      </w:r>
    </w:p>
    <w:p>
      <w:pPr>
        <w:spacing w:after="0" w:line="197" w:lineRule="exact"/>
        <w:rPr>
          <w:sz w:val="20"/>
          <w:szCs w:val="20"/>
          <w:color w:val="auto"/>
        </w:rPr>
      </w:pPr>
    </w:p>
    <w:p>
      <w:pPr>
        <w:jc w:val="both"/>
        <w:ind w:firstLine="1241"/>
        <w:spacing w:after="0" w:line="253" w:lineRule="auto"/>
        <w:tabs>
          <w:tab w:leader="none" w:pos="1852" w:val="left"/>
        </w:tabs>
        <w:numPr>
          <w:ilvl w:val="2"/>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information concerning a Dispute and any related arbitration, beyond the names of the parties and the relief requested, may be unilaterally disclosed to a third party by any party unless required by law. Any documentary or other evidence given by a party or witness in the arbitration shall be treated as confidential by any party whose access to such evidence arises exclusively as a result of its participation in the arbitration and shall not be disclosed to any third party (other than a witness or expert), except as may be required by law.</w:t>
      </w:r>
    </w:p>
    <w:p>
      <w:pPr>
        <w:spacing w:after="0" w:line="192" w:lineRule="exact"/>
        <w:rPr>
          <w:rFonts w:ascii="Times New Roman" w:cs="Times New Roman" w:eastAsia="Times New Roman" w:hAnsi="Times New Roman"/>
          <w:sz w:val="21"/>
          <w:szCs w:val="21"/>
          <w:color w:val="auto"/>
        </w:rPr>
      </w:pPr>
    </w:p>
    <w:p>
      <w:pPr>
        <w:jc w:val="both"/>
        <w:ind w:firstLine="622"/>
        <w:spacing w:after="0" w:line="264" w:lineRule="auto"/>
        <w:tabs>
          <w:tab w:leader="none" w:pos="1234"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Obligation to Continue Performance Pending Resolution of a Dispute</w:t>
      </w:r>
      <w:r>
        <w:rPr>
          <w:rFonts w:ascii="Times New Roman" w:cs="Times New Roman" w:eastAsia="Times New Roman" w:hAnsi="Times New Roman"/>
          <w:sz w:val="21"/>
          <w:szCs w:val="21"/>
          <w:color w:val="auto"/>
        </w:rPr>
        <w:t>. The parties agree to continue performing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under this Agreement pending the resolution of any Dispute that is being resolved hereunder unless and until such obligations are terminated or expire in accordance with the provisions of this Agreement.</w:t>
      </w:r>
    </w:p>
    <w:p>
      <w:pPr>
        <w:spacing w:after="0" w:line="182" w:lineRule="exact"/>
        <w:rPr>
          <w:rFonts w:ascii="Times New Roman" w:cs="Times New Roman" w:eastAsia="Times New Roman" w:hAnsi="Times New Roman"/>
          <w:sz w:val="21"/>
          <w:szCs w:val="21"/>
          <w:color w:val="auto"/>
        </w:rPr>
      </w:pPr>
    </w:p>
    <w:p>
      <w:pPr>
        <w:jc w:val="both"/>
        <w:ind w:firstLine="622"/>
        <w:spacing w:after="0" w:line="248" w:lineRule="auto"/>
        <w:tabs>
          <w:tab w:leader="none" w:pos="1233"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Judicial Procedure</w:t>
      </w:r>
      <w:r>
        <w:rPr>
          <w:rFonts w:ascii="Times New Roman" w:cs="Times New Roman" w:eastAsia="Times New Roman" w:hAnsi="Times New Roman"/>
          <w:sz w:val="21"/>
          <w:szCs w:val="21"/>
          <w:color w:val="auto"/>
        </w:rPr>
        <w:t>. Notwithstanding the foregoing, and without waiting for the expiration of the time periods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each party shall have the right to apply to any court of competent jurisdiction for appropriate interim or provisional relief, as necessary to protect its rights or property. Furthermore, nothing herein shall prevent the parties from resorting to a court of competent jurisdiction in those instances where preliminary injunctive relief would be appropriate, pending final resolution of the Dispute through arbitration. Nothing in this Section 19 shall be construed to prevent a party from instituting formal proceedings at any time to avoid the expiration of any statute of limitations period or to preserve a superior position with respect to other creditors. For the avoidance of doubt, to the extent this Agreement permits the parties to apply for relief to or institute a proceeding in a court of competent jurisdiction, nothing in this Agreement or any other Investment Document will constitute a waiver of the right to a jury trial in such proceeding.</w:t>
      </w:r>
    </w:p>
    <w:p>
      <w:pPr>
        <w:spacing w:after="0" w:line="177"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Termination</w:t>
      </w:r>
    </w:p>
    <w:p>
      <w:pPr>
        <w:spacing w:after="0" w:line="252" w:lineRule="exact"/>
        <w:rPr>
          <w:rFonts w:ascii="Times New Roman" w:cs="Times New Roman" w:eastAsia="Times New Roman" w:hAnsi="Times New Roman"/>
          <w:sz w:val="19"/>
          <w:szCs w:val="19"/>
          <w:b w:val="1"/>
          <w:bCs w:val="1"/>
          <w:color w:val="auto"/>
        </w:rPr>
      </w:pPr>
    </w:p>
    <w:p>
      <w:pPr>
        <w:ind w:left="6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This Agreement will terminate and cease to have any effect if the Foundation Investment under the Investment Agreement has</w:t>
      </w:r>
    </w:p>
    <w:p>
      <w:pPr>
        <w:spacing w:after="0" w:line="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not closed by December 31, 2021 (or such later date as may be agreed in writing between the Company and the Foundation) unless the Company, Exscientia and the Foundation agree otherwise in writing. Any termination of this Agreement in accordance with this Section 20 shall be without prejudice to any accrued rights or obligations of any party to this Agreement.</w:t>
      </w:r>
    </w:p>
    <w:p>
      <w:pPr>
        <w:spacing w:after="0" w:line="170" w:lineRule="exact"/>
        <w:rPr>
          <w:sz w:val="20"/>
          <w:szCs w:val="20"/>
          <w:color w:val="auto"/>
        </w:rPr>
      </w:pPr>
    </w:p>
    <w:p>
      <w:pPr>
        <w:ind w:left="620" w:hanging="617"/>
        <w:spacing w:after="0"/>
        <w:tabs>
          <w:tab w:leader="none" w:pos="620" w:val="left"/>
        </w:tabs>
        <w:numPr>
          <w:ilvl w:val="0"/>
          <w:numId w:val="2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Entire Agreement; Modification</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ind w:firstLine="619"/>
        <w:spacing w:after="0" w:line="282" w:lineRule="auto"/>
        <w:rPr>
          <w:sz w:val="20"/>
          <w:szCs w:val="20"/>
          <w:color w:val="auto"/>
        </w:rPr>
      </w:pPr>
      <w:r>
        <w:rPr>
          <w:rFonts w:ascii="Times New Roman" w:cs="Times New Roman" w:eastAsia="Times New Roman" w:hAnsi="Times New Roman"/>
          <w:sz w:val="21"/>
          <w:szCs w:val="21"/>
          <w:color w:val="auto"/>
        </w:rPr>
        <w:t>The terms and conditions set forth in this Agreement are in addition to the provisions stated in the other Investment Documents and the terms and conditions of this Agreement will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prevail over any inconsistent provision in any other Investment Document and supersede any prior understandings and agreements, either oral or in writing, between the parties with respect to the subject matter hereof. No change, modification or waiver of any term or condition of this Agreement will be valid unless it is in writing, it is signed by the party to be bound, and it expressly refers to this Agreement. For the avoidance of doubt, nothing in this Agreement will limit or restrict the Foundation’s rights or Exscientia’s obligations pursuant to any grant agreements between Exscientia and the Foundation (including Investment ID INV-031996 and Investment ID INV-004656).</w:t>
      </w:r>
    </w:p>
    <w:p>
      <w:pPr>
        <w:spacing w:after="0" w:line="195" w:lineRule="exact"/>
        <w:rPr>
          <w:sz w:val="20"/>
          <w:szCs w:val="20"/>
          <w:color w:val="auto"/>
        </w:rPr>
      </w:pPr>
    </w:p>
    <w:p>
      <w:pPr>
        <w:ind w:left="620" w:hanging="617"/>
        <w:spacing w:after="0"/>
        <w:tabs>
          <w:tab w:leader="none" w:pos="620" w:val="left"/>
        </w:tabs>
        <w:numPr>
          <w:ilvl w:val="0"/>
          <w:numId w:val="2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The invalidity or unenforceability of any provision of this Agreement will in no way affect the validity or enforceability of any other provision.</w:t>
      </w:r>
    </w:p>
    <w:p>
      <w:pPr>
        <w:spacing w:after="0" w:line="151" w:lineRule="exact"/>
        <w:rPr>
          <w:sz w:val="20"/>
          <w:szCs w:val="20"/>
          <w:color w:val="auto"/>
        </w:rPr>
      </w:pPr>
    </w:p>
    <w:p>
      <w:pPr>
        <w:ind w:left="620" w:hanging="617"/>
        <w:spacing w:after="0"/>
        <w:tabs>
          <w:tab w:leader="none" w:pos="620" w:val="left"/>
        </w:tabs>
        <w:numPr>
          <w:ilvl w:val="0"/>
          <w:numId w:val="2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This Agreement may be executed in one or more counterparts, each of which will be deemed an original, but all of which will be deemed to be and constitute one and the same instrument.</w:t>
      </w:r>
    </w:p>
    <w:p>
      <w:pPr>
        <w:spacing w:after="0" w:line="177" w:lineRule="exact"/>
        <w:rPr>
          <w:sz w:val="20"/>
          <w:szCs w:val="20"/>
          <w:color w:val="auto"/>
        </w:rPr>
      </w:pPr>
    </w:p>
    <w:p>
      <w:pPr>
        <w:ind w:left="620" w:hanging="617"/>
        <w:spacing w:after="0"/>
        <w:tabs>
          <w:tab w:leader="none" w:pos="620" w:val="left"/>
        </w:tabs>
        <w:numPr>
          <w:ilvl w:val="0"/>
          <w:numId w:val="2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w:t>
      </w:r>
    </w:p>
    <w:p>
      <w:pPr>
        <w:spacing w:after="0" w:line="265" w:lineRule="exact"/>
        <w:rPr>
          <w:sz w:val="20"/>
          <w:szCs w:val="20"/>
          <w:color w:val="auto"/>
        </w:rPr>
      </w:pPr>
    </w:p>
    <w:p>
      <w:pPr>
        <w:jc w:val="both"/>
        <w:ind w:firstLine="238"/>
        <w:spacing w:after="0" w:line="262" w:lineRule="auto"/>
        <w:rPr>
          <w:sz w:val="20"/>
          <w:szCs w:val="20"/>
          <w:color w:val="auto"/>
        </w:rPr>
      </w:pPr>
      <w:r>
        <w:rPr>
          <w:rFonts w:ascii="Times New Roman" w:cs="Times New Roman" w:eastAsia="Times New Roman" w:hAnsi="Times New Roman"/>
          <w:sz w:val="21"/>
          <w:szCs w:val="21"/>
          <w:color w:val="auto"/>
        </w:rPr>
        <w:t>Section headings are not to be considered part of this Agreement, are included solely for convenience, are not intended to be full or accurate descriptions of the content thereof and will not affect the construction of this Agreement. The words “include,” “includes” and “including” will be considered to be followed by the words “without limitation”.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9"/>
          <w:szCs w:val="19"/>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31" w:right="339" w:bottom="1440" w:gutter="0" w:footer="0" w:header="0"/>
        </w:sectPr>
      </w:pPr>
    </w:p>
    <w:bookmarkStart w:id="277" w:name="page278"/>
    <w:bookmarkEnd w:id="277"/>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have caused this Agreement to be executed as of the date first set forth above.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720" w:type="dxa"/>
            <w:vAlign w:val="bottom"/>
            <w:gridSpan w:val="10"/>
          </w:tcPr>
          <w:p>
            <w:pPr>
              <w:spacing w:after="0"/>
              <w:rPr>
                <w:sz w:val="20"/>
                <w:szCs w:val="20"/>
                <w:color w:val="auto"/>
              </w:rPr>
            </w:pPr>
            <w:r>
              <w:rPr>
                <w:rFonts w:ascii="Times New Roman" w:cs="Times New Roman" w:eastAsia="Times New Roman" w:hAnsi="Times New Roman"/>
                <w:sz w:val="21"/>
                <w:szCs w:val="21"/>
                <w:b w:val="1"/>
                <w:bCs w:val="1"/>
                <w:color w:val="auto"/>
              </w:rPr>
              <w:t>Exscientia Limited</w:t>
            </w:r>
          </w:p>
        </w:tc>
        <w:tc>
          <w:tcPr>
            <w:tcW w:w="2280" w:type="dxa"/>
            <w:vAlign w:val="bottom"/>
          </w:tcPr>
          <w:p>
            <w:pPr>
              <w:ind w:left="360"/>
              <w:spacing w:after="0"/>
              <w:rPr>
                <w:sz w:val="20"/>
                <w:szCs w:val="20"/>
                <w:color w:val="auto"/>
              </w:rPr>
            </w:pPr>
            <w:r>
              <w:rPr>
                <w:rFonts w:ascii="Times New Roman" w:cs="Times New Roman" w:eastAsia="Times New Roman" w:hAnsi="Times New Roman"/>
                <w:sz w:val="21"/>
                <w:szCs w:val="21"/>
                <w:b w:val="1"/>
                <w:bCs w:val="1"/>
                <w:color w:val="auto"/>
                <w:w w:val="96"/>
              </w:rPr>
              <w:t>Exscientia AI Limited</w:t>
            </w:r>
          </w:p>
        </w:tc>
      </w:tr>
      <w:tr>
        <w:trPr>
          <w:trHeight w:val="428"/>
        </w:trPr>
        <w:tc>
          <w:tcPr>
            <w:tcW w:w="6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By:</w:t>
            </w:r>
          </w:p>
        </w:tc>
        <w:tc>
          <w:tcPr>
            <w:tcW w:w="1080" w:type="dxa"/>
            <w:vAlign w:val="bottom"/>
            <w:gridSpan w:val="7"/>
          </w:tcPr>
          <w:p>
            <w:pPr>
              <w:ind w:left="80"/>
              <w:spacing w:after="0"/>
              <w:rPr>
                <w:sz w:val="20"/>
                <w:szCs w:val="20"/>
                <w:color w:val="auto"/>
              </w:rPr>
            </w:pPr>
            <w:r>
              <w:rPr>
                <w:rFonts w:ascii="Times New Roman" w:cs="Times New Roman" w:eastAsia="Times New Roman" w:hAnsi="Times New Roman"/>
                <w:sz w:val="21"/>
                <w:szCs w:val="21"/>
                <w:color w:val="auto"/>
              </w:rPr>
              <w:t>By:</w:t>
            </w:r>
          </w:p>
        </w:tc>
        <w:tc>
          <w:tcPr>
            <w:tcW w:w="228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8"/>
        </w:trPr>
        <w:tc>
          <w:tcPr>
            <w:tcW w:w="500" w:type="dxa"/>
            <w:vAlign w:val="bottom"/>
            <w:gridSpan w:val="2"/>
          </w:tcPr>
          <w:p>
            <w:pPr>
              <w:spacing w:after="0" w:line="238" w:lineRule="exact"/>
              <w:rPr>
                <w:sz w:val="20"/>
                <w:szCs w:val="20"/>
                <w:color w:val="auto"/>
              </w:rPr>
            </w:pPr>
            <w:r>
              <w:rPr>
                <w:rFonts w:ascii="Times New Roman" w:cs="Times New Roman" w:eastAsia="Times New Roman" w:hAnsi="Times New Roman"/>
                <w:sz w:val="21"/>
                <w:szCs w:val="21"/>
                <w:color w:val="auto"/>
                <w:w w:val="82"/>
              </w:rPr>
              <w:t>Name:</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gridSpan w:val="5"/>
          </w:tcPr>
          <w:p>
            <w:pPr>
              <w:ind w:left="200"/>
              <w:spacing w:after="0" w:line="238" w:lineRule="exact"/>
              <w:rPr>
                <w:sz w:val="20"/>
                <w:szCs w:val="20"/>
                <w:color w:val="auto"/>
              </w:rPr>
            </w:pPr>
            <w:r>
              <w:rPr>
                <w:rFonts w:ascii="Times New Roman" w:cs="Times New Roman" w:eastAsia="Times New Roman" w:hAnsi="Times New Roman"/>
                <w:sz w:val="21"/>
                <w:szCs w:val="21"/>
                <w:color w:val="auto"/>
                <w:w w:val="96"/>
              </w:rPr>
              <w:t>Name:</w:t>
            </w:r>
          </w:p>
        </w:tc>
        <w:tc>
          <w:tcPr>
            <w:tcW w:w="20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r>
      <w:tr>
        <w:trPr>
          <w:trHeight w:val="225"/>
        </w:trPr>
        <w:tc>
          <w:tcPr>
            <w:tcW w:w="640" w:type="dxa"/>
            <w:vAlign w:val="bottom"/>
            <w:gridSpan w:val="3"/>
          </w:tcPr>
          <w:p>
            <w:pPr>
              <w:spacing w:after="0" w:line="225" w:lineRule="exact"/>
              <w:rPr>
                <w:sz w:val="20"/>
                <w:szCs w:val="20"/>
                <w:color w:val="auto"/>
              </w:rPr>
            </w:pPr>
            <w:r>
              <w:rPr>
                <w:rFonts w:ascii="Times New Roman" w:cs="Times New Roman" w:eastAsia="Times New Roman" w:hAnsi="Times New Roman"/>
                <w:sz w:val="21"/>
                <w:szCs w:val="21"/>
                <w:color w:val="auto"/>
              </w:rPr>
              <w:t>Title:</w:t>
            </w:r>
          </w:p>
        </w:tc>
        <w:tc>
          <w:tcPr>
            <w:tcW w:w="120" w:type="dxa"/>
            <w:vAlign w:val="bottom"/>
          </w:tcPr>
          <w:p>
            <w:pPr>
              <w:spacing w:after="0"/>
              <w:rPr>
                <w:sz w:val="19"/>
                <w:szCs w:val="19"/>
                <w:color w:val="auto"/>
              </w:rPr>
            </w:pPr>
          </w:p>
        </w:tc>
        <w:tc>
          <w:tcPr>
            <w:tcW w:w="960" w:type="dxa"/>
            <w:vAlign w:val="bottom"/>
            <w:gridSpan w:val="6"/>
          </w:tcPr>
          <w:p>
            <w:pPr>
              <w:ind w:left="100"/>
              <w:spacing w:after="0" w:line="225" w:lineRule="exact"/>
              <w:rPr>
                <w:sz w:val="20"/>
                <w:szCs w:val="20"/>
                <w:color w:val="auto"/>
              </w:rPr>
            </w:pPr>
            <w:r>
              <w:rPr>
                <w:rFonts w:ascii="Times New Roman" w:cs="Times New Roman" w:eastAsia="Times New Roman" w:hAnsi="Times New Roman"/>
                <w:sz w:val="21"/>
                <w:szCs w:val="21"/>
                <w:color w:val="auto"/>
              </w:rPr>
              <w:t>Title:</w:t>
            </w:r>
          </w:p>
        </w:tc>
        <w:tc>
          <w:tcPr>
            <w:tcW w:w="228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Bill &amp; Melinda Gates Foundation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-13970</wp:posOffset>
            </wp:positionV>
            <wp:extent cx="1308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-27940</wp:posOffset>
            </wp:positionV>
            <wp:extent cx="1308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-20320</wp:posOffset>
            </wp:positionV>
            <wp:extent cx="13081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0840"/>
          </w:cols>
          <w:pgMar w:left="320" w:top="1440" w:right="7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1"/>
          <w:szCs w:val="21"/>
          <w:b w:val="1"/>
          <w:bCs w:val="1"/>
          <w:color w:val="auto"/>
        </w:rPr>
        <w:t>Appendix A: Developing Countries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Appendix B: Existing Agreements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Appendix C: Target Diseases and Conditions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Appendix D: Scope of Work; Initial Antiviral Projects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Appendix E: Officer’s Certificate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Appendix F: Officer’s Certificate</w:t>
      </w:r>
    </w:p>
    <w:p>
      <w:pPr>
        <w:spacing w:after="0" w:line="200" w:lineRule="exact"/>
        <w:rPr>
          <w:sz w:val="20"/>
          <w:szCs w:val="20"/>
          <w:color w:val="auto"/>
        </w:rPr>
      </w:pPr>
    </w:p>
    <w:p>
      <w:pPr>
        <w:spacing w:after="0" w:line="37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0840"/>
          </w:cols>
          <w:pgMar w:left="320" w:top="1361" w:right="7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Wilson Sonsini Goodrich &amp; Rosati</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-105410</wp:posOffset>
            </wp:positionV>
            <wp:extent cx="1039495" cy="4013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1039495" cy="40132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5"/>
          <w:szCs w:val="15"/>
          <w:color w:val="auto"/>
        </w:rPr>
        <w:t>95 State Street</w:t>
      </w:r>
    </w:p>
    <w:p>
      <w:pPr>
        <w:spacing w:after="0" w:line="1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Suite 1000</w:t>
      </w:r>
    </w:p>
    <w:p>
      <w:pPr>
        <w:spacing w:after="0" w:line="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Salt Lake City, Utah, 84111</w:t>
      </w:r>
    </w:p>
    <w:p>
      <w:pPr>
        <w:spacing w:after="0" w:line="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o: 801.401.8510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February 28, 2025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Recursion Pharmaceuticals,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41 S. Rio Grande 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Salt Lake City, Utah 84101</w:t>
      </w:r>
    </w:p>
    <w:p>
      <w:pPr>
        <w:spacing w:after="0" w:line="2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8"/>
          <w:szCs w:val="18"/>
          <w:color w:val="auto"/>
        </w:rPr>
        <w:t>Registration Statement on Form S-3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4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We have acted as counsel to Recursion Pharmaceuticals, Inc., a Delaware corporation (the “Company”), in connection with the registration of the proposed offer and sale of up to $500,000,000 of shares (the “Shares”) of the Company’s Class A common stock, $0.00001 par value per share, pursuant to the Company’s Registration Statement on Form S-3ASR (File No. 333-284878) (the “Registration Statement”) including the prospectus dated February 12, 2025 included therein (the “Base Prospectus”), filed by the Company with the Securities and Exchange Commission (the “Commission”) in connection with the registration pursuant to the Securities Act of 1933, as amended (the “Act”), of the Shares.</w:t>
      </w:r>
    </w:p>
    <w:p>
      <w:pPr>
        <w:spacing w:after="0" w:line="21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offering and sale of the Shares are being made pursuant to the Sales Agreement, dated as of February 28, 2025 (the “Sales Agreement”), by and between the Company and Citigroup Global Markets Inc.</w:t>
      </w:r>
    </w:p>
    <w:p>
      <w:pPr>
        <w:spacing w:after="0" w:line="19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We have examined copies of the Sales Agreement, the Registration Statement, the Base Prospectus, and the prospectus supplement thereto related to the offering of the Shares, which prospectus supplement is dated as of February 28, 2025 and will be filed by the Company in accordance with Rule 424(b) promulgated under the Act (the “Prospectus Supplement” and together with the Base Prospectus, the “Prospectus”). We have also examined instruments, documents and records which we deemed relevant and necessary for the basis of our opinion hereinafter expressed.</w:t>
      </w:r>
    </w:p>
    <w:p>
      <w:pPr>
        <w:spacing w:after="0" w:line="191"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In such examination, we have assumed (a) the authenticity of original documents and the genuineness of all signatures; (b) the conformity to the originals of all documents submitted to us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tabs>
          <w:tab w:leader="none" w:pos="860" w:val="left"/>
          <w:tab w:leader="none" w:pos="1460" w:val="left"/>
          <w:tab w:leader="none" w:pos="2100" w:val="left"/>
          <w:tab w:leader="none" w:pos="2820" w:val="left"/>
          <w:tab w:leader="none" w:pos="3600" w:val="left"/>
          <w:tab w:leader="none" w:pos="4480" w:val="left"/>
          <w:tab w:leader="none" w:pos="5120" w:val="left"/>
          <w:tab w:leader="none" w:pos="6100" w:val="left"/>
        </w:tabs>
        <w:rPr>
          <w:sz w:val="20"/>
          <w:szCs w:val="20"/>
          <w:color w:val="auto"/>
        </w:rPr>
      </w:pPr>
      <w:r>
        <w:rPr>
          <w:rFonts w:ascii="Arial" w:cs="Arial" w:eastAsia="Arial" w:hAnsi="Arial"/>
          <w:sz w:val="12"/>
          <w:szCs w:val="12"/>
          <w:color w:val="003C4B"/>
        </w:rPr>
        <w:t>AUSTIN</w:t>
        <w:tab/>
        <w:t>BEIJING</w:t>
        <w:tab/>
        <w:t>BOSTON</w:t>
        <w:tab/>
        <w:t>BOULDER</w:t>
        <w:tab/>
        <w:t>BRUSSELS</w:t>
        <w:tab/>
        <w:t>HONG KONG</w:t>
        <w:tab/>
        <w:t>LONDON</w:t>
        <w:tab/>
        <w:t>LOS ANGELES</w:t>
      </w:r>
      <w:r>
        <w:rPr>
          <w:sz w:val="20"/>
          <w:szCs w:val="20"/>
          <w:color w:val="auto"/>
        </w:rPr>
        <w:tab/>
      </w:r>
      <w:r>
        <w:rPr>
          <w:rFonts w:ascii="Arial" w:cs="Arial" w:eastAsia="Arial" w:hAnsi="Arial"/>
          <w:sz w:val="11"/>
          <w:szCs w:val="11"/>
          <w:color w:val="003C4B"/>
        </w:rPr>
        <w:t>NEW YORK PALO ALTO</w:t>
      </w:r>
    </w:p>
    <w:p>
      <w:pPr>
        <w:spacing w:after="0" w:line="55" w:lineRule="exact"/>
        <w:rPr>
          <w:sz w:val="20"/>
          <w:szCs w:val="20"/>
          <w:color w:val="auto"/>
        </w:rPr>
      </w:pPr>
    </w:p>
    <w:p>
      <w:pPr>
        <w:ind w:left="620"/>
        <w:spacing w:after="0"/>
        <w:tabs>
          <w:tab w:leader="none" w:pos="1680" w:val="left"/>
          <w:tab w:leader="none" w:pos="2480" w:val="left"/>
          <w:tab w:leader="none" w:pos="3600" w:val="left"/>
          <w:tab w:leader="none" w:pos="4260" w:val="left"/>
          <w:tab w:leader="none" w:pos="5020" w:val="left"/>
          <w:tab w:leader="none" w:pos="6220" w:val="left"/>
        </w:tabs>
        <w:rPr>
          <w:sz w:val="20"/>
          <w:szCs w:val="20"/>
          <w:color w:val="auto"/>
        </w:rPr>
      </w:pPr>
      <w:r>
        <w:rPr>
          <w:rFonts w:ascii="Arial" w:cs="Arial" w:eastAsia="Arial" w:hAnsi="Arial"/>
          <w:sz w:val="12"/>
          <w:szCs w:val="12"/>
          <w:color w:val="003C4B"/>
        </w:rPr>
        <w:t>SALT LAKE CITY</w:t>
        <w:tab/>
        <w:t>SAN DIEGO</w:t>
        <w:tab/>
        <w:t>SAN FRANCISCO</w:t>
        <w:tab/>
        <w:t>SEATTLE</w:t>
        <w:tab/>
        <w:t>SHANGHAI</w:t>
        <w:tab/>
        <w:t>WASHINGTON, DC</w:t>
        <w:tab/>
        <w:t>WILMINGTON</w:t>
      </w:r>
    </w:p>
    <w:p>
      <w:pPr>
        <w:sectPr>
          <w:pgSz w:w="11900" w:h="16838" w:orient="portrait"/>
          <w:cols w:equalWidth="0" w:num="1">
            <w:col w:w="11240"/>
          </w:cols>
          <w:pgMar w:left="320" w:top="355"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523875" cy="1962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clrChange>
                        <a:clrFrom>
                          <a:srgbClr val="FFFFFF"/>
                        </a:clrFrom>
                        <a:clrTo>
                          <a:srgbClr val="FFFFFF">
                            <a:alpha val="0"/>
                          </a:srgbClr>
                        </a:clrTo>
                      </a:clrChange>
                      <a:extLst>
                        <a:ext uri="{28A0092B-C50C-407E-A947-70E740481C1C}"/>
                      </a:extLst>
                    </a:blip>
                    <a:srcRect/>
                    <a:stretch>
                      <a:fillRect/>
                    </a:stretch>
                  </pic:blipFill>
                  <pic:spPr bwMode="auto">
                    <a:xfrm>
                      <a:off x="0" y="0"/>
                      <a:ext cx="523875" cy="196215"/>
                    </a:xfrm>
                    <a:prstGeom prst="rect">
                      <a:avLst/>
                    </a:prstGeom>
                    <a:noFill/>
                  </pic:spPr>
                </pic:pic>
              </a:graphicData>
            </a:graphic>
          </wp:anchor>
        </w:drawing>
        <w:t>Recursion Pharmaceuticals,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the Prospectus Supplement will have been filed with the Commission describing the Shares offered thereby; (f) that the Shares will be sold in compliance with applicable U.S. federal and state securities laws and in the manner stated in the Registration Statement and the Prospectus; and (g)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21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Based on and subject to the foregoing, we are of the opinion that the Shares have been duly authorized by the Company and, when issued and delivered by the Company against payment therefor in accordance with the terms of the Sales Agreement, will be validly issued, fully paid and nonassessable.</w:t>
      </w:r>
    </w:p>
    <w:p>
      <w:pPr>
        <w:spacing w:after="0" w:line="18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We express no opinion as to the laws of any other jurisdiction other than the federal laws of the United States of America and the General Corporation Law of the State of Delaware.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 *</w:t>
      </w:r>
    </w:p>
    <w:p>
      <w:pPr>
        <w:spacing w:after="0" w:line="26"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We hereby consent to the use of this opinion as an exhibit to the Company’s Annual Report on Form 10-K, filed on or about February 28, 2025 for incorporation by reference into the Registration Statement and the Prospectus.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Wilson Sonsini Goodrich &amp; Rosati, P.C.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WILSON SONSINI GOODRICH &amp; ROSATI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Professional Corporation</w:t>
      </w:r>
    </w:p>
    <w:p>
      <w:pPr>
        <w:sectPr>
          <w:pgSz w:w="11900" w:h="16838" w:orient="portrait"/>
          <w:cols w:equalWidth="0" w:num="1">
            <w:col w:w="11240"/>
          </w:cols>
          <w:pgMar w:left="320" w:top="750" w:right="339" w:bottom="1440" w:gutter="0" w:footer="0" w:header="0"/>
        </w:sectPr>
      </w:pPr>
    </w:p>
    <w:bookmarkStart w:id="281" w:name="page282"/>
    <w:bookmarkEnd w:id="2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4519295</wp:posOffset>
            </wp:positionH>
            <wp:positionV relativeFrom="page">
              <wp:posOffset>1022350</wp:posOffset>
            </wp:positionV>
            <wp:extent cx="2824480" cy="5568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282448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alibri" w:cs="Calibri" w:eastAsia="Calibri" w:hAnsi="Calibri"/>
          <w:sz w:val="19"/>
          <w:szCs w:val="19"/>
          <w:color w:val="auto"/>
        </w:rPr>
        <w:t>December 2, 2024</w:t>
      </w:r>
    </w:p>
    <w:p>
      <w:pPr>
        <w:spacing w:after="0" w:line="193" w:lineRule="exact"/>
        <w:rPr>
          <w:sz w:val="20"/>
          <w:szCs w:val="20"/>
          <w:color w:val="auto"/>
        </w:rPr>
      </w:pPr>
    </w:p>
    <w:p>
      <w:pPr>
        <w:spacing w:after="0"/>
        <w:rPr>
          <w:sz w:val="20"/>
          <w:szCs w:val="20"/>
          <w:color w:val="auto"/>
        </w:rPr>
      </w:pPr>
      <w:r>
        <w:rPr>
          <w:rFonts w:ascii="Calibri" w:cs="Calibri" w:eastAsia="Calibri" w:hAnsi="Calibri"/>
          <w:sz w:val="19"/>
          <w:szCs w:val="19"/>
          <w:color w:val="auto"/>
        </w:rPr>
        <w:t>Ben Taylor</w:t>
      </w: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u w:val="single" w:color="auto"/>
          <w:color w:val="auto"/>
        </w:rPr>
        <w:t>Confrmatory Employment Leter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alibri" w:cs="Calibri" w:eastAsia="Calibri" w:hAnsi="Calibri"/>
          <w:sz w:val="19"/>
          <w:szCs w:val="19"/>
          <w:color w:val="auto"/>
        </w:rPr>
        <w:t>Dear Ben:</w:t>
      </w:r>
    </w:p>
    <w:p>
      <w:pPr>
        <w:spacing w:after="0" w:line="225" w:lineRule="exact"/>
        <w:rPr>
          <w:sz w:val="20"/>
          <w:szCs w:val="20"/>
          <w:color w:val="auto"/>
        </w:rPr>
      </w:pPr>
    </w:p>
    <w:p>
      <w:pPr>
        <w:jc w:val="both"/>
        <w:ind w:right="120" w:firstLine="619"/>
        <w:spacing w:after="0" w:line="256" w:lineRule="auto"/>
        <w:rPr>
          <w:sz w:val="20"/>
          <w:szCs w:val="20"/>
          <w:color w:val="auto"/>
        </w:rPr>
      </w:pPr>
      <w:r>
        <w:rPr>
          <w:rFonts w:ascii="Calibri" w:cs="Calibri" w:eastAsia="Calibri" w:hAnsi="Calibri"/>
          <w:sz w:val="19"/>
          <w:szCs w:val="19"/>
          <w:color w:val="auto"/>
        </w:rPr>
        <w:t>Exscienta AI Ltd. (the “</w:t>
      </w:r>
      <w:r>
        <w:rPr>
          <w:rFonts w:ascii="Calibri" w:cs="Calibri" w:eastAsia="Calibri" w:hAnsi="Calibri"/>
          <w:sz w:val="19"/>
          <w:szCs w:val="19"/>
          <w:u w:val="single" w:color="auto"/>
          <w:color w:val="auto"/>
        </w:rPr>
        <w:t>Company,</w:t>
      </w:r>
      <w:r>
        <w:rPr>
          <w:rFonts w:ascii="Calibri" w:cs="Calibri" w:eastAsia="Calibri" w:hAnsi="Calibri"/>
          <w:sz w:val="19"/>
          <w:szCs w:val="19"/>
          <w:color w:val="auto"/>
        </w:rPr>
        <w:t>” “</w:t>
      </w:r>
      <w:r>
        <w:rPr>
          <w:rFonts w:ascii="Calibri" w:cs="Calibri" w:eastAsia="Calibri" w:hAnsi="Calibri"/>
          <w:sz w:val="19"/>
          <w:szCs w:val="19"/>
          <w:u w:val="single" w:color="auto"/>
          <w:color w:val="auto"/>
        </w:rPr>
        <w:t>we,</w:t>
      </w:r>
      <w:r>
        <w:rPr>
          <w:rFonts w:ascii="Calibri" w:cs="Calibri" w:eastAsia="Calibri" w:hAnsi="Calibri"/>
          <w:sz w:val="19"/>
          <w:szCs w:val="19"/>
          <w:color w:val="auto"/>
        </w:rPr>
        <w:t>” “</w:t>
      </w:r>
      <w:r>
        <w:rPr>
          <w:rFonts w:ascii="Calibri" w:cs="Calibri" w:eastAsia="Calibri" w:hAnsi="Calibri"/>
          <w:sz w:val="19"/>
          <w:szCs w:val="19"/>
          <w:u w:val="single" w:color="auto"/>
          <w:color w:val="auto"/>
        </w:rPr>
        <w:t>us,</w:t>
      </w:r>
      <w:r>
        <w:rPr>
          <w:rFonts w:ascii="Calibri" w:cs="Calibri" w:eastAsia="Calibri" w:hAnsi="Calibri"/>
          <w:sz w:val="19"/>
          <w:szCs w:val="19"/>
          <w:color w:val="auto"/>
        </w:rPr>
        <w:t>” or “</w:t>
      </w:r>
      <w:r>
        <w:rPr>
          <w:rFonts w:ascii="Calibri" w:cs="Calibri" w:eastAsia="Calibri" w:hAnsi="Calibri"/>
          <w:sz w:val="19"/>
          <w:szCs w:val="19"/>
          <w:u w:val="single" w:color="auto"/>
          <w:color w:val="auto"/>
        </w:rPr>
        <w:t>our</w:t>
      </w:r>
      <w:r>
        <w:rPr>
          <w:rFonts w:ascii="Calibri" w:cs="Calibri" w:eastAsia="Calibri" w:hAnsi="Calibri"/>
          <w:sz w:val="19"/>
          <w:szCs w:val="19"/>
          <w:color w:val="auto"/>
        </w:rPr>
        <w:t>”), a wholly owned subsidiary of Recursion Pharmaceutcals, Inc. (the “</w:t>
      </w:r>
      <w:r>
        <w:rPr>
          <w:rFonts w:ascii="Calibri" w:cs="Calibri" w:eastAsia="Calibri" w:hAnsi="Calibri"/>
          <w:sz w:val="19"/>
          <w:szCs w:val="19"/>
          <w:u w:val="single" w:color="auto"/>
          <w:color w:val="auto"/>
        </w:rPr>
        <w:t>Recursion”)</w:t>
      </w:r>
      <w:r>
        <w:rPr>
          <w:rFonts w:ascii="Calibri" w:cs="Calibri" w:eastAsia="Calibri" w:hAnsi="Calibri"/>
          <w:sz w:val="19"/>
          <w:szCs w:val="19"/>
          <w:color w:val="auto"/>
        </w:rPr>
        <w:t xml:space="preserve"> is truly excited to extend you an ofer on the terms and conditons in this leter agreement (the “</w:t>
      </w:r>
      <w:r>
        <w:rPr>
          <w:rFonts w:ascii="Calibri" w:cs="Calibri" w:eastAsia="Calibri" w:hAnsi="Calibri"/>
          <w:sz w:val="19"/>
          <w:szCs w:val="19"/>
          <w:u w:val="single" w:color="auto"/>
          <w:color w:val="auto"/>
        </w:rPr>
        <w:t>Agreement</w:t>
      </w:r>
      <w:r>
        <w:rPr>
          <w:rFonts w:ascii="Calibri" w:cs="Calibri" w:eastAsia="Calibri" w:hAnsi="Calibri"/>
          <w:sz w:val="19"/>
          <w:szCs w:val="19"/>
          <w:color w:val="auto"/>
        </w:rPr>
        <w:t>”) and to confrm you will contnue with us in our mission of decoding biology to radically improve lives.</w:t>
      </w:r>
    </w:p>
    <w:p>
      <w:pPr>
        <w:spacing w:after="0" w:line="212" w:lineRule="exact"/>
        <w:rPr>
          <w:sz w:val="20"/>
          <w:szCs w:val="20"/>
          <w:color w:val="auto"/>
        </w:rPr>
      </w:pPr>
    </w:p>
    <w:p>
      <w:pPr>
        <w:jc w:val="both"/>
        <w:ind w:firstLine="622"/>
        <w:spacing w:after="0" w:line="233" w:lineRule="auto"/>
        <w:tabs>
          <w:tab w:leader="none" w:pos="1229" w:val="left"/>
        </w:tabs>
        <w:numPr>
          <w:ilvl w:val="0"/>
          <w:numId w:val="222"/>
        </w:numPr>
        <w:rPr>
          <w:rFonts w:ascii="Calibri" w:cs="Calibri" w:eastAsia="Calibri" w:hAnsi="Calibri"/>
          <w:sz w:val="19"/>
          <w:szCs w:val="19"/>
          <w:color w:val="auto"/>
        </w:rPr>
      </w:pPr>
      <w:r>
        <w:rPr>
          <w:rFonts w:ascii="Calibri" w:cs="Calibri" w:eastAsia="Calibri" w:hAnsi="Calibri"/>
          <w:sz w:val="19"/>
          <w:szCs w:val="19"/>
          <w:b w:val="1"/>
          <w:bCs w:val="1"/>
          <w:color w:val="auto"/>
        </w:rPr>
        <w:t>Positon</w:t>
      </w:r>
      <w:r>
        <w:rPr>
          <w:rFonts w:ascii="Calibri" w:cs="Calibri" w:eastAsia="Calibri" w:hAnsi="Calibri"/>
          <w:sz w:val="19"/>
          <w:szCs w:val="19"/>
          <w:color w:val="auto"/>
        </w:rPr>
        <w:t>. You will contnue to be Recursion’s Chief Financial Ofcer and President of Recursion UK and will report to Recursion’s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Chief Executve Ofcer. You will perform the dutes and have the responsibilites and authority customarily performed and held by an employee in your positon or as otherwise may be assigned or delegated to you by the Company or Recursion, as applicable, or such other capacity as the Company or Recursion, as applicable, may determine from tme to tme. You shall at all tmes comply with the lawful and reasonable directons of the Company and Recursion (including Recursion’s Chief Executve Ofcer).</w:t>
      </w:r>
    </w:p>
    <w:p>
      <w:pPr>
        <w:spacing w:after="0" w:line="214" w:lineRule="exact"/>
        <w:rPr>
          <w:rFonts w:ascii="Calibri" w:cs="Calibri" w:eastAsia="Calibri" w:hAnsi="Calibri"/>
          <w:sz w:val="19"/>
          <w:szCs w:val="19"/>
          <w:color w:val="auto"/>
        </w:rPr>
      </w:pPr>
    </w:p>
    <w:p>
      <w:pPr>
        <w:jc w:val="both"/>
        <w:ind w:firstLine="622"/>
        <w:spacing w:after="0" w:line="231" w:lineRule="auto"/>
        <w:tabs>
          <w:tab w:leader="none" w:pos="1229" w:val="left"/>
        </w:tabs>
        <w:numPr>
          <w:ilvl w:val="0"/>
          <w:numId w:val="222"/>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Dutes. </w:t>
      </w:r>
      <w:r>
        <w:rPr>
          <w:rFonts w:ascii="Calibri" w:cs="Calibri" w:eastAsia="Calibri" w:hAnsi="Calibri"/>
          <w:sz w:val="19"/>
          <w:szCs w:val="19"/>
          <w:color w:val="auto"/>
        </w:rPr>
        <w:t>Your full tme and atenton shall be devoted to the business and afairs of the Company and any Associated Company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 whom you are required to perform dutes, and you shall not, without the prior writen consent of Recursion, directly or indirectly carry on or be engaged, concerned or interested in any other business trade or occupaton. The partes acknowledge that you have unmeasured working tme for the purposes of Regulaton 20 of the Working Time Regulatons 1998.</w:t>
      </w:r>
    </w:p>
    <w:p>
      <w:pPr>
        <w:spacing w:after="0" w:line="215" w:lineRule="exact"/>
        <w:rPr>
          <w:rFonts w:ascii="Calibri" w:cs="Calibri" w:eastAsia="Calibri" w:hAnsi="Calibri"/>
          <w:sz w:val="19"/>
          <w:szCs w:val="19"/>
          <w:color w:val="auto"/>
        </w:rPr>
      </w:pPr>
    </w:p>
    <w:p>
      <w:pPr>
        <w:jc w:val="both"/>
        <w:ind w:firstLine="622"/>
        <w:spacing w:after="0" w:line="235" w:lineRule="auto"/>
        <w:tabs>
          <w:tab w:leader="none" w:pos="1229" w:val="left"/>
        </w:tabs>
        <w:numPr>
          <w:ilvl w:val="0"/>
          <w:numId w:val="222"/>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Period of Employment. </w:t>
      </w:r>
      <w:r>
        <w:rPr>
          <w:rFonts w:ascii="Calibri" w:cs="Calibri" w:eastAsia="Calibri" w:hAnsi="Calibri"/>
          <w:sz w:val="19"/>
          <w:szCs w:val="19"/>
          <w:color w:val="auto"/>
        </w:rPr>
        <w:t>Employment under the terms of this Agreement shall start on December 2, 2024 and shall supersede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any other agreements you have with the Company, Recursion or their afliates regarding the subject mater of this agreement. The employment shall be for an indefnite period and shall contnue untl either party terminates it by giving to the other not less than three months' writen notce (subject as set out below). Notce may be given at any tme.</w:t>
      </w:r>
    </w:p>
    <w:p>
      <w:pPr>
        <w:spacing w:after="0" w:line="200" w:lineRule="exact"/>
        <w:rPr>
          <w:rFonts w:ascii="Calibri" w:cs="Calibri" w:eastAsia="Calibri" w:hAnsi="Calibri"/>
          <w:sz w:val="19"/>
          <w:szCs w:val="19"/>
          <w:color w:val="auto"/>
        </w:rPr>
      </w:pPr>
    </w:p>
    <w:p>
      <w:pPr>
        <w:jc w:val="both"/>
        <w:ind w:firstLine="622"/>
        <w:spacing w:after="0" w:line="233" w:lineRule="auto"/>
        <w:tabs>
          <w:tab w:leader="none" w:pos="1229" w:val="left"/>
        </w:tabs>
        <w:numPr>
          <w:ilvl w:val="0"/>
          <w:numId w:val="222"/>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Locaton. </w:t>
      </w:r>
      <w:r>
        <w:rPr>
          <w:rFonts w:ascii="Calibri" w:cs="Calibri" w:eastAsia="Calibri" w:hAnsi="Calibri"/>
          <w:sz w:val="19"/>
          <w:szCs w:val="19"/>
          <w:color w:val="auto"/>
        </w:rPr>
        <w:t>Your normal place of work shall be the Company's ofces at The Schrödinger Building Oxford Science Park, Oxford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OX4 4GE or such other place of business of the Company or any Associated Company as the Company may reasonably determine from tme to tme within the United Kingdom. You may be required to travel both inside and outside of the UK.</w:t>
      </w:r>
    </w:p>
    <w:p>
      <w:pPr>
        <w:spacing w:after="0" w:line="214" w:lineRule="exact"/>
        <w:rPr>
          <w:rFonts w:ascii="Calibri" w:cs="Calibri" w:eastAsia="Calibri" w:hAnsi="Calibri"/>
          <w:sz w:val="19"/>
          <w:szCs w:val="19"/>
          <w:color w:val="auto"/>
        </w:rPr>
      </w:pPr>
    </w:p>
    <w:p>
      <w:pPr>
        <w:ind w:firstLine="622"/>
        <w:spacing w:after="0" w:line="236" w:lineRule="auto"/>
        <w:tabs>
          <w:tab w:leader="none" w:pos="1229" w:val="left"/>
        </w:tabs>
        <w:numPr>
          <w:ilvl w:val="0"/>
          <w:numId w:val="222"/>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Salary. </w:t>
      </w:r>
      <w:r>
        <w:rPr>
          <w:rFonts w:ascii="Calibri" w:cs="Calibri" w:eastAsia="Calibri" w:hAnsi="Calibri"/>
          <w:sz w:val="19"/>
          <w:szCs w:val="19"/>
          <w:color w:val="auto"/>
        </w:rPr>
        <w:t>Your annual base gross salary shall be £400,000 (GBP) subject to statutory deductons and paid by equal monthly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instalments in arrears by credit transfer to your bank account in accordance with the Company’s normal payroll practces.</w:t>
      </w:r>
    </w:p>
    <w:p>
      <w:pPr>
        <w:spacing w:after="0" w:line="252" w:lineRule="exact"/>
        <w:rPr>
          <w:rFonts w:ascii="Calibri" w:cs="Calibri" w:eastAsia="Calibri" w:hAnsi="Calibri"/>
          <w:sz w:val="19"/>
          <w:szCs w:val="19"/>
          <w:color w:val="auto"/>
        </w:rPr>
      </w:pPr>
    </w:p>
    <w:p>
      <w:pPr>
        <w:ind w:left="5540" w:hanging="127"/>
        <w:spacing w:after="0"/>
        <w:tabs>
          <w:tab w:leader="none" w:pos="5540"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351" w:lineRule="exact"/>
        <w:rPr>
          <w:sz w:val="20"/>
          <w:szCs w:val="20"/>
          <w:color w:val="auto"/>
        </w:rPr>
      </w:pPr>
    </w:p>
    <w:p>
      <w:pPr>
        <w:jc w:val="both"/>
        <w:ind w:left="-622" w:firstLine="622"/>
        <w:spacing w:after="0" w:line="233" w:lineRule="auto"/>
        <w:tabs>
          <w:tab w:leader="none" w:pos="607" w:val="left"/>
        </w:tabs>
        <w:numPr>
          <w:ilvl w:val="0"/>
          <w:numId w:val="223"/>
        </w:numPr>
        <w:rPr>
          <w:rFonts w:ascii="Calibri" w:cs="Calibri" w:eastAsia="Calibri" w:hAnsi="Calibri"/>
          <w:sz w:val="19"/>
          <w:szCs w:val="19"/>
          <w:color w:val="auto"/>
        </w:rPr>
      </w:pPr>
      <w:r>
        <w:rPr>
          <w:rFonts w:ascii="Calibri" w:cs="Calibri" w:eastAsia="Calibri" w:hAnsi="Calibri"/>
          <w:sz w:val="19"/>
          <w:szCs w:val="19"/>
          <w:b w:val="1"/>
          <w:bCs w:val="1"/>
          <w:color w:val="auto"/>
        </w:rPr>
        <w:t>Annual Bonus</w:t>
      </w:r>
      <w:r>
        <w:rPr>
          <w:rFonts w:ascii="Calibri" w:cs="Calibri" w:eastAsia="Calibri" w:hAnsi="Calibri"/>
          <w:sz w:val="19"/>
          <w:szCs w:val="19"/>
          <w:color w:val="auto"/>
        </w:rPr>
        <w:t>. You are eligible to earn an annual cash bonus with a target value of 25% of your annual base salary and an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annual equity bonus with a target value of 25% of your annual base salary paid in fully vested equity awards, in each case based on achieving performance objectves established by the Board or an authorized commitee thereof (the "Commitee") in its sole discreton and payable upon achievement of those objectves as determined by the Commitee. If any porton of any such bonus is earned, it will be paid when practcable afer the Commitee determines it has been earned, subject to you remaining employed with the Company, and you not having given or received notce of terminaton of employment, at the payment date. Your annual bonus opportunity will be subject to review and adjustment based upon Recursion’s normal performance review practces.</w:t>
      </w:r>
    </w:p>
    <w:p>
      <w:pPr>
        <w:spacing w:after="0" w:line="209" w:lineRule="exact"/>
        <w:rPr>
          <w:rFonts w:ascii="Calibri" w:cs="Calibri" w:eastAsia="Calibri" w:hAnsi="Calibri"/>
          <w:sz w:val="19"/>
          <w:szCs w:val="19"/>
          <w:color w:val="auto"/>
        </w:rPr>
      </w:pPr>
    </w:p>
    <w:p>
      <w:pPr>
        <w:ind w:left="618" w:hanging="618"/>
        <w:spacing w:after="0"/>
        <w:tabs>
          <w:tab w:leader="none" w:pos="618" w:val="left"/>
        </w:tabs>
        <w:numPr>
          <w:ilvl w:val="0"/>
          <w:numId w:val="223"/>
        </w:numPr>
        <w:rPr>
          <w:rFonts w:ascii="Calibri" w:cs="Calibri" w:eastAsia="Calibri" w:hAnsi="Calibri"/>
          <w:sz w:val="19"/>
          <w:szCs w:val="19"/>
          <w:color w:val="auto"/>
        </w:rPr>
      </w:pPr>
      <w:r>
        <w:rPr>
          <w:rFonts w:ascii="Calibri" w:cs="Calibri" w:eastAsia="Calibri" w:hAnsi="Calibri"/>
          <w:sz w:val="19"/>
          <w:szCs w:val="19"/>
          <w:b w:val="1"/>
          <w:bCs w:val="1"/>
          <w:color w:val="auto"/>
        </w:rPr>
        <w:t>Equity Awards.</w:t>
      </w:r>
    </w:p>
    <w:p>
      <w:pPr>
        <w:spacing w:after="0" w:line="212" w:lineRule="exact"/>
        <w:rPr>
          <w:rFonts w:ascii="Calibri" w:cs="Calibri" w:eastAsia="Calibri" w:hAnsi="Calibri"/>
          <w:sz w:val="19"/>
          <w:szCs w:val="19"/>
          <w:color w:val="auto"/>
        </w:rPr>
      </w:pPr>
    </w:p>
    <w:p>
      <w:pPr>
        <w:jc w:val="both"/>
        <w:ind w:left="-622" w:firstLine="1241"/>
        <w:spacing w:after="0" w:line="233" w:lineRule="auto"/>
        <w:tabs>
          <w:tab w:leader="none" w:pos="1234" w:val="left"/>
        </w:tabs>
        <w:numPr>
          <w:ilvl w:val="1"/>
          <w:numId w:val="223"/>
        </w:numPr>
        <w:rPr>
          <w:rFonts w:ascii="Calibri" w:cs="Calibri" w:eastAsia="Calibri" w:hAnsi="Calibri"/>
          <w:sz w:val="19"/>
          <w:szCs w:val="19"/>
          <w:color w:val="auto"/>
        </w:rPr>
      </w:pPr>
      <w:r>
        <w:rPr>
          <w:rFonts w:ascii="Calibri" w:cs="Calibri" w:eastAsia="Calibri" w:hAnsi="Calibri"/>
          <w:sz w:val="19"/>
          <w:szCs w:val="19"/>
          <w:color w:val="auto"/>
        </w:rPr>
        <w:t>Subject to the approval of the Commitee, Recursion will grant you an award of restricted stock units ("RSUs") with a target value of $2,500,000 (USD). If the RSU award is approved by the Commitee, on the grant date, the target value will be converted into a number of RSUs determined in accordance with Recursion’s equity practces. Each RSU subject to the award will represent a right to receive one share of Recursion’s Class A Common Stock upon vestng. The RSU award will vest as follows: 1/16th of the RSUs subject to the award shall vest on February 15, 2025 and an additonal 1/16th of the RSUs subject to the award will vest every Recursion Vestng Date (each of February 15, May 15, August 15, and November 15 is a "Recursion Vestng Date") thereafer untl the RSU award is fully vested, subject to your contnued employment with the Company or an Associated Company, and you not having given or received notce of terminaton of employment, at each such Recursion Vestng Date. The RSU award will be subject to the terms and conditons of Recursion's equity incentve plan as then in efect and the applicable form of RSU agreement thereunder.</w:t>
      </w:r>
    </w:p>
    <w:p>
      <w:pPr>
        <w:spacing w:after="0" w:line="216" w:lineRule="exact"/>
        <w:rPr>
          <w:rFonts w:ascii="Calibri" w:cs="Calibri" w:eastAsia="Calibri" w:hAnsi="Calibri"/>
          <w:sz w:val="19"/>
          <w:szCs w:val="19"/>
          <w:color w:val="auto"/>
        </w:rPr>
      </w:pPr>
    </w:p>
    <w:p>
      <w:pPr>
        <w:jc w:val="both"/>
        <w:ind w:left="-622" w:firstLine="1241"/>
        <w:spacing w:after="0" w:line="234" w:lineRule="auto"/>
        <w:tabs>
          <w:tab w:leader="none" w:pos="1230" w:val="left"/>
        </w:tabs>
        <w:numPr>
          <w:ilvl w:val="1"/>
          <w:numId w:val="223"/>
        </w:numPr>
        <w:rPr>
          <w:rFonts w:ascii="Calibri" w:cs="Calibri" w:eastAsia="Calibri" w:hAnsi="Calibri"/>
          <w:sz w:val="19"/>
          <w:szCs w:val="19"/>
          <w:color w:val="auto"/>
        </w:rPr>
      </w:pPr>
      <w:r>
        <w:rPr>
          <w:rFonts w:ascii="Calibri" w:cs="Calibri" w:eastAsia="Calibri" w:hAnsi="Calibri"/>
          <w:sz w:val="19"/>
          <w:szCs w:val="19"/>
          <w:color w:val="auto"/>
        </w:rPr>
        <w:t>Subject to the approval of the Commitee, Recursion will grant you an opton to purchase shares of Recursion’s Class A Common Stock at a price per share equal to the fair market value of a share of Recursion’s Class A Common Stock on the date of grant (as determined by the Commitee), with such opton having a target value of $2,500,000 (USD). If the opton is approved by the Commitee, on the grant date, the target value will be converted into an opton to purchase a number of shares determined in accordance with Recursion’s equity practces. The opton will vest as follows: 1/48th of the shares subject to the opton shall vest on one full month from the start date of your employment under this Agreement and 1/48th of the shares subject to the opton award will vest each month thereafer untl the opton award is fully vested, subject to your contnued employment with the Company or an Associated Company, and you not having given or received notce of terminaton of employment, at each such vestng date. Your opton grant shall be subject to the terms and conditons of the of Recursion’s equity incentve plan as then in efect and the applicable form of opton agreement thereunder.</w:t>
      </w:r>
    </w:p>
    <w:p>
      <w:pPr>
        <w:spacing w:after="0" w:line="207" w:lineRule="exact"/>
        <w:rPr>
          <w:rFonts w:ascii="Calibri" w:cs="Calibri" w:eastAsia="Calibri" w:hAnsi="Calibri"/>
          <w:sz w:val="19"/>
          <w:szCs w:val="19"/>
          <w:color w:val="auto"/>
        </w:rPr>
      </w:pPr>
    </w:p>
    <w:p>
      <w:pPr>
        <w:jc w:val="both"/>
        <w:ind w:left="-622" w:firstLine="1241"/>
        <w:spacing w:after="0" w:line="236" w:lineRule="auto"/>
        <w:tabs>
          <w:tab w:leader="none" w:pos="1236" w:val="left"/>
        </w:tabs>
        <w:numPr>
          <w:ilvl w:val="1"/>
          <w:numId w:val="223"/>
        </w:numPr>
        <w:rPr>
          <w:rFonts w:ascii="Calibri" w:cs="Calibri" w:eastAsia="Calibri" w:hAnsi="Calibri"/>
          <w:sz w:val="19"/>
          <w:szCs w:val="19"/>
          <w:color w:val="auto"/>
        </w:rPr>
      </w:pPr>
      <w:r>
        <w:rPr>
          <w:rFonts w:ascii="Calibri" w:cs="Calibri" w:eastAsia="Calibri" w:hAnsi="Calibri"/>
          <w:sz w:val="19"/>
          <w:szCs w:val="19"/>
          <w:color w:val="auto"/>
        </w:rPr>
        <w:t>In additon, you will be eligible to receive other awards of stock optons, restricted stock units or other equity awards pursuant to any plans or arrangements Recursion may have in efect from tme to tme. The Commitee will determine in its discreton whether you will be granted any such equity awards and the terms of any such award in accordance with the terms of any applicable plan or arrangement that may be in efect from tme to tme. The grant of any such award will not imply that any further awards will be granted to you nor that you have any right to receive any further award, which remain at the Commitee's discreton.</w:t>
      </w:r>
    </w:p>
    <w:p>
      <w:pPr>
        <w:spacing w:after="0" w:line="200" w:lineRule="exact"/>
        <w:rPr>
          <w:rFonts w:ascii="Calibri" w:cs="Calibri" w:eastAsia="Calibri" w:hAnsi="Calibri"/>
          <w:sz w:val="19"/>
          <w:szCs w:val="19"/>
          <w:color w:val="auto"/>
        </w:rPr>
      </w:pPr>
    </w:p>
    <w:p>
      <w:pPr>
        <w:ind w:left="-622" w:firstLine="622"/>
        <w:spacing w:after="0" w:line="236" w:lineRule="auto"/>
        <w:tabs>
          <w:tab w:leader="none" w:pos="607" w:val="left"/>
        </w:tabs>
        <w:numPr>
          <w:ilvl w:val="0"/>
          <w:numId w:val="223"/>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Employee Benefts. </w:t>
      </w:r>
      <w:r>
        <w:rPr>
          <w:rFonts w:ascii="Calibri" w:cs="Calibri" w:eastAsia="Calibri" w:hAnsi="Calibri"/>
          <w:sz w:val="19"/>
          <w:szCs w:val="19"/>
          <w:color w:val="auto"/>
        </w:rPr>
        <w:t>As a regular full tme employee of the Company, you will be eligible to partcipate in Company-sponsored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benefts, including private medical insurance with global coverage,</w:t>
      </w:r>
    </w:p>
    <w:p>
      <w:pPr>
        <w:spacing w:after="0" w:line="200" w:lineRule="exact"/>
        <w:rPr>
          <w:rFonts w:ascii="Calibri" w:cs="Calibri" w:eastAsia="Calibri" w:hAnsi="Calibri"/>
          <w:sz w:val="19"/>
          <w:szCs w:val="19"/>
          <w:color w:val="auto"/>
        </w:rPr>
      </w:pPr>
    </w:p>
    <w:p>
      <w:pPr>
        <w:spacing w:after="0" w:line="258" w:lineRule="exact"/>
        <w:rPr>
          <w:rFonts w:ascii="Calibri" w:cs="Calibri" w:eastAsia="Calibri" w:hAnsi="Calibri"/>
          <w:sz w:val="19"/>
          <w:szCs w:val="19"/>
          <w:color w:val="auto"/>
        </w:rPr>
      </w:pPr>
    </w:p>
    <w:p>
      <w:pPr>
        <w:ind w:left="4918" w:hanging="127"/>
        <w:spacing w:after="0"/>
        <w:tabs>
          <w:tab w:leader="none" w:pos="4918" w:val="left"/>
        </w:tabs>
        <w:numPr>
          <w:ilvl w:val="2"/>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w:t>
      </w:r>
    </w:p>
    <w:p>
      <w:pPr>
        <w:sectPr>
          <w:pgSz w:w="11900" w:h="16838" w:orient="portrait"/>
          <w:cols w:equalWidth="0" w:num="1">
            <w:col w:w="10618"/>
          </w:cols>
          <w:pgMar w:left="942" w:top="1440" w:right="339" w:bottom="1440" w:gutter="0" w:footer="0" w:header="0"/>
        </w:sectPr>
      </w:pPr>
    </w:p>
    <w:bookmarkStart w:id="283" w:name="page284"/>
    <w:bookmarkEnd w:id="283"/>
    <w:p>
      <w:pPr>
        <w:spacing w:after="0" w:line="351" w:lineRule="exact"/>
        <w:rPr>
          <w:sz w:val="20"/>
          <w:szCs w:val="20"/>
          <w:color w:val="auto"/>
        </w:rPr>
      </w:pPr>
    </w:p>
    <w:p>
      <w:pPr>
        <w:jc w:val="both"/>
        <w:spacing w:after="0" w:line="235" w:lineRule="auto"/>
        <w:rPr>
          <w:sz w:val="20"/>
          <w:szCs w:val="20"/>
          <w:color w:val="auto"/>
        </w:rPr>
      </w:pPr>
      <w:r>
        <w:rPr>
          <w:rFonts w:ascii="Calibri" w:cs="Calibri" w:eastAsia="Calibri" w:hAnsi="Calibri"/>
          <w:sz w:val="19"/>
          <w:szCs w:val="19"/>
          <w:color w:val="auto"/>
        </w:rPr>
        <w:t>dental, death in service insurance subject to and in accordance with the terms of the Company’s policies and benefts plan and of the relevant scheme in force from tme to tme. Informaton regarding coverage, eligibility, and other informaton regarding these benefts is set forth in more detailed documents that are available from the Company. The Company may, from tme to tme, in its sole discreton, modify or eliminate its policies and/or benefts ofered to employees.</w:t>
      </w:r>
    </w:p>
    <w:p>
      <w:pPr>
        <w:spacing w:after="0" w:line="194" w:lineRule="exact"/>
        <w:rPr>
          <w:sz w:val="20"/>
          <w:szCs w:val="20"/>
          <w:color w:val="auto"/>
        </w:rPr>
      </w:pPr>
    </w:p>
    <w:p>
      <w:pPr>
        <w:ind w:left="1240" w:hanging="618"/>
        <w:spacing w:after="0"/>
        <w:tabs>
          <w:tab w:leader="none" w:pos="1240" w:val="left"/>
        </w:tabs>
        <w:numPr>
          <w:ilvl w:val="0"/>
          <w:numId w:val="224"/>
        </w:numPr>
        <w:rPr>
          <w:rFonts w:ascii="Calibri" w:cs="Calibri" w:eastAsia="Calibri" w:hAnsi="Calibri"/>
          <w:sz w:val="19"/>
          <w:szCs w:val="19"/>
          <w:color w:val="auto"/>
        </w:rPr>
      </w:pPr>
      <w:r>
        <w:rPr>
          <w:rFonts w:ascii="Calibri" w:cs="Calibri" w:eastAsia="Calibri" w:hAnsi="Calibri"/>
          <w:sz w:val="19"/>
          <w:szCs w:val="19"/>
          <w:b w:val="1"/>
          <w:bCs w:val="1"/>
          <w:color w:val="auto"/>
        </w:rPr>
        <w:t>Holiday.</w:t>
      </w:r>
    </w:p>
    <w:p>
      <w:pPr>
        <w:spacing w:after="0" w:line="212" w:lineRule="exact"/>
        <w:rPr>
          <w:rFonts w:ascii="Calibri" w:cs="Calibri" w:eastAsia="Calibri" w:hAnsi="Calibri"/>
          <w:sz w:val="19"/>
          <w:szCs w:val="19"/>
          <w:color w:val="auto"/>
        </w:rPr>
      </w:pPr>
    </w:p>
    <w:p>
      <w:pPr>
        <w:jc w:val="both"/>
        <w:ind w:firstLine="1241"/>
        <w:spacing w:after="0" w:line="234" w:lineRule="auto"/>
        <w:tabs>
          <w:tab w:leader="none" w:pos="1856" w:val="left"/>
        </w:tabs>
        <w:numPr>
          <w:ilvl w:val="1"/>
          <w:numId w:val="224"/>
        </w:numPr>
        <w:rPr>
          <w:rFonts w:ascii="Calibri" w:cs="Calibri" w:eastAsia="Calibri" w:hAnsi="Calibri"/>
          <w:sz w:val="19"/>
          <w:szCs w:val="19"/>
          <w:color w:val="auto"/>
        </w:rPr>
      </w:pPr>
      <w:r>
        <w:rPr>
          <w:rFonts w:ascii="Calibri" w:cs="Calibri" w:eastAsia="Calibri" w:hAnsi="Calibri"/>
          <w:sz w:val="19"/>
          <w:szCs w:val="19"/>
          <w:color w:val="auto"/>
        </w:rPr>
        <w:t>You will be enttled to twenty-eight (28) days paid holiday in each of the Company's holiday years (which is the calendar year) in additon to the usual public and bank holidays. Holiday enttlement in the holiday years that the employment starts and ends shall be calculated on a pro rata basis for each complete month of employment. On terminaton of employment, you will be paid in lieu of any untaken holiday enttlement in respect of the holiday year in which terminaton takes efect (if any), or shall be obliged to repay any holiday pay received in excess of the your enttlement (if any). One day's pay for the purposes of this clause shall be calculated at the rate of 1/260th of your annual base salary.</w:t>
      </w:r>
    </w:p>
    <w:p>
      <w:pPr>
        <w:spacing w:after="0" w:line="203" w:lineRule="exact"/>
        <w:rPr>
          <w:rFonts w:ascii="Calibri" w:cs="Calibri" w:eastAsia="Calibri" w:hAnsi="Calibri"/>
          <w:sz w:val="19"/>
          <w:szCs w:val="19"/>
          <w:color w:val="auto"/>
        </w:rPr>
      </w:pPr>
    </w:p>
    <w:p>
      <w:pPr>
        <w:jc w:val="both"/>
        <w:ind w:firstLine="1241"/>
        <w:spacing w:after="0" w:line="237" w:lineRule="auto"/>
        <w:tabs>
          <w:tab w:leader="none" w:pos="1852" w:val="left"/>
        </w:tabs>
        <w:numPr>
          <w:ilvl w:val="1"/>
          <w:numId w:val="224"/>
        </w:numPr>
        <w:rPr>
          <w:rFonts w:ascii="Calibri" w:cs="Calibri" w:eastAsia="Calibri" w:hAnsi="Calibri"/>
          <w:sz w:val="19"/>
          <w:szCs w:val="19"/>
          <w:color w:val="auto"/>
        </w:rPr>
      </w:pPr>
      <w:r>
        <w:rPr>
          <w:rFonts w:ascii="Calibri" w:cs="Calibri" w:eastAsia="Calibri" w:hAnsi="Calibri"/>
          <w:sz w:val="19"/>
          <w:szCs w:val="19"/>
          <w:color w:val="auto"/>
        </w:rPr>
        <w:t>Holiday shall be taken at such tmes as are approved by the Company and may not be carried forward from one holiday year to the next without the approval of the Company. The Company may require you to take any holiday due during any period during which you are not required to perform any dutes or at any tme afer notce of terminaton has been served by either party.</w:t>
      </w:r>
    </w:p>
    <w:p>
      <w:pPr>
        <w:spacing w:after="0" w:line="202" w:lineRule="exact"/>
        <w:rPr>
          <w:rFonts w:ascii="Calibri" w:cs="Calibri" w:eastAsia="Calibri" w:hAnsi="Calibri"/>
          <w:sz w:val="19"/>
          <w:szCs w:val="19"/>
          <w:color w:val="auto"/>
        </w:rPr>
      </w:pPr>
    </w:p>
    <w:p>
      <w:pPr>
        <w:jc w:val="both"/>
        <w:ind w:firstLine="622"/>
        <w:spacing w:after="0" w:line="234" w:lineRule="auto"/>
        <w:tabs>
          <w:tab w:leader="none" w:pos="1237" w:val="left"/>
        </w:tabs>
        <w:numPr>
          <w:ilvl w:val="0"/>
          <w:numId w:val="224"/>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Severance. </w:t>
      </w:r>
      <w:r>
        <w:rPr>
          <w:rFonts w:ascii="Calibri" w:cs="Calibri" w:eastAsia="Calibri" w:hAnsi="Calibri"/>
          <w:sz w:val="19"/>
          <w:szCs w:val="19"/>
          <w:color w:val="auto"/>
        </w:rPr>
        <w:t>You will be eligible for Recursion’s Executve Change in Control and Severance Plan (the “Severance Plan”) by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entering into a Partcipaton Agreement under the Severance Plan, which is being provided to you concurrently with this Agreement. Your Partcipaton Agreement under the Severance Plan will specify the severance payments and benefts you could be eligible to receive in connecton with certain terminatons of your employment with the Company. To the extent that you become eligible to receive payments and benefts under Secton 11 or 12 of this Agreement, the aggregate amount of such payments and benefts will ofset the corresponding payments and benefts that you may become eligible to receive under the Severance Plan, subject to compliance with applicable law.</w:t>
      </w:r>
    </w:p>
    <w:p>
      <w:pPr>
        <w:spacing w:after="0" w:line="215" w:lineRule="exact"/>
        <w:rPr>
          <w:rFonts w:ascii="Calibri" w:cs="Calibri" w:eastAsia="Calibri" w:hAnsi="Calibri"/>
          <w:sz w:val="19"/>
          <w:szCs w:val="19"/>
          <w:color w:val="auto"/>
        </w:rPr>
      </w:pPr>
    </w:p>
    <w:p>
      <w:pPr>
        <w:jc w:val="both"/>
        <w:ind w:firstLine="622"/>
        <w:spacing w:after="0" w:line="233" w:lineRule="auto"/>
        <w:tabs>
          <w:tab w:leader="none" w:pos="1237" w:val="left"/>
        </w:tabs>
        <w:numPr>
          <w:ilvl w:val="0"/>
          <w:numId w:val="224"/>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Garden Leave. </w:t>
      </w:r>
      <w:r>
        <w:rPr>
          <w:rFonts w:ascii="Calibri" w:cs="Calibri" w:eastAsia="Calibri" w:hAnsi="Calibri"/>
          <w:sz w:val="19"/>
          <w:szCs w:val="19"/>
          <w:color w:val="auto"/>
        </w:rPr>
        <w:t>The Company reserves the right, at any tme, to require you, for such period or periods not exceeding three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month(s) as it sees ft, to cease carrying out your dutes and/or to exclude you from any premises belonging to the Company or any Associated Company, provided that, during such period or periods, the Company contnues to pay and provide your salary and contractual benefts and you must contnue to comply, without excepton, with all of your obligatons under this Agreement. For the avoidance of doubt, during such period or periods, you will not, without the prior writen consent of the Company, directly or indirectly carry on or be engaged, concerned or interested in any other business, trade, or occupaton, or contact any customers, clients, suppliers, agents, professional advisers, directors, ofcers, employees, consultants or contractors of the Company or any Associated Company (other than for purely social contact).</w:t>
      </w:r>
    </w:p>
    <w:p>
      <w:pPr>
        <w:spacing w:after="0" w:line="209" w:lineRule="exact"/>
        <w:rPr>
          <w:rFonts w:ascii="Calibri" w:cs="Calibri" w:eastAsia="Calibri" w:hAnsi="Calibri"/>
          <w:sz w:val="19"/>
          <w:szCs w:val="19"/>
          <w:color w:val="auto"/>
        </w:rPr>
      </w:pPr>
    </w:p>
    <w:p>
      <w:pPr>
        <w:ind w:left="1240" w:hanging="618"/>
        <w:spacing w:after="0"/>
        <w:tabs>
          <w:tab w:leader="none" w:pos="1240" w:val="left"/>
        </w:tabs>
        <w:numPr>
          <w:ilvl w:val="0"/>
          <w:numId w:val="224"/>
        </w:numPr>
        <w:rPr>
          <w:rFonts w:ascii="Calibri" w:cs="Calibri" w:eastAsia="Calibri" w:hAnsi="Calibri"/>
          <w:sz w:val="19"/>
          <w:szCs w:val="19"/>
          <w:color w:val="auto"/>
        </w:rPr>
      </w:pPr>
      <w:r>
        <w:rPr>
          <w:rFonts w:ascii="Calibri" w:cs="Calibri" w:eastAsia="Calibri" w:hAnsi="Calibri"/>
          <w:sz w:val="19"/>
          <w:szCs w:val="19"/>
          <w:b w:val="1"/>
          <w:bCs w:val="1"/>
          <w:color w:val="auto"/>
        </w:rPr>
        <w:t>Terminaton.</w:t>
      </w:r>
    </w:p>
    <w:p>
      <w:pPr>
        <w:spacing w:after="0" w:line="212" w:lineRule="exact"/>
        <w:rPr>
          <w:rFonts w:ascii="Calibri" w:cs="Calibri" w:eastAsia="Calibri" w:hAnsi="Calibri"/>
          <w:sz w:val="19"/>
          <w:szCs w:val="19"/>
          <w:color w:val="auto"/>
        </w:rPr>
      </w:pPr>
    </w:p>
    <w:p>
      <w:pPr>
        <w:jc w:val="both"/>
        <w:ind w:firstLine="1241"/>
        <w:spacing w:after="0" w:line="233" w:lineRule="auto"/>
        <w:tabs>
          <w:tab w:leader="none" w:pos="1856" w:val="left"/>
        </w:tabs>
        <w:numPr>
          <w:ilvl w:val="1"/>
          <w:numId w:val="224"/>
        </w:numPr>
        <w:rPr>
          <w:rFonts w:ascii="Calibri" w:cs="Calibri" w:eastAsia="Calibri" w:hAnsi="Calibri"/>
          <w:sz w:val="19"/>
          <w:szCs w:val="19"/>
          <w:color w:val="auto"/>
        </w:rPr>
      </w:pPr>
      <w:r>
        <w:rPr>
          <w:rFonts w:ascii="Calibri" w:cs="Calibri" w:eastAsia="Calibri" w:hAnsi="Calibri"/>
          <w:sz w:val="19"/>
          <w:szCs w:val="19"/>
          <w:color w:val="auto"/>
        </w:rPr>
        <w:t>The Company reserves the right, in its absolute discreton, to terminate the employment with immediate efect (whether or not notce has been given by either party) by giving notce of its intenton to pay to you a payment in lieu of notce and, if it does so, the Company shall make a payment of money in lieu of notce equal to your annual base salary only in respect of any</w:t>
      </w:r>
    </w:p>
    <w:p>
      <w:pPr>
        <w:spacing w:after="0" w:line="252" w:lineRule="exact"/>
        <w:rPr>
          <w:rFonts w:ascii="Calibri" w:cs="Calibri" w:eastAsia="Calibri" w:hAnsi="Calibri"/>
          <w:sz w:val="19"/>
          <w:szCs w:val="19"/>
          <w:color w:val="auto"/>
        </w:rPr>
      </w:pPr>
    </w:p>
    <w:p>
      <w:pPr>
        <w:ind w:left="5540" w:hanging="127"/>
        <w:spacing w:after="0"/>
        <w:tabs>
          <w:tab w:leader="none" w:pos="5540" w:val="left"/>
        </w:tabs>
        <w:numPr>
          <w:ilvl w:val="2"/>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351" w:lineRule="exact"/>
        <w:rPr>
          <w:sz w:val="20"/>
          <w:szCs w:val="20"/>
          <w:color w:val="auto"/>
        </w:rPr>
      </w:pPr>
    </w:p>
    <w:p>
      <w:pPr>
        <w:jc w:val="both"/>
        <w:spacing w:after="0" w:line="233" w:lineRule="auto"/>
        <w:rPr>
          <w:sz w:val="20"/>
          <w:szCs w:val="20"/>
          <w:color w:val="auto"/>
        </w:rPr>
      </w:pPr>
      <w:r>
        <w:rPr>
          <w:rFonts w:ascii="Calibri" w:cs="Calibri" w:eastAsia="Calibri" w:hAnsi="Calibri"/>
          <w:sz w:val="19"/>
          <w:szCs w:val="19"/>
          <w:color w:val="auto"/>
        </w:rPr>
        <w:t>unexpired part of the notce period to which you are enttled under this Agreement, less any applicable tax and natonal insurance, within 30 days of such notce. For the avoidance of doubt, where your employment is terminated in accordance with this clause, this Agreement will terminate on the date the Company notfes you that it is terminatng your employment in accordance with this clause.</w:t>
      </w:r>
    </w:p>
    <w:p>
      <w:pPr>
        <w:spacing w:after="0" w:line="208" w:lineRule="exact"/>
        <w:rPr>
          <w:sz w:val="20"/>
          <w:szCs w:val="20"/>
          <w:color w:val="auto"/>
        </w:rPr>
      </w:pPr>
    </w:p>
    <w:p>
      <w:pPr>
        <w:ind w:left="1860" w:hanging="619"/>
        <w:spacing w:after="0"/>
        <w:tabs>
          <w:tab w:leader="none" w:pos="1860" w:val="left"/>
        </w:tabs>
        <w:numPr>
          <w:ilvl w:val="0"/>
          <w:numId w:val="225"/>
        </w:numPr>
        <w:rPr>
          <w:rFonts w:ascii="Calibri" w:cs="Calibri" w:eastAsia="Calibri" w:hAnsi="Calibri"/>
          <w:sz w:val="19"/>
          <w:szCs w:val="19"/>
          <w:color w:val="auto"/>
        </w:rPr>
      </w:pPr>
      <w:r>
        <w:rPr>
          <w:rFonts w:ascii="Calibri" w:cs="Calibri" w:eastAsia="Calibri" w:hAnsi="Calibri"/>
          <w:sz w:val="19"/>
          <w:szCs w:val="19"/>
          <w:color w:val="auto"/>
        </w:rPr>
        <w:t>The Company may terminate the employment with immediate efect, at any tme, without notce or payment in lieu of</w:t>
      </w:r>
    </w:p>
    <w:p>
      <w:pPr>
        <w:spacing w:after="0" w:line="226" w:lineRule="auto"/>
        <w:rPr>
          <w:sz w:val="20"/>
          <w:szCs w:val="20"/>
          <w:color w:val="auto"/>
        </w:rPr>
      </w:pPr>
      <w:r>
        <w:rPr>
          <w:rFonts w:ascii="Calibri" w:cs="Calibri" w:eastAsia="Calibri" w:hAnsi="Calibri"/>
          <w:sz w:val="19"/>
          <w:szCs w:val="19"/>
          <w:color w:val="auto"/>
        </w:rPr>
        <w:t>notce, if you:</w:t>
      </w:r>
    </w:p>
    <w:p>
      <w:pPr>
        <w:spacing w:after="0" w:line="213" w:lineRule="exact"/>
        <w:rPr>
          <w:sz w:val="20"/>
          <w:szCs w:val="20"/>
          <w:color w:val="auto"/>
        </w:rPr>
      </w:pPr>
    </w:p>
    <w:p>
      <w:pPr>
        <w:ind w:firstLine="1860"/>
        <w:spacing w:after="0" w:line="230" w:lineRule="auto"/>
        <w:tabs>
          <w:tab w:leader="none" w:pos="2469" w:val="left"/>
        </w:tabs>
        <w:numPr>
          <w:ilvl w:val="1"/>
          <w:numId w:val="226"/>
        </w:numPr>
        <w:rPr>
          <w:rFonts w:ascii="Calibri" w:cs="Calibri" w:eastAsia="Calibri" w:hAnsi="Calibri"/>
          <w:sz w:val="19"/>
          <w:szCs w:val="19"/>
          <w:color w:val="auto"/>
        </w:rPr>
      </w:pPr>
      <w:r>
        <w:rPr>
          <w:rFonts w:ascii="Calibri" w:cs="Calibri" w:eastAsia="Calibri" w:hAnsi="Calibri"/>
          <w:sz w:val="19"/>
          <w:szCs w:val="19"/>
          <w:color w:val="auto"/>
        </w:rPr>
        <w:t>commit any serious or persistent breach or non-observance of the terms and conditons of this Agreement or rules of any applicable regulatory authority or body;</w:t>
      </w:r>
    </w:p>
    <w:p>
      <w:pPr>
        <w:spacing w:after="0" w:line="212" w:lineRule="exact"/>
        <w:rPr>
          <w:rFonts w:ascii="Calibri" w:cs="Calibri" w:eastAsia="Calibri" w:hAnsi="Calibri"/>
          <w:sz w:val="19"/>
          <w:szCs w:val="19"/>
          <w:color w:val="auto"/>
        </w:rPr>
      </w:pPr>
    </w:p>
    <w:p>
      <w:pPr>
        <w:ind w:firstLine="1860"/>
        <w:spacing w:after="0" w:line="236" w:lineRule="auto"/>
        <w:tabs>
          <w:tab w:leader="none" w:pos="2475" w:val="left"/>
        </w:tabs>
        <w:numPr>
          <w:ilvl w:val="1"/>
          <w:numId w:val="226"/>
        </w:numPr>
        <w:rPr>
          <w:rFonts w:ascii="Calibri" w:cs="Calibri" w:eastAsia="Calibri" w:hAnsi="Calibri"/>
          <w:sz w:val="19"/>
          <w:szCs w:val="19"/>
          <w:color w:val="auto"/>
        </w:rPr>
      </w:pPr>
      <w:r>
        <w:rPr>
          <w:rFonts w:ascii="Calibri" w:cs="Calibri" w:eastAsia="Calibri" w:hAnsi="Calibri"/>
          <w:sz w:val="19"/>
          <w:szCs w:val="19"/>
          <w:color w:val="auto"/>
        </w:rPr>
        <w:t>are guilty of gross misconduct or gross negligence in connecton with or afectng the business or afairs of the Company or any Associated Company;</w:t>
      </w:r>
    </w:p>
    <w:p>
      <w:pPr>
        <w:spacing w:after="0" w:line="195" w:lineRule="exact"/>
        <w:rPr>
          <w:rFonts w:ascii="Calibri" w:cs="Calibri" w:eastAsia="Calibri" w:hAnsi="Calibri"/>
          <w:sz w:val="19"/>
          <w:szCs w:val="19"/>
          <w:color w:val="auto"/>
        </w:rPr>
      </w:pPr>
    </w:p>
    <w:p>
      <w:pPr>
        <w:ind w:left="2480" w:hanging="620"/>
        <w:spacing w:after="0"/>
        <w:tabs>
          <w:tab w:leader="none" w:pos="2480" w:val="left"/>
        </w:tabs>
        <w:numPr>
          <w:ilvl w:val="1"/>
          <w:numId w:val="226"/>
        </w:numPr>
        <w:rPr>
          <w:rFonts w:ascii="Calibri" w:cs="Calibri" w:eastAsia="Calibri" w:hAnsi="Calibri"/>
          <w:sz w:val="19"/>
          <w:szCs w:val="19"/>
          <w:color w:val="auto"/>
        </w:rPr>
      </w:pPr>
      <w:r>
        <w:rPr>
          <w:rFonts w:ascii="Calibri" w:cs="Calibri" w:eastAsia="Calibri" w:hAnsi="Calibri"/>
          <w:sz w:val="19"/>
          <w:szCs w:val="19"/>
          <w:color w:val="auto"/>
        </w:rPr>
        <w:t>are guilty of conduct which brings or is likely to bring you or the Company or any Associated Company into</w:t>
      </w:r>
    </w:p>
    <w:p>
      <w:pPr>
        <w:spacing w:after="0"/>
        <w:rPr>
          <w:rFonts w:ascii="Calibri" w:cs="Calibri" w:eastAsia="Calibri" w:hAnsi="Calibri"/>
          <w:sz w:val="19"/>
          <w:szCs w:val="19"/>
          <w:color w:val="auto"/>
        </w:rPr>
      </w:pPr>
      <w:r>
        <w:rPr>
          <w:rFonts w:ascii="Calibri" w:cs="Calibri" w:eastAsia="Calibri" w:hAnsi="Calibri"/>
          <w:sz w:val="19"/>
          <w:szCs w:val="19"/>
          <w:color w:val="auto"/>
        </w:rPr>
        <w:t>disrepute;</w:t>
      </w:r>
    </w:p>
    <w:p>
      <w:pPr>
        <w:spacing w:after="0" w:line="193" w:lineRule="exact"/>
        <w:rPr>
          <w:rFonts w:ascii="Calibri" w:cs="Calibri" w:eastAsia="Calibri" w:hAnsi="Calibri"/>
          <w:sz w:val="19"/>
          <w:szCs w:val="19"/>
          <w:color w:val="auto"/>
        </w:rPr>
      </w:pPr>
    </w:p>
    <w:p>
      <w:pPr>
        <w:ind w:left="2480" w:hanging="620"/>
        <w:spacing w:after="0"/>
        <w:tabs>
          <w:tab w:leader="none" w:pos="2480" w:val="left"/>
        </w:tabs>
        <w:numPr>
          <w:ilvl w:val="1"/>
          <w:numId w:val="226"/>
        </w:numPr>
        <w:rPr>
          <w:rFonts w:ascii="Calibri" w:cs="Calibri" w:eastAsia="Calibri" w:hAnsi="Calibri"/>
          <w:sz w:val="19"/>
          <w:szCs w:val="19"/>
          <w:color w:val="auto"/>
        </w:rPr>
      </w:pPr>
      <w:r>
        <w:rPr>
          <w:rFonts w:ascii="Calibri" w:cs="Calibri" w:eastAsia="Calibri" w:hAnsi="Calibri"/>
          <w:sz w:val="19"/>
          <w:szCs w:val="19"/>
          <w:color w:val="auto"/>
        </w:rPr>
        <w:t>are convicted of a criminal ofence (other than a road trafc ofence for which a non-custodial penalty is</w:t>
      </w:r>
    </w:p>
    <w:p>
      <w:pPr>
        <w:spacing w:after="0"/>
        <w:rPr>
          <w:rFonts w:ascii="Calibri" w:cs="Calibri" w:eastAsia="Calibri" w:hAnsi="Calibri"/>
          <w:sz w:val="19"/>
          <w:szCs w:val="19"/>
          <w:color w:val="auto"/>
        </w:rPr>
      </w:pPr>
      <w:r>
        <w:rPr>
          <w:rFonts w:ascii="Calibri" w:cs="Calibri" w:eastAsia="Calibri" w:hAnsi="Calibri"/>
          <w:sz w:val="19"/>
          <w:szCs w:val="19"/>
          <w:color w:val="auto"/>
        </w:rPr>
        <w:t>imposed); and/or</w:t>
      </w:r>
    </w:p>
    <w:p>
      <w:pPr>
        <w:spacing w:after="0" w:line="212" w:lineRule="exact"/>
        <w:rPr>
          <w:rFonts w:ascii="Calibri" w:cs="Calibri" w:eastAsia="Calibri" w:hAnsi="Calibri"/>
          <w:sz w:val="19"/>
          <w:szCs w:val="19"/>
          <w:color w:val="auto"/>
        </w:rPr>
      </w:pPr>
    </w:p>
    <w:p>
      <w:pPr>
        <w:ind w:firstLine="1860"/>
        <w:spacing w:after="0" w:line="230" w:lineRule="auto"/>
        <w:tabs>
          <w:tab w:leader="none" w:pos="2473" w:val="left"/>
        </w:tabs>
        <w:numPr>
          <w:ilvl w:val="1"/>
          <w:numId w:val="226"/>
        </w:numPr>
        <w:rPr>
          <w:rFonts w:ascii="Calibri" w:cs="Calibri" w:eastAsia="Calibri" w:hAnsi="Calibri"/>
          <w:sz w:val="19"/>
          <w:szCs w:val="19"/>
          <w:color w:val="auto"/>
        </w:rPr>
      </w:pPr>
      <w:r>
        <w:rPr>
          <w:rFonts w:ascii="Calibri" w:cs="Calibri" w:eastAsia="Calibri" w:hAnsi="Calibri"/>
          <w:sz w:val="19"/>
          <w:szCs w:val="19"/>
          <w:color w:val="auto"/>
        </w:rPr>
        <w:t>are or become prohibited or disqualifed (by law or the artcles of associaton of the Company or any regulatory authority or body) from being a director or voluntarily resign as a director of the Company.</w:t>
      </w:r>
    </w:p>
    <w:p>
      <w:pPr>
        <w:spacing w:after="0" w:line="206" w:lineRule="exact"/>
        <w:rPr>
          <w:rFonts w:ascii="Calibri" w:cs="Calibri" w:eastAsia="Calibri" w:hAnsi="Calibri"/>
          <w:sz w:val="19"/>
          <w:szCs w:val="19"/>
          <w:color w:val="auto"/>
        </w:rPr>
      </w:pPr>
    </w:p>
    <w:p>
      <w:pPr>
        <w:ind w:left="1860" w:hanging="619"/>
        <w:spacing w:after="0"/>
        <w:tabs>
          <w:tab w:leader="none" w:pos="1860" w:val="left"/>
        </w:tabs>
        <w:numPr>
          <w:ilvl w:val="0"/>
          <w:numId w:val="227"/>
        </w:numPr>
        <w:rPr>
          <w:rFonts w:ascii="Calibri" w:cs="Calibri" w:eastAsia="Calibri" w:hAnsi="Calibri"/>
          <w:sz w:val="19"/>
          <w:szCs w:val="19"/>
          <w:color w:val="auto"/>
        </w:rPr>
      </w:pPr>
      <w:r>
        <w:rPr>
          <w:rFonts w:ascii="Calibri" w:cs="Calibri" w:eastAsia="Calibri" w:hAnsi="Calibri"/>
          <w:sz w:val="19"/>
          <w:szCs w:val="19"/>
          <w:color w:val="auto"/>
        </w:rPr>
        <w:t>On terminaton of employment, you shall:</w:t>
      </w:r>
    </w:p>
    <w:p>
      <w:pPr>
        <w:spacing w:after="0" w:line="199" w:lineRule="exact"/>
        <w:rPr>
          <w:rFonts w:ascii="Calibri" w:cs="Calibri" w:eastAsia="Calibri" w:hAnsi="Calibri"/>
          <w:sz w:val="19"/>
          <w:szCs w:val="19"/>
          <w:color w:val="auto"/>
        </w:rPr>
      </w:pPr>
    </w:p>
    <w:p>
      <w:pPr>
        <w:jc w:val="both"/>
        <w:ind w:firstLine="1860"/>
        <w:spacing w:after="0" w:line="235" w:lineRule="auto"/>
        <w:tabs>
          <w:tab w:leader="none" w:pos="2469" w:val="left"/>
        </w:tabs>
        <w:numPr>
          <w:ilvl w:val="1"/>
          <w:numId w:val="227"/>
        </w:numPr>
        <w:rPr>
          <w:rFonts w:ascii="Calibri" w:cs="Calibri" w:eastAsia="Calibri" w:hAnsi="Calibri"/>
          <w:sz w:val="19"/>
          <w:szCs w:val="19"/>
          <w:color w:val="auto"/>
        </w:rPr>
      </w:pPr>
      <w:r>
        <w:rPr>
          <w:rFonts w:ascii="Calibri" w:cs="Calibri" w:eastAsia="Calibri" w:hAnsi="Calibri"/>
          <w:sz w:val="19"/>
          <w:szCs w:val="19"/>
          <w:color w:val="auto"/>
        </w:rPr>
        <w:t>at the request of the Company, immediately resign from any ofce you hold in the Company or any Associated Company without claim for compensaton (without prejudice to any claims you may have for damages for breach of this Agreement) and, in the event of your failure to do so, the Company is irrevocably authorised to appoint some person in your name and on your behalf to sign and deliver such resignatons to the Company;</w:t>
      </w:r>
    </w:p>
    <w:p>
      <w:pPr>
        <w:spacing w:after="0" w:line="213" w:lineRule="exact"/>
        <w:rPr>
          <w:rFonts w:ascii="Calibri" w:cs="Calibri" w:eastAsia="Calibri" w:hAnsi="Calibri"/>
          <w:sz w:val="19"/>
          <w:szCs w:val="19"/>
          <w:color w:val="auto"/>
        </w:rPr>
      </w:pPr>
    </w:p>
    <w:p>
      <w:pPr>
        <w:ind w:firstLine="1860"/>
        <w:spacing w:after="0" w:line="230" w:lineRule="auto"/>
        <w:tabs>
          <w:tab w:leader="none" w:pos="2475" w:val="left"/>
        </w:tabs>
        <w:numPr>
          <w:ilvl w:val="1"/>
          <w:numId w:val="227"/>
        </w:numPr>
        <w:rPr>
          <w:rFonts w:ascii="Calibri" w:cs="Calibri" w:eastAsia="Calibri" w:hAnsi="Calibri"/>
          <w:sz w:val="19"/>
          <w:szCs w:val="19"/>
          <w:color w:val="auto"/>
        </w:rPr>
      </w:pPr>
      <w:r>
        <w:rPr>
          <w:rFonts w:ascii="Calibri" w:cs="Calibri" w:eastAsia="Calibri" w:hAnsi="Calibri"/>
          <w:sz w:val="19"/>
          <w:szCs w:val="19"/>
          <w:color w:val="auto"/>
        </w:rPr>
        <w:t>immediately repay all outstanding debts and loans due to the Company or any Associated Company, and the Company is hereby authorised to deduct from any monies due to you a sum in repayment of all or any part of any such debts or loans;</w:t>
      </w:r>
    </w:p>
    <w:p>
      <w:pPr>
        <w:spacing w:after="0" w:line="212" w:lineRule="exact"/>
        <w:rPr>
          <w:rFonts w:ascii="Calibri" w:cs="Calibri" w:eastAsia="Calibri" w:hAnsi="Calibri"/>
          <w:sz w:val="19"/>
          <w:szCs w:val="19"/>
          <w:color w:val="auto"/>
        </w:rPr>
      </w:pPr>
    </w:p>
    <w:p>
      <w:pPr>
        <w:ind w:firstLine="1860"/>
        <w:spacing w:after="0" w:line="236" w:lineRule="auto"/>
        <w:tabs>
          <w:tab w:leader="none" w:pos="2481" w:val="left"/>
        </w:tabs>
        <w:numPr>
          <w:ilvl w:val="1"/>
          <w:numId w:val="227"/>
        </w:numPr>
        <w:rPr>
          <w:rFonts w:ascii="Calibri" w:cs="Calibri" w:eastAsia="Calibri" w:hAnsi="Calibri"/>
          <w:sz w:val="19"/>
          <w:szCs w:val="19"/>
          <w:color w:val="auto"/>
        </w:rPr>
      </w:pPr>
      <w:r>
        <w:rPr>
          <w:rFonts w:ascii="Calibri" w:cs="Calibri" w:eastAsia="Calibri" w:hAnsi="Calibri"/>
          <w:sz w:val="19"/>
          <w:szCs w:val="19"/>
          <w:color w:val="auto"/>
        </w:rPr>
        <w:t>not, at any tme thereafer, make any untrue or misleading statement concerning the business or afairs of the Company or any Associated Company;</w:t>
      </w:r>
    </w:p>
    <w:p>
      <w:pPr>
        <w:spacing w:after="0" w:line="201" w:lineRule="exact"/>
        <w:rPr>
          <w:rFonts w:ascii="Calibri" w:cs="Calibri" w:eastAsia="Calibri" w:hAnsi="Calibri"/>
          <w:sz w:val="19"/>
          <w:szCs w:val="19"/>
          <w:color w:val="auto"/>
        </w:rPr>
      </w:pPr>
    </w:p>
    <w:p>
      <w:pPr>
        <w:jc w:val="both"/>
        <w:ind w:firstLine="1860"/>
        <w:spacing w:after="0" w:line="235" w:lineRule="auto"/>
        <w:tabs>
          <w:tab w:leader="none" w:pos="2479" w:val="left"/>
        </w:tabs>
        <w:numPr>
          <w:ilvl w:val="1"/>
          <w:numId w:val="227"/>
        </w:numPr>
        <w:rPr>
          <w:rFonts w:ascii="Calibri" w:cs="Calibri" w:eastAsia="Calibri" w:hAnsi="Calibri"/>
          <w:sz w:val="19"/>
          <w:szCs w:val="19"/>
          <w:color w:val="auto"/>
        </w:rPr>
      </w:pPr>
      <w:r>
        <w:rPr>
          <w:rFonts w:ascii="Calibri" w:cs="Calibri" w:eastAsia="Calibri" w:hAnsi="Calibri"/>
          <w:sz w:val="19"/>
          <w:szCs w:val="19"/>
          <w:color w:val="auto"/>
        </w:rPr>
        <w:t>return to the Company all property (belonging to the Company or entrusted to it by third partes) which is in your possession, custody or control by virtue of your employment, including (without limitaton) mobile phones, laptop / tablet computers, documents, correspondence, lists of customers or clients, and Company data, and all copies and duplicates of such items, whether in a physical or electronic form; and</w:t>
      </w:r>
    </w:p>
    <w:p>
      <w:pPr>
        <w:spacing w:after="0" w:line="213" w:lineRule="exact"/>
        <w:rPr>
          <w:rFonts w:ascii="Calibri" w:cs="Calibri" w:eastAsia="Calibri" w:hAnsi="Calibri"/>
          <w:sz w:val="19"/>
          <w:szCs w:val="19"/>
          <w:color w:val="auto"/>
        </w:rPr>
      </w:pPr>
    </w:p>
    <w:p>
      <w:pPr>
        <w:jc w:val="both"/>
        <w:ind w:firstLine="1860"/>
        <w:spacing w:after="0" w:line="233" w:lineRule="auto"/>
        <w:tabs>
          <w:tab w:leader="none" w:pos="2473" w:val="left"/>
        </w:tabs>
        <w:numPr>
          <w:ilvl w:val="1"/>
          <w:numId w:val="227"/>
        </w:numPr>
        <w:rPr>
          <w:rFonts w:ascii="Calibri" w:cs="Calibri" w:eastAsia="Calibri" w:hAnsi="Calibri"/>
          <w:sz w:val="19"/>
          <w:szCs w:val="19"/>
          <w:color w:val="auto"/>
        </w:rPr>
      </w:pPr>
      <w:r>
        <w:rPr>
          <w:rFonts w:ascii="Calibri" w:cs="Calibri" w:eastAsia="Calibri" w:hAnsi="Calibri"/>
          <w:sz w:val="19"/>
          <w:szCs w:val="19"/>
          <w:color w:val="auto"/>
        </w:rPr>
        <w:t>irretrievably delete all Confdental Informaton from any electronic devices and other data storage facilites or other re-usable material in your possession custody or control but which do not belong to the Company or any Associated Company, afer frst having forwarded a copy to the Company.</w:t>
      </w:r>
    </w:p>
    <w:p>
      <w:pPr>
        <w:spacing w:after="0" w:line="252" w:lineRule="exact"/>
        <w:rPr>
          <w:rFonts w:ascii="Calibri" w:cs="Calibri" w:eastAsia="Calibri" w:hAnsi="Calibri"/>
          <w:sz w:val="19"/>
          <w:szCs w:val="19"/>
          <w:color w:val="auto"/>
        </w:rPr>
      </w:pPr>
    </w:p>
    <w:p>
      <w:pPr>
        <w:ind w:left="5540" w:hanging="127"/>
        <w:spacing w:after="0"/>
        <w:tabs>
          <w:tab w:leader="none" w:pos="5540" w:val="left"/>
        </w:tabs>
        <w:numPr>
          <w:ilvl w:val="2"/>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351" w:lineRule="exact"/>
        <w:rPr>
          <w:sz w:val="20"/>
          <w:szCs w:val="20"/>
          <w:color w:val="auto"/>
        </w:rPr>
      </w:pPr>
    </w:p>
    <w:p>
      <w:pPr>
        <w:jc w:val="both"/>
        <w:ind w:left="-622" w:firstLine="1241"/>
        <w:spacing w:after="0" w:line="234" w:lineRule="auto"/>
        <w:tabs>
          <w:tab w:leader="none" w:pos="1230" w:val="left"/>
        </w:tabs>
        <w:numPr>
          <w:ilvl w:val="1"/>
          <w:numId w:val="228"/>
        </w:numPr>
        <w:rPr>
          <w:rFonts w:ascii="Calibri" w:cs="Calibri" w:eastAsia="Calibri" w:hAnsi="Calibri"/>
          <w:sz w:val="19"/>
          <w:szCs w:val="19"/>
          <w:color w:val="auto"/>
        </w:rPr>
      </w:pPr>
      <w:r>
        <w:rPr>
          <w:rFonts w:ascii="Calibri" w:cs="Calibri" w:eastAsia="Calibri" w:hAnsi="Calibri"/>
          <w:sz w:val="19"/>
          <w:szCs w:val="19"/>
          <w:color w:val="auto"/>
        </w:rPr>
        <w:t>You shall, on request, co-operate and provide such assistance and/or documents to the Company or any Associated Company, its or their fnancial or legal advisers or otherwise as required by law or regulatory authority or body in any internal investgaton, administratve, regulatory, quasi-judicial proceedings or any threatened or actual litgaton concerning it or them where you have, in your possession or knowledge, any facts or other maters which the Company or any Associated Company considers relevant to such investgaton, proceedings or litgaton. You acknowledge this may involve responding to or defending any regulatory or legal process, atending interviews, providing witness statements, providing informaton in relaton to any such process and giving evidence in person. To the extent permited by law, the Company or relevant Associated Company will reimburse your reasonable expenses incurred in providing such assistance and/or documents subject to the Company's applicable policies and procedures.</w:t>
      </w:r>
    </w:p>
    <w:p>
      <w:pPr>
        <w:spacing w:after="0" w:line="214" w:lineRule="exact"/>
        <w:rPr>
          <w:rFonts w:ascii="Calibri" w:cs="Calibri" w:eastAsia="Calibri" w:hAnsi="Calibri"/>
          <w:sz w:val="19"/>
          <w:szCs w:val="19"/>
          <w:color w:val="auto"/>
        </w:rPr>
      </w:pPr>
    </w:p>
    <w:p>
      <w:pPr>
        <w:jc w:val="both"/>
        <w:ind w:left="-622" w:firstLine="622"/>
        <w:spacing w:after="0"/>
        <w:tabs>
          <w:tab w:leader="none" w:pos="615" w:val="left"/>
        </w:tabs>
        <w:numPr>
          <w:ilvl w:val="0"/>
          <w:numId w:val="229"/>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Prior Employment/Third Party Informaton/Confictng Obligatons. </w:t>
      </w:r>
      <w:r>
        <w:rPr>
          <w:rFonts w:ascii="Calibri" w:cs="Calibri" w:eastAsia="Calibri" w:hAnsi="Calibri"/>
          <w:sz w:val="19"/>
          <w:szCs w:val="19"/>
          <w:color w:val="auto"/>
        </w:rPr>
        <w:t>We ask that, if you have not already done so, you disclose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to the Company any and all agreements relatng to your prior employment that may afect your eligibility to be employed by the Company or limit the manner in which you may be employed. It is the Company’s understanding that any such agreements will not prevent you from performing the dutes of your positon and you represent that such is the case. Similarly, you agree not to bring any third-party confdental informaton to the Company, including that of any former employer, and that you will not in any way utlize any such informaton in performing your dutes for the Company. Moreover, you agree that, during the term of your employment with the Company, you will not engage in any other employment, occupaton, consultng, or other business actvity directly related to the business in which the Company is now involved or becomes involved during the term of your employment, nor will you engage in any other actvites that confict with your obligatons to the Company.</w:t>
      </w:r>
    </w:p>
    <w:p>
      <w:pPr>
        <w:spacing w:after="0" w:line="381" w:lineRule="exact"/>
        <w:rPr>
          <w:rFonts w:ascii="Calibri" w:cs="Calibri" w:eastAsia="Calibri" w:hAnsi="Calibri"/>
          <w:sz w:val="19"/>
          <w:szCs w:val="19"/>
          <w:color w:val="auto"/>
        </w:rPr>
      </w:pPr>
    </w:p>
    <w:p>
      <w:pPr>
        <w:ind w:left="618" w:hanging="618"/>
        <w:spacing w:after="0"/>
        <w:tabs>
          <w:tab w:leader="none" w:pos="618" w:val="left"/>
        </w:tabs>
        <w:numPr>
          <w:ilvl w:val="0"/>
          <w:numId w:val="229"/>
        </w:numPr>
        <w:rPr>
          <w:rFonts w:ascii="Calibri" w:cs="Calibri" w:eastAsia="Calibri" w:hAnsi="Calibri"/>
          <w:sz w:val="19"/>
          <w:szCs w:val="19"/>
          <w:color w:val="auto"/>
        </w:rPr>
      </w:pPr>
      <w:r>
        <w:rPr>
          <w:rFonts w:ascii="Calibri" w:cs="Calibri" w:eastAsia="Calibri" w:hAnsi="Calibri"/>
          <w:sz w:val="19"/>
          <w:szCs w:val="19"/>
          <w:b w:val="1"/>
          <w:bCs w:val="1"/>
          <w:color w:val="auto"/>
        </w:rPr>
        <w:t>Intellectual Property</w:t>
      </w:r>
    </w:p>
    <w:p>
      <w:pPr>
        <w:spacing w:after="0" w:line="212" w:lineRule="exact"/>
        <w:rPr>
          <w:rFonts w:ascii="Calibri" w:cs="Calibri" w:eastAsia="Calibri" w:hAnsi="Calibri"/>
          <w:sz w:val="19"/>
          <w:szCs w:val="19"/>
          <w:color w:val="auto"/>
        </w:rPr>
      </w:pPr>
    </w:p>
    <w:p>
      <w:pPr>
        <w:jc w:val="both"/>
        <w:ind w:left="-622" w:firstLine="1241"/>
        <w:spacing w:after="0" w:line="231" w:lineRule="auto"/>
        <w:tabs>
          <w:tab w:leader="none" w:pos="1234" w:val="left"/>
        </w:tabs>
        <w:numPr>
          <w:ilvl w:val="1"/>
          <w:numId w:val="229"/>
        </w:numPr>
        <w:rPr>
          <w:rFonts w:ascii="Calibri" w:cs="Calibri" w:eastAsia="Calibri" w:hAnsi="Calibri"/>
          <w:sz w:val="19"/>
          <w:szCs w:val="19"/>
          <w:color w:val="auto"/>
        </w:rPr>
      </w:pPr>
      <w:r>
        <w:rPr>
          <w:rFonts w:ascii="Calibri" w:cs="Calibri" w:eastAsia="Calibri" w:hAnsi="Calibri"/>
          <w:sz w:val="19"/>
          <w:szCs w:val="19"/>
          <w:color w:val="auto"/>
        </w:rPr>
        <w:t>You represent and warrant that you have disclosed to the Company in writng to us all Intellectual Property Rights or Inventons created prior to the start date of your original employment with Exscienta AI Ltd. that are owned by you or in which you have any interest which relate to, or are reasonably capable of being used in, the business of Company (or if no disclosure has been made, you represent and warrant that none exist).</w:t>
      </w:r>
    </w:p>
    <w:p>
      <w:pPr>
        <w:spacing w:after="0" w:line="215" w:lineRule="exact"/>
        <w:rPr>
          <w:rFonts w:ascii="Calibri" w:cs="Calibri" w:eastAsia="Calibri" w:hAnsi="Calibri"/>
          <w:sz w:val="19"/>
          <w:szCs w:val="19"/>
          <w:color w:val="auto"/>
        </w:rPr>
      </w:pPr>
    </w:p>
    <w:p>
      <w:pPr>
        <w:jc w:val="both"/>
        <w:ind w:left="-622" w:firstLine="1241"/>
        <w:spacing w:after="0" w:line="234" w:lineRule="auto"/>
        <w:tabs>
          <w:tab w:leader="none" w:pos="1230" w:val="left"/>
        </w:tabs>
        <w:numPr>
          <w:ilvl w:val="1"/>
          <w:numId w:val="229"/>
        </w:numPr>
        <w:rPr>
          <w:rFonts w:ascii="Calibri" w:cs="Calibri" w:eastAsia="Calibri" w:hAnsi="Calibri"/>
          <w:sz w:val="19"/>
          <w:szCs w:val="19"/>
          <w:color w:val="auto"/>
        </w:rPr>
      </w:pPr>
      <w:r>
        <w:rPr>
          <w:rFonts w:ascii="Calibri" w:cs="Calibri" w:eastAsia="Calibri" w:hAnsi="Calibri"/>
          <w:sz w:val="19"/>
          <w:szCs w:val="19"/>
          <w:color w:val="auto"/>
        </w:rPr>
        <w:t>You shall promptly contnue to provide to us full writen details of all Inventons and of all works embodying Intellectual Property Rights made wholly or partally by you at any tme during the course of your employment with us or Company which relate to, or are reasonably capable of being used in, the business of Company. You acknowledge that all Intellectual Property Rights subsistng (or which may in the future subsist) in all such Inventons and works shall automatcally, on creaton, vest in us absolutely. To the extent that they do not vest automatcally, you hold them on trust for us. You agree promptly to execute all documents and do all acts as may, in our opinion, be necessary to give efect to this clause 14.</w:t>
      </w:r>
    </w:p>
    <w:p>
      <w:pPr>
        <w:spacing w:after="0" w:line="215" w:lineRule="exact"/>
        <w:rPr>
          <w:rFonts w:ascii="Calibri" w:cs="Calibri" w:eastAsia="Calibri" w:hAnsi="Calibri"/>
          <w:sz w:val="19"/>
          <w:szCs w:val="19"/>
          <w:color w:val="auto"/>
        </w:rPr>
      </w:pPr>
    </w:p>
    <w:p>
      <w:pPr>
        <w:ind w:left="-622" w:firstLine="1241"/>
        <w:spacing w:after="0" w:line="230" w:lineRule="auto"/>
        <w:tabs>
          <w:tab w:leader="none" w:pos="1236" w:val="left"/>
        </w:tabs>
        <w:numPr>
          <w:ilvl w:val="1"/>
          <w:numId w:val="229"/>
        </w:numPr>
        <w:rPr>
          <w:rFonts w:ascii="Calibri" w:cs="Calibri" w:eastAsia="Calibri" w:hAnsi="Calibri"/>
          <w:sz w:val="19"/>
          <w:szCs w:val="19"/>
          <w:color w:val="auto"/>
        </w:rPr>
      </w:pPr>
      <w:r>
        <w:rPr>
          <w:rFonts w:ascii="Calibri" w:cs="Calibri" w:eastAsia="Calibri" w:hAnsi="Calibri"/>
          <w:sz w:val="19"/>
          <w:szCs w:val="19"/>
          <w:color w:val="auto"/>
        </w:rPr>
        <w:t>You hereby irrevocably waive all moral rights under the Copyright, Designs and Patents Act 1988 (and all similar rights in other jurisdictons) which you have or will have in any existng or future works referred to in clause 14.</w:t>
      </w:r>
    </w:p>
    <w:p>
      <w:pPr>
        <w:spacing w:after="0" w:line="212" w:lineRule="exact"/>
        <w:rPr>
          <w:rFonts w:ascii="Calibri" w:cs="Calibri" w:eastAsia="Calibri" w:hAnsi="Calibri"/>
          <w:sz w:val="19"/>
          <w:szCs w:val="19"/>
          <w:color w:val="auto"/>
        </w:rPr>
      </w:pPr>
    </w:p>
    <w:p>
      <w:pPr>
        <w:ind w:left="-622" w:firstLine="1241"/>
        <w:spacing w:after="0" w:line="230" w:lineRule="auto"/>
        <w:tabs>
          <w:tab w:leader="none" w:pos="1230" w:val="left"/>
        </w:tabs>
        <w:numPr>
          <w:ilvl w:val="1"/>
          <w:numId w:val="229"/>
        </w:numPr>
        <w:rPr>
          <w:rFonts w:ascii="Calibri" w:cs="Calibri" w:eastAsia="Calibri" w:hAnsi="Calibri"/>
          <w:sz w:val="19"/>
          <w:szCs w:val="19"/>
          <w:color w:val="auto"/>
        </w:rPr>
      </w:pPr>
      <w:r>
        <w:rPr>
          <w:rFonts w:ascii="Calibri" w:cs="Calibri" w:eastAsia="Calibri" w:hAnsi="Calibri"/>
          <w:sz w:val="19"/>
          <w:szCs w:val="19"/>
          <w:color w:val="auto"/>
        </w:rPr>
        <w:t>You acknowledge that, except as provided by law, no further remuneraton or compensaton other than that provided for in this Agreement is or may become due to you in respect of</w:t>
      </w:r>
    </w:p>
    <w:p>
      <w:pPr>
        <w:spacing w:after="0" w:line="251" w:lineRule="exact"/>
        <w:rPr>
          <w:rFonts w:ascii="Calibri" w:cs="Calibri" w:eastAsia="Calibri" w:hAnsi="Calibri"/>
          <w:sz w:val="19"/>
          <w:szCs w:val="19"/>
          <w:color w:val="auto"/>
        </w:rPr>
      </w:pPr>
    </w:p>
    <w:p>
      <w:pPr>
        <w:ind w:left="4918" w:hanging="127"/>
        <w:spacing w:after="0"/>
        <w:tabs>
          <w:tab w:leader="none" w:pos="4918" w:val="left"/>
        </w:tabs>
        <w:numPr>
          <w:ilvl w:val="2"/>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w:t>
      </w:r>
    </w:p>
    <w:p>
      <w:pPr>
        <w:sectPr>
          <w:pgSz w:w="11900" w:h="16838" w:orient="portrait"/>
          <w:cols w:equalWidth="0" w:num="1">
            <w:col w:w="10618"/>
          </w:cols>
          <w:pgMar w:left="942" w:top="1440" w:right="339" w:bottom="1440" w:gutter="0" w:footer="0" w:header="0"/>
        </w:sectPr>
      </w:pPr>
    </w:p>
    <w:bookmarkStart w:id="286" w:name="page287"/>
    <w:bookmarkEnd w:id="286"/>
    <w:p>
      <w:pPr>
        <w:spacing w:after="0" w:line="345" w:lineRule="exact"/>
        <w:rPr>
          <w:sz w:val="20"/>
          <w:szCs w:val="20"/>
          <w:color w:val="auto"/>
        </w:rPr>
      </w:pPr>
    </w:p>
    <w:p>
      <w:pPr>
        <w:spacing w:after="0"/>
        <w:rPr>
          <w:sz w:val="20"/>
          <w:szCs w:val="20"/>
          <w:color w:val="auto"/>
        </w:rPr>
      </w:pPr>
      <w:r>
        <w:rPr>
          <w:rFonts w:ascii="Calibri" w:cs="Calibri" w:eastAsia="Calibri" w:hAnsi="Calibri"/>
          <w:sz w:val="19"/>
          <w:szCs w:val="19"/>
          <w:color w:val="auto"/>
        </w:rPr>
        <w:t>your compliance with this clause 14. This clause 14 is without prejudice to your rights under the Patents Act 1977.</w:t>
      </w:r>
    </w:p>
    <w:p>
      <w:pPr>
        <w:spacing w:after="0" w:line="213" w:lineRule="exact"/>
        <w:rPr>
          <w:sz w:val="20"/>
          <w:szCs w:val="20"/>
          <w:color w:val="auto"/>
        </w:rPr>
      </w:pPr>
    </w:p>
    <w:p>
      <w:pPr>
        <w:jc w:val="both"/>
        <w:ind w:firstLine="1241"/>
        <w:spacing w:after="0" w:line="233" w:lineRule="auto"/>
        <w:tabs>
          <w:tab w:leader="none" w:pos="1860" w:val="left"/>
        </w:tabs>
        <w:numPr>
          <w:ilvl w:val="1"/>
          <w:numId w:val="230"/>
        </w:numPr>
        <w:rPr>
          <w:rFonts w:ascii="Calibri" w:cs="Calibri" w:eastAsia="Calibri" w:hAnsi="Calibri"/>
          <w:sz w:val="19"/>
          <w:szCs w:val="19"/>
          <w:color w:val="auto"/>
        </w:rPr>
      </w:pPr>
      <w:r>
        <w:rPr>
          <w:rFonts w:ascii="Calibri" w:cs="Calibri" w:eastAsia="Calibri" w:hAnsi="Calibri"/>
          <w:sz w:val="19"/>
          <w:szCs w:val="19"/>
          <w:color w:val="auto"/>
        </w:rPr>
        <w:t>The provisions of this clause 14 will contnue in force afer the terminaton of this agreement in respect of all Inventons and all works embodying Intellectual Property Rights made by you during the course of your employment with us or Company and will be binding on your personal representatves.</w:t>
      </w:r>
    </w:p>
    <w:p>
      <w:pPr>
        <w:spacing w:after="0" w:line="194" w:lineRule="exact"/>
        <w:rPr>
          <w:rFonts w:ascii="Calibri" w:cs="Calibri" w:eastAsia="Calibri" w:hAnsi="Calibri"/>
          <w:sz w:val="19"/>
          <w:szCs w:val="19"/>
          <w:color w:val="auto"/>
        </w:rPr>
      </w:pPr>
    </w:p>
    <w:p>
      <w:pPr>
        <w:ind w:left="1240" w:hanging="618"/>
        <w:spacing w:after="0"/>
        <w:tabs>
          <w:tab w:leader="none" w:pos="1240" w:val="left"/>
        </w:tabs>
        <w:numPr>
          <w:ilvl w:val="0"/>
          <w:numId w:val="231"/>
        </w:numPr>
        <w:rPr>
          <w:rFonts w:ascii="Calibri" w:cs="Calibri" w:eastAsia="Calibri" w:hAnsi="Calibri"/>
          <w:sz w:val="19"/>
          <w:szCs w:val="19"/>
          <w:color w:val="auto"/>
        </w:rPr>
      </w:pPr>
      <w:r>
        <w:rPr>
          <w:rFonts w:ascii="Calibri" w:cs="Calibri" w:eastAsia="Calibri" w:hAnsi="Calibri"/>
          <w:sz w:val="19"/>
          <w:szCs w:val="19"/>
          <w:b w:val="1"/>
          <w:bCs w:val="1"/>
          <w:color w:val="auto"/>
        </w:rPr>
        <w:t>Company Property and Confdentality.</w:t>
      </w:r>
    </w:p>
    <w:p>
      <w:pPr>
        <w:spacing w:after="0" w:line="212" w:lineRule="exact"/>
        <w:rPr>
          <w:rFonts w:ascii="Calibri" w:cs="Calibri" w:eastAsia="Calibri" w:hAnsi="Calibri"/>
          <w:sz w:val="19"/>
          <w:szCs w:val="19"/>
          <w:color w:val="auto"/>
        </w:rPr>
      </w:pPr>
    </w:p>
    <w:p>
      <w:pPr>
        <w:jc w:val="both"/>
        <w:ind w:firstLine="1241"/>
        <w:spacing w:after="0" w:line="233" w:lineRule="auto"/>
        <w:tabs>
          <w:tab w:leader="none" w:pos="1856" w:val="left"/>
        </w:tabs>
        <w:numPr>
          <w:ilvl w:val="1"/>
          <w:numId w:val="231"/>
        </w:numPr>
        <w:rPr>
          <w:rFonts w:ascii="Calibri" w:cs="Calibri" w:eastAsia="Calibri" w:hAnsi="Calibri"/>
          <w:sz w:val="19"/>
          <w:szCs w:val="19"/>
          <w:color w:val="auto"/>
        </w:rPr>
      </w:pPr>
      <w:r>
        <w:rPr>
          <w:rFonts w:ascii="Calibri" w:cs="Calibri" w:eastAsia="Calibri" w:hAnsi="Calibri"/>
          <w:sz w:val="19"/>
          <w:szCs w:val="19"/>
          <w:color w:val="auto"/>
        </w:rPr>
        <w:t>All documents and other things (in whatever form or media) relatng to the business or afairs of the Company or any Associated Company which you acquire, receive or create during the employment shall be the property of the Company and shall be surrendered to the Company (together with all copies) on demand at any tme and, in any event, upon terminaton of employment.</w:t>
      </w:r>
    </w:p>
    <w:p>
      <w:pPr>
        <w:spacing w:after="0" w:line="214" w:lineRule="exact"/>
        <w:rPr>
          <w:rFonts w:ascii="Calibri" w:cs="Calibri" w:eastAsia="Calibri" w:hAnsi="Calibri"/>
          <w:sz w:val="19"/>
          <w:szCs w:val="19"/>
          <w:color w:val="auto"/>
        </w:rPr>
      </w:pPr>
    </w:p>
    <w:p>
      <w:pPr>
        <w:jc w:val="both"/>
        <w:ind w:firstLine="1241"/>
        <w:spacing w:after="0" w:line="234" w:lineRule="auto"/>
        <w:tabs>
          <w:tab w:leader="none" w:pos="1852" w:val="left"/>
        </w:tabs>
        <w:numPr>
          <w:ilvl w:val="1"/>
          <w:numId w:val="231"/>
        </w:numPr>
        <w:rPr>
          <w:rFonts w:ascii="Calibri" w:cs="Calibri" w:eastAsia="Calibri" w:hAnsi="Calibri"/>
          <w:sz w:val="19"/>
          <w:szCs w:val="19"/>
          <w:color w:val="auto"/>
        </w:rPr>
      </w:pPr>
      <w:r>
        <w:rPr>
          <w:rFonts w:ascii="Calibri" w:cs="Calibri" w:eastAsia="Calibri" w:hAnsi="Calibri"/>
          <w:sz w:val="19"/>
          <w:szCs w:val="19"/>
          <w:color w:val="auto"/>
        </w:rPr>
        <w:t>You shall not, at any tme, either during or afer the terminaton of the employment, disclose to any person or use for your own purposes any Confdental Informaton you acquire during the employment other than in the proper performance of your dutes or as ordered by a competent court. This clause shall not apply to disclosure or use: arising in the proper performance of your dutes; previously authorised in writng by the Company; of informaton already in the public domain other than as a consequence of your unauthorised disclosure; relatng to criminal ofences to law enforcement agencies; made in accordance with the Public Interest Disclosure Act 1998; ordered by a court of competent jurisdicton; or required by any statutory or regulatory authority.</w:t>
      </w:r>
    </w:p>
    <w:p>
      <w:pPr>
        <w:spacing w:after="0" w:line="203" w:lineRule="exact"/>
        <w:rPr>
          <w:rFonts w:ascii="Calibri" w:cs="Calibri" w:eastAsia="Calibri" w:hAnsi="Calibri"/>
          <w:sz w:val="19"/>
          <w:szCs w:val="19"/>
          <w:color w:val="auto"/>
        </w:rPr>
      </w:pPr>
    </w:p>
    <w:p>
      <w:pPr>
        <w:jc w:val="both"/>
        <w:ind w:firstLine="622"/>
        <w:spacing w:after="0" w:line="235" w:lineRule="auto"/>
        <w:tabs>
          <w:tab w:leader="none" w:pos="1237" w:val="left"/>
        </w:tabs>
        <w:numPr>
          <w:ilvl w:val="0"/>
          <w:numId w:val="231"/>
        </w:numPr>
        <w:rPr>
          <w:rFonts w:ascii="Calibri" w:cs="Calibri" w:eastAsia="Calibri" w:hAnsi="Calibri"/>
          <w:sz w:val="19"/>
          <w:szCs w:val="19"/>
          <w:color w:val="auto"/>
        </w:rPr>
      </w:pPr>
      <w:r>
        <w:rPr>
          <w:rFonts w:ascii="Calibri" w:cs="Calibri" w:eastAsia="Calibri" w:hAnsi="Calibri"/>
          <w:sz w:val="19"/>
          <w:szCs w:val="19"/>
          <w:b w:val="1"/>
          <w:bCs w:val="1"/>
          <w:color w:val="auto"/>
        </w:rPr>
        <w:t>Company Policies</w:t>
      </w:r>
      <w:r>
        <w:rPr>
          <w:rFonts w:ascii="Calibri" w:cs="Calibri" w:eastAsia="Calibri" w:hAnsi="Calibri"/>
          <w:sz w:val="19"/>
          <w:szCs w:val="19"/>
          <w:color w:val="auto"/>
        </w:rPr>
        <w:t>. You shall be familiar with and comply with all policies, procedures, rules or codes of conduct in force from</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tme to tme required by any regulatory body in relaton to the business of the Company or any Associated Company or which the Company shall reasonably determine are necessary for the proper functoning of its business, including your contractual, fduciary and common law dutes, and you shall at all tmes carry out your dutes under this Agreement in accordance with the same.</w:t>
      </w:r>
    </w:p>
    <w:p>
      <w:pPr>
        <w:spacing w:after="0" w:line="213" w:lineRule="exact"/>
        <w:rPr>
          <w:rFonts w:ascii="Calibri" w:cs="Calibri" w:eastAsia="Calibri" w:hAnsi="Calibri"/>
          <w:sz w:val="19"/>
          <w:szCs w:val="19"/>
          <w:color w:val="auto"/>
        </w:rPr>
      </w:pPr>
    </w:p>
    <w:p>
      <w:pPr>
        <w:jc w:val="both"/>
        <w:ind w:firstLine="622"/>
        <w:spacing w:after="0" w:line="233" w:lineRule="auto"/>
        <w:tabs>
          <w:tab w:leader="none" w:pos="1237" w:val="left"/>
        </w:tabs>
        <w:numPr>
          <w:ilvl w:val="0"/>
          <w:numId w:val="231"/>
        </w:numPr>
        <w:rPr>
          <w:rFonts w:ascii="Calibri" w:cs="Calibri" w:eastAsia="Calibri" w:hAnsi="Calibri"/>
          <w:sz w:val="19"/>
          <w:szCs w:val="19"/>
          <w:color w:val="auto"/>
        </w:rPr>
      </w:pPr>
      <w:r>
        <w:rPr>
          <w:rFonts w:ascii="Calibri" w:cs="Calibri" w:eastAsia="Calibri" w:hAnsi="Calibri"/>
          <w:sz w:val="19"/>
          <w:szCs w:val="19"/>
          <w:b w:val="1"/>
          <w:bCs w:val="1"/>
          <w:color w:val="auto"/>
        </w:rPr>
        <w:t>FDA Disbarment</w:t>
      </w:r>
      <w:r>
        <w:rPr>
          <w:rFonts w:ascii="Calibri" w:cs="Calibri" w:eastAsia="Calibri" w:hAnsi="Calibri"/>
          <w:sz w:val="19"/>
          <w:szCs w:val="19"/>
          <w:color w:val="auto"/>
        </w:rPr>
        <w:t>. As a conditon of the acceptance of this Agreement, you certfy that you are not and have never been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debarred by the FDA pursuant to 21 USC 335, are not listed on the FDA’s disqualifed/restricted list, are not excluded from partcipatng in federal health care programs, and have not commited any actons that could lead to FDA debarment or exclusion from federal health care programs. If you become aware of a proceeding that could lead to debarment or disqualifcaton/restricton by FDA or exclusion from federal health care programs, you will immediately inform the Company.</w:t>
      </w:r>
    </w:p>
    <w:p>
      <w:pPr>
        <w:spacing w:after="0" w:line="208" w:lineRule="exact"/>
        <w:rPr>
          <w:rFonts w:ascii="Calibri" w:cs="Calibri" w:eastAsia="Calibri" w:hAnsi="Calibri"/>
          <w:sz w:val="19"/>
          <w:szCs w:val="19"/>
          <w:color w:val="auto"/>
        </w:rPr>
      </w:pPr>
    </w:p>
    <w:p>
      <w:pPr>
        <w:ind w:left="1240" w:hanging="618"/>
        <w:spacing w:after="0"/>
        <w:tabs>
          <w:tab w:leader="none" w:pos="1240" w:val="left"/>
        </w:tabs>
        <w:numPr>
          <w:ilvl w:val="0"/>
          <w:numId w:val="231"/>
        </w:numPr>
        <w:rPr>
          <w:rFonts w:ascii="Calibri" w:cs="Calibri" w:eastAsia="Calibri" w:hAnsi="Calibri"/>
          <w:sz w:val="19"/>
          <w:szCs w:val="19"/>
          <w:color w:val="auto"/>
        </w:rPr>
      </w:pPr>
      <w:r>
        <w:rPr>
          <w:rFonts w:ascii="Calibri" w:cs="Calibri" w:eastAsia="Calibri" w:hAnsi="Calibri"/>
          <w:sz w:val="19"/>
          <w:szCs w:val="19"/>
          <w:b w:val="1"/>
          <w:bCs w:val="1"/>
          <w:color w:val="auto"/>
        </w:rPr>
        <w:t>Post-Terminaton Undertakings.</w:t>
      </w:r>
    </w:p>
    <w:p>
      <w:pPr>
        <w:spacing w:after="0" w:line="199" w:lineRule="exact"/>
        <w:rPr>
          <w:rFonts w:ascii="Calibri" w:cs="Calibri" w:eastAsia="Calibri" w:hAnsi="Calibri"/>
          <w:sz w:val="19"/>
          <w:szCs w:val="19"/>
          <w:color w:val="auto"/>
        </w:rPr>
      </w:pPr>
    </w:p>
    <w:p>
      <w:pPr>
        <w:jc w:val="both"/>
        <w:ind w:firstLine="1241"/>
        <w:spacing w:after="0"/>
        <w:tabs>
          <w:tab w:leader="none" w:pos="1856" w:val="left"/>
        </w:tabs>
        <w:numPr>
          <w:ilvl w:val="1"/>
          <w:numId w:val="231"/>
        </w:numPr>
        <w:rPr>
          <w:rFonts w:ascii="Calibri" w:cs="Calibri" w:eastAsia="Calibri" w:hAnsi="Calibri"/>
          <w:sz w:val="19"/>
          <w:szCs w:val="19"/>
          <w:color w:val="auto"/>
        </w:rPr>
      </w:pPr>
      <w:r>
        <w:rPr>
          <w:rFonts w:ascii="Calibri" w:cs="Calibri" w:eastAsia="Calibri" w:hAnsi="Calibri"/>
          <w:sz w:val="19"/>
          <w:szCs w:val="19"/>
          <w:color w:val="auto"/>
        </w:rPr>
        <w:t>You undertake that you will not, for the period of six months afer the terminaton of your employment, without the prior writen consent of the Company, either alone or jointly with or on behalf of any person, directly or indirectly solicit or entce away, or endeavour to solicit or entce away, from the Company or any Associated Company any person who, at the date of terminaton of the employment, is employed or engaged by the Company or any Associated Company and: (i) with whom you had material contact during the course of the employment; or (ii) is or was, at the date of terminaton of the employment, or at any tme during the period of 12 months immediately</w:t>
      </w:r>
    </w:p>
    <w:p>
      <w:pPr>
        <w:spacing w:after="0" w:line="200" w:lineRule="exact"/>
        <w:rPr>
          <w:rFonts w:ascii="Calibri" w:cs="Calibri" w:eastAsia="Calibri" w:hAnsi="Calibri"/>
          <w:sz w:val="19"/>
          <w:szCs w:val="19"/>
          <w:color w:val="auto"/>
        </w:rPr>
      </w:pPr>
    </w:p>
    <w:p>
      <w:pPr>
        <w:spacing w:after="0" w:line="251" w:lineRule="exact"/>
        <w:rPr>
          <w:rFonts w:ascii="Calibri" w:cs="Calibri" w:eastAsia="Calibri" w:hAnsi="Calibri"/>
          <w:sz w:val="19"/>
          <w:szCs w:val="19"/>
          <w:color w:val="auto"/>
        </w:rPr>
      </w:pPr>
    </w:p>
    <w:p>
      <w:pPr>
        <w:ind w:left="5540" w:hanging="127"/>
        <w:spacing w:after="0"/>
        <w:tabs>
          <w:tab w:leader="none" w:pos="5540" w:val="left"/>
        </w:tabs>
        <w:numPr>
          <w:ilvl w:val="2"/>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351" w:lineRule="exact"/>
        <w:rPr>
          <w:sz w:val="20"/>
          <w:szCs w:val="20"/>
          <w:color w:val="auto"/>
        </w:rPr>
      </w:pPr>
    </w:p>
    <w:p>
      <w:pPr>
        <w:spacing w:after="0" w:line="236" w:lineRule="auto"/>
        <w:rPr>
          <w:sz w:val="20"/>
          <w:szCs w:val="20"/>
          <w:color w:val="auto"/>
        </w:rPr>
      </w:pPr>
      <w:r>
        <w:rPr>
          <w:rFonts w:ascii="Calibri" w:cs="Calibri" w:eastAsia="Calibri" w:hAnsi="Calibri"/>
          <w:sz w:val="19"/>
          <w:szCs w:val="19"/>
          <w:color w:val="auto"/>
        </w:rPr>
        <w:t>prior to that date, directly managed by or reports to you (in both cases whether or not such person would commit a breach of contract by so doing);</w:t>
      </w:r>
    </w:p>
    <w:p>
      <w:pPr>
        <w:spacing w:after="0" w:line="201" w:lineRule="exact"/>
        <w:rPr>
          <w:sz w:val="20"/>
          <w:szCs w:val="20"/>
          <w:color w:val="auto"/>
        </w:rPr>
      </w:pPr>
    </w:p>
    <w:p>
      <w:pPr>
        <w:jc w:val="both"/>
        <w:ind w:firstLine="1241"/>
        <w:spacing w:after="0"/>
        <w:tabs>
          <w:tab w:leader="none" w:pos="1852" w:val="left"/>
        </w:tabs>
        <w:numPr>
          <w:ilvl w:val="1"/>
          <w:numId w:val="232"/>
        </w:numPr>
        <w:rPr>
          <w:rFonts w:ascii="Calibri" w:cs="Calibri" w:eastAsia="Calibri" w:hAnsi="Calibri"/>
          <w:sz w:val="19"/>
          <w:szCs w:val="19"/>
          <w:color w:val="auto"/>
        </w:rPr>
      </w:pPr>
      <w:r>
        <w:rPr>
          <w:rFonts w:ascii="Calibri" w:cs="Calibri" w:eastAsia="Calibri" w:hAnsi="Calibri"/>
          <w:sz w:val="19"/>
          <w:szCs w:val="19"/>
          <w:color w:val="auto"/>
        </w:rPr>
        <w:t>The period during which clause 18(a) is expressed to operate shall be reduced by such period as you shall have complied with a directon to perform no dutes and/or not to enter all or any premises of the Company or any Associated Company pursuant to clause 11.</w:t>
      </w:r>
    </w:p>
    <w:p>
      <w:pPr>
        <w:spacing w:after="0" w:line="200" w:lineRule="exact"/>
        <w:rPr>
          <w:rFonts w:ascii="Calibri" w:cs="Calibri" w:eastAsia="Calibri" w:hAnsi="Calibri"/>
          <w:sz w:val="19"/>
          <w:szCs w:val="19"/>
          <w:color w:val="auto"/>
        </w:rPr>
      </w:pPr>
    </w:p>
    <w:p>
      <w:pPr>
        <w:spacing w:after="0" w:line="219" w:lineRule="exact"/>
        <w:rPr>
          <w:rFonts w:ascii="Calibri" w:cs="Calibri" w:eastAsia="Calibri" w:hAnsi="Calibri"/>
          <w:sz w:val="19"/>
          <w:szCs w:val="19"/>
          <w:color w:val="auto"/>
        </w:rPr>
      </w:pPr>
    </w:p>
    <w:p>
      <w:pPr>
        <w:ind w:left="1860" w:hanging="619"/>
        <w:spacing w:after="0"/>
        <w:tabs>
          <w:tab w:leader="none" w:pos="1860" w:val="left"/>
        </w:tabs>
        <w:numPr>
          <w:ilvl w:val="1"/>
          <w:numId w:val="232"/>
        </w:numPr>
        <w:rPr>
          <w:rFonts w:ascii="Calibri" w:cs="Calibri" w:eastAsia="Calibri" w:hAnsi="Calibri"/>
          <w:sz w:val="19"/>
          <w:szCs w:val="19"/>
          <w:color w:val="auto"/>
        </w:rPr>
      </w:pPr>
      <w:r>
        <w:rPr>
          <w:rFonts w:ascii="Calibri" w:cs="Calibri" w:eastAsia="Calibri" w:hAnsi="Calibri"/>
          <w:sz w:val="19"/>
          <w:szCs w:val="19"/>
          <w:color w:val="auto"/>
        </w:rPr>
        <w:t>The undertaking contained in clause 18(a) are intended to be separate and severable and enforceable as such.</w:t>
      </w:r>
    </w:p>
    <w:p>
      <w:pPr>
        <w:spacing w:after="0" w:line="199" w:lineRule="exact"/>
        <w:rPr>
          <w:rFonts w:ascii="Calibri" w:cs="Calibri" w:eastAsia="Calibri" w:hAnsi="Calibri"/>
          <w:sz w:val="19"/>
          <w:szCs w:val="19"/>
          <w:color w:val="auto"/>
        </w:rPr>
      </w:pPr>
    </w:p>
    <w:p>
      <w:pPr>
        <w:ind w:firstLine="622"/>
        <w:spacing w:after="0" w:line="236" w:lineRule="auto"/>
        <w:tabs>
          <w:tab w:leader="none" w:pos="1237" w:val="left"/>
        </w:tabs>
        <w:numPr>
          <w:ilvl w:val="0"/>
          <w:numId w:val="233"/>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Governing Law. </w:t>
      </w:r>
      <w:r>
        <w:rPr>
          <w:rFonts w:ascii="Calibri" w:cs="Calibri" w:eastAsia="Calibri" w:hAnsi="Calibri"/>
          <w:sz w:val="19"/>
          <w:szCs w:val="19"/>
          <w:color w:val="auto"/>
        </w:rPr>
        <w:t>This Agreement is governed by and shall be construed in accordance with English law and is subject to the non-exclusive jurisdicton of the English Courts.</w:t>
      </w:r>
    </w:p>
    <w:p>
      <w:pPr>
        <w:spacing w:after="0" w:line="208" w:lineRule="exact"/>
        <w:rPr>
          <w:rFonts w:ascii="Calibri" w:cs="Calibri" w:eastAsia="Calibri" w:hAnsi="Calibri"/>
          <w:sz w:val="19"/>
          <w:szCs w:val="19"/>
          <w:color w:val="auto"/>
        </w:rPr>
      </w:pPr>
    </w:p>
    <w:p>
      <w:pPr>
        <w:ind w:left="1240" w:hanging="618"/>
        <w:spacing w:after="0"/>
        <w:tabs>
          <w:tab w:leader="none" w:pos="1240" w:val="left"/>
        </w:tabs>
        <w:numPr>
          <w:ilvl w:val="0"/>
          <w:numId w:val="233"/>
        </w:numPr>
        <w:rPr>
          <w:rFonts w:ascii="Calibri" w:cs="Calibri" w:eastAsia="Calibri" w:hAnsi="Calibri"/>
          <w:sz w:val="19"/>
          <w:szCs w:val="19"/>
          <w:color w:val="auto"/>
        </w:rPr>
      </w:pPr>
      <w:r>
        <w:rPr>
          <w:rFonts w:ascii="Calibri" w:cs="Calibri" w:eastAsia="Calibri" w:hAnsi="Calibri"/>
          <w:sz w:val="19"/>
          <w:szCs w:val="19"/>
          <w:b w:val="1"/>
          <w:bCs w:val="1"/>
          <w:color w:val="auto"/>
        </w:rPr>
        <w:t>Miscellaneous.</w:t>
      </w:r>
    </w:p>
    <w:p>
      <w:pPr>
        <w:spacing w:after="0" w:line="193" w:lineRule="exact"/>
        <w:rPr>
          <w:rFonts w:ascii="Calibri" w:cs="Calibri" w:eastAsia="Calibri" w:hAnsi="Calibri"/>
          <w:sz w:val="19"/>
          <w:szCs w:val="19"/>
          <w:color w:val="auto"/>
        </w:rPr>
      </w:pPr>
    </w:p>
    <w:p>
      <w:pPr>
        <w:ind w:left="1860" w:hanging="619"/>
        <w:spacing w:after="0"/>
        <w:tabs>
          <w:tab w:leader="none" w:pos="1860" w:val="left"/>
        </w:tabs>
        <w:numPr>
          <w:ilvl w:val="1"/>
          <w:numId w:val="233"/>
        </w:numPr>
        <w:rPr>
          <w:rFonts w:ascii="Calibri" w:cs="Calibri" w:eastAsia="Calibri" w:hAnsi="Calibri"/>
          <w:sz w:val="19"/>
          <w:szCs w:val="19"/>
          <w:color w:val="auto"/>
        </w:rPr>
      </w:pPr>
      <w:r>
        <w:rPr>
          <w:rFonts w:ascii="Calibri" w:cs="Calibri" w:eastAsia="Calibri" w:hAnsi="Calibri"/>
          <w:sz w:val="19"/>
          <w:szCs w:val="19"/>
          <w:color w:val="auto"/>
        </w:rPr>
        <w:t>You warrant that you have lawful authority to work in the UK.</w:t>
      </w:r>
    </w:p>
    <w:p>
      <w:pPr>
        <w:spacing w:after="0" w:line="212" w:lineRule="exact"/>
        <w:rPr>
          <w:rFonts w:ascii="Calibri" w:cs="Calibri" w:eastAsia="Calibri" w:hAnsi="Calibri"/>
          <w:sz w:val="19"/>
          <w:szCs w:val="19"/>
          <w:color w:val="auto"/>
        </w:rPr>
      </w:pPr>
    </w:p>
    <w:p>
      <w:pPr>
        <w:jc w:val="both"/>
        <w:ind w:firstLine="1241"/>
        <w:spacing w:after="0" w:line="233" w:lineRule="auto"/>
        <w:tabs>
          <w:tab w:leader="none" w:pos="1852" w:val="left"/>
        </w:tabs>
        <w:numPr>
          <w:ilvl w:val="1"/>
          <w:numId w:val="233"/>
        </w:numPr>
        <w:rPr>
          <w:rFonts w:ascii="Calibri" w:cs="Calibri" w:eastAsia="Calibri" w:hAnsi="Calibri"/>
          <w:sz w:val="19"/>
          <w:szCs w:val="19"/>
          <w:color w:val="auto"/>
        </w:rPr>
      </w:pPr>
      <w:r>
        <w:rPr>
          <w:rFonts w:ascii="Calibri" w:cs="Calibri" w:eastAsia="Calibri" w:hAnsi="Calibri"/>
          <w:sz w:val="19"/>
          <w:szCs w:val="19"/>
          <w:color w:val="auto"/>
        </w:rPr>
        <w:t>The Company shall be enttled at any tme during the employment to set of and/or make deductons from your salary or other sums due to you monies due to the Company or any Associated Company in respect of any overpayment debt or other monies due from you.</w:t>
      </w:r>
    </w:p>
    <w:p>
      <w:pPr>
        <w:spacing w:after="0" w:line="214" w:lineRule="exact"/>
        <w:rPr>
          <w:rFonts w:ascii="Calibri" w:cs="Calibri" w:eastAsia="Calibri" w:hAnsi="Calibri"/>
          <w:sz w:val="19"/>
          <w:szCs w:val="19"/>
          <w:color w:val="auto"/>
        </w:rPr>
      </w:pPr>
    </w:p>
    <w:p>
      <w:pPr>
        <w:jc w:val="both"/>
        <w:ind w:firstLine="1241"/>
        <w:spacing w:after="0" w:line="233" w:lineRule="auto"/>
        <w:tabs>
          <w:tab w:leader="none" w:pos="1858" w:val="left"/>
        </w:tabs>
        <w:numPr>
          <w:ilvl w:val="1"/>
          <w:numId w:val="233"/>
        </w:numPr>
        <w:rPr>
          <w:rFonts w:ascii="Calibri" w:cs="Calibri" w:eastAsia="Calibri" w:hAnsi="Calibri"/>
          <w:sz w:val="19"/>
          <w:szCs w:val="19"/>
          <w:color w:val="auto"/>
        </w:rPr>
      </w:pPr>
      <w:r>
        <w:rPr>
          <w:rFonts w:ascii="Calibri" w:cs="Calibri" w:eastAsia="Calibri" w:hAnsi="Calibri"/>
          <w:sz w:val="19"/>
          <w:szCs w:val="19"/>
          <w:color w:val="auto"/>
        </w:rPr>
        <w:t>The Schedule to this Agreement (which does not form part of the Agreement and it is not intended to have contractual efect) sets out those partculars of employment required by s.1 Employment Rights Act 1996 which are not otherwise provided for in this Agreement.</w:t>
      </w:r>
    </w:p>
    <w:p>
      <w:pPr>
        <w:spacing w:after="0" w:line="201" w:lineRule="exact"/>
        <w:rPr>
          <w:rFonts w:ascii="Calibri" w:cs="Calibri" w:eastAsia="Calibri" w:hAnsi="Calibri"/>
          <w:sz w:val="19"/>
          <w:szCs w:val="19"/>
          <w:color w:val="auto"/>
        </w:rPr>
      </w:pPr>
    </w:p>
    <w:p>
      <w:pPr>
        <w:ind w:firstLine="1241"/>
        <w:spacing w:after="0" w:line="236" w:lineRule="auto"/>
        <w:tabs>
          <w:tab w:leader="none" w:pos="1852" w:val="left"/>
        </w:tabs>
        <w:numPr>
          <w:ilvl w:val="1"/>
          <w:numId w:val="233"/>
        </w:numPr>
        <w:rPr>
          <w:rFonts w:ascii="Calibri" w:cs="Calibri" w:eastAsia="Calibri" w:hAnsi="Calibri"/>
          <w:sz w:val="19"/>
          <w:szCs w:val="19"/>
          <w:color w:val="auto"/>
        </w:rPr>
      </w:pPr>
      <w:r>
        <w:rPr>
          <w:rFonts w:ascii="Calibri" w:cs="Calibri" w:eastAsia="Calibri" w:hAnsi="Calibri"/>
          <w:sz w:val="19"/>
          <w:szCs w:val="19"/>
          <w:color w:val="auto"/>
        </w:rPr>
        <w:t>Save for any Associated Company, a person who is not a party to this Agreement has no right under the Contracts (Rights of Third Partes) Act 1999 to enforce any term of this Agreement.</w:t>
      </w:r>
    </w:p>
    <w:p>
      <w:pPr>
        <w:spacing w:after="0" w:line="252" w:lineRule="exact"/>
        <w:rPr>
          <w:rFonts w:ascii="Calibri" w:cs="Calibri" w:eastAsia="Calibri" w:hAnsi="Calibri"/>
          <w:sz w:val="19"/>
          <w:szCs w:val="19"/>
          <w:color w:val="auto"/>
        </w:rPr>
      </w:pPr>
    </w:p>
    <w:p>
      <w:pPr>
        <w:jc w:val="both"/>
        <w:ind w:firstLine="622"/>
        <w:spacing w:after="0" w:line="233" w:lineRule="auto"/>
        <w:tabs>
          <w:tab w:leader="none" w:pos="1237" w:val="left"/>
        </w:tabs>
        <w:numPr>
          <w:ilvl w:val="0"/>
          <w:numId w:val="233"/>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Defnitons. </w:t>
      </w:r>
      <w:r>
        <w:rPr>
          <w:rFonts w:ascii="Calibri" w:cs="Calibri" w:eastAsia="Calibri" w:hAnsi="Calibri"/>
          <w:sz w:val="19"/>
          <w:szCs w:val="19"/>
          <w:color w:val="auto"/>
        </w:rPr>
        <w:t>In this Agreement unless the context otherwise requires "</w:t>
      </w:r>
      <w:r>
        <w:rPr>
          <w:rFonts w:ascii="Calibri" w:cs="Calibri" w:eastAsia="Calibri" w:hAnsi="Calibri"/>
          <w:sz w:val="19"/>
          <w:szCs w:val="19"/>
          <w:b w:val="1"/>
          <w:bCs w:val="1"/>
          <w:color w:val="auto"/>
        </w:rPr>
        <w:t>Associated Company</w:t>
      </w:r>
      <w:r>
        <w:rPr>
          <w:rFonts w:ascii="Calibri" w:cs="Calibri" w:eastAsia="Calibri" w:hAnsi="Calibri"/>
          <w:sz w:val="19"/>
          <w:szCs w:val="19"/>
          <w:color w:val="auto"/>
        </w:rPr>
        <w:t>" means any entty that directly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indirectly controls, is controlled by, or is under common control with, the Company (and "</w:t>
      </w:r>
      <w:r>
        <w:rPr>
          <w:rFonts w:ascii="Calibri" w:cs="Calibri" w:eastAsia="Calibri" w:hAnsi="Calibri"/>
          <w:sz w:val="19"/>
          <w:szCs w:val="19"/>
          <w:b w:val="1"/>
          <w:bCs w:val="1"/>
          <w:color w:val="auto"/>
        </w:rPr>
        <w:t>control</w:t>
      </w:r>
      <w:r>
        <w:rPr>
          <w:rFonts w:ascii="Calibri" w:cs="Calibri" w:eastAsia="Calibri" w:hAnsi="Calibri"/>
          <w:sz w:val="19"/>
          <w:szCs w:val="19"/>
          <w:color w:val="auto"/>
        </w:rPr>
        <w:t>" means the benefcial ownership of more than 50% of the issued share capital of a company or the legal power to direct or cause the directon of the general management of a</w:t>
      </w:r>
    </w:p>
    <w:p>
      <w:pPr>
        <w:spacing w:after="0" w:line="33" w:lineRule="exact"/>
        <w:rPr>
          <w:rFonts w:ascii="Calibri" w:cs="Calibri" w:eastAsia="Calibri" w:hAnsi="Calibri"/>
          <w:sz w:val="19"/>
          <w:szCs w:val="19"/>
          <w:color w:val="auto"/>
        </w:rPr>
      </w:pPr>
    </w:p>
    <w:p>
      <w:pPr>
        <w:jc w:val="both"/>
        <w:spacing w:after="0" w:line="235" w:lineRule="auto"/>
        <w:rPr>
          <w:rFonts w:ascii="Calibri" w:cs="Calibri" w:eastAsia="Calibri" w:hAnsi="Calibri"/>
          <w:sz w:val="19"/>
          <w:szCs w:val="19"/>
          <w:color w:val="auto"/>
        </w:rPr>
      </w:pPr>
      <w:r>
        <w:rPr>
          <w:rFonts w:ascii="Calibri" w:cs="Calibri" w:eastAsia="Calibri" w:hAnsi="Calibri"/>
          <w:sz w:val="19"/>
          <w:szCs w:val="19"/>
          <w:color w:val="auto"/>
        </w:rPr>
        <w:t>company) provided that in clause 20(a), an "</w:t>
      </w:r>
      <w:r>
        <w:rPr>
          <w:rFonts w:ascii="Calibri" w:cs="Calibri" w:eastAsia="Calibri" w:hAnsi="Calibri"/>
          <w:sz w:val="19"/>
          <w:szCs w:val="19"/>
          <w:b w:val="1"/>
          <w:bCs w:val="1"/>
          <w:color w:val="auto"/>
        </w:rPr>
        <w:t>Associated Company</w:t>
      </w:r>
      <w:r>
        <w:rPr>
          <w:rFonts w:ascii="Calibri" w:cs="Calibri" w:eastAsia="Calibri" w:hAnsi="Calibri"/>
          <w:sz w:val="19"/>
          <w:szCs w:val="19"/>
          <w:color w:val="auto"/>
        </w:rPr>
        <w:t>" shall not extend to cover any entty in respect of which you did not carry out material dutes in the period of 12 months prior to the terminaton of the employment; "</w:t>
      </w:r>
      <w:r>
        <w:rPr>
          <w:rFonts w:ascii="Calibri" w:cs="Calibri" w:eastAsia="Calibri" w:hAnsi="Calibri"/>
          <w:sz w:val="19"/>
          <w:szCs w:val="19"/>
          <w:b w:val="1"/>
          <w:bCs w:val="1"/>
          <w:color w:val="auto"/>
        </w:rPr>
        <w:t>Board</w:t>
      </w:r>
      <w:r>
        <w:rPr>
          <w:rFonts w:ascii="Calibri" w:cs="Calibri" w:eastAsia="Calibri" w:hAnsi="Calibri"/>
          <w:sz w:val="19"/>
          <w:szCs w:val="19"/>
          <w:color w:val="auto"/>
        </w:rPr>
        <w:t>" means the Board of Directors for the tme being of Recursion or the directors present at a meetng of the directors of Recursion at which a quorum is present; "</w:t>
      </w:r>
      <w:r>
        <w:rPr>
          <w:rFonts w:ascii="Calibri" w:cs="Calibri" w:eastAsia="Calibri" w:hAnsi="Calibri"/>
          <w:sz w:val="19"/>
          <w:szCs w:val="19"/>
          <w:b w:val="1"/>
          <w:bCs w:val="1"/>
          <w:color w:val="auto"/>
        </w:rPr>
        <w:t>Business</w:t>
      </w:r>
      <w:r>
        <w:rPr>
          <w:rFonts w:ascii="Calibri" w:cs="Calibri" w:eastAsia="Calibri" w:hAnsi="Calibri"/>
          <w:sz w:val="19"/>
          <w:szCs w:val="19"/>
          <w:color w:val="auto"/>
        </w:rPr>
        <w:t xml:space="preserve">" means any business carried on by the Company or any Associated Company at the date of terminaton of the employment and with which you were concerned to a material extent in the 12 months immediately preceding the terminaton of employment; </w:t>
      </w:r>
      <w:r>
        <w:rPr>
          <w:rFonts w:ascii="Calibri" w:cs="Calibri" w:eastAsia="Calibri" w:hAnsi="Calibri"/>
          <w:sz w:val="19"/>
          <w:szCs w:val="19"/>
          <w:b w:val="1"/>
          <w:bCs w:val="1"/>
          <w:color w:val="auto"/>
        </w:rPr>
        <w:t>"Confdental Informaton"</w:t>
      </w:r>
      <w:r>
        <w:rPr>
          <w:rFonts w:ascii="Calibri" w:cs="Calibri" w:eastAsia="Calibri" w:hAnsi="Calibri"/>
          <w:sz w:val="19"/>
          <w:szCs w:val="19"/>
          <w:color w:val="auto"/>
        </w:rPr>
        <w:t xml:space="preserve"> means in relaton to or in connecton with the Company or any Associated Company or any client or customer of the Company or an Associated Company any secret or confdental informaton including, without limitaton, account details, business plans, fnancial informaton, technical processes, systems designs, fnances, computer programs, cost and pricing data, client customer lists and details, inventons, business strategies, sales and marketng strategies, products services, proft plans, personal details, remuneraton arrangements and intellectual property; </w:t>
      </w:r>
      <w:r>
        <w:rPr>
          <w:rFonts w:ascii="Calibri" w:cs="Calibri" w:eastAsia="Calibri" w:hAnsi="Calibri"/>
          <w:sz w:val="19"/>
          <w:szCs w:val="19"/>
          <w:b w:val="1"/>
          <w:bCs w:val="1"/>
          <w:color w:val="auto"/>
        </w:rPr>
        <w:t>“Intellectual Property Rights”</w:t>
      </w:r>
      <w:r>
        <w:rPr>
          <w:rFonts w:ascii="Calibri" w:cs="Calibri" w:eastAsia="Calibri" w:hAnsi="Calibri"/>
          <w:sz w:val="19"/>
          <w:szCs w:val="19"/>
          <w:color w:val="auto"/>
        </w:rPr>
        <w:t xml:space="preserve"> means patents, rights to Inventons, copyright and related rights, trademarks, trade names, domain names, social media handles/assets, rights in get-up, goodwill and the right to sue for passing of or unfair competton, rights in designs, rights in computer sofware, database rights, rights to preserve the confdentality of</w:t>
      </w:r>
    </w:p>
    <w:p>
      <w:pPr>
        <w:spacing w:after="0" w:line="252" w:lineRule="exact"/>
        <w:rPr>
          <w:rFonts w:ascii="Calibri" w:cs="Calibri" w:eastAsia="Calibri" w:hAnsi="Calibri"/>
          <w:sz w:val="19"/>
          <w:szCs w:val="19"/>
          <w:color w:val="auto"/>
        </w:rPr>
      </w:pPr>
    </w:p>
    <w:p>
      <w:pPr>
        <w:ind w:left="5540" w:hanging="127"/>
        <w:spacing w:after="0"/>
        <w:tabs>
          <w:tab w:leader="none" w:pos="5540" w:val="left"/>
        </w:tabs>
        <w:numPr>
          <w:ilvl w:val="2"/>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351"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 xml:space="preserve">informaton (including know-how and trade secrets) and any other intellectual property rights, in each case whether registered or unregistered and including all applicatons (or rights to apply) for and be granted, renewals or extensions of, and rights to claim priority from, such rights and all similar or equivalent rights or forms of protecton which may now or in the future subsist in any part of the world; </w:t>
      </w:r>
      <w:r>
        <w:rPr>
          <w:rFonts w:ascii="Calibri" w:cs="Calibri" w:eastAsia="Calibri" w:hAnsi="Calibri"/>
          <w:sz w:val="19"/>
          <w:szCs w:val="19"/>
          <w:b w:val="1"/>
          <w:bCs w:val="1"/>
          <w:color w:val="auto"/>
        </w:rPr>
        <w:t>“Inventons”</w:t>
      </w:r>
      <w:r>
        <w:rPr>
          <w:rFonts w:ascii="Calibri" w:cs="Calibri" w:eastAsia="Calibri" w:hAnsi="Calibri"/>
          <w:sz w:val="19"/>
          <w:szCs w:val="19"/>
          <w:color w:val="auto"/>
        </w:rPr>
        <w:t xml:space="preserve"> means inventons, ideas and improvements, whether or not patentable, and whether or not recorded in any medium; </w:t>
      </w:r>
      <w:r>
        <w:rPr>
          <w:rFonts w:ascii="Calibri" w:cs="Calibri" w:eastAsia="Calibri" w:hAnsi="Calibri"/>
          <w:sz w:val="19"/>
          <w:szCs w:val="19"/>
          <w:b w:val="1"/>
          <w:bCs w:val="1"/>
          <w:color w:val="auto"/>
        </w:rPr>
        <w:t>Interpretaton.</w:t>
      </w:r>
      <w:r>
        <w:rPr>
          <w:rFonts w:ascii="Calibri" w:cs="Calibri" w:eastAsia="Calibri" w:hAnsi="Calibri"/>
          <w:sz w:val="19"/>
          <w:szCs w:val="19"/>
          <w:color w:val="auto"/>
        </w:rPr>
        <w:t xml:space="preserve"> In this Agreement, the headings are for convenience only and shall not afect its constructon or interpretaton. References to clauses are references to clauses in this Agreement and references to a person shall, where the context permits, include reference to a corporate body or an unincorporated body of persons. Any word which denotes the singular shall, where the context permits, include the plural and vice versa, and any word which denotes the masculine gender shall, where the context permits, include the feminine and/or the neuter genders and vice versa. Any reference to a statutory provision shall be deemed to include a reference to any statutory amendment, modifcaton or re-enactment.</w:t>
      </w:r>
    </w:p>
    <w:p>
      <w:pPr>
        <w:spacing w:after="0" w:line="388" w:lineRule="exact"/>
        <w:rPr>
          <w:sz w:val="20"/>
          <w:szCs w:val="20"/>
          <w:color w:val="auto"/>
        </w:rPr>
      </w:pPr>
    </w:p>
    <w:p>
      <w:pPr>
        <w:jc w:val="both"/>
        <w:ind w:firstLine="622"/>
        <w:spacing w:after="0"/>
        <w:tabs>
          <w:tab w:leader="none" w:pos="1237" w:val="left"/>
        </w:tabs>
        <w:numPr>
          <w:ilvl w:val="0"/>
          <w:numId w:val="234"/>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Entre Agreement. </w:t>
      </w:r>
      <w:r>
        <w:rPr>
          <w:rFonts w:ascii="Calibri" w:cs="Calibri" w:eastAsia="Calibri" w:hAnsi="Calibri"/>
          <w:sz w:val="19"/>
          <w:szCs w:val="19"/>
          <w:color w:val="auto"/>
        </w:rPr>
        <w:t>This Agreement, together with the other plans and agreements referenced herein, contains the entre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understanding between the partes and supersedes all (if any) subsistng agreements, arrangements and understandings (writen or oral) relatng to your employment, and all such agreements, arrangements and understandings shall be deemed to have been terminated by mutual consent.</w:t>
      </w:r>
    </w:p>
    <w:p>
      <w:pPr>
        <w:spacing w:after="0" w:line="200" w:lineRule="exact"/>
        <w:rPr>
          <w:rFonts w:ascii="Calibri" w:cs="Calibri" w:eastAsia="Calibri" w:hAnsi="Calibri"/>
          <w:sz w:val="19"/>
          <w:szCs w:val="19"/>
          <w:color w:val="auto"/>
        </w:rPr>
      </w:pPr>
    </w:p>
    <w:p>
      <w:pPr>
        <w:spacing w:after="0" w:line="212" w:lineRule="exact"/>
        <w:rPr>
          <w:rFonts w:ascii="Calibri" w:cs="Calibri" w:eastAsia="Calibri" w:hAnsi="Calibri"/>
          <w:sz w:val="19"/>
          <w:szCs w:val="19"/>
          <w:color w:val="auto"/>
        </w:rPr>
      </w:pPr>
    </w:p>
    <w:p>
      <w:pPr>
        <w:ind w:firstLine="622"/>
        <w:spacing w:after="0" w:line="236" w:lineRule="auto"/>
        <w:tabs>
          <w:tab w:leader="none" w:pos="1237" w:val="left"/>
        </w:tabs>
        <w:numPr>
          <w:ilvl w:val="0"/>
          <w:numId w:val="234"/>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Amendments. </w:t>
      </w:r>
      <w:r>
        <w:rPr>
          <w:rFonts w:ascii="Calibri" w:cs="Calibri" w:eastAsia="Calibri" w:hAnsi="Calibri"/>
          <w:sz w:val="19"/>
          <w:szCs w:val="19"/>
          <w:color w:val="auto"/>
        </w:rPr>
        <w:t>Any amendments to this Agreement shall only be valid if set out in writng and signed by both partes.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Company reserves the right to amend or replace any term of this Agreement and any such amendments shall be notfed to you in writng.</w:t>
      </w:r>
    </w:p>
    <w:p>
      <w:pPr>
        <w:spacing w:after="0" w:line="201" w:lineRule="exact"/>
        <w:rPr>
          <w:rFonts w:ascii="Calibri" w:cs="Calibri" w:eastAsia="Calibri" w:hAnsi="Calibri"/>
          <w:sz w:val="19"/>
          <w:szCs w:val="19"/>
          <w:color w:val="auto"/>
        </w:rPr>
      </w:pPr>
    </w:p>
    <w:p>
      <w:pPr>
        <w:ind w:right="240" w:firstLine="622"/>
        <w:spacing w:after="0" w:line="236" w:lineRule="auto"/>
        <w:tabs>
          <w:tab w:leader="none" w:pos="1237" w:val="left"/>
        </w:tabs>
        <w:numPr>
          <w:ilvl w:val="0"/>
          <w:numId w:val="234"/>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Counterparts. </w:t>
      </w:r>
      <w:r>
        <w:rPr>
          <w:rFonts w:ascii="Calibri" w:cs="Calibri" w:eastAsia="Calibri" w:hAnsi="Calibri"/>
          <w:sz w:val="19"/>
          <w:szCs w:val="19"/>
          <w:color w:val="auto"/>
        </w:rPr>
        <w:t>This Agreement may be executed in two counterparts, each of which is an original and both of which together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evidence the same agreement.</w:t>
      </w:r>
    </w:p>
    <w:p>
      <w:pPr>
        <w:spacing w:after="0" w:line="200" w:lineRule="exact"/>
        <w:rPr>
          <w:sz w:val="20"/>
          <w:szCs w:val="20"/>
          <w:color w:val="auto"/>
        </w:rPr>
      </w:pPr>
    </w:p>
    <w:p>
      <w:pPr>
        <w:spacing w:after="0" w:line="240"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Sincerely,</w:t>
      </w:r>
    </w:p>
    <w:p>
      <w:pPr>
        <w:spacing w:after="0" w:line="193"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 xml:space="preserve">By: </w:t>
      </w:r>
      <w:r>
        <w:rPr>
          <w:rFonts w:ascii="Calibri" w:cs="Calibri" w:eastAsia="Calibri" w:hAnsi="Calibri"/>
          <w:sz w:val="19"/>
          <w:szCs w:val="19"/>
          <w:u w:val="single" w:color="auto"/>
          <w:color w:val="auto"/>
        </w:rPr>
        <w:t>/s/ Chris Gibson_________________________</w:t>
      </w:r>
    </w:p>
    <w:p>
      <w:pPr>
        <w:spacing w:after="0" w:line="206"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Chris Gibson</w:t>
      </w:r>
    </w:p>
    <w:p>
      <w:pPr>
        <w:ind w:left="3720"/>
        <w:spacing w:after="0" w:line="226" w:lineRule="auto"/>
        <w:rPr>
          <w:sz w:val="20"/>
          <w:szCs w:val="20"/>
          <w:color w:val="auto"/>
        </w:rPr>
      </w:pPr>
      <w:r>
        <w:rPr>
          <w:rFonts w:ascii="Calibri" w:cs="Calibri" w:eastAsia="Calibri" w:hAnsi="Calibri"/>
          <w:sz w:val="19"/>
          <w:szCs w:val="19"/>
          <w:color w:val="auto"/>
        </w:rPr>
        <w:t>Chief Executve Ofcer, Recursion Pharmaceutcals,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- 8-</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351" w:lineRule="exact"/>
        <w:rPr>
          <w:sz w:val="20"/>
          <w:szCs w:val="20"/>
          <w:color w:val="auto"/>
        </w:rPr>
      </w:pPr>
    </w:p>
    <w:p>
      <w:pPr>
        <w:spacing w:after="0" w:line="236" w:lineRule="auto"/>
        <w:rPr>
          <w:sz w:val="20"/>
          <w:szCs w:val="20"/>
          <w:color w:val="auto"/>
        </w:rPr>
      </w:pPr>
      <w:r>
        <w:rPr>
          <w:rFonts w:ascii="Calibri" w:cs="Calibri" w:eastAsia="Calibri" w:hAnsi="Calibri"/>
          <w:sz w:val="19"/>
          <w:szCs w:val="19"/>
          <w:color w:val="auto"/>
        </w:rPr>
        <w:t>I have read and understood this Agreement and hereby acknowledge, accept and agree to the terms as set forth herein and further acknowledge that no other commitments were made to me as part of my employment ofer except as specifcally set forth herein.</w:t>
      </w:r>
    </w:p>
    <w:p>
      <w:pPr>
        <w:spacing w:after="0" w:line="195" w:lineRule="exact"/>
        <w:rPr>
          <w:sz w:val="20"/>
          <w:szCs w:val="20"/>
          <w:color w:val="auto"/>
        </w:rPr>
      </w:pPr>
    </w:p>
    <w:p>
      <w:pPr>
        <w:spacing w:after="0"/>
        <w:rPr>
          <w:sz w:val="20"/>
          <w:szCs w:val="20"/>
          <w:color w:val="auto"/>
        </w:rPr>
      </w:pPr>
      <w:r>
        <w:rPr>
          <w:rFonts w:ascii="Calibri" w:cs="Calibri" w:eastAsia="Calibri" w:hAnsi="Calibri"/>
          <w:sz w:val="19"/>
          <w:szCs w:val="19"/>
          <w:color w:val="auto"/>
        </w:rPr>
        <w:t xml:space="preserve">By: </w:t>
      </w:r>
      <w:r>
        <w:rPr>
          <w:rFonts w:ascii="Calibri" w:cs="Calibri" w:eastAsia="Calibri" w:hAnsi="Calibri"/>
          <w:sz w:val="19"/>
          <w:szCs w:val="19"/>
          <w:u w:val="single" w:color="auto"/>
          <w:color w:val="auto"/>
        </w:rPr>
        <w:t>_/s/ Ben Taylor_________</w:t>
      </w:r>
    </w:p>
    <w:p>
      <w:pPr>
        <w:spacing w:after="0" w:line="206" w:lineRule="exact"/>
        <w:rPr>
          <w:sz w:val="20"/>
          <w:szCs w:val="20"/>
          <w:color w:val="auto"/>
        </w:rPr>
      </w:pPr>
    </w:p>
    <w:p>
      <w:pPr>
        <w:spacing w:after="0"/>
        <w:rPr>
          <w:sz w:val="20"/>
          <w:szCs w:val="20"/>
          <w:color w:val="auto"/>
        </w:rPr>
      </w:pPr>
      <w:r>
        <w:rPr>
          <w:rFonts w:ascii="Calibri" w:cs="Calibri" w:eastAsia="Calibri" w:hAnsi="Calibri"/>
          <w:sz w:val="19"/>
          <w:szCs w:val="19"/>
          <w:color w:val="auto"/>
        </w:rPr>
        <w:t>Ben Taylor</w:t>
      </w:r>
    </w:p>
    <w:p>
      <w:pPr>
        <w:spacing w:after="0" w:line="193" w:lineRule="exact"/>
        <w:rPr>
          <w:sz w:val="20"/>
          <w:szCs w:val="20"/>
          <w:color w:val="auto"/>
        </w:rPr>
      </w:pPr>
    </w:p>
    <w:p>
      <w:pPr>
        <w:spacing w:after="0"/>
        <w:rPr>
          <w:sz w:val="20"/>
          <w:szCs w:val="20"/>
          <w:color w:val="auto"/>
        </w:rPr>
      </w:pPr>
      <w:r>
        <w:rPr>
          <w:rFonts w:ascii="Calibri" w:cs="Calibri" w:eastAsia="Calibri" w:hAnsi="Calibri"/>
          <w:sz w:val="19"/>
          <w:szCs w:val="19"/>
          <w:color w:val="auto"/>
        </w:rPr>
        <w:t xml:space="preserve">Date: </w:t>
      </w:r>
      <w:r>
        <w:rPr>
          <w:rFonts w:ascii="Calibri" w:cs="Calibri" w:eastAsia="Calibri" w:hAnsi="Calibri"/>
          <w:sz w:val="19"/>
          <w:szCs w:val="19"/>
          <w:u w:val="single" w:color="auto"/>
          <w:color w:val="auto"/>
        </w:rPr>
        <w:t>_December 2, 2024____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- 9-</w:t>
      </w:r>
    </w:p>
    <w:p>
      <w:pPr>
        <w:sectPr>
          <w:pgSz w:w="11900" w:h="16838" w:orient="portrait"/>
          <w:cols w:equalWidth="0" w:num="1">
            <w:col w:w="10280"/>
          </w:cols>
          <w:pgMar w:left="320" w:top="1440" w:right="1299" w:bottom="1440" w:gutter="0" w:footer="0" w:header="0"/>
        </w:sectPr>
      </w:pPr>
    </w:p>
    <w:bookmarkStart w:id="290" w:name="page291"/>
    <w:bookmarkEnd w:id="290"/>
    <w:p>
      <w:pPr>
        <w:spacing w:after="0" w:line="345" w:lineRule="exact"/>
        <w:rPr>
          <w:sz w:val="20"/>
          <w:szCs w:val="20"/>
          <w:color w:val="auto"/>
        </w:rPr>
      </w:pPr>
    </w:p>
    <w:p>
      <w:pPr>
        <w:jc w:val="center"/>
        <w:ind w:right="-56"/>
        <w:spacing w:after="0"/>
        <w:rPr>
          <w:sz w:val="20"/>
          <w:szCs w:val="20"/>
          <w:color w:val="auto"/>
        </w:rPr>
      </w:pPr>
      <w:r>
        <w:rPr>
          <w:rFonts w:ascii="Calibri" w:cs="Calibri" w:eastAsia="Calibri" w:hAnsi="Calibri"/>
          <w:sz w:val="19"/>
          <w:szCs w:val="19"/>
          <w:color w:val="auto"/>
        </w:rPr>
        <w:t>SCHEDULE 1 - Additonal Partculars of Employment under s.1 Employment Rights Act 1996</w:t>
      </w:r>
    </w:p>
    <w:p>
      <w:pPr>
        <w:spacing w:after="0" w:line="181" w:lineRule="exact"/>
        <w:rPr>
          <w:sz w:val="20"/>
          <w:szCs w:val="20"/>
          <w:color w:val="auto"/>
        </w:rPr>
      </w:pPr>
    </w:p>
    <w:p>
      <w:pPr>
        <w:ind w:left="617" w:hanging="617"/>
        <w:spacing w:after="0"/>
        <w:tabs>
          <w:tab w:leader="none" w:pos="617" w:val="left"/>
        </w:tabs>
        <w:numPr>
          <w:ilvl w:val="0"/>
          <w:numId w:val="235"/>
        </w:numPr>
        <w:rPr>
          <w:rFonts w:ascii="Calibri" w:cs="Calibri" w:eastAsia="Calibri" w:hAnsi="Calibri"/>
          <w:sz w:val="19"/>
          <w:szCs w:val="19"/>
          <w:color w:val="auto"/>
        </w:rPr>
      </w:pPr>
      <w:r>
        <w:rPr>
          <w:rFonts w:ascii="Calibri" w:cs="Calibri" w:eastAsia="Calibri" w:hAnsi="Calibri"/>
          <w:sz w:val="19"/>
          <w:szCs w:val="19"/>
          <w:color w:val="auto"/>
        </w:rPr>
        <w:t>Your period of contnuous employment starts on the same date as the employment under the Agreement.</w:t>
      </w:r>
    </w:p>
    <w:p>
      <w:pPr>
        <w:spacing w:after="0" w:line="154" w:lineRule="exact"/>
        <w:rPr>
          <w:rFonts w:ascii="Calibri" w:cs="Calibri" w:eastAsia="Calibri" w:hAnsi="Calibri"/>
          <w:sz w:val="19"/>
          <w:szCs w:val="19"/>
          <w:color w:val="auto"/>
        </w:rPr>
      </w:pPr>
    </w:p>
    <w:p>
      <w:pPr>
        <w:ind w:left="617" w:hanging="617"/>
        <w:spacing w:after="0"/>
        <w:tabs>
          <w:tab w:leader="none" w:pos="617" w:val="left"/>
        </w:tabs>
        <w:numPr>
          <w:ilvl w:val="0"/>
          <w:numId w:val="235"/>
        </w:numPr>
        <w:rPr>
          <w:rFonts w:ascii="Calibri" w:cs="Calibri" w:eastAsia="Calibri" w:hAnsi="Calibri"/>
          <w:sz w:val="19"/>
          <w:szCs w:val="19"/>
          <w:color w:val="auto"/>
        </w:rPr>
      </w:pPr>
      <w:r>
        <w:rPr>
          <w:rFonts w:ascii="Calibri" w:cs="Calibri" w:eastAsia="Calibri" w:hAnsi="Calibri"/>
          <w:sz w:val="19"/>
          <w:szCs w:val="19"/>
          <w:color w:val="auto"/>
        </w:rPr>
        <w:t>Your normal working hours are usual business hours and such other hours as are required for the proper performance of your dutes.</w:t>
      </w:r>
    </w:p>
    <w:p>
      <w:pPr>
        <w:spacing w:after="0" w:line="167" w:lineRule="exact"/>
        <w:rPr>
          <w:rFonts w:ascii="Calibri" w:cs="Calibri" w:eastAsia="Calibri" w:hAnsi="Calibri"/>
          <w:sz w:val="19"/>
          <w:szCs w:val="19"/>
          <w:color w:val="auto"/>
        </w:rPr>
      </w:pPr>
    </w:p>
    <w:p>
      <w:pPr>
        <w:ind w:left="617" w:hanging="617"/>
        <w:spacing w:after="0"/>
        <w:tabs>
          <w:tab w:leader="none" w:pos="617" w:val="left"/>
        </w:tabs>
        <w:numPr>
          <w:ilvl w:val="0"/>
          <w:numId w:val="235"/>
        </w:numPr>
        <w:rPr>
          <w:rFonts w:ascii="Calibri" w:cs="Calibri" w:eastAsia="Calibri" w:hAnsi="Calibri"/>
          <w:sz w:val="19"/>
          <w:szCs w:val="19"/>
          <w:color w:val="auto"/>
        </w:rPr>
      </w:pPr>
      <w:r>
        <w:rPr>
          <w:rFonts w:ascii="Calibri" w:cs="Calibri" w:eastAsia="Calibri" w:hAnsi="Calibri"/>
          <w:sz w:val="19"/>
          <w:szCs w:val="19"/>
          <w:color w:val="auto"/>
        </w:rPr>
        <w:t>There is no probatonary period applicable to the employment.</w:t>
      </w:r>
    </w:p>
    <w:p>
      <w:pPr>
        <w:spacing w:after="0" w:line="161" w:lineRule="exact"/>
        <w:rPr>
          <w:rFonts w:ascii="Calibri" w:cs="Calibri" w:eastAsia="Calibri" w:hAnsi="Calibri"/>
          <w:sz w:val="19"/>
          <w:szCs w:val="19"/>
          <w:color w:val="auto"/>
        </w:rPr>
      </w:pPr>
    </w:p>
    <w:p>
      <w:pPr>
        <w:ind w:left="617" w:right="120" w:hanging="617"/>
        <w:spacing w:after="0" w:line="216" w:lineRule="auto"/>
        <w:tabs>
          <w:tab w:leader="none" w:pos="609" w:val="left"/>
        </w:tabs>
        <w:numPr>
          <w:ilvl w:val="0"/>
          <w:numId w:val="235"/>
        </w:numPr>
        <w:rPr>
          <w:rFonts w:ascii="Calibri" w:cs="Calibri" w:eastAsia="Calibri" w:hAnsi="Calibri"/>
          <w:sz w:val="19"/>
          <w:szCs w:val="19"/>
          <w:color w:val="auto"/>
        </w:rPr>
      </w:pPr>
      <w:r>
        <w:rPr>
          <w:rFonts w:ascii="Calibri" w:cs="Calibri" w:eastAsia="Calibri" w:hAnsi="Calibri"/>
          <w:sz w:val="19"/>
          <w:szCs w:val="19"/>
          <w:color w:val="auto"/>
        </w:rPr>
        <w:t>You may be provided with training from tme to tme either in house or externally as considered appropriate and necessary from tme to tme.</w:t>
      </w:r>
    </w:p>
    <w:p>
      <w:pPr>
        <w:spacing w:after="0" w:line="175" w:lineRule="exact"/>
        <w:rPr>
          <w:rFonts w:ascii="Calibri" w:cs="Calibri" w:eastAsia="Calibri" w:hAnsi="Calibri"/>
          <w:sz w:val="19"/>
          <w:szCs w:val="19"/>
          <w:color w:val="auto"/>
        </w:rPr>
      </w:pPr>
    </w:p>
    <w:p>
      <w:pPr>
        <w:ind w:left="617" w:hanging="617"/>
        <w:spacing w:after="0" w:line="206" w:lineRule="auto"/>
        <w:tabs>
          <w:tab w:leader="none" w:pos="609" w:val="left"/>
        </w:tabs>
        <w:numPr>
          <w:ilvl w:val="0"/>
          <w:numId w:val="235"/>
        </w:numPr>
        <w:rPr>
          <w:rFonts w:ascii="Calibri" w:cs="Calibri" w:eastAsia="Calibri" w:hAnsi="Calibri"/>
          <w:sz w:val="19"/>
          <w:szCs w:val="19"/>
          <w:color w:val="auto"/>
        </w:rPr>
      </w:pPr>
      <w:r>
        <w:rPr>
          <w:rFonts w:ascii="Calibri" w:cs="Calibri" w:eastAsia="Calibri" w:hAnsi="Calibri"/>
          <w:sz w:val="19"/>
          <w:szCs w:val="19"/>
          <w:color w:val="auto"/>
        </w:rPr>
        <w:t>Subject to satsfying the requisite statutory requirements, you may be eligible to take paid statutory leave including: maternity, paternity, shared parental, adopton, and bereavement leave and any other statutory leave for which you are eligible from tme to tme as a mater of law.</w:t>
      </w:r>
    </w:p>
    <w:p>
      <w:pPr>
        <w:spacing w:after="0" w:line="170" w:lineRule="exact"/>
        <w:rPr>
          <w:rFonts w:ascii="Calibri" w:cs="Calibri" w:eastAsia="Calibri" w:hAnsi="Calibri"/>
          <w:sz w:val="19"/>
          <w:szCs w:val="19"/>
          <w:color w:val="auto"/>
        </w:rPr>
      </w:pPr>
    </w:p>
    <w:p>
      <w:pPr>
        <w:ind w:left="617" w:hanging="617"/>
        <w:spacing w:after="0"/>
        <w:tabs>
          <w:tab w:leader="none" w:pos="617" w:val="left"/>
        </w:tabs>
        <w:numPr>
          <w:ilvl w:val="0"/>
          <w:numId w:val="235"/>
        </w:numPr>
        <w:rPr>
          <w:rFonts w:ascii="Calibri" w:cs="Calibri" w:eastAsia="Calibri" w:hAnsi="Calibri"/>
          <w:sz w:val="19"/>
          <w:szCs w:val="19"/>
          <w:color w:val="auto"/>
        </w:rPr>
      </w:pPr>
      <w:r>
        <w:rPr>
          <w:rFonts w:ascii="Calibri" w:cs="Calibri" w:eastAsia="Calibri" w:hAnsi="Calibri"/>
          <w:sz w:val="19"/>
          <w:szCs w:val="19"/>
          <w:color w:val="auto"/>
        </w:rPr>
        <w:t>There is no formal Company disciplinary or grievance procedure applicable to the employment.</w:t>
      </w:r>
    </w:p>
    <w:p>
      <w:pPr>
        <w:spacing w:after="0" w:line="154" w:lineRule="exact"/>
        <w:rPr>
          <w:rFonts w:ascii="Calibri" w:cs="Calibri" w:eastAsia="Calibri" w:hAnsi="Calibri"/>
          <w:sz w:val="19"/>
          <w:szCs w:val="19"/>
          <w:color w:val="auto"/>
        </w:rPr>
      </w:pPr>
    </w:p>
    <w:p>
      <w:pPr>
        <w:ind w:left="617" w:hanging="617"/>
        <w:spacing w:after="0"/>
        <w:tabs>
          <w:tab w:leader="none" w:pos="617" w:val="left"/>
        </w:tabs>
        <w:numPr>
          <w:ilvl w:val="0"/>
          <w:numId w:val="235"/>
        </w:numPr>
        <w:rPr>
          <w:rFonts w:ascii="Calibri" w:cs="Calibri" w:eastAsia="Calibri" w:hAnsi="Calibri"/>
          <w:sz w:val="19"/>
          <w:szCs w:val="19"/>
          <w:color w:val="auto"/>
        </w:rPr>
      </w:pPr>
      <w:r>
        <w:rPr>
          <w:rFonts w:ascii="Calibri" w:cs="Calibri" w:eastAsia="Calibri" w:hAnsi="Calibri"/>
          <w:sz w:val="19"/>
          <w:szCs w:val="19"/>
          <w:color w:val="auto"/>
        </w:rPr>
        <w:t>There are no collectve agreements applicable to the employment.</w:t>
      </w:r>
    </w:p>
    <w:p>
      <w:pPr>
        <w:spacing w:after="0" w:line="200" w:lineRule="exact"/>
        <w:rPr>
          <w:rFonts w:ascii="Calibri" w:cs="Calibri" w:eastAsia="Calibri" w:hAnsi="Calibri"/>
          <w:sz w:val="19"/>
          <w:szCs w:val="19"/>
          <w:color w:val="auto"/>
        </w:rPr>
      </w:pPr>
    </w:p>
    <w:p>
      <w:pPr>
        <w:spacing w:after="0" w:line="200" w:lineRule="exact"/>
        <w:rPr>
          <w:rFonts w:ascii="Calibri" w:cs="Calibri" w:eastAsia="Calibri" w:hAnsi="Calibri"/>
          <w:sz w:val="19"/>
          <w:szCs w:val="19"/>
          <w:color w:val="auto"/>
        </w:rPr>
      </w:pPr>
    </w:p>
    <w:p>
      <w:pPr>
        <w:spacing w:after="0" w:line="200" w:lineRule="exact"/>
        <w:rPr>
          <w:rFonts w:ascii="Calibri" w:cs="Calibri" w:eastAsia="Calibri" w:hAnsi="Calibri"/>
          <w:sz w:val="19"/>
          <w:szCs w:val="19"/>
          <w:color w:val="auto"/>
        </w:rPr>
      </w:pPr>
    </w:p>
    <w:p>
      <w:pPr>
        <w:spacing w:after="0" w:line="282" w:lineRule="exact"/>
        <w:rPr>
          <w:rFonts w:ascii="Calibri" w:cs="Calibri" w:eastAsia="Calibri" w:hAnsi="Calibri"/>
          <w:sz w:val="19"/>
          <w:szCs w:val="19"/>
          <w:color w:val="auto"/>
        </w:rPr>
      </w:pPr>
    </w:p>
    <w:p>
      <w:pPr>
        <w:ind w:left="5477" w:hanging="118"/>
        <w:spacing w:after="0"/>
        <w:tabs>
          <w:tab w:leader="none" w:pos="5477"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w:t>
      </w:r>
    </w:p>
    <w:p>
      <w:pPr>
        <w:sectPr>
          <w:pgSz w:w="11900" w:h="16838" w:orient="portrait"/>
          <w:cols w:equalWidth="0" w:num="1">
            <w:col w:w="11177"/>
          </w:cols>
          <w:pgMar w:left="323" w:top="1440" w:right="399" w:bottom="1440" w:gutter="0" w:footer="0" w:header="0"/>
        </w:sectPr>
      </w:pPr>
    </w:p>
    <w:bookmarkStart w:id="291" w:name="page292"/>
    <w:bookmarkEnd w:id="291"/>
    <w:p>
      <w:pPr>
        <w:ind w:left="10200"/>
        <w:spacing w:after="0"/>
        <w:rPr>
          <w:sz w:val="20"/>
          <w:szCs w:val="20"/>
          <w:color w:val="auto"/>
        </w:rPr>
      </w:pPr>
      <w:r>
        <w:rPr>
          <w:rFonts w:ascii="Arial" w:cs="Arial" w:eastAsia="Arial" w:hAnsi="Arial"/>
          <w:sz w:val="17"/>
          <w:szCs w:val="17"/>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TRANSITION AGREEMENT AND RELEASE</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This Transition Agreement and Release (“Agreement”) is made by and between Tina Marriott (“Employee”) and Recursion Pharmaceuticals, Inc. (the “Company”) (collectively referred to as the “Parties” or individually referred to as a “Party”).</w:t>
      </w:r>
    </w:p>
    <w:p>
      <w:pPr>
        <w:spacing w:after="0" w:line="19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Employee is employed at will by the Company;</w:t>
      </w:r>
    </w:p>
    <w:p>
      <w:pPr>
        <w:spacing w:after="0" w:line="24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WHEREAS, the Company granted Employee the option(s) to purchase shares of the Company’s Class A common stock (each, an “Option”) and/or award(s) of restricted stock units (each, an “RSU Award”) listed in </w:t>
      </w:r>
      <w:r>
        <w:rPr>
          <w:rFonts w:ascii="Times New Roman" w:cs="Times New Roman" w:eastAsia="Times New Roman" w:hAnsi="Times New Roman"/>
          <w:sz w:val="19"/>
          <w:szCs w:val="19"/>
          <w:b w:val="1"/>
          <w:bCs w:val="1"/>
          <w:u w:val="single" w:color="auto"/>
          <w:color w:val="auto"/>
        </w:rPr>
        <w:t>Exhibit A</w:t>
      </w:r>
      <w:r>
        <w:rPr>
          <w:rFonts w:ascii="Times New Roman" w:cs="Times New Roman" w:eastAsia="Times New Roman" w:hAnsi="Times New Roman"/>
          <w:sz w:val="19"/>
          <w:szCs w:val="19"/>
          <w:color w:val="auto"/>
        </w:rPr>
        <w:t xml:space="preserve"> (such Option and RSU Awards, the “Equity Awards”), each subject to the terms and conditions of the Company’s 2016 Equity Incentive Plan (the “2016 Plan”) or the Company’s 2021 Equity Incentive Plan (the “2021 Plan” and, together with the 2016 Plan, the “Plans”) and the applicable award agreement between the Company and Employee applicable to each Equity Award (each, an “Equity Award Agreement”) (the Plans together with the Equity Award Agreements, the “Stock Agreements”);</w:t>
      </w:r>
    </w:p>
    <w:p>
      <w:pPr>
        <w:spacing w:after="0" w:line="18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WHEREAS, the Company and Employee have entered into a participation agreement (the “Participation Agreement”), setting forth the terms and conditions of Employee’s participation in the Company’s Executive Change in Control and Severance Plan (the “Severance Plan”);</w:t>
      </w:r>
    </w:p>
    <w:p>
      <w:pPr>
        <w:spacing w:after="0" w:line="16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WHEREAS, Employee’s employment with the Company is terminating, but contingent on Employee’s execution and non-revocation of this Agreement, Employee will be provided the opportunity to remain employed by the Company as an at-will employee and provide transition services to the Company until no later than the Planned Separation Date; and</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spacing w:after="0" w:line="1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NOW, THEREFORE, in consideration of the mutual promises made herein, the Company and Employee hereby agree as follows: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250" w:lineRule="exact"/>
        <w:rPr>
          <w:sz w:val="20"/>
          <w:szCs w:val="20"/>
          <w:color w:val="auto"/>
        </w:rPr>
      </w:pPr>
    </w:p>
    <w:p>
      <w:pPr>
        <w:ind w:left="1240" w:hanging="618"/>
        <w:spacing w:after="0"/>
        <w:tabs>
          <w:tab w:leader="none" w:pos="1240"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Consideration</w:t>
      </w:r>
      <w:r>
        <w:rPr>
          <w:rFonts w:ascii="Times New Roman" w:cs="Times New Roman" w:eastAsia="Times New Roman" w:hAnsi="Times New Roman"/>
          <w:sz w:val="19"/>
          <w:szCs w:val="19"/>
          <w:color w:val="auto"/>
          <w:highlight w:val="white"/>
        </w:rPr>
        <w:t>.</w:t>
      </w:r>
    </w:p>
    <w:p>
      <w:pPr>
        <w:spacing w:after="0" w:line="228" w:lineRule="exact"/>
        <w:rPr>
          <w:rFonts w:ascii="Times New Roman" w:cs="Times New Roman" w:eastAsia="Times New Roman" w:hAnsi="Times New Roman"/>
          <w:sz w:val="19"/>
          <w:szCs w:val="19"/>
          <w:color w:val="auto"/>
        </w:rPr>
      </w:pPr>
    </w:p>
    <w:p>
      <w:pPr>
        <w:jc w:val="both"/>
        <w:ind w:firstLine="1238"/>
        <w:spacing w:after="0" w:line="24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i w:val="1"/>
          <w:iCs w:val="1"/>
          <w:color w:val="auto"/>
        </w:rPr>
        <w:t>Continued Employment</w:t>
      </w:r>
      <w:r>
        <w:rPr>
          <w:rFonts w:ascii="Times New Roman" w:cs="Times New Roman" w:eastAsia="Times New Roman" w:hAnsi="Times New Roman"/>
          <w:sz w:val="19"/>
          <w:szCs w:val="19"/>
          <w:color w:val="auto"/>
        </w:rPr>
        <w:t>. The Company agrees that beginning on November 20, 2024, the Company will continue to employ Employee as an at-will employee, until no later than August 31, 2025 (August 31, 2025 is the “Planned Separation Date”; the actual last day of Employee’s employment with the Company, the “Separation Date”; the period between November 20, 2024, and the Separation Date, the “Transition Period”). Nothing in this Agreement shall in any way be construed to alter the at-will nature of Employee’s employment with the Company. As a result, Employee is free to terminate Employee’s employment at any time, for any reason or for no reason and the Company is free to terminate Employee’s employment at any time, for any reason or for no reason, even before the Planned Separation Date. During the Transition Period, Employee will continue as a full-time employee, serving as an Executive Advisor to</w:t>
      </w:r>
    </w:p>
    <w:p>
      <w:pPr>
        <w:sectPr>
          <w:pgSz w:w="11900" w:h="16838" w:orient="portrait"/>
          <w:cols w:equalWidth="0" w:num="1">
            <w:col w:w="11240"/>
          </w:cols>
          <w:pgMar w:left="320" w:top="121" w:right="339" w:bottom="1440" w:gutter="0" w:footer="0" w:header="0"/>
        </w:sectPr>
      </w:pPr>
    </w:p>
    <w:bookmarkStart w:id="292" w:name="page293"/>
    <w:bookmarkEnd w:id="292"/>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Company, and will provide services (including transition services) to the Company as requested by the Company. Employee will perform her job duties as assigned and in good faith to the best of Employee’s abilities. It is expected that Employee will continue on the Company’s health benefit plan during the Transition Period (Employee’s eligibility for receiving health coverage during the Transition Period will ultimately be based on the terms and conditions of the applicable plan, including eligibility requirements). As of November 20, 2024, Employee resigns from her position as the Company’s President and Chief Operating Officer, and any other officer or director positions Employee occupied with the Company or any subsidiary or affiliate of the Company as of such time. Employee agrees to execute any necessary documents or other forms necessary to effectuate or document her resignation as a matter of local, state, federal, or international law.</w:t>
      </w:r>
    </w:p>
    <w:p>
      <w:pPr>
        <w:spacing w:after="0" w:line="201" w:lineRule="exact"/>
        <w:rPr>
          <w:sz w:val="20"/>
          <w:szCs w:val="20"/>
          <w:color w:val="auto"/>
        </w:rPr>
      </w:pPr>
    </w:p>
    <w:p>
      <w:pPr>
        <w:ind w:left="1280" w:hanging="194"/>
        <w:spacing w:after="0"/>
        <w:tabs>
          <w:tab w:leader="none" w:pos="128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Compensation and Benefits During Transition Period.</w:t>
      </w:r>
    </w:p>
    <w:p>
      <w:pPr>
        <w:spacing w:after="0" w:line="206" w:lineRule="exact"/>
        <w:rPr>
          <w:rFonts w:ascii="Times New Roman" w:cs="Times New Roman" w:eastAsia="Times New Roman" w:hAnsi="Times New Roman"/>
          <w:sz w:val="19"/>
          <w:szCs w:val="19"/>
          <w:color w:val="auto"/>
        </w:rPr>
      </w:pPr>
    </w:p>
    <w:p>
      <w:pPr>
        <w:jc w:val="both"/>
        <w:ind w:firstLine="2014"/>
        <w:spacing w:after="0" w:line="256" w:lineRule="auto"/>
        <w:tabs>
          <w:tab w:leader="none" w:pos="2472" w:val="left"/>
        </w:tabs>
        <w:numPr>
          <w:ilvl w:val="2"/>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Salary and Benefits. </w:t>
      </w:r>
      <w:r>
        <w:rPr>
          <w:rFonts w:ascii="Times New Roman" w:cs="Times New Roman" w:eastAsia="Times New Roman" w:hAnsi="Times New Roman"/>
          <w:sz w:val="19"/>
          <w:szCs w:val="19"/>
          <w:color w:val="auto"/>
        </w:rPr>
        <w:t>During the Transition Period, Employee will continue receiving the monthly base salary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Employee was receiving as of November 20, 2024, less applicable withholdings, in accordance with the Company’s regular payroll practices and be eligible to participate in then-available Company benefit plans at the same level as Employee would have been eligible to participate in such plans immediately prior to the start of the Transition Period, subject to the terms and conditions, including eligibility requirements, of such plans. For the avoidance of doubt, Employee will not be eligible to participate in any Company bonus plan in 2025.</w:t>
      </w:r>
    </w:p>
    <w:p>
      <w:pPr>
        <w:spacing w:after="0" w:line="175" w:lineRule="exact"/>
        <w:rPr>
          <w:rFonts w:ascii="Times New Roman" w:cs="Times New Roman" w:eastAsia="Times New Roman" w:hAnsi="Times New Roman"/>
          <w:sz w:val="19"/>
          <w:szCs w:val="19"/>
          <w:color w:val="auto"/>
        </w:rPr>
      </w:pPr>
    </w:p>
    <w:p>
      <w:pPr>
        <w:jc w:val="both"/>
        <w:ind w:firstLine="2014"/>
        <w:spacing w:after="0" w:line="273" w:lineRule="auto"/>
        <w:tabs>
          <w:tab w:leader="none" w:pos="2473"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2024 Bonus</w:t>
      </w:r>
      <w:r>
        <w:rPr>
          <w:rFonts w:ascii="Times New Roman" w:cs="Times New Roman" w:eastAsia="Times New Roman" w:hAnsi="Times New Roman"/>
          <w:sz w:val="18"/>
          <w:szCs w:val="18"/>
          <w:color w:val="auto"/>
        </w:rPr>
        <w:t>. Employee shall be eligible to receive a bonus amount under the Company’s 2024 bonus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Plan”) based on the bonus that Employee is entitled to receive under the 2024 Plan (the “2024 Achieved Bonus”). The 2024 Achieved Bonus shall be settled (i) 50% in cash and payable, less applicable tax withholding and (ii) 50% in Company restricted stock units granted under the 2021 Plan and a form of award agreement thereunder, in each case, payable at the same as the Company’s other senior executive bonus payments under the 2024 Plan and subject to the Employee remaining employed through the applicable payment date (the “2024 Bonus Plan Payment Date”).</w:t>
      </w:r>
    </w:p>
    <w:p>
      <w:pPr>
        <w:spacing w:after="0" w:line="163" w:lineRule="exact"/>
        <w:rPr>
          <w:rFonts w:ascii="Times New Roman" w:cs="Times New Roman" w:eastAsia="Times New Roman" w:hAnsi="Times New Roman"/>
          <w:sz w:val="18"/>
          <w:szCs w:val="18"/>
          <w:color w:val="auto"/>
        </w:rPr>
      </w:pPr>
    </w:p>
    <w:p>
      <w:pPr>
        <w:jc w:val="both"/>
        <w:ind w:firstLine="2014"/>
        <w:spacing w:after="0" w:line="264" w:lineRule="auto"/>
        <w:tabs>
          <w:tab w:leader="none" w:pos="2474" w:val="left"/>
        </w:tabs>
        <w:numPr>
          <w:ilvl w:val="2"/>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Continued Vesting. </w:t>
      </w:r>
      <w:r>
        <w:rPr>
          <w:rFonts w:ascii="Times New Roman" w:cs="Times New Roman" w:eastAsia="Times New Roman" w:hAnsi="Times New Roman"/>
          <w:sz w:val="19"/>
          <w:szCs w:val="19"/>
          <w:color w:val="auto"/>
        </w:rPr>
        <w:t>During Employee’s employment during the Transition Period, Employee will remain a “Service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Provider” within the meaning of the Plans and therefore will be able to continue vesting in the Equity Awards in accordance with the terms and conditions of the applicable Stock Agreements as in effect as of the date hereof.</w:t>
      </w:r>
    </w:p>
    <w:p>
      <w:pPr>
        <w:spacing w:after="0" w:line="194" w:lineRule="exact"/>
        <w:rPr>
          <w:rFonts w:ascii="Times New Roman" w:cs="Times New Roman" w:eastAsia="Times New Roman" w:hAnsi="Times New Roman"/>
          <w:sz w:val="19"/>
          <w:szCs w:val="19"/>
          <w:color w:val="auto"/>
        </w:rPr>
      </w:pPr>
    </w:p>
    <w:p>
      <w:pPr>
        <w:jc w:val="both"/>
        <w:ind w:firstLine="1087"/>
        <w:spacing w:after="0" w:line="243" w:lineRule="auto"/>
        <w:tabs>
          <w:tab w:leader="none" w:pos="1288"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Supplemental Release</w:t>
      </w:r>
      <w:r>
        <w:rPr>
          <w:rFonts w:ascii="Times New Roman" w:cs="Times New Roman" w:eastAsia="Times New Roman" w:hAnsi="Times New Roman"/>
          <w:sz w:val="19"/>
          <w:szCs w:val="19"/>
          <w:color w:val="auto"/>
        </w:rPr>
        <w:t>. Employee agrees to execute, within twenty-one (21) calendar days after the date Employee’s employment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terminates, the Supplemental Release attached hereto as </w:t>
      </w:r>
      <w:r>
        <w:rPr>
          <w:rFonts w:ascii="Times New Roman" w:cs="Times New Roman" w:eastAsia="Times New Roman" w:hAnsi="Times New Roman"/>
          <w:sz w:val="19"/>
          <w:szCs w:val="19"/>
          <w:b w:val="1"/>
          <w:bCs w:val="1"/>
          <w:u w:val="single" w:color="auto"/>
          <w:color w:val="auto"/>
        </w:rPr>
        <w:t>Exhibit B</w:t>
      </w:r>
      <w:r>
        <w:rPr>
          <w:rFonts w:ascii="Times New Roman" w:cs="Times New Roman" w:eastAsia="Times New Roman" w:hAnsi="Times New Roman"/>
          <w:sz w:val="19"/>
          <w:szCs w:val="19"/>
          <w:color w:val="auto"/>
        </w:rPr>
        <w:t>, (the “Supplemental Release”), and to not revoke such supplemental release; provided, however, that the Company may modify the Supplemental Release pursuant to or otherwise as may be required by applicable law. If Employee does not sign the Supplemental Release prior to the deadline set forth in the Supplemental Release or revokes the Supplemental Release, Employee shall be deemed to have failed to abide by the material terms of this Agreement. Subject to Employee executing and not revoking the Supplemental Release (along with this Agreement) and the Supplemental Release (along with this Agreement) becoming effective, the Company agrees to the following:</w:t>
      </w:r>
    </w:p>
    <w:p>
      <w:pPr>
        <w:spacing w:after="0" w:line="204" w:lineRule="exact"/>
        <w:rPr>
          <w:rFonts w:ascii="Times New Roman" w:cs="Times New Roman" w:eastAsia="Times New Roman" w:hAnsi="Times New Roman"/>
          <w:sz w:val="19"/>
          <w:szCs w:val="19"/>
          <w:color w:val="auto"/>
        </w:rPr>
      </w:pPr>
    </w:p>
    <w:p>
      <w:pPr>
        <w:jc w:val="both"/>
        <w:ind w:firstLine="1860"/>
        <w:spacing w:after="0" w:line="244" w:lineRule="auto"/>
        <w:tabs>
          <w:tab w:leader="none" w:pos="2472"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Severance Payment. </w:t>
      </w:r>
      <w:r>
        <w:rPr>
          <w:rFonts w:ascii="Times New Roman" w:cs="Times New Roman" w:eastAsia="Times New Roman" w:hAnsi="Times New Roman"/>
          <w:sz w:val="19"/>
          <w:szCs w:val="19"/>
          <w:color w:val="auto"/>
        </w:rPr>
        <w:t>If, prior to the Planned Separation Date, the Company terminates Employee’s employment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reason other than for Cause, the Company will pay Employee the base salary, less applicable withholdings, that Employee would have received had she remained employed through the Planned Separation Date. For example, if Employee’s employment is terminated by the Company without Cause on May 31, 2025, the Company will pay Employee three months of her base salary. If payable, this payment will be made to Employee within ten (10) business days after the later of (i) the Supplemental Release Effective Date (as defined in the Supplemental Release) and (ii) Employee’s</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 xml:space="preserve">Separation Date. For the avoidance of doubt, if Employee remains employed through the Planned Separation Date, Employee will have received all of the salary during the Transition Period and Employee will not receive any additional payment under this subsection. For purposes of this Agreement, “Cause” will mean the following: (i) an act of dishonesty made by Employee in connection with Employee’s responsibilities as an employee, (ii) Employee’s conviction of, or plea of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to, a felony or any crime involving fraud, embezzlement or any other act of moral turpitude, (iii) Employee’s gross misconduct, (iv) Employee’s unauthorized use or disclosure of any proprietary information or trade secrets of the Company or any other party to whom Employee owes an obligation of nondisclosure as a result of Employee’s relationship with the Company, or (v) Employee’s willful breach of any obligations under any written agreement or covenant with the Company.</w:t>
      </w:r>
    </w:p>
    <w:p>
      <w:pPr>
        <w:spacing w:after="0" w:line="201" w:lineRule="exact"/>
        <w:rPr>
          <w:sz w:val="20"/>
          <w:szCs w:val="20"/>
          <w:color w:val="auto"/>
        </w:rPr>
      </w:pPr>
    </w:p>
    <w:p>
      <w:pPr>
        <w:jc w:val="both"/>
        <w:ind w:firstLine="1860"/>
        <w:spacing w:after="0" w:line="241" w:lineRule="auto"/>
        <w:tabs>
          <w:tab w:leader="none" w:pos="2470" w:val="left"/>
        </w:tabs>
        <w:numPr>
          <w:ilvl w:val="0"/>
          <w:numId w:val="238"/>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Health Benefits. </w:t>
      </w:r>
      <w:r>
        <w:rPr>
          <w:rFonts w:ascii="Times New Roman" w:cs="Times New Roman" w:eastAsia="Times New Roman" w:hAnsi="Times New Roman"/>
          <w:sz w:val="19"/>
          <w:szCs w:val="19"/>
          <w:color w:val="auto"/>
        </w:rPr>
        <w:t>If, prior to the Planned Separation Date, the Company terminates Employee’s employment for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reason other than for Cause, and Employee, or any spouse and/or dependents of Employee (“Family Members”) has or have coverage on the date of such termination of Employee’s employment under a group health plan sponsored by the Company, the Company will reimburse Employee the total applicable premium cost for continued group health plan coverage under the Consolidated Omnibus Budget Reconciliation Act of 1985, as amended (“COBRA”) during the period of time from the Employee’s employment termination until the Planned Separation Date (the “COBRA Benefit Period”), provided that the Participant validly elects and is eligible to continue coverage under COBRA for Employee and Employee’s Family Members. However, if the Company determines in its sole discretion that it cannot provide the COBRA reimbursement benefits without potentially violating applicable laws (including, without limitation, Section 2716 of the Public Health Service Act and the Employee Retirement Income Security Act of 1974, as amended), the Company will in lieu thereof provide to Employee a lump sum payment equal to the monthly COBRA premium (on an after-tax basis) that Employee would be required to pay to continue the group health coverage in effect on the date of Employee’s termination of employment (which amount will be based on the premium for the first month of COBRA coverage), multiplied by the number of months in the COBRA Benefit Period, which payments will be made regardless of whether Employee elects COBRA continuation coverage. For the avoidance of doubt, if Employee remains employed through the Planned Separation Date, the Employee will have received all of the health benefits during the Transition Period and will not receive any additional benefit under this subsection.</w:t>
      </w:r>
    </w:p>
    <w:p>
      <w:pPr>
        <w:spacing w:after="0" w:line="202" w:lineRule="exact"/>
        <w:rPr>
          <w:rFonts w:ascii="Arial" w:cs="Arial" w:eastAsia="Arial" w:hAnsi="Arial"/>
          <w:sz w:val="19"/>
          <w:szCs w:val="19"/>
          <w:color w:val="auto"/>
        </w:rPr>
      </w:pPr>
    </w:p>
    <w:p>
      <w:pPr>
        <w:jc w:val="both"/>
        <w:ind w:firstLine="1860"/>
        <w:spacing w:after="0" w:line="242" w:lineRule="auto"/>
        <w:tabs>
          <w:tab w:leader="none" w:pos="2473" w:val="left"/>
        </w:tabs>
        <w:numPr>
          <w:ilvl w:val="0"/>
          <w:numId w:val="238"/>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2024 Bonus Severance. </w:t>
      </w:r>
      <w:r>
        <w:rPr>
          <w:rFonts w:ascii="Times New Roman" w:cs="Times New Roman" w:eastAsia="Times New Roman" w:hAnsi="Times New Roman"/>
          <w:sz w:val="19"/>
          <w:szCs w:val="19"/>
          <w:color w:val="auto"/>
        </w:rPr>
        <w:t>If, prior to the 2024 Bonus Plan Payment Date, the Company terminates Employee’s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employment for any reason other than for Cause, even though she would not have earned such payment under the 2024 Plan, Employee shall receive a bonus amount under the 2024 Plan as follows: (i) a cash payment equal to 20% of Employee’s annual base salary as in effect immediately prior to the Separation Date shall be payable to Employee in cash in a lump sum, less applicable tax withholding, no later than the second Company payroll date following the effective date of the Supplemental Release and (ii) a payment equal to 20% of Employee’s annual base salary as in effect immediately prior to the Separation Date shall be payable to Employee in Company restricted stock units granted under the 2021 Plan and a form of award agreement thereunder (with that value converted into a number of restricted stock units determined in accordance with the Company’s equity grant procedures), and which vest on the Supplemental Release Effective Date. For the avoidance of doubt, if Employee remains employed with the Company through the 2024 Bonus Plan Payment Date, Employee will have received all bonus payments under the 2024 Plan and will not receive any additional payment under this subsection.</w:t>
      </w:r>
    </w:p>
    <w:p>
      <w:pPr>
        <w:spacing w:after="0" w:line="206" w:lineRule="exact"/>
        <w:rPr>
          <w:rFonts w:ascii="Arial" w:cs="Arial" w:eastAsia="Arial" w:hAnsi="Arial"/>
          <w:sz w:val="19"/>
          <w:szCs w:val="19"/>
          <w:color w:val="auto"/>
        </w:rPr>
      </w:pPr>
    </w:p>
    <w:p>
      <w:pPr>
        <w:ind w:firstLine="1860"/>
        <w:spacing w:after="0" w:line="272" w:lineRule="auto"/>
        <w:tabs>
          <w:tab w:leader="none" w:pos="2457" w:val="left"/>
        </w:tabs>
        <w:numPr>
          <w:ilvl w:val="0"/>
          <w:numId w:val="238"/>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Supplemental Release Payment</w:t>
      </w:r>
      <w:r>
        <w:rPr>
          <w:rFonts w:ascii="Times New Roman" w:cs="Times New Roman" w:eastAsia="Times New Roman" w:hAnsi="Times New Roman"/>
          <w:sz w:val="19"/>
          <w:szCs w:val="19"/>
          <w:color w:val="auto"/>
        </w:rPr>
        <w:t>. The Company will pay Employee a lump sum payment of Five Thousand Dollars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($5,000), less applicable withholdings, within ten (10) business days after the Supplemental Release Effective Date.</w:t>
      </w:r>
    </w:p>
    <w:p>
      <w:pPr>
        <w:spacing w:after="0" w:line="161" w:lineRule="exact"/>
        <w:rPr>
          <w:sz w:val="20"/>
          <w:szCs w:val="20"/>
          <w:color w:val="auto"/>
        </w:rPr>
      </w:pPr>
    </w:p>
    <w:p>
      <w:pPr>
        <w:jc w:val="both"/>
        <w:ind w:firstLine="1238"/>
        <w:spacing w:after="0" w:line="257"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i w:val="1"/>
          <w:iCs w:val="1"/>
          <w:color w:val="auto"/>
        </w:rPr>
        <w:t>. Acknowledgement</w:t>
      </w:r>
      <w:r>
        <w:rPr>
          <w:rFonts w:ascii="Times New Roman" w:cs="Times New Roman" w:eastAsia="Times New Roman" w:hAnsi="Times New Roman"/>
          <w:sz w:val="19"/>
          <w:szCs w:val="19"/>
          <w:color w:val="auto"/>
        </w:rPr>
        <w:t>. Employee acknowledges that without this Agreement and the Supplemental Release, Employee is otherwise not entitled to the consideration listed in this Section 1. Employee acknowledges and agrees that this Agreement supersedes and replaces the Severance Plan and the</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20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Participation Agreement, and Employee will not be entitled to any other severance payments or benefits (or any other compensation, payments or benefits) under the Severance Plan, the Participation Agreement, or otherwise.</w:t>
      </w:r>
    </w:p>
    <w:p>
      <w:pPr>
        <w:spacing w:after="0" w:line="181" w:lineRule="exact"/>
        <w:rPr>
          <w:sz w:val="20"/>
          <w:szCs w:val="20"/>
          <w:color w:val="auto"/>
        </w:rPr>
      </w:pPr>
    </w:p>
    <w:p>
      <w:pPr>
        <w:jc w:val="both"/>
        <w:ind w:firstLine="622"/>
        <w:spacing w:after="0" w:line="254" w:lineRule="auto"/>
        <w:tabs>
          <w:tab w:leader="none" w:pos="1237"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w:t>
      </w:r>
      <w:r>
        <w:rPr>
          <w:rFonts w:ascii="Times New Roman" w:cs="Times New Roman" w:eastAsia="Times New Roman" w:hAnsi="Times New Roman"/>
          <w:sz w:val="19"/>
          <w:szCs w:val="19"/>
          <w:color w:val="auto"/>
        </w:rPr>
        <w:t>. The Parties agree that for purposes of determining the number of shares of the Company’s Class A common stock that Employee is entitled to purchase or receive from the Company, pursuant to the exercise of the Option(s) and the vesting of the RSU Award(s), as applicable, Employee will be considered to have vested only up to the Separation Date. The exercise of the Option(s) and any shares acquired through the exercise of the Option(s) or the vesting of the RSU Award(s) shall continue to be governed by the terms and conditions of the applicable Stock Agreements.</w:t>
      </w:r>
    </w:p>
    <w:p>
      <w:pPr>
        <w:spacing w:after="0" w:line="210" w:lineRule="exact"/>
        <w:rPr>
          <w:rFonts w:ascii="Times New Roman" w:cs="Times New Roman" w:eastAsia="Times New Roman" w:hAnsi="Times New Roman"/>
          <w:sz w:val="19"/>
          <w:szCs w:val="19"/>
          <w:color w:val="auto"/>
        </w:rPr>
      </w:pPr>
    </w:p>
    <w:p>
      <w:pPr>
        <w:jc w:val="both"/>
        <w:ind w:firstLine="622"/>
        <w:spacing w:after="0" w:line="259" w:lineRule="auto"/>
        <w:tabs>
          <w:tab w:leader="none" w:pos="1237"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Employee’s Company-sponsored health insurance benefits shall cease no later than the last day of the month in which the Separation Date occurs (or such earlier date as may be required by applicable plan terms and conditions), subject to Employee’s right to continue Employee’s health insurance under COBRA. Employee’s participation in all benefits and incidents of employment will cease as of the Separation Date.</w:t>
      </w:r>
    </w:p>
    <w:p>
      <w:pPr>
        <w:spacing w:after="0" w:line="191" w:lineRule="exact"/>
        <w:rPr>
          <w:rFonts w:ascii="Times New Roman" w:cs="Times New Roman" w:eastAsia="Times New Roman" w:hAnsi="Times New Roman"/>
          <w:sz w:val="19"/>
          <w:szCs w:val="19"/>
          <w:color w:val="auto"/>
        </w:rPr>
      </w:pPr>
    </w:p>
    <w:p>
      <w:pPr>
        <w:jc w:val="both"/>
        <w:ind w:firstLine="622"/>
        <w:spacing w:after="0" w:line="259" w:lineRule="auto"/>
        <w:tabs>
          <w:tab w:leader="none" w:pos="1237"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Salary and Receipt of All Benefits</w:t>
      </w:r>
      <w:r>
        <w:rPr>
          <w:rFonts w:ascii="Times New Roman" w:cs="Times New Roman" w:eastAsia="Times New Roman" w:hAnsi="Times New Roman"/>
          <w:sz w:val="19"/>
          <w:szCs w:val="19"/>
          <w:color w:val="auto"/>
        </w:rPr>
        <w:t>. Employee acknowledges and represents that, other than the consideration set forth in this Agreement, the Company and its agents have paid or provided (to the extent applicable) all salary, wages, bonuses, vacation/paid time off, premiums, leaves, housing allowances, relocation costs, interest, severance, outplacement costs, fees, reimbursable expenses, commissions, stock, stock options, vesting, and any and all other benefits and compensation due to Employee.</w:t>
      </w:r>
    </w:p>
    <w:p>
      <w:pPr>
        <w:spacing w:after="0" w:line="204" w:lineRule="exact"/>
        <w:rPr>
          <w:rFonts w:ascii="Times New Roman" w:cs="Times New Roman" w:eastAsia="Times New Roman" w:hAnsi="Times New Roman"/>
          <w:sz w:val="19"/>
          <w:szCs w:val="19"/>
          <w:color w:val="auto"/>
        </w:rPr>
      </w:pPr>
    </w:p>
    <w:p>
      <w:pPr>
        <w:jc w:val="both"/>
        <w:ind w:firstLine="622"/>
        <w:spacing w:after="0" w:line="251" w:lineRule="auto"/>
        <w:tabs>
          <w:tab w:leader="none" w:pos="1237"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 of Claims</w:t>
      </w:r>
      <w:r>
        <w:rPr>
          <w:rFonts w:ascii="Times New Roman" w:cs="Times New Roman" w:eastAsia="Times New Roman" w:hAnsi="Times New Roman"/>
          <w:sz w:val="19"/>
          <w:szCs w:val="19"/>
          <w:color w:val="auto"/>
        </w:rPr>
        <w:t>. Employee agrees that the foregoing consideration represents settlement in full of all outstanding obligations owed to Employee by the Company, its parents, subsidiaries, and affiliates, and each of their respective current and former officers, directors, employees, agents, investors, attorneys, shareholders, administrators, benefit plans, plan administrators, professional employer organizations or co-employers, insurers, trustees, divisions, and predecessor and successor corporations and assigns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spacing w:after="0" w:line="212" w:lineRule="exact"/>
        <w:rPr>
          <w:rFonts w:ascii="Times New Roman" w:cs="Times New Roman" w:eastAsia="Times New Roman" w:hAnsi="Times New Roman"/>
          <w:sz w:val="19"/>
          <w:szCs w:val="19"/>
          <w:color w:val="auto"/>
        </w:rPr>
      </w:pPr>
    </w:p>
    <w:p>
      <w:pPr>
        <w:jc w:val="both"/>
        <w:ind w:firstLine="1241"/>
        <w:spacing w:after="0" w:line="262" w:lineRule="auto"/>
        <w:tabs>
          <w:tab w:leader="none" w:pos="1607" w:val="left"/>
        </w:tabs>
        <w:numPr>
          <w:ilvl w:val="2"/>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Employee’s employment relationship with the Company and the termination of that relationship, including, but not limited to, claims related to the Participation Agreement, Severance Plan, or any other agreement with the Company;</w:t>
      </w:r>
    </w:p>
    <w:p>
      <w:pPr>
        <w:spacing w:after="0" w:line="199" w:lineRule="exact"/>
        <w:rPr>
          <w:rFonts w:ascii="Times New Roman" w:cs="Times New Roman" w:eastAsia="Times New Roman" w:hAnsi="Times New Roman"/>
          <w:sz w:val="19"/>
          <w:szCs w:val="19"/>
          <w:color w:val="auto"/>
        </w:rPr>
      </w:pPr>
    </w:p>
    <w:p>
      <w:pPr>
        <w:jc w:val="both"/>
        <w:ind w:firstLine="539"/>
        <w:spacing w:after="0" w:line="262" w:lineRule="auto"/>
        <w:tabs>
          <w:tab w:leader="none" w:pos="945"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6" w:lineRule="exact"/>
        <w:rPr>
          <w:rFonts w:ascii="Times New Roman" w:cs="Times New Roman" w:eastAsia="Times New Roman" w:hAnsi="Times New Roman"/>
          <w:sz w:val="19"/>
          <w:szCs w:val="19"/>
          <w:color w:val="auto"/>
        </w:rPr>
      </w:pPr>
    </w:p>
    <w:p>
      <w:pPr>
        <w:jc w:val="both"/>
        <w:ind w:firstLine="1241"/>
        <w:spacing w:after="0" w:line="269" w:lineRule="auto"/>
        <w:tabs>
          <w:tab w:leader="none" w:pos="1568" w:val="left"/>
        </w:tabs>
        <w:numPr>
          <w:ilvl w:val="2"/>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20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8" w:lineRule="exact"/>
        <w:rPr>
          <w:sz w:val="20"/>
          <w:szCs w:val="20"/>
          <w:color w:val="auto"/>
        </w:rPr>
      </w:pPr>
    </w:p>
    <w:p>
      <w:pPr>
        <w:jc w:val="both"/>
        <w:ind w:firstLine="1241"/>
        <w:spacing w:after="0" w:line="252" w:lineRule="auto"/>
        <w:tabs>
          <w:tab w:leader="none" w:pos="1616"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Utah Antidiscrimination Act, the Employment Relations and Collective Bargaining Act, the Utah Right to Work Act, the Utah Drug and Alcohol Testing Act, the Utah Minimum Wage Act, the Internet Employment Privacy Act, the Utah Protection of Activities in Private Vehicles Act, the Utah Employment Selection Procedures Act, and the Utah Occupational Safety and Health Act;</w:t>
      </w:r>
    </w:p>
    <w:p>
      <w:pPr>
        <w:spacing w:after="0" w:line="214" w:lineRule="exact"/>
        <w:rPr>
          <w:rFonts w:ascii="Times New Roman" w:cs="Times New Roman" w:eastAsia="Times New Roman" w:hAnsi="Times New Roman"/>
          <w:sz w:val="19"/>
          <w:szCs w:val="19"/>
          <w:color w:val="auto"/>
        </w:rPr>
      </w:pPr>
    </w:p>
    <w:p>
      <w:pPr>
        <w:ind w:left="1560" w:hanging="319"/>
        <w:spacing w:after="0"/>
        <w:tabs>
          <w:tab w:leader="none" w:pos="156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the federal or any state constitution;</w:t>
      </w:r>
    </w:p>
    <w:p>
      <w:pPr>
        <w:spacing w:after="0" w:line="245" w:lineRule="exact"/>
        <w:rPr>
          <w:rFonts w:ascii="Times New Roman" w:cs="Times New Roman" w:eastAsia="Times New Roman" w:hAnsi="Times New Roman"/>
          <w:sz w:val="19"/>
          <w:szCs w:val="19"/>
          <w:color w:val="auto"/>
        </w:rPr>
      </w:pPr>
    </w:p>
    <w:p>
      <w:pPr>
        <w:ind w:left="1540" w:hanging="299"/>
        <w:spacing w:after="0"/>
        <w:tabs>
          <w:tab w:leader="none" w:pos="154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arising out of any other laws and regulations relating to employment or employment discrimination;</w:t>
      </w:r>
    </w:p>
    <w:p>
      <w:pPr>
        <w:spacing w:after="0" w:line="232" w:lineRule="exact"/>
        <w:rPr>
          <w:rFonts w:ascii="Times New Roman" w:cs="Times New Roman" w:eastAsia="Times New Roman" w:hAnsi="Times New Roman"/>
          <w:sz w:val="19"/>
          <w:szCs w:val="19"/>
          <w:color w:val="auto"/>
        </w:rPr>
      </w:pPr>
    </w:p>
    <w:p>
      <w:pPr>
        <w:ind w:firstLine="1241"/>
        <w:spacing w:after="0" w:line="283" w:lineRule="auto"/>
        <w:tabs>
          <w:tab w:leader="none" w:pos="1609"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claim for any loss, cost, damage, or expense arising out of any dispute over the nonwithholding or other tax treatment of any of the proceeds received by Employee from the Company; and</w:t>
      </w:r>
    </w:p>
    <w:p>
      <w:pPr>
        <w:spacing w:after="0" w:line="168" w:lineRule="exact"/>
        <w:rPr>
          <w:rFonts w:ascii="Times New Roman" w:cs="Times New Roman" w:eastAsia="Times New Roman" w:hAnsi="Times New Roman"/>
          <w:sz w:val="19"/>
          <w:szCs w:val="19"/>
          <w:color w:val="auto"/>
        </w:rPr>
      </w:pPr>
    </w:p>
    <w:p>
      <w:pPr>
        <w:ind w:left="1580" w:hanging="339"/>
        <w:spacing w:after="0"/>
        <w:tabs>
          <w:tab w:leader="none" w:pos="158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attorneys’ fees and costs.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Any and all disputed wage claims that are released herein shall be subject to binding arbitration in accordance with this Agreement, except as required by applicable law. This release does not extend to any right Employee may have to unemployment compensation benefits following the Separation Date or workers’ compensation benefits, or compensation under the Utah Occupational Disease Act. In addition, this release does not extend to any rights of indemnification Employee may have under the Indemnification Agreement Employee has entered into with the Company (the “Indemnification Agreement”) subject to its terms, conditions, and limitations, or under directors and officers liability insurance coverage Employee may have pursuant to applicable Company policies, subject to the applicable terms, conditions, and limitations.</w:t>
      </w:r>
    </w:p>
    <w:p>
      <w:pPr>
        <w:spacing w:after="0" w:line="215" w:lineRule="exact"/>
        <w:rPr>
          <w:sz w:val="20"/>
          <w:szCs w:val="20"/>
          <w:color w:val="auto"/>
        </w:rPr>
      </w:pPr>
    </w:p>
    <w:p>
      <w:pPr>
        <w:jc w:val="both"/>
        <w:ind w:firstLine="622"/>
        <w:spacing w:after="0" w:line="265" w:lineRule="auto"/>
        <w:tabs>
          <w:tab w:leader="none" w:pos="1237"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Waiver of Claims under ADEA</w:t>
      </w:r>
      <w:r>
        <w:rPr>
          <w:rFonts w:ascii="Times New Roman" w:cs="Times New Roman" w:eastAsia="Times New Roman" w:hAnsi="Times New Roman"/>
          <w:sz w:val="18"/>
          <w:szCs w:val="18"/>
          <w:color w:val="auto"/>
          <w:highlight w:val="white"/>
        </w:rPr>
        <w:t>. Employee understands and acknowledges that Employee is waiving and</w:t>
      </w:r>
      <w:r>
        <w:rPr>
          <w:rFonts w:ascii="Times New Roman" w:cs="Times New Roman" w:eastAsia="Times New Roman" w:hAnsi="Times New Roman"/>
          <w:sz w:val="18"/>
          <w:szCs w:val="18"/>
          <w:color w:val="auto"/>
        </w:rPr>
        <w:t xml:space="preserve"> releasing any rights Employee may have under the Age Discrimination in Employment Act of 1967 (“ADEA”), and that this waiver and release is knowing and voluntary. Employee understands and agrees that this waiver and release does not apply to any rights or claims that may arise under the ADEA after the date Employee signs this Agreement. Employee understands and acknowledges that the consideration given for this waiver and release is in addition to anything of value to which Employee was already entitled. Employee further understands and acknowledges that Employee has been advised by this writing that: (a) Employee should consult with an attorney </w:t>
      </w:r>
      <w:r>
        <w:rPr>
          <w:rFonts w:ascii="Times New Roman" w:cs="Times New Roman" w:eastAsia="Times New Roman" w:hAnsi="Times New Roman"/>
          <w:sz w:val="18"/>
          <w:szCs w:val="18"/>
          <w:u w:val="single" w:color="auto"/>
          <w:color w:val="auto"/>
        </w:rPr>
        <w:t>prior</w:t>
      </w:r>
      <w:r>
        <w:rPr>
          <w:rFonts w:ascii="Times New Roman" w:cs="Times New Roman" w:eastAsia="Times New Roman" w:hAnsi="Times New Roman"/>
          <w:sz w:val="18"/>
          <w:szCs w:val="18"/>
          <w:color w:val="auto"/>
        </w:rPr>
        <w:t xml:space="preserve"> to executing this Agreement; (b) Employee has twenty-one</w:t>
      </w:r>
    </w:p>
    <w:p>
      <w:pPr>
        <w:spacing w:after="0" w:line="2"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within which to consider this Agreement; (c) Employee has seven (7) days following Employee’s execution of this Agreement to revoke</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this Agreement; (d) this Agreement shall not be effective until after the revocation period has expired; and (e) nothing in this Agreement prevents or precludes Employee from challenging or seeking a determination in good faith of the</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validity of this waiver under the ADEA, nor does it impose any condition precedent, penalties, or costs for doing so, unless specifically authorized by federal law. In the event Employee signs this Agreement and returns it to the Company in less than the 21-day period identified above, Employee hereby acknowledges that Employee has knowingly and voluntarily chosen to waive the time period allotted for considering this Agreement. Employee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spacing w:after="0" w:line="185" w:lineRule="exact"/>
        <w:rPr>
          <w:sz w:val="20"/>
          <w:szCs w:val="20"/>
          <w:color w:val="auto"/>
        </w:rPr>
      </w:pPr>
    </w:p>
    <w:p>
      <w:pPr>
        <w:jc w:val="both"/>
        <w:ind w:firstLine="622"/>
        <w:spacing w:after="0" w:line="254" w:lineRule="auto"/>
        <w:tabs>
          <w:tab w:leader="none" w:pos="1237"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Unknown Claims</w:t>
      </w:r>
      <w:r>
        <w:rPr>
          <w:rFonts w:ascii="Times New Roman" w:cs="Times New Roman" w:eastAsia="Times New Roman" w:hAnsi="Times New Roman"/>
          <w:sz w:val="19"/>
          <w:szCs w:val="19"/>
          <w:color w:val="auto"/>
        </w:rPr>
        <w:t>. Employee acknowledges that Employee has been advised to consult with legal counsel and that Employee is familiar with the principle that a general release does not extend to claims that the releaser does not know or suspect to exist in Employee’s favor at the time of executing the release, which, if known by Employee, must have materially affected Employee’s settlement with the releasee. Employee, being aware of said principle, agrees to expressly waive any rights Employee may have to that effect, as well as under any other statute or common law principles of similar effect.</w:t>
      </w:r>
    </w:p>
    <w:p>
      <w:pPr>
        <w:spacing w:after="0" w:line="184" w:lineRule="exact"/>
        <w:rPr>
          <w:rFonts w:ascii="Times New Roman" w:cs="Times New Roman" w:eastAsia="Times New Roman" w:hAnsi="Times New Roman"/>
          <w:sz w:val="19"/>
          <w:szCs w:val="19"/>
          <w:color w:val="auto"/>
        </w:rPr>
      </w:pPr>
    </w:p>
    <w:p>
      <w:pPr>
        <w:jc w:val="both"/>
        <w:ind w:firstLine="622"/>
        <w:spacing w:after="0" w:line="254" w:lineRule="auto"/>
        <w:tabs>
          <w:tab w:leader="none" w:pos="1237"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Pending or Future Lawsuits</w:t>
      </w:r>
      <w:r>
        <w:rPr>
          <w:rFonts w:ascii="Times New Roman" w:cs="Times New Roman" w:eastAsia="Times New Roman" w:hAnsi="Times New Roman"/>
          <w:sz w:val="19"/>
          <w:szCs w:val="19"/>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spacing w:after="0" w:line="209" w:lineRule="exact"/>
        <w:rPr>
          <w:rFonts w:ascii="Times New Roman" w:cs="Times New Roman" w:eastAsia="Times New Roman" w:hAnsi="Times New Roman"/>
          <w:sz w:val="19"/>
          <w:szCs w:val="19"/>
          <w:color w:val="auto"/>
        </w:rPr>
      </w:pPr>
    </w:p>
    <w:p>
      <w:pPr>
        <w:jc w:val="both"/>
        <w:ind w:firstLine="622"/>
        <w:spacing w:after="0" w:line="259" w:lineRule="auto"/>
        <w:tabs>
          <w:tab w:leader="none" w:pos="1237"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Trade Secrets and Confidential Information.</w:t>
      </w:r>
      <w:r>
        <w:rPr>
          <w:rFonts w:ascii="Times New Roman" w:cs="Times New Roman" w:eastAsia="Times New Roman" w:hAnsi="Times New Roman"/>
          <w:sz w:val="19"/>
          <w:szCs w:val="19"/>
          <w:color w:val="auto"/>
        </w:rPr>
        <w:t xml:space="preserve"> Employee agrees, as a condition of this Agreement and the consideration Employee is receiving under this Agreement, to sign an At-Will Employment, Confidential Information, Invention Assignment, and Arbitration Agreement with the Company (the “Confidentiality Agreement”) concurrently with this Agreement. Employee understands that her failure to sign the Confidentiality Agreement as set forth in the preceding sentence will be considered a material breach of this Agreement.</w:t>
      </w:r>
    </w:p>
    <w:p>
      <w:pPr>
        <w:spacing w:after="0" w:line="191" w:lineRule="exact"/>
        <w:rPr>
          <w:rFonts w:ascii="Times New Roman" w:cs="Times New Roman" w:eastAsia="Times New Roman" w:hAnsi="Times New Roman"/>
          <w:sz w:val="19"/>
          <w:szCs w:val="19"/>
          <w:color w:val="auto"/>
        </w:rPr>
      </w:pPr>
    </w:p>
    <w:p>
      <w:pPr>
        <w:jc w:val="both"/>
        <w:ind w:firstLine="622"/>
        <w:spacing w:after="0" w:line="254" w:lineRule="auto"/>
        <w:tabs>
          <w:tab w:leader="none" w:pos="1237"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Cooperation</w:t>
      </w:r>
      <w:r>
        <w:rPr>
          <w:rFonts w:ascii="Times New Roman" w:cs="Times New Roman" w:eastAsia="Times New Roman" w:hAnsi="Times New Roman"/>
          <w:sz w:val="19"/>
          <w:szCs w:val="19"/>
          <w:color w:val="auto"/>
        </w:rPr>
        <w:t>. Subject to the “Protected Activity Not Prohibited” 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or the Supplemental Release. Employee agrees both to immediately notify the Company upon receipt of any such subpoena or court order, and to furnish, within three (3) business days of its receipt, a copy of such subpoena or other court order. Subject to the “Protected Activity Not Prohibited” section below,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200" w:lineRule="exact"/>
        <w:rPr>
          <w:rFonts w:ascii="Times New Roman" w:cs="Times New Roman" w:eastAsia="Times New Roman" w:hAnsi="Times New Roman"/>
          <w:sz w:val="19"/>
          <w:szCs w:val="19"/>
          <w:color w:val="auto"/>
        </w:rPr>
      </w:pPr>
    </w:p>
    <w:p>
      <w:pPr>
        <w:jc w:val="both"/>
        <w:ind w:firstLine="622"/>
        <w:spacing w:after="0" w:line="262" w:lineRule="auto"/>
        <w:tabs>
          <w:tab w:leader="none" w:pos="1229"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Subject to the “Protected Activity Not Prohibited” section below, Employee agrees to refrain from any disparagement, defamation, libel, or slander of any of the Releasees, and agrees to refrain from any tortious interference with the contracts and relationships of any of the Releasees.</w:t>
      </w:r>
    </w:p>
    <w:p>
      <w:pPr>
        <w:spacing w:after="0" w:line="199" w:lineRule="exact"/>
        <w:rPr>
          <w:rFonts w:ascii="Times New Roman" w:cs="Times New Roman" w:eastAsia="Times New Roman" w:hAnsi="Times New Roman"/>
          <w:sz w:val="19"/>
          <w:szCs w:val="19"/>
          <w:color w:val="auto"/>
        </w:rPr>
      </w:pPr>
    </w:p>
    <w:p>
      <w:pPr>
        <w:jc w:val="both"/>
        <w:ind w:firstLine="622"/>
        <w:spacing w:after="0" w:line="262" w:lineRule="auto"/>
        <w:tabs>
          <w:tab w:leader="none" w:pos="1222"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Activity Not Prohibited</w:t>
      </w:r>
      <w:r>
        <w:rPr>
          <w:rFonts w:ascii="Times New Roman" w:cs="Times New Roman" w:eastAsia="Times New Roman" w:hAnsi="Times New Roman"/>
          <w:sz w:val="19"/>
          <w:szCs w:val="19"/>
          <w:color w:val="auto"/>
        </w:rPr>
        <w:t>. Employee understands that nothing in this Agreement or the Supplemental Release shall in any way limit or prohibit Employee from engaging in any “Protected Activity,” which means filing a charge, complaint, or report with, or otherwise communicating, cooperating,</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Additionally, nothing in this Agreement or the Supplemental Release constitutes a waiver of any rights Employee may have under the Sarbanes-Oxley Act or Section 7 of the National Labor Relations Act (“NLRA”). For purposes of clarity, nothing in this Agreement or the Supplemental Release shall be interpreted to impair or limit Employee’s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Employee or the Company’s other current or former employees, to the extent such activities are protected by Section 7 of the NLRA. When engaging in any of the protected conduct described in this section, Employee agrees to take all reasonable precautions to prevent any unauthorized use or disclosure of any Company confidential information; provided, however, that such disclosures may be made to Government Agencies in connection with Protected Activity. For the sake of clarity, Company confidential information does not include information regarding working conditions, wages, benefits, or other terms and conditions of employment. Additionally, Employee understands that the protected conduct described herein does not include the disclosure of any Company attorney-client privileged communications or privileged attorney work product. Employee understands that nothing in the Confidentiality Agreement shall limit or prohibit Employee from engaging in any protected conduct set forth in this section. Finally, pursuant to the Defend Trade Secrets Act of 2016, Employee is notified that an individual will not be held criminally or civilly liable under any federal or state trade secret law for the disclosure of a trade secret that (a) is made in confidence to a federal, state, or local government official (directly or indirectly) or to an attorney </w:t>
      </w:r>
      <w:r>
        <w:rPr>
          <w:rFonts w:ascii="Times New Roman" w:cs="Times New Roman" w:eastAsia="Times New Roman" w:hAnsi="Times New Roman"/>
          <w:sz w:val="19"/>
          <w:szCs w:val="19"/>
          <w:i w:val="1"/>
          <w:iCs w:val="1"/>
          <w:color w:val="auto"/>
        </w:rPr>
        <w:t>solely</w:t>
      </w:r>
      <w:r>
        <w:rPr>
          <w:rFonts w:ascii="Times New Roman" w:cs="Times New Roman" w:eastAsia="Times New Roman" w:hAnsi="Times New Roman"/>
          <w:sz w:val="19"/>
          <w:szCs w:val="19"/>
          <w:color w:val="auto"/>
        </w:rPr>
        <w:t xml:space="preserve"> for the purpose of reporting or investigating a suspected violation of law, or (b)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2" w:lineRule="exact"/>
        <w:rPr>
          <w:sz w:val="20"/>
          <w:szCs w:val="20"/>
          <w:color w:val="auto"/>
        </w:rPr>
      </w:pPr>
    </w:p>
    <w:p>
      <w:pPr>
        <w:jc w:val="both"/>
        <w:ind w:firstLine="622"/>
        <w:spacing w:after="0" w:line="249" w:lineRule="auto"/>
        <w:tabs>
          <w:tab w:leader="none" w:pos="1229"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Breach</w:t>
      </w:r>
      <w:r>
        <w:rPr>
          <w:rFonts w:ascii="Times New Roman" w:cs="Times New Roman" w:eastAsia="Times New Roman" w:hAnsi="Times New Roman"/>
          <w:sz w:val="19"/>
          <w:szCs w:val="19"/>
          <w:color w:val="auto"/>
        </w:rPr>
        <w:t>. In addition to the rights provided in the “Attorneys’ Fees” section below, Employee acknowledges and agrees that any material breach of this Agreement or the Supplemental Release, unless such breach constitutes a legal action by Employee challenging or seeking a determination in good faith of the validity of the waiver herein or in the Supplemental Release under the ADEA, or of any provision of the Confidentiality Agreement shall entitle the Company immediately to recover and/or cease providing the consideration provided to Employee under this Agreement and to obtain damages, except as provided by law, provided, however, that the Company shall not recover One Hundred Dollars ($100.00) of the consideration already paid pursuant to this Agreement and/or the Supplemental Release, and such amount shall serve as full and complete consideration for the promises and obligations assumed by Employee under this Agreement, the Supplemental Release, and the Confidentiality Agreement.</w:t>
      </w:r>
    </w:p>
    <w:p>
      <w:pPr>
        <w:spacing w:after="0" w:line="216" w:lineRule="exact"/>
        <w:rPr>
          <w:rFonts w:ascii="Times New Roman" w:cs="Times New Roman" w:eastAsia="Times New Roman" w:hAnsi="Times New Roman"/>
          <w:sz w:val="19"/>
          <w:szCs w:val="19"/>
          <w:color w:val="auto"/>
        </w:rPr>
      </w:pPr>
    </w:p>
    <w:p>
      <w:pPr>
        <w:jc w:val="both"/>
        <w:ind w:firstLine="622"/>
        <w:spacing w:after="0" w:line="259" w:lineRule="auto"/>
        <w:tabs>
          <w:tab w:leader="none" w:pos="1229"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Admission of Liability</w:t>
      </w:r>
      <w:r>
        <w:rPr>
          <w:rFonts w:ascii="Times New Roman" w:cs="Times New Roman" w:eastAsia="Times New Roman" w:hAnsi="Times New Roman"/>
          <w:sz w:val="19"/>
          <w:szCs w:val="19"/>
          <w:color w:val="auto"/>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200" w:lineRule="exact"/>
        <w:rPr>
          <w:sz w:val="20"/>
          <w:szCs w:val="20"/>
          <w:color w:val="auto"/>
        </w:rPr>
      </w:pPr>
    </w:p>
    <w:p>
      <w:pPr>
        <w:ind w:left="-622" w:firstLine="622"/>
        <w:spacing w:after="0" w:line="283" w:lineRule="auto"/>
        <w:tabs>
          <w:tab w:leader="none" w:pos="607"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w:t>
      </w:r>
      <w:r>
        <w:rPr>
          <w:rFonts w:ascii="Times New Roman" w:cs="Times New Roman" w:eastAsia="Times New Roman" w:hAnsi="Times New Roman"/>
          <w:sz w:val="19"/>
          <w:szCs w:val="19"/>
          <w:color w:val="auto"/>
        </w:rPr>
        <w:t>. The Parties shall each bear their own costs, attorneys’ fees, and other fees incurred in connection with the preparation of this Agreement and the Supplemental Release.</w:t>
      </w:r>
    </w:p>
    <w:p>
      <w:pPr>
        <w:spacing w:after="0" w:line="168" w:lineRule="exact"/>
        <w:rPr>
          <w:rFonts w:ascii="Times New Roman" w:cs="Times New Roman" w:eastAsia="Times New Roman" w:hAnsi="Times New Roman"/>
          <w:sz w:val="19"/>
          <w:szCs w:val="19"/>
          <w:color w:val="auto"/>
        </w:rPr>
      </w:pPr>
    </w:p>
    <w:p>
      <w:pPr>
        <w:jc w:val="both"/>
        <w:ind w:left="-622" w:firstLine="622"/>
        <w:spacing w:after="0" w:line="251" w:lineRule="auto"/>
        <w:tabs>
          <w:tab w:leader="none" w:pos="607"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 with Company</w:t>
      </w:r>
      <w:r>
        <w:rPr>
          <w:rFonts w:ascii="Times New Roman" w:cs="Times New Roman" w:eastAsia="Times New Roman" w:hAnsi="Times New Roman"/>
          <w:sz w:val="19"/>
          <w:szCs w:val="19"/>
          <w:color w:val="auto"/>
        </w:rPr>
        <w:t>. Employee agrees that at all times during the Transition Period and following the Separation Date, she shall provide reasonable cooperation and assistance to the Company in the transition of her role and in the resolution of any matters in which Employee was involved during the course of her employment, or about which she has knowledge, and in the defense or prosecution of any investigations, audits, claims or actions now in existence or which may be brought or threatened in the future against or on behalf of the Company, including any investigations, audits, claims or actions involving or against its officers, directors and employees. Employee’s cooperation with such matters shall include, without limitation, being available to consult with the Company regarding matters in which she has been involved or has knowledge, to reasonably assist the Company in preparing for any proceeding, to provide affidavits reflecting truthful written testimony, to assist with any audit, inspection, proceeding or other inquiry, and to act as a witness to provide truthful testimony in connection with any investigation, audit, mediation, litigation or other legal proceeding affecting the Company. Employee agrees to keep the Company’s Human Resources department apprised of her current contact information, including telephone numbers, work address, home address, and email address(es), and to promptly respond to communications from the Company in connection with this Section. Employee understands and agrees that this provision requires her cooperation with the Company, but is not intended to have any influence whatsoever on any specific outcome in any matter and she is expected at all times to provide truthful testimony and responses in connection with any matter. Employee understands and agrees that she is not otherwise entitled to any additional compensation for the cooperation referenced herein, beyond the payments and consideration provided under this Agreement.</w:t>
      </w:r>
    </w:p>
    <w:p>
      <w:pPr>
        <w:spacing w:after="0" w:line="208" w:lineRule="exact"/>
        <w:rPr>
          <w:rFonts w:ascii="Times New Roman" w:cs="Times New Roman" w:eastAsia="Times New Roman" w:hAnsi="Times New Roman"/>
          <w:sz w:val="19"/>
          <w:szCs w:val="19"/>
          <w:color w:val="auto"/>
        </w:rPr>
      </w:pPr>
    </w:p>
    <w:p>
      <w:pPr>
        <w:jc w:val="both"/>
        <w:ind w:left="-622" w:firstLine="622"/>
        <w:spacing w:after="0" w:line="254" w:lineRule="auto"/>
        <w:tabs>
          <w:tab w:leader="none" w:pos="607"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Consequences</w:t>
      </w:r>
      <w:r>
        <w:rPr>
          <w:rFonts w:ascii="Times New Roman" w:cs="Times New Roman" w:eastAsia="Times New Roman" w:hAnsi="Times New Roman"/>
          <w:sz w:val="19"/>
          <w:szCs w:val="19"/>
          <w:color w:val="auto"/>
        </w:rPr>
        <w:t>. The Company makes no representations or warranties with respect to the tax consequences of the consideration provided to Employee or made on Employee’s behalf under the terms of this Agreement or the Supplemental Release. Employee agrees and understands that Employee is responsible for payment, if any, of local, state, and/or federal taxes on the consideration provided hereunder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w:t>
      </w:r>
    </w:p>
    <w:p>
      <w:pPr>
        <w:spacing w:after="0" w:line="199" w:lineRule="exact"/>
        <w:rPr>
          <w:rFonts w:ascii="Times New Roman" w:cs="Times New Roman" w:eastAsia="Times New Roman" w:hAnsi="Times New Roman"/>
          <w:sz w:val="19"/>
          <w:szCs w:val="19"/>
          <w:color w:val="auto"/>
        </w:rPr>
      </w:pPr>
    </w:p>
    <w:p>
      <w:pPr>
        <w:jc w:val="both"/>
        <w:ind w:left="-622" w:firstLine="622"/>
        <w:spacing w:after="0" w:line="254" w:lineRule="auto"/>
        <w:tabs>
          <w:tab w:leader="none" w:pos="607"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xml:space="preserve"> It is intended that this Agreement comply with, or be exempt from, Code Section 409A and the final regulations and official guidance thereunder (“Section 409A”)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The Company and Employee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Employee under Section 409A. In no event will the Releasees reimburse Employee for any taxes that may be imposed on Employee as a result of Section 409A.</w:t>
      </w:r>
    </w:p>
    <w:p>
      <w:pPr>
        <w:spacing w:after="0" w:line="199" w:lineRule="exact"/>
        <w:rPr>
          <w:rFonts w:ascii="Times New Roman" w:cs="Times New Roman" w:eastAsia="Times New Roman" w:hAnsi="Times New Roman"/>
          <w:sz w:val="19"/>
          <w:szCs w:val="19"/>
          <w:color w:val="auto"/>
        </w:rPr>
      </w:pPr>
    </w:p>
    <w:p>
      <w:pPr>
        <w:jc w:val="both"/>
        <w:ind w:left="-622" w:firstLine="622"/>
        <w:spacing w:after="0" w:line="269" w:lineRule="auto"/>
        <w:tabs>
          <w:tab w:leader="none" w:pos="607"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w:t>
      </w:r>
    </w:p>
    <w:p>
      <w:pPr>
        <w:sectPr>
          <w:pgSz w:w="11900" w:h="16838" w:orient="portrait"/>
          <w:cols w:equalWidth="0" w:num="1">
            <w:col w:w="10618"/>
          </w:cols>
          <w:pgMar w:left="942" w:top="1440" w:right="339" w:bottom="1440" w:gutter="0" w:footer="0" w:header="0"/>
        </w:sectPr>
      </w:pPr>
    </w:p>
    <w:bookmarkStart w:id="299" w:name="page300"/>
    <w:bookmarkEnd w:id="299"/>
    <w:p>
      <w:pPr>
        <w:spacing w:after="0" w:line="20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and conditions of this Agreement. Each Party warrants and represents that there are no liens or claims of lien or assignments in law or equity or otherwise of or against any of the claims or causes of action released herein.</w:t>
      </w:r>
    </w:p>
    <w:p>
      <w:pPr>
        <w:spacing w:after="0" w:line="168" w:lineRule="exact"/>
        <w:rPr>
          <w:sz w:val="20"/>
          <w:szCs w:val="20"/>
          <w:color w:val="auto"/>
        </w:rPr>
      </w:pPr>
    </w:p>
    <w:p>
      <w:pPr>
        <w:jc w:val="both"/>
        <w:ind w:firstLine="622"/>
        <w:spacing w:after="0" w:line="262" w:lineRule="auto"/>
        <w:tabs>
          <w:tab w:leader="none" w:pos="1229"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or any portion of any provision of this Agreement, the Supplemental Release, or any surviving agreement made a part hereof becomes or is declared by a court of competent jurisdiction or arbitrator to be illegal, unenforceable, or void, this Agreement and the Supplemental Release shall continue in full force and effect without said provision or portion of provision.</w:t>
      </w:r>
    </w:p>
    <w:p>
      <w:pPr>
        <w:spacing w:after="0" w:line="199" w:lineRule="exact"/>
        <w:rPr>
          <w:rFonts w:ascii="Times New Roman" w:cs="Times New Roman" w:eastAsia="Times New Roman" w:hAnsi="Times New Roman"/>
          <w:sz w:val="19"/>
          <w:szCs w:val="19"/>
          <w:color w:val="auto"/>
        </w:rPr>
      </w:pPr>
    </w:p>
    <w:p>
      <w:pPr>
        <w:jc w:val="both"/>
        <w:ind w:firstLine="622"/>
        <w:spacing w:after="0" w:line="259" w:lineRule="auto"/>
        <w:tabs>
          <w:tab w:leader="none" w:pos="1229"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Attorneys’ Fees</w:t>
      </w:r>
      <w:r>
        <w:rPr>
          <w:rFonts w:ascii="Times New Roman" w:cs="Times New Roman" w:eastAsia="Times New Roman" w:hAnsi="Times New Roman"/>
          <w:sz w:val="19"/>
          <w:szCs w:val="19"/>
          <w:color w:val="auto"/>
        </w:rPr>
        <w:t>. Except with regard to a legal action challenging or seeking a determination in good faith of the validity of the ADEA waiver herein or in the Supplemental Release, In the event that either Party brings an action to enforce or effect its rights under this Agreement or the Supplemental Release, the prevailing Party shall be entitled to recover its costs and expenses, including the costs of mediation, arbitration, litigation, court fees, and reasonable attorneys’ fees incurred in connection with such an action.</w:t>
      </w:r>
    </w:p>
    <w:p>
      <w:pPr>
        <w:spacing w:after="0" w:line="191" w:lineRule="exact"/>
        <w:rPr>
          <w:rFonts w:ascii="Times New Roman" w:cs="Times New Roman" w:eastAsia="Times New Roman" w:hAnsi="Times New Roman"/>
          <w:sz w:val="19"/>
          <w:szCs w:val="19"/>
          <w:color w:val="auto"/>
        </w:rPr>
      </w:pPr>
    </w:p>
    <w:p>
      <w:pPr>
        <w:jc w:val="both"/>
        <w:ind w:firstLine="622"/>
        <w:spacing w:after="0" w:line="254" w:lineRule="auto"/>
        <w:tabs>
          <w:tab w:leader="none" w:pos="1229"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together with the Supplemental Release (when entered into and effective), represents the entire agreement and understanding between the Company and Employee concerning the subject matter of this Agreement and the Supplemental Release and Employee’s employment with and separation from the Company and the events leading thereto and associated therewith, and supersedes and replaces any and all prior agreements and understandings concerning the subject matter of this Agreement and the Supplemental Release and Employee’s relationship with the Company (including, without limitation, the Severance Plan and the Participation Agreement), with the exception of the Confidentiality Agreement, the Stock Agreements, the Indemnification Agreement, and the Company’s Compensation Recovery Policy.</w:t>
      </w:r>
    </w:p>
    <w:p>
      <w:pPr>
        <w:spacing w:after="0" w:line="211" w:lineRule="exact"/>
        <w:rPr>
          <w:rFonts w:ascii="Times New Roman" w:cs="Times New Roman" w:eastAsia="Times New Roman" w:hAnsi="Times New Roman"/>
          <w:sz w:val="19"/>
          <w:szCs w:val="19"/>
          <w:color w:val="auto"/>
        </w:rPr>
      </w:pPr>
    </w:p>
    <w:p>
      <w:pPr>
        <w:ind w:firstLine="622"/>
        <w:spacing w:after="0" w:line="283" w:lineRule="auto"/>
        <w:tabs>
          <w:tab w:leader="none" w:pos="1229"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Oral Modification</w:t>
      </w:r>
      <w:r>
        <w:rPr>
          <w:rFonts w:ascii="Times New Roman" w:cs="Times New Roman" w:eastAsia="Times New Roman" w:hAnsi="Times New Roman"/>
          <w:sz w:val="19"/>
          <w:szCs w:val="19"/>
          <w:color w:val="auto"/>
        </w:rPr>
        <w:t>. This Agreement and the Supplemental Release may only be amended in a writing signed by Employee and the Company’s Chief Executive Officer.</w:t>
      </w:r>
    </w:p>
    <w:p>
      <w:pPr>
        <w:spacing w:after="0" w:line="168" w:lineRule="exact"/>
        <w:rPr>
          <w:rFonts w:ascii="Times New Roman" w:cs="Times New Roman" w:eastAsia="Times New Roman" w:hAnsi="Times New Roman"/>
          <w:sz w:val="19"/>
          <w:szCs w:val="19"/>
          <w:color w:val="auto"/>
        </w:rPr>
      </w:pPr>
    </w:p>
    <w:p>
      <w:pPr>
        <w:jc w:val="both"/>
        <w:ind w:firstLine="622"/>
        <w:spacing w:after="0" w:line="262" w:lineRule="auto"/>
        <w:tabs>
          <w:tab w:leader="none" w:pos="1229"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the Supplemental Release shall be governed by the laws of the State of Utah, without regard for choice-of-law provisions, except that any dispute regarding the enforceability of the arbitration section of this Agreement shall be governed by the FAA. Employee consents to personal and exclusive jurisdiction and venue in the State of Utah.</w:t>
      </w:r>
    </w:p>
    <w:p>
      <w:pPr>
        <w:spacing w:after="0" w:line="199"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Employee understands that this Agreement shall be null and void if not executed by Employee within twenty-one</w:t>
      </w:r>
    </w:p>
    <w:p>
      <w:pPr>
        <w:spacing w:after="0" w:line="25" w:lineRule="exact"/>
        <w:rPr>
          <w:rFonts w:ascii="Times New Roman" w:cs="Times New Roman" w:eastAsia="Times New Roman" w:hAnsi="Times New Roman"/>
          <w:sz w:val="19"/>
          <w:szCs w:val="19"/>
          <w:color w:val="auto"/>
        </w:rPr>
      </w:pPr>
    </w:p>
    <w:p>
      <w:pPr>
        <w:jc w:val="both"/>
        <w:ind w:firstLine="3"/>
        <w:spacing w:after="0" w:line="255" w:lineRule="auto"/>
        <w:tabs>
          <w:tab w:leader="none" w:pos="362"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Each Party has seven (7) days after that Party signs this Agreement to revoke it. This Agreement will become effective on the eighth (8th) day after Employee signed this Agreement, so long as it has been signed by the Parties and has not been revoked by either Party before that date (the “Effective Date”).</w:t>
      </w:r>
    </w:p>
    <w:p>
      <w:pPr>
        <w:spacing w:after="0" w:line="193" w:lineRule="exact"/>
        <w:rPr>
          <w:rFonts w:ascii="Times New Roman" w:cs="Times New Roman" w:eastAsia="Times New Roman" w:hAnsi="Times New Roman"/>
          <w:sz w:val="19"/>
          <w:szCs w:val="19"/>
          <w:color w:val="auto"/>
        </w:rPr>
      </w:pPr>
    </w:p>
    <w:p>
      <w:pPr>
        <w:jc w:val="both"/>
        <w:ind w:firstLine="622"/>
        <w:spacing w:after="0" w:line="278" w:lineRule="auto"/>
        <w:tabs>
          <w:tab w:leader="none" w:pos="1229"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the Supplemental Release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and the Supplemental Release may be executed and delivered by facsimile, photo, email PDF, Docusign/Echosign or a similarly accredited secure signature service, or other electronic transmission or signature.</w:t>
      </w:r>
    </w:p>
    <w:p>
      <w:pPr>
        <w:spacing w:after="0" w:line="188" w:lineRule="exact"/>
        <w:rPr>
          <w:rFonts w:ascii="Times New Roman" w:cs="Times New Roman" w:eastAsia="Times New Roman" w:hAnsi="Times New Roman"/>
          <w:sz w:val="18"/>
          <w:szCs w:val="18"/>
          <w:color w:val="auto"/>
        </w:rPr>
      </w:pPr>
    </w:p>
    <w:p>
      <w:pPr>
        <w:ind w:firstLine="622"/>
        <w:spacing w:after="0" w:line="269" w:lineRule="auto"/>
        <w:tabs>
          <w:tab w:leader="none" w:pos="1229" w:val="left"/>
        </w:tabs>
        <w:numPr>
          <w:ilvl w:val="1"/>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Employee understands and agrees that Employee executed this Agreement voluntarily and without any duress or undue influence on the part or behalf of the</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or any third party, with the full intent of releasing all of Employee’s claims against the Company and any of the other Releasees.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Employee acknowledges that:</w:t>
      </w:r>
    </w:p>
    <w:p>
      <w:pPr>
        <w:spacing w:after="0" w:line="220" w:lineRule="exact"/>
        <w:rPr>
          <w:sz w:val="20"/>
          <w:szCs w:val="20"/>
          <w:color w:val="auto"/>
        </w:rPr>
      </w:pPr>
    </w:p>
    <w:p>
      <w:pPr>
        <w:ind w:left="1640" w:hanging="399"/>
        <w:spacing w:after="0"/>
        <w:tabs>
          <w:tab w:leader="none" w:pos="164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has read this Agreement;</w:t>
      </w:r>
    </w:p>
    <w:p>
      <w:pPr>
        <w:spacing w:after="0" w:line="245" w:lineRule="exact"/>
        <w:rPr>
          <w:rFonts w:ascii="Times New Roman" w:cs="Times New Roman" w:eastAsia="Times New Roman" w:hAnsi="Times New Roman"/>
          <w:sz w:val="19"/>
          <w:szCs w:val="19"/>
          <w:color w:val="auto"/>
        </w:rPr>
      </w:pPr>
    </w:p>
    <w:p>
      <w:pPr>
        <w:ind w:left="1860" w:hanging="619"/>
        <w:spacing w:after="0" w:line="262" w:lineRule="auto"/>
        <w:tabs>
          <w:tab w:leader="none" w:pos="1747"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has a right to consult with an attorney regarding this Agreement, and has been represented in the preparation, negotiation, and execution of this Agreement by an attorney of Employee’s own choice or has elected not to retain an attorney;</w:t>
      </w:r>
    </w:p>
    <w:p>
      <w:pPr>
        <w:spacing w:after="0" w:line="199"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understands the terms and consequences of this Agreement and of the releases it contains;</w:t>
      </w:r>
    </w:p>
    <w:p>
      <w:pPr>
        <w:spacing w:after="0" w:line="232" w:lineRule="exact"/>
        <w:rPr>
          <w:rFonts w:ascii="Times New Roman" w:cs="Times New Roman" w:eastAsia="Times New Roman" w:hAnsi="Times New Roman"/>
          <w:sz w:val="19"/>
          <w:szCs w:val="19"/>
          <w:color w:val="auto"/>
        </w:rPr>
      </w:pPr>
    </w:p>
    <w:p>
      <w:pPr>
        <w:ind w:left="1660" w:hanging="419"/>
        <w:spacing w:after="0"/>
        <w:tabs>
          <w:tab w:leader="none" w:pos="166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is fully aware of the legal and binding effect of this Agreement; and</w:t>
      </w:r>
    </w:p>
    <w:p>
      <w:pPr>
        <w:spacing w:after="0" w:line="245" w:lineRule="exact"/>
        <w:rPr>
          <w:rFonts w:ascii="Times New Roman" w:cs="Times New Roman" w:eastAsia="Times New Roman" w:hAnsi="Times New Roman"/>
          <w:sz w:val="19"/>
          <w:szCs w:val="19"/>
          <w:color w:val="auto"/>
        </w:rPr>
      </w:pPr>
    </w:p>
    <w:p>
      <w:pPr>
        <w:ind w:left="1860" w:hanging="619"/>
        <w:spacing w:after="0" w:line="269" w:lineRule="auto"/>
        <w:tabs>
          <w:tab w:leader="none" w:pos="1644"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has not relied upon any representations or statements made by the Company that are not specifically set forth in this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REMAINDER OF THIS PAGE IS INTENTIONALLY LEFT BLANK; SIGNATURE PAGE FOLLOWS]</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TINA MARRIOTT, an individual</w:t>
      </w:r>
    </w:p>
    <w:p>
      <w:pPr>
        <w:spacing w:after="0" w:line="200" w:lineRule="exact"/>
        <w:rPr>
          <w:sz w:val="20"/>
          <w:szCs w:val="20"/>
          <w:color w:val="auto"/>
        </w:rPr>
      </w:pPr>
    </w:p>
    <w:p>
      <w:pPr>
        <w:spacing w:after="0" w:line="23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9"/>
          <w:szCs w:val="19"/>
          <w:color w:val="auto"/>
        </w:rPr>
        <w:t>Dated: 11/19/2024</w:t>
      </w:r>
      <w:r>
        <w:rPr>
          <w:sz w:val="20"/>
          <w:szCs w:val="20"/>
          <w:color w:val="auto"/>
        </w:rPr>
        <w:tab/>
      </w:r>
      <w:r>
        <w:rPr>
          <w:rFonts w:ascii="Times New Roman" w:cs="Times New Roman" w:eastAsia="Times New Roman" w:hAnsi="Times New Roman"/>
          <w:sz w:val="18"/>
          <w:szCs w:val="18"/>
          <w:color w:val="auto"/>
        </w:rPr>
        <w:t>/s/ Tina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-10160</wp:posOffset>
            </wp:positionV>
            <wp:extent cx="90868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Tina Marriott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RECURSION PHARMACEUTICALS, INC.</w:t>
      </w:r>
    </w:p>
    <w:p>
      <w:pPr>
        <w:spacing w:after="0" w:line="200" w:lineRule="exact"/>
        <w:rPr>
          <w:sz w:val="20"/>
          <w:szCs w:val="20"/>
          <w:color w:val="auto"/>
        </w:rPr>
      </w:pPr>
    </w:p>
    <w:p>
      <w:pPr>
        <w:spacing w:after="0" w:line="252"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9"/>
          <w:szCs w:val="19"/>
          <w:color w:val="auto"/>
        </w:rPr>
        <w:t>Dated: 11/19/2024</w:t>
      </w:r>
      <w:r>
        <w:rPr>
          <w:sz w:val="20"/>
          <w:szCs w:val="20"/>
          <w:color w:val="auto"/>
        </w:rPr>
        <w:tab/>
      </w:r>
      <w:r>
        <w:rPr>
          <w:rFonts w:ascii="Times New Roman" w:cs="Times New Roman" w:eastAsia="Times New Roman" w:hAnsi="Times New Roman"/>
          <w:sz w:val="18"/>
          <w:szCs w:val="18"/>
          <w:color w:val="auto"/>
        </w:rPr>
        <w:t>By /s/ Chris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-10160</wp:posOffset>
            </wp:positionV>
            <wp:extent cx="8997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color w:val="auto"/>
        </w:rPr>
        <w:t>Chris Gibson</w:t>
      </w:r>
    </w:p>
    <w:p>
      <w:pPr>
        <w:spacing w:after="0" w:line="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color w:val="auto"/>
        </w:rPr>
        <w:t>Chief Executive Officer</w:t>
      </w:r>
    </w:p>
    <w:p>
      <w:pPr>
        <w:sectPr>
          <w:pgSz w:w="11900" w:h="16838" w:orient="portrait"/>
          <w:cols w:equalWidth="0" w:num="1">
            <w:col w:w="10139"/>
          </w:cols>
          <w:pgMar w:left="320" w:top="1440" w:right="1440" w:bottom="1440" w:gutter="0" w:footer="0" w:header="0"/>
        </w:sectPr>
      </w:pPr>
    </w:p>
    <w:bookmarkStart w:id="302" w:name="page303"/>
    <w:bookmarkEnd w:id="3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9"/>
          <w:szCs w:val="19"/>
          <w:b w:val="1"/>
          <w:bCs w:val="1"/>
          <w:u w:val="single" w:color="auto"/>
          <w:color w:val="auto"/>
        </w:rPr>
        <w:t>EXHIBIT A OF TRANSITION AGREEMENT</w:t>
      </w:r>
    </w:p>
    <w:p>
      <w:pPr>
        <w:spacing w:after="0" w:line="3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9"/>
          <w:szCs w:val="19"/>
          <w:b w:val="1"/>
          <w:bCs w:val="1"/>
          <w:color w:val="auto"/>
        </w:rPr>
        <w:t>(Summary of Equity Awards)*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740" w:type="dxa"/>
            <w:vAlign w:val="bottom"/>
            <w:tcBorders>
              <w:top w:val="single" w:sz="8" w:color="auto"/>
              <w:left w:val="single" w:sz="8" w:color="auto"/>
              <w:right w:val="single" w:sz="8" w:color="auto"/>
            </w:tcBorders>
          </w:tcPr>
          <w:p>
            <w:pPr>
              <w:spacing w:after="0"/>
              <w:rPr>
                <w:sz w:val="16"/>
                <w:szCs w:val="16"/>
                <w:color w:val="auto"/>
              </w:rPr>
            </w:pPr>
          </w:p>
        </w:tc>
        <w:tc>
          <w:tcPr>
            <w:tcW w:w="198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spacing w:after="0"/>
              <w:rPr>
                <w:sz w:val="16"/>
                <w:szCs w:val="16"/>
                <w:color w:val="auto"/>
              </w:rPr>
            </w:pPr>
          </w:p>
        </w:tc>
        <w:tc>
          <w:tcPr>
            <w:tcW w:w="222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w w:val="98"/>
              </w:rPr>
              <w:t>Number of Shares</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Per Share</w:t>
            </w:r>
          </w:p>
        </w:tc>
        <w:tc>
          <w:tcPr>
            <w:tcW w:w="0" w:type="dxa"/>
            <w:vAlign w:val="bottom"/>
          </w:tcPr>
          <w:p>
            <w:pPr>
              <w:spacing w:after="0"/>
              <w:rPr>
                <w:sz w:val="1"/>
                <w:szCs w:val="1"/>
                <w:color w:val="auto"/>
              </w:rPr>
            </w:pPr>
          </w:p>
        </w:tc>
      </w:tr>
      <w:tr>
        <w:trPr>
          <w:trHeight w:val="193"/>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rPr>
              <w:t>Equity Award Type</w:t>
            </w:r>
          </w:p>
        </w:tc>
        <w:tc>
          <w:tcPr>
            <w:tcW w:w="198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9"/>
                <w:szCs w:val="19"/>
                <w:b w:val="1"/>
                <w:bCs w:val="1"/>
                <w:color w:val="auto"/>
              </w:rPr>
              <w:t>Grant Date</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Plan Name</w:t>
            </w:r>
          </w:p>
        </w:tc>
        <w:tc>
          <w:tcPr>
            <w:tcW w:w="222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9"/>
                <w:szCs w:val="19"/>
                <w:b w:val="1"/>
                <w:bCs w:val="1"/>
                <w:color w:val="auto"/>
                <w:w w:val="98"/>
              </w:rPr>
              <w:t>Subject to Equity Award</w:t>
            </w: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7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980" w:type="dxa"/>
            <w:vAlign w:val="bottom"/>
            <w:tcBorders>
              <w:bottom w:val="single" w:sz="8" w:color="auto"/>
              <w:right w:val="single" w:sz="8" w:color="auto"/>
            </w:tcBorders>
            <w:vMerge w:val="continue"/>
          </w:tcPr>
          <w:p>
            <w:pPr>
              <w:spacing w:after="0"/>
              <w:rPr>
                <w:sz w:val="21"/>
                <w:szCs w:val="21"/>
                <w:color w:val="auto"/>
              </w:rPr>
            </w:pPr>
          </w:p>
        </w:tc>
        <w:tc>
          <w:tcPr>
            <w:tcW w:w="1780" w:type="dxa"/>
            <w:vAlign w:val="bottom"/>
            <w:tcBorders>
              <w:bottom w:val="single" w:sz="8" w:color="auto"/>
              <w:right w:val="single" w:sz="8" w:color="auto"/>
            </w:tcBorders>
            <w:vMerge w:val="continue"/>
          </w:tcPr>
          <w:p>
            <w:pPr>
              <w:spacing w:after="0"/>
              <w:rPr>
                <w:sz w:val="21"/>
                <w:szCs w:val="21"/>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at Grant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Exercise Price</w:t>
            </w: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Jul. 23, 2018</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2016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387,644</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$1.06</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Jul. 23, 2018</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2016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377,356</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$1.06</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Dec. 31, 2020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2016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75,000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$2.48</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Dec. 31, 2020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2016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75,000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$2.48</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4, 2022</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142,591</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5"/>
              </w:rPr>
              <w:t>$11.40</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4, 2022</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16,635</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5"/>
              </w:rPr>
              <w:t>$11.40</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4, 2022</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4,784</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5"/>
              </w:rPr>
              <w:t>$11.40</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1, 2023</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419,579</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$8.55</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1, 2023</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14,543</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$8.55</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9, 2024</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438,007</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$10.09</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ISO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9, 2024</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9,910</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$10.09</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4, 2022</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2,392</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4, 2022</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79,613</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1, 2023</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9,732</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1, 2023</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217,061</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9, 2024</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223,958</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Feb. 9, 2024</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9,655</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9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22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2,503,460</w:t>
            </w: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539"/>
          </w:cols>
          <w:pgMar w:left="920" w:top="1440" w:right="1440" w:bottom="1440" w:gutter="0" w:footer="0" w:header="0"/>
        </w:sectPr>
      </w:pPr>
    </w:p>
    <w:bookmarkStart w:id="303" w:name="page304"/>
    <w:bookmarkEnd w:id="303"/>
    <w:p>
      <w:pPr>
        <w:spacing w:after="0" w:line="200" w:lineRule="exact"/>
        <w:rPr>
          <w:sz w:val="20"/>
          <w:szCs w:val="20"/>
          <w:color w:val="auto"/>
        </w:rPr>
      </w:pPr>
    </w:p>
    <w:p>
      <w:pPr>
        <w:ind w:left="137" w:hanging="137"/>
        <w:spacing w:after="0"/>
        <w:tabs>
          <w:tab w:leader="none" w:pos="137"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number excludes any RSUs that will be granted under Section 1.b.ii.</w:t>
      </w:r>
    </w:p>
    <w:p>
      <w:pPr>
        <w:sectPr>
          <w:pgSz w:w="11900" w:h="16838" w:orient="portrait"/>
          <w:cols w:equalWidth="0" w:num="1">
            <w:col w:w="10136"/>
          </w:cols>
          <w:pgMar w:left="323" w:top="1440" w:right="1440" w:bottom="1440" w:gutter="0" w:footer="0" w:header="0"/>
        </w:sectPr>
      </w:pPr>
    </w:p>
    <w:bookmarkStart w:id="304" w:name="page305"/>
    <w:bookmarkEnd w:id="304"/>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B OF TRANSITION AGREEMENT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SUPPLEMENTAL RELEASE</w:t>
      </w:r>
    </w:p>
    <w:p>
      <w:pPr>
        <w:spacing w:after="0" w:line="200" w:lineRule="exact"/>
        <w:rPr>
          <w:sz w:val="20"/>
          <w:szCs w:val="20"/>
          <w:color w:val="auto"/>
        </w:rPr>
      </w:pPr>
    </w:p>
    <w:p>
      <w:pPr>
        <w:spacing w:after="0" w:line="24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This Supplemental Release Agreement (“Supplemental Release”) is made by and between Tina Marriott (“Employee”) and Recursion Pharmaceuticals, Inc. (the “Company”) (collectively referred to as the “Parties” or individually referred to as a “Party”). Capitalized terms used, but not defined herein, shall have the meanings assigned to such terms in the Transition Agreement and Release to which this Supplemental Release was attached as an exhibit (the “Transition Agreement”).</w:t>
      </w:r>
    </w:p>
    <w:p>
      <w:pPr>
        <w:spacing w:after="0" w:line="179" w:lineRule="exact"/>
        <w:rPr>
          <w:sz w:val="20"/>
          <w:szCs w:val="20"/>
          <w:color w:val="auto"/>
        </w:rPr>
      </w:pPr>
    </w:p>
    <w:p>
      <w:pPr>
        <w:jc w:val="both"/>
        <w:ind w:firstLine="777"/>
        <w:spacing w:after="0" w:line="251" w:lineRule="auto"/>
        <w:tabs>
          <w:tab w:leader="none" w:pos="1237"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Consideration; Release; Acknowledgment of Receipt of All Compensation</w:t>
      </w:r>
      <w:r>
        <w:rPr>
          <w:rFonts w:ascii="Times New Roman" w:cs="Times New Roman" w:eastAsia="Times New Roman" w:hAnsi="Times New Roman"/>
          <w:sz w:val="19"/>
          <w:szCs w:val="19"/>
          <w:color w:val="auto"/>
        </w:rPr>
        <w:t>. In consideration for the Supplemental Release Payment set forth in Section 1.c of the Transition Agreement and any other consideration, as applicable, that may be provided to Employee under Section 1.c of the Transition Agreement (as well as the consideration Employee received under Sections 1.a and 1.b of the Transition Agreement), Employee hereby extends Employee’s release and waiver of claims in Section 5 of the Transition Agreement to any claims that may have arisen between the date Employee signed the Transition Agreement and the date Employee signs this Supplemental Release. Employee acknowledges and represents that, other than the consideration that Employee is eligible to receive for signing this Supplemental Release, the Company and its agents have paid or provided all salary, wages, bonuses, vacation/paid time off, premiums, leaves, housing allowances, relocation costs, interest, severance, outplacement costs, fees, reimbursable expenses, commissions, stock, stock options, vesting, and any and all other benefits and compensation due to Employee, and Employee is not and will not be entitled to any other payments, benefits, or compensation from the Company.</w:t>
      </w:r>
    </w:p>
    <w:p>
      <w:pPr>
        <w:spacing w:after="0" w:line="186" w:lineRule="exact"/>
        <w:rPr>
          <w:rFonts w:ascii="Times New Roman" w:cs="Times New Roman" w:eastAsia="Times New Roman" w:hAnsi="Times New Roman"/>
          <w:sz w:val="19"/>
          <w:szCs w:val="19"/>
          <w:color w:val="auto"/>
        </w:rPr>
      </w:pPr>
    </w:p>
    <w:p>
      <w:pPr>
        <w:jc w:val="both"/>
        <w:ind w:firstLine="622"/>
        <w:spacing w:after="0" w:line="262" w:lineRule="auto"/>
        <w:tabs>
          <w:tab w:leader="none" w:pos="1237"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of Terms of Transition Agreement</w:t>
      </w:r>
      <w:r>
        <w:rPr>
          <w:rFonts w:ascii="Times New Roman" w:cs="Times New Roman" w:eastAsia="Times New Roman" w:hAnsi="Times New Roman"/>
          <w:sz w:val="19"/>
          <w:szCs w:val="19"/>
          <w:color w:val="auto"/>
        </w:rPr>
        <w:t>. The Parties further acknowledge that the terms of the Transition Agreement (including, without limitation, the “Protected Activity Not Prohibited” section therein) shall apply to this Supplemental Release and are incorporated herein to the extent that they are not inconsistent with the express terms of this Supplemental Release.</w:t>
      </w:r>
    </w:p>
    <w:p>
      <w:pPr>
        <w:spacing w:after="0" w:line="174" w:lineRule="exact"/>
        <w:rPr>
          <w:rFonts w:ascii="Times New Roman" w:cs="Times New Roman" w:eastAsia="Times New Roman" w:hAnsi="Times New Roman"/>
          <w:sz w:val="19"/>
          <w:szCs w:val="19"/>
          <w:color w:val="auto"/>
        </w:rPr>
      </w:pPr>
    </w:p>
    <w:p>
      <w:pPr>
        <w:jc w:val="both"/>
        <w:ind w:firstLine="622"/>
        <w:spacing w:after="0" w:line="252" w:lineRule="auto"/>
        <w:tabs>
          <w:tab w:leader="none" w:pos="1237"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Trade Secrets and Confidential Information/Company Property</w:t>
      </w:r>
      <w:r>
        <w:rPr>
          <w:rFonts w:ascii="Times New Roman" w:cs="Times New Roman" w:eastAsia="Times New Roman" w:hAnsi="Times New Roman"/>
          <w:sz w:val="19"/>
          <w:szCs w:val="19"/>
          <w:color w:val="auto"/>
        </w:rPr>
        <w:t>. Employee reaffirms and agrees to observe and abide by the terms of the Confidentiality Agreement, specifically including the provisions therein regarding nondisclosure of the Company’s trade secrets and confidential and proprietary information. Employee’s signature below constitutes Employee’s certification under penalty of perjury that Employee has returned all documents and other items provided to Employee by the Company or any subsidiary or affiliate of the Company (with the exception of personnel documents specifically relating to Employee and a copy of the Company’s employee handbook), developed or obtained by Employee in connection with Employee’s employment with the Company, or otherwise belonging to the Company (or any subsidiary or affiliate of the Company).</w:t>
      </w:r>
    </w:p>
    <w:p>
      <w:pPr>
        <w:spacing w:after="0" w:line="211" w:lineRule="exact"/>
        <w:rPr>
          <w:rFonts w:ascii="Times New Roman" w:cs="Times New Roman" w:eastAsia="Times New Roman" w:hAnsi="Times New Roman"/>
          <w:sz w:val="19"/>
          <w:szCs w:val="19"/>
          <w:color w:val="auto"/>
        </w:rPr>
      </w:pPr>
    </w:p>
    <w:p>
      <w:pPr>
        <w:jc w:val="both"/>
        <w:ind w:firstLine="622"/>
        <w:spacing w:after="0" w:line="262" w:lineRule="auto"/>
        <w:tabs>
          <w:tab w:leader="none" w:pos="808"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 to Re-employment</w:t>
      </w:r>
      <w:r>
        <w:rPr>
          <w:rFonts w:ascii="Times New Roman" w:cs="Times New Roman" w:eastAsia="Times New Roman" w:hAnsi="Times New Roman"/>
          <w:sz w:val="19"/>
          <w:szCs w:val="19"/>
          <w:color w:val="auto"/>
        </w:rPr>
        <w:t>. Employee understands and agrees that, as a condition of this Supplemental Release, Employee shall not be entitled to any employment with the Company, and Employee hereby waives any right, or alleged right, of employment or re-employment with the Company.</w:t>
      </w:r>
    </w:p>
    <w:p>
      <w:pPr>
        <w:spacing w:after="0" w:line="174" w:lineRule="exact"/>
        <w:rPr>
          <w:rFonts w:ascii="Times New Roman" w:cs="Times New Roman" w:eastAsia="Times New Roman" w:hAnsi="Times New Roman"/>
          <w:sz w:val="19"/>
          <w:szCs w:val="19"/>
          <w:color w:val="auto"/>
        </w:rPr>
      </w:pPr>
    </w:p>
    <w:p>
      <w:pPr>
        <w:jc w:val="both"/>
        <w:ind w:firstLine="622"/>
        <w:spacing w:after="0" w:line="254" w:lineRule="auto"/>
        <w:tabs>
          <w:tab w:leader="none" w:pos="808"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Acknowledgment of Waiver of Claims under ADEA</w:t>
      </w:r>
      <w:r>
        <w:rPr>
          <w:rFonts w:ascii="Times New Roman" w:cs="Times New Roman" w:eastAsia="Times New Roman" w:hAnsi="Times New Roman"/>
          <w:sz w:val="19"/>
          <w:szCs w:val="19"/>
          <w:color w:val="auto"/>
        </w:rPr>
        <w:t xml:space="preserve">. Employee understands and acknowledges that Employee </w:t>
      </w:r>
      <w:r>
        <w:rPr>
          <w:rFonts w:ascii="Times New Roman" w:cs="Times New Roman" w:eastAsia="Times New Roman" w:hAnsi="Times New Roman"/>
          <w:sz w:val="19"/>
          <w:szCs w:val="19"/>
          <w:color w:val="212529"/>
        </w:rPr>
        <w:t>is waiving and releasing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12529"/>
        </w:rPr>
        <w:t xml:space="preserve">any rights or claims </w:t>
      </w:r>
      <w:r>
        <w:rPr>
          <w:rFonts w:ascii="Times New Roman" w:cs="Times New Roman" w:eastAsia="Times New Roman" w:hAnsi="Times New Roman"/>
          <w:sz w:val="19"/>
          <w:szCs w:val="19"/>
          <w:color w:val="000000"/>
        </w:rPr>
        <w:t>Employee may have under the Age Discrimination in Employment Act of 1967 (“ADEA”), and that this waiver and release is</w:t>
      </w:r>
      <w:r>
        <w:rPr>
          <w:rFonts w:ascii="Times New Roman" w:cs="Times New Roman" w:eastAsia="Times New Roman" w:hAnsi="Times New Roman"/>
          <w:sz w:val="19"/>
          <w:szCs w:val="19"/>
          <w:color w:val="212529"/>
        </w:rPr>
        <w:t xml:space="preserve"> </w:t>
      </w:r>
      <w:r>
        <w:rPr>
          <w:rFonts w:ascii="Times New Roman" w:cs="Times New Roman" w:eastAsia="Times New Roman" w:hAnsi="Times New Roman"/>
          <w:sz w:val="19"/>
          <w:szCs w:val="19"/>
          <w:color w:val="000000"/>
        </w:rPr>
        <w:t>knowing and voluntary. Employee understands and agrees that this waiver and release does not apply to any rights or claims that may arise under the ADEA after the date Employee signs this Supplemental Release. Employee understands and acknowledges that the consideration given for this waiver and release is in addition to</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anything of value to which Employee was already entitled. Employee further understands and acknowledges that Employee has been advised by this writing that: (a) Employee should consult with an attorney prior to executing this Supplemental Release; (b) Employee has had more than twenty-one (21) days within which to consider this Supplemental Release; (c) Employee has seven (7) days following Employee’s execution of this Supplemental Release to revoke this Supplemental Release; (d) this Supplemental Release shall not be effective until after the revocation period has expired; and (e) nothing in this Supplemental Release or the Transition Agreement prevents or precludes Employee from challenging or seeking a determination in good faith of the validity of this waiver under the ADEA, nor does it impose any condition precedent, penalties, or costs for doing so, unless specifically authorized by federal law. Employee acknowledges and understands that any revocation of this Supplemental Release must be accomplished by a written notification to the person executing this Supplemental Release on the Company’s behalf that is received prior to the Supplemental Release Effective Date. The Parties agree that changes, whether material or immaterial, do not restart the running of the 21-day period.</w:t>
      </w:r>
    </w:p>
    <w:p>
      <w:pPr>
        <w:spacing w:after="0" w:line="216" w:lineRule="exact"/>
        <w:rPr>
          <w:sz w:val="20"/>
          <w:szCs w:val="20"/>
          <w:color w:val="auto"/>
        </w:rPr>
      </w:pPr>
    </w:p>
    <w:p>
      <w:pPr>
        <w:jc w:val="both"/>
        <w:ind w:firstLine="622"/>
        <w:spacing w:after="0" w:line="250" w:lineRule="auto"/>
        <w:tabs>
          <w:tab w:leader="none" w:pos="808"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EXCEPT AS PROHIBITED BY LAW, THE PARTIES AGREE THAT ANY AND ALL DISPUTES ARISING OUT OF THE TERMS OF THE TRANSITION AGREEMENT OR THIS SUPPLEMENTAL RELEASE, THEIR INTERPRETATION, EMPLOYEE’S EMPLOYMENT WITH THE COMPANY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EMPLOYEE AGREES THAT, TO THE FULLEST EXTENT PERMITTED BY LAW, EMPLOYEE MAY BRING ANY SUCH ARBITRATION PROCEEDING ONLY IN EMPLOYEE’S INDIVIDUAL CAPACITY. ANY ARBITRATION WILL OCCUR IN UTAH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UTAH RULES OF CIVIL PROCEDURE. THE PARTIES AGREE THAT THE ARBITRATOR SHALL APPLY SUBSTANTIVE UTAH LAW AND SHALL ISSUE A WRITTEN DECISION ON THE MERITS. THE PARTIES ALSO AGREE THAT THE ARBITRATOR SHALL HAVE THE POWER TO AWARD ANY REMEDIES AVAILABLE UNDER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SUBJECT MATTER OF THEIR DISPUTE RELATING TO THE TRANSITION AGREEMENT, THIS SUPPLEMENTAL RELEASE, AND THE AGREEMENTS INCORPORATED HEREIN OR THEREIN BY REFERENCE. SHOULD ANY PART OF THE ARBITRATION AGREEMENT CONTAINED IN THIS SECTION CONFLICT WITH ANY OTHER ARBITRATION AGREEMENT BETWEEN THE PARTIES, THE PARTIES AGREE THAT THIS ARBITRATION AGREEMENT IN THIS SECTION SHALL GOVERN.</w:t>
      </w:r>
    </w:p>
    <w:p>
      <w:pPr>
        <w:spacing w:after="0" w:line="191" w:lineRule="exact"/>
        <w:rPr>
          <w:sz w:val="20"/>
          <w:szCs w:val="20"/>
          <w:color w:val="auto"/>
        </w:rPr>
      </w:pPr>
    </w:p>
    <w:p>
      <w:pPr>
        <w:jc w:val="both"/>
        <w:ind w:firstLine="622"/>
        <w:spacing w:after="0" w:line="259" w:lineRule="auto"/>
        <w:tabs>
          <w:tab w:leader="none" w:pos="1027"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Admission of Liability</w:t>
      </w:r>
      <w:r>
        <w:rPr>
          <w:rFonts w:ascii="Times New Roman" w:cs="Times New Roman" w:eastAsia="Times New Roman" w:hAnsi="Times New Roman"/>
          <w:sz w:val="19"/>
          <w:szCs w:val="19"/>
          <w:color w:val="auto"/>
        </w:rPr>
        <w:t>. Employee understands and acknowledges that this Supplemental Release constitutes a compromise and settlement of any and all actual or potential disputed claims by Employee. No action taken by the Company, either previously or in connection with this Supplemental Release, shall be deemed or construed to be (a) an admission of the truth or falsity of any actual or potential claims or (b) an acknowledgment or admission by the Company of any fault or liability whatsoever to Employee or to any third party.</w:t>
      </w:r>
    </w:p>
    <w:p>
      <w:pPr>
        <w:spacing w:after="0" w:line="178" w:lineRule="exact"/>
        <w:rPr>
          <w:rFonts w:ascii="Times New Roman" w:cs="Times New Roman" w:eastAsia="Times New Roman" w:hAnsi="Times New Roman"/>
          <w:sz w:val="19"/>
          <w:szCs w:val="19"/>
          <w:color w:val="auto"/>
        </w:rPr>
      </w:pPr>
    </w:p>
    <w:p>
      <w:pPr>
        <w:ind w:left="1000" w:hanging="378"/>
        <w:spacing w:after="0"/>
        <w:tabs>
          <w:tab w:leader="none" w:pos="1000"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Supplemental Release Effective Date</w:t>
      </w:r>
      <w:r>
        <w:rPr>
          <w:rFonts w:ascii="Times New Roman" w:cs="Times New Roman" w:eastAsia="Times New Roman" w:hAnsi="Times New Roman"/>
          <w:sz w:val="19"/>
          <w:szCs w:val="19"/>
          <w:color w:val="auto"/>
        </w:rPr>
        <w:t>. Employee understands that this Supplemental Release shall be null and void (i) if executed by</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Employee before the Separation Date (as defined in the Transition Agreement), (ii) if executed by Employee before the Transition Agreement becomes effective, or (iii) if not executed by Employee within twenty-one (21) days following the Separation Date (as defined in the Transition Agreement). Each Party has seven (7) days after that Party signs this Supplemental Release to revoke it. This Supplemental Release will become effective on the eighth (8th) day after Employee signed this Supplemental Release, so long as it has been signed by the Parties on or after the Separation Date and has not been revoked by either Party before that date (the “Supplemental Release Effective Date”).</w:t>
      </w:r>
    </w:p>
    <w:p>
      <w:pPr>
        <w:spacing w:after="0" w:line="195" w:lineRule="exact"/>
        <w:rPr>
          <w:sz w:val="20"/>
          <w:szCs w:val="20"/>
          <w:color w:val="auto"/>
        </w:rPr>
      </w:pPr>
    </w:p>
    <w:p>
      <w:pPr>
        <w:jc w:val="both"/>
        <w:ind w:firstLine="622"/>
        <w:spacing w:after="0" w:line="258" w:lineRule="auto"/>
        <w:tabs>
          <w:tab w:leader="none" w:pos="808"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Supplemental Release and the Transition Agreement represent the entire agreement and understanding between the Company and Employee concerning the subject matter of this Supplemental Release and the Transition Agreement and Employee’s employment with and separation from the Company and the events leading thereto and associated therewith, and supersedes and replaces any and all prior agreements and understandings concerning Employee’s relationship with the Company, with the exception of the Confidentiality Agreement, the Stock Agreements, the Indemnification Agreement, and the Company’s Compensation Recovery Policy.</w:t>
      </w:r>
    </w:p>
    <w:p>
      <w:pPr>
        <w:spacing w:after="0" w:line="166" w:lineRule="exact"/>
        <w:rPr>
          <w:rFonts w:ascii="Times New Roman" w:cs="Times New Roman" w:eastAsia="Times New Roman" w:hAnsi="Times New Roman"/>
          <w:sz w:val="19"/>
          <w:szCs w:val="19"/>
          <w:color w:val="auto"/>
        </w:rPr>
      </w:pPr>
    </w:p>
    <w:p>
      <w:pPr>
        <w:jc w:val="both"/>
        <w:ind w:firstLine="622"/>
        <w:spacing w:after="0" w:line="258" w:lineRule="auto"/>
        <w:tabs>
          <w:tab w:leader="none" w:pos="1095"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The Company each represent and warrant that the undersigned has the authority to act on behalf of the Company and to bind the Company and all who may claim through it to the terms and conditions of this Supplemental Release. Employee represents and warrants that Employee has the capacity to act on Employee’s own behalf and on behalf of all who might claim through Employee to bind them to the terms and conditions of this Supplemental Release. Each Party warrants and represents that there are no liens or claims of lien or assignments in law or equity or otherwise of or against any of the claims or causes of action released herein.</w:t>
      </w:r>
    </w:p>
    <w:p>
      <w:pPr>
        <w:spacing w:after="0" w:line="166" w:lineRule="exact"/>
        <w:rPr>
          <w:rFonts w:ascii="Times New Roman" w:cs="Times New Roman" w:eastAsia="Times New Roman" w:hAnsi="Times New Roman"/>
          <w:sz w:val="19"/>
          <w:szCs w:val="19"/>
          <w:color w:val="auto"/>
        </w:rPr>
      </w:pPr>
    </w:p>
    <w:p>
      <w:pPr>
        <w:jc w:val="both"/>
        <w:ind w:firstLine="622"/>
        <w:spacing w:after="0" w:line="269" w:lineRule="auto"/>
        <w:tabs>
          <w:tab w:leader="none" w:pos="1050"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Employee understands and agrees that Employee executed this Supplemental Release voluntarily, without any duress or undue influence on the part or behalf of the Company or any third party, with the full intent of releasing all of Employee’s claims against any of the Releasees. Employee acknowledges that:</w:t>
      </w:r>
    </w:p>
    <w:p>
      <w:pPr>
        <w:spacing w:after="0" w:line="180"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1"/>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has read this Supplemental Release;</w:t>
      </w:r>
    </w:p>
    <w:p>
      <w:pPr>
        <w:spacing w:after="0" w:line="219" w:lineRule="exact"/>
        <w:rPr>
          <w:rFonts w:ascii="Times New Roman" w:cs="Times New Roman" w:eastAsia="Times New Roman" w:hAnsi="Times New Roman"/>
          <w:sz w:val="19"/>
          <w:szCs w:val="19"/>
          <w:color w:val="auto"/>
        </w:rPr>
      </w:pPr>
    </w:p>
    <w:p>
      <w:pPr>
        <w:ind w:left="1860" w:hanging="619"/>
        <w:spacing w:after="0" w:line="269" w:lineRule="auto"/>
        <w:tabs>
          <w:tab w:leader="none" w:pos="1650" w:val="left"/>
        </w:tabs>
        <w:numPr>
          <w:ilvl w:val="1"/>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has been represented in the preparation, negotiation, and execution of this Supplemental Release by legal counsel of Employee’s own choice or has elected not to retain legal counsel;</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200" w:lineRule="exact"/>
        <w:rPr>
          <w:sz w:val="20"/>
          <w:szCs w:val="20"/>
          <w:color w:val="auto"/>
        </w:rPr>
      </w:pPr>
    </w:p>
    <w:p>
      <w:pPr>
        <w:ind w:left="1640" w:hanging="399"/>
        <w:spacing w:after="0"/>
        <w:tabs>
          <w:tab w:leader="none" w:pos="1640"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understands the terms and consequences of this Supplemental Release and of the releases it contains;</w:t>
      </w:r>
    </w:p>
    <w:p>
      <w:pPr>
        <w:spacing w:after="0" w:line="219" w:lineRule="exact"/>
        <w:rPr>
          <w:rFonts w:ascii="Times New Roman" w:cs="Times New Roman" w:eastAsia="Times New Roman" w:hAnsi="Times New Roman"/>
          <w:sz w:val="19"/>
          <w:szCs w:val="19"/>
          <w:color w:val="auto"/>
        </w:rPr>
      </w:pPr>
    </w:p>
    <w:p>
      <w:pPr>
        <w:ind w:left="1860" w:hanging="619"/>
        <w:spacing w:after="0" w:line="269" w:lineRule="auto"/>
        <w:tabs>
          <w:tab w:leader="none" w:pos="1653"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has not relied upon any representations or statements made by the Company that are not specifically set forth in this Supplemental Release or in the Transition Agreement; and</w:t>
      </w:r>
    </w:p>
    <w:p>
      <w:pPr>
        <w:spacing w:after="0" w:line="167"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is fully aware of the legal and binding effect of this Supplemental Release.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 w:right="2200" w:hanging="373"/>
        <w:spacing w:after="0" w:line="509" w:lineRule="auto"/>
        <w:rPr>
          <w:sz w:val="20"/>
          <w:szCs w:val="20"/>
          <w:color w:val="auto"/>
        </w:rPr>
      </w:pPr>
      <w:r>
        <w:rPr>
          <w:rFonts w:ascii="Times New Roman" w:cs="Times New Roman" w:eastAsia="Times New Roman" w:hAnsi="Times New Roman"/>
          <w:sz w:val="19"/>
          <w:szCs w:val="19"/>
          <w:color w:val="auto"/>
        </w:rPr>
        <w:t>IN WITNESS WHEREOF, the Parties have executed this Supplemental Release on the respective dates set forth below. TINA MARRIOTT, an individual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Dated: __11/19/2024_____</w:t>
            </w:r>
          </w:p>
        </w:tc>
        <w:tc>
          <w:tcPr>
            <w:tcW w:w="3400" w:type="dxa"/>
            <w:vAlign w:val="bottom"/>
            <w:gridSpan w:val="5"/>
          </w:tcPr>
          <w:p>
            <w:pPr>
              <w:jc w:val="center"/>
              <w:ind w:left="26"/>
              <w:spacing w:after="0"/>
              <w:rPr>
                <w:sz w:val="20"/>
                <w:szCs w:val="20"/>
                <w:color w:val="auto"/>
              </w:rPr>
            </w:pPr>
            <w:r>
              <w:rPr>
                <w:rFonts w:ascii="Times New Roman" w:cs="Times New Roman" w:eastAsia="Times New Roman" w:hAnsi="Times New Roman"/>
                <w:sz w:val="19"/>
                <w:szCs w:val="19"/>
                <w:color w:val="auto"/>
                <w:w w:val="99"/>
              </w:rPr>
              <w:t>__/s/ Tina Marriott___________________</w:t>
            </w:r>
          </w:p>
        </w:tc>
      </w:tr>
      <w:tr>
        <w:trPr>
          <w:trHeight w:val="20"/>
        </w:trPr>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2"/>
        </w:trPr>
        <w:tc>
          <w:tcPr>
            <w:tcW w:w="2160" w:type="dxa"/>
            <w:vAlign w:val="bottom"/>
            <w:gridSpan w:val="3"/>
          </w:tcPr>
          <w:p>
            <w:pPr>
              <w:ind w:left="420"/>
              <w:spacing w:after="0"/>
              <w:rPr>
                <w:sz w:val="20"/>
                <w:szCs w:val="20"/>
                <w:color w:val="auto"/>
              </w:rPr>
            </w:pPr>
            <w:r>
              <w:rPr>
                <w:rFonts w:ascii="Times New Roman" w:cs="Times New Roman" w:eastAsia="Times New Roman" w:hAnsi="Times New Roman"/>
                <w:sz w:val="19"/>
                <w:szCs w:val="19"/>
                <w:color w:val="auto"/>
              </w:rPr>
              <w:t>Tina Marriott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670"/>
        </w:trPr>
        <w:tc>
          <w:tcPr>
            <w:tcW w:w="5560" w:type="dxa"/>
            <w:vAlign w:val="bottom"/>
            <w:gridSpan w:val="8"/>
          </w:tcPr>
          <w:p>
            <w:pPr>
              <w:ind w:left="380"/>
              <w:spacing w:after="0"/>
              <w:rPr>
                <w:sz w:val="20"/>
                <w:szCs w:val="20"/>
                <w:color w:val="auto"/>
              </w:rPr>
            </w:pPr>
            <w:r>
              <w:rPr>
                <w:rFonts w:ascii="Times New Roman" w:cs="Times New Roman" w:eastAsia="Times New Roman" w:hAnsi="Times New Roman"/>
                <w:sz w:val="19"/>
                <w:szCs w:val="19"/>
                <w:color w:val="auto"/>
              </w:rPr>
              <w:t>RECURSION PHARMACEUTICALS, INC.</w:t>
            </w:r>
          </w:p>
        </w:tc>
      </w:tr>
      <w:tr>
        <w:trPr>
          <w:trHeight w:val="614"/>
        </w:trPr>
        <w:tc>
          <w:tcPr>
            <w:tcW w:w="21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Dated: __11/19/2024_____</w:t>
            </w:r>
          </w:p>
        </w:tc>
        <w:tc>
          <w:tcPr>
            <w:tcW w:w="3400" w:type="dxa"/>
            <w:vAlign w:val="bottom"/>
            <w:gridSpan w:val="5"/>
          </w:tcPr>
          <w:p>
            <w:pPr>
              <w:jc w:val="center"/>
              <w:ind w:left="6"/>
              <w:spacing w:after="0"/>
              <w:rPr>
                <w:sz w:val="20"/>
                <w:szCs w:val="20"/>
                <w:color w:val="auto"/>
              </w:rPr>
            </w:pPr>
            <w:r>
              <w:rPr>
                <w:rFonts w:ascii="Times New Roman" w:cs="Times New Roman" w:eastAsia="Times New Roman" w:hAnsi="Times New Roman"/>
                <w:sz w:val="19"/>
                <w:szCs w:val="19"/>
                <w:color w:val="auto"/>
                <w:w w:val="99"/>
              </w:rPr>
              <w:t>By _/s/ Christopher Gibson_____________</w:t>
            </w:r>
          </w:p>
        </w:tc>
      </w:tr>
      <w:tr>
        <w:trPr>
          <w:trHeight w:val="20"/>
        </w:trPr>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5"/>
        </w:trPr>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Chris Gibson</w:t>
            </w:r>
          </w:p>
        </w:tc>
      </w:tr>
    </w:tbl>
    <w:p>
      <w:pPr>
        <w:ind w:left="580"/>
        <w:spacing w:after="0"/>
        <w:rPr>
          <w:sz w:val="20"/>
          <w:szCs w:val="20"/>
          <w:color w:val="auto"/>
        </w:rPr>
      </w:pPr>
      <w:r>
        <w:rPr>
          <w:rFonts w:ascii="Times New Roman" w:cs="Times New Roman" w:eastAsia="Times New Roman" w:hAnsi="Times New Roman"/>
          <w:sz w:val="19"/>
          <w:szCs w:val="19"/>
          <w:color w:val="auto"/>
        </w:rPr>
        <w:t>Chief Executive Officer</w:t>
      </w:r>
    </w:p>
    <w:p>
      <w:pPr>
        <w:sectPr>
          <w:pgSz w:w="11900" w:h="16838" w:orient="portrait"/>
          <w:cols w:equalWidth="0" w:num="1">
            <w:col w:w="11240"/>
          </w:cols>
          <w:pgMar w:left="320" w:top="1440" w:right="339" w:bottom="1440" w:gutter="0" w:footer="0" w:header="0"/>
        </w:sectPr>
      </w:pPr>
    </w:p>
    <w:bookmarkStart w:id="308" w:name="page309"/>
    <w:bookmarkEnd w:id="308"/>
    <w:p>
      <w:pPr>
        <w:ind w:left="10200"/>
        <w:spacing w:after="0"/>
        <w:rPr>
          <w:sz w:val="20"/>
          <w:szCs w:val="20"/>
          <w:color w:val="auto"/>
        </w:rPr>
      </w:pPr>
      <w:r>
        <w:rPr>
          <w:rFonts w:ascii="Arial" w:cs="Arial" w:eastAsia="Arial" w:hAnsi="Arial"/>
          <w:sz w:val="17"/>
          <w:szCs w:val="17"/>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SEPARATION AGREEMENT AND RELEASE</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This Separation Agreement and Release (“Agreement”) is made by and between Michael Secora (“Employee”) and Recursion Pharmaceuticals, Inc. (the “Company”) (collectively referred to as the “Parties” or individually referred to as a “Party”).</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Employee is employed at will by the Company;</w:t>
      </w:r>
    </w:p>
    <w:p>
      <w:pPr>
        <w:spacing w:after="0" w:line="23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WHEREAS, the Company granted Employee the option(s) to purchase shares of the Company’s Class A common stock (each, an “Option”) and/or award(s) of restricted stock units (each, an “RSU Award”) listed in </w:t>
      </w:r>
      <w:r>
        <w:rPr>
          <w:rFonts w:ascii="Times New Roman" w:cs="Times New Roman" w:eastAsia="Times New Roman" w:hAnsi="Times New Roman"/>
          <w:sz w:val="19"/>
          <w:szCs w:val="19"/>
          <w:b w:val="1"/>
          <w:bCs w:val="1"/>
          <w:u w:val="single" w:color="auto"/>
          <w:color w:val="auto"/>
        </w:rPr>
        <w:t>Exhibit A</w:t>
      </w:r>
      <w:r>
        <w:rPr>
          <w:rFonts w:ascii="Times New Roman" w:cs="Times New Roman" w:eastAsia="Times New Roman" w:hAnsi="Times New Roman"/>
          <w:sz w:val="19"/>
          <w:szCs w:val="19"/>
          <w:color w:val="auto"/>
        </w:rPr>
        <w:t xml:space="preserve"> (such Option and RSU Awards, the “Equity Awards”), each subject to the terms and conditions of the Company’s 2016 Equity Incentive Plan (the “2016 Plan”) or the Company’s 2021 Equity Incentive Plan (the “2021 Plan” and, together with the 2016 Plan, the “Plans”) and the applicable award agreement between the Company and Employee applicable to each Equity Award (each, an “Equity Award Agreement”) (the Plans together with the Equity Award Agreements, the “Stock Agreements”);</w:t>
      </w:r>
    </w:p>
    <w:p>
      <w:pPr>
        <w:spacing w:after="0" w:line="18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WHEREAS, the Company and Employee have entered into a participation agreement (the “Participation Agreement”), setting forth the terms and conditions of Employee’s participation in the Company’s Executive Change in Control and Severance Plan (the “Severance Plan”);</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Employee’s employment with the Company terminates effective December 31, 2024 (the “Separation Date”); and</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spacing w:after="0" w:line="2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NOW, THEREFORE, in consideration of the mutual promises made herein, the Company and Employee hereby agree as follows: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226" w:lineRule="exact"/>
        <w:rPr>
          <w:sz w:val="20"/>
          <w:szCs w:val="20"/>
          <w:color w:val="auto"/>
        </w:rPr>
      </w:pPr>
    </w:p>
    <w:p>
      <w:pPr>
        <w:ind w:firstLine="622"/>
        <w:spacing w:after="0" w:line="269" w:lineRule="auto"/>
        <w:tabs>
          <w:tab w:leader="none" w:pos="1237"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Consideration</w:t>
      </w:r>
      <w:r>
        <w:rPr>
          <w:rFonts w:ascii="Times New Roman" w:cs="Times New Roman" w:eastAsia="Times New Roman" w:hAnsi="Times New Roman"/>
          <w:sz w:val="19"/>
          <w:szCs w:val="19"/>
          <w:color w:val="auto"/>
        </w:rPr>
        <w:t>. In consideration of and contingent on Employee’s execution of this Agreement, this Agreement going into effect, and Employee’s fulfillment of all of its terms and conditions, the Company agrees as follows:</w:t>
      </w:r>
    </w:p>
    <w:p>
      <w:pPr>
        <w:spacing w:after="0" w:line="189" w:lineRule="exact"/>
        <w:rPr>
          <w:rFonts w:ascii="Times New Roman" w:cs="Times New Roman" w:eastAsia="Times New Roman" w:hAnsi="Times New Roman"/>
          <w:sz w:val="19"/>
          <w:szCs w:val="19"/>
          <w:color w:val="auto"/>
        </w:rPr>
      </w:pPr>
    </w:p>
    <w:p>
      <w:pPr>
        <w:jc w:val="both"/>
        <w:ind w:firstLine="1241"/>
        <w:spacing w:after="0" w:line="284" w:lineRule="auto"/>
        <w:tabs>
          <w:tab w:leader="none" w:pos="1845"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Severance Benefits</w:t>
      </w:r>
      <w:r>
        <w:rPr>
          <w:rFonts w:ascii="Times New Roman" w:cs="Times New Roman" w:eastAsia="Times New Roman" w:hAnsi="Times New Roman"/>
          <w:sz w:val="18"/>
          <w:szCs w:val="18"/>
          <w:color w:val="auto"/>
        </w:rPr>
        <w:t>. Pursuant to Section 1(a) of the Participation Agreement, subject to the terms and conditions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Plan and the Participation Agreement, the Company agrees to pay Employee a lump sum equivalent to nine (9) months of Employee’s base salary, for a total of Three Hundred Fifty-Six Thousand Dollars and Two Hundred Fifty Dollars ($356,250), less applicable withholdings. This payment will be made to Employee on the first Company payroll date after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Separation Date.</w:t>
      </w:r>
    </w:p>
    <w:p>
      <w:pPr>
        <w:spacing w:after="0" w:line="86" w:lineRule="exact"/>
        <w:rPr>
          <w:rFonts w:ascii="Times New Roman" w:cs="Times New Roman" w:eastAsia="Times New Roman" w:hAnsi="Times New Roman"/>
          <w:sz w:val="18"/>
          <w:szCs w:val="18"/>
          <w:color w:val="auto"/>
        </w:rPr>
      </w:pPr>
    </w:p>
    <w:p>
      <w:pPr>
        <w:jc w:val="both"/>
        <w:ind w:firstLine="1241"/>
        <w:spacing w:after="0" w:line="261" w:lineRule="auto"/>
        <w:tabs>
          <w:tab w:leader="none" w:pos="1856" w:val="left"/>
        </w:tabs>
        <w:numPr>
          <w:ilvl w:val="1"/>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Continued Medical Benefits</w:t>
      </w:r>
      <w:r>
        <w:rPr>
          <w:rFonts w:ascii="Times New Roman" w:cs="Times New Roman" w:eastAsia="Times New Roman" w:hAnsi="Times New Roman"/>
          <w:sz w:val="19"/>
          <w:szCs w:val="19"/>
          <w:color w:val="auto"/>
        </w:rPr>
        <w:t>. Pursuant to Section 1(b) of the Participation Agreement, subject to the terms and conditions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Severance Plan and the Participation Agreement, the Company shall provide Employee reimbursement of continued health coverage under COBRA or a taxable lump sum payment in lieu of reimbursement, as applicable, and as described in Section 4(b) of the Plan for a period nine (9) months following the Separation Date.</w:t>
      </w:r>
    </w:p>
    <w:p>
      <w:pPr>
        <w:sectPr>
          <w:pgSz w:w="11900" w:h="16838" w:orient="portrait"/>
          <w:cols w:equalWidth="0" w:num="1">
            <w:col w:w="11240"/>
          </w:cols>
          <w:pgMar w:left="320" w:top="121" w:right="339" w:bottom="1440" w:gutter="0" w:footer="0" w:header="0"/>
        </w:sectPr>
      </w:pPr>
    </w:p>
    <w:bookmarkStart w:id="309" w:name="page310"/>
    <w:bookmarkEnd w:id="309"/>
    <w:p>
      <w:pPr>
        <w:spacing w:after="0" w:line="196" w:lineRule="exact"/>
        <w:rPr>
          <w:sz w:val="20"/>
          <w:szCs w:val="20"/>
          <w:color w:val="auto"/>
        </w:rPr>
      </w:pPr>
    </w:p>
    <w:p>
      <w:pPr>
        <w:jc w:val="both"/>
        <w:ind w:left="-622" w:firstLine="1241"/>
        <w:spacing w:after="0" w:line="255" w:lineRule="auto"/>
        <w:tabs>
          <w:tab w:leader="none" w:pos="1223" w:val="left"/>
        </w:tabs>
        <w:numPr>
          <w:ilvl w:val="1"/>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2024 Bonus</w:t>
      </w:r>
      <w:r>
        <w:rPr>
          <w:rFonts w:ascii="Times New Roman" w:cs="Times New Roman" w:eastAsia="Times New Roman" w:hAnsi="Times New Roman"/>
          <w:sz w:val="19"/>
          <w:szCs w:val="19"/>
          <w:color w:val="auto"/>
        </w:rPr>
        <w:t>. While not otherwise earned under the Company’s 2024 bonus plan (the “2024 Plan”), Employee shall receive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bonus amount under the 2024 Plan as follows: (i) Ninety-Five Thousand Dollars ($95,000) (representing 20% of Employee’s annual base salary as in effect immediately prior to the Separation Date) shall be payable to Employee in cash in a lump sum, less applicable tax withholding, no later than the second Company payroll date following the Effective Date and (ii) Ninety-Five Thousand Dollars ($95,000) (representing 20% of Employee’s annual base salary as in effect immediately prior to the Separation Date) shall be payable to Employee in Company restricted stock units granted under the 2021 Plan and a form of award agreement thereunder (with that value converted into a number of restricted stock units determined in accordance with the Company’s equity grant procedures), and which vest on the Effective Date.</w:t>
      </w:r>
    </w:p>
    <w:p>
      <w:pPr>
        <w:spacing w:after="0" w:line="192" w:lineRule="exact"/>
        <w:rPr>
          <w:rFonts w:ascii="Times New Roman" w:cs="Times New Roman" w:eastAsia="Times New Roman" w:hAnsi="Times New Roman"/>
          <w:sz w:val="19"/>
          <w:szCs w:val="19"/>
          <w:color w:val="auto"/>
        </w:rPr>
      </w:pPr>
    </w:p>
    <w:p>
      <w:pPr>
        <w:jc w:val="both"/>
        <w:ind w:left="-622" w:firstLine="1241"/>
        <w:spacing w:after="0" w:line="264" w:lineRule="auto"/>
        <w:tabs>
          <w:tab w:leader="none" w:pos="1234" w:val="left"/>
        </w:tabs>
        <w:numPr>
          <w:ilvl w:val="1"/>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Acknowledgement</w:t>
      </w:r>
      <w:r>
        <w:rPr>
          <w:rFonts w:ascii="Times New Roman" w:cs="Times New Roman" w:eastAsia="Times New Roman" w:hAnsi="Times New Roman"/>
          <w:sz w:val="19"/>
          <w:szCs w:val="19"/>
          <w:color w:val="auto"/>
        </w:rPr>
        <w:t>. Employee acknowledges that (i) without this Agreement, Employee is otherwise not entitled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consideration listed in this Section 1, and (ii) the consideration listed in this Section 1(a) and 1(b) satisfies the Company’s obligations to Employee under the Severance Plan and the Participation Agreement.</w:t>
      </w:r>
    </w:p>
    <w:p>
      <w:pPr>
        <w:spacing w:after="0" w:line="198" w:lineRule="exact"/>
        <w:rPr>
          <w:rFonts w:ascii="Times New Roman" w:cs="Times New Roman" w:eastAsia="Times New Roman" w:hAnsi="Times New Roman"/>
          <w:sz w:val="19"/>
          <w:szCs w:val="19"/>
          <w:color w:val="auto"/>
        </w:rPr>
      </w:pPr>
    </w:p>
    <w:p>
      <w:pPr>
        <w:jc w:val="both"/>
        <w:ind w:left="-622" w:firstLine="622"/>
        <w:spacing w:after="0" w:line="254" w:lineRule="auto"/>
        <w:tabs>
          <w:tab w:leader="none" w:pos="615"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w:t>
      </w:r>
      <w:r>
        <w:rPr>
          <w:rFonts w:ascii="Times New Roman" w:cs="Times New Roman" w:eastAsia="Times New Roman" w:hAnsi="Times New Roman"/>
          <w:sz w:val="19"/>
          <w:szCs w:val="19"/>
          <w:color w:val="auto"/>
        </w:rPr>
        <w:t>. The Parties agree that for purposes of determining the number of shares of the Company’s Class A common stock that Employee is entitled to purchase or receive from the Company, pursuant to the exercise of the Option(s) and the vesting of the RSU Award(s), as applicable, Employee will be considered to have vested only up to the Separation Date. The exercise of the Option(s) and any shares acquired through the exercise of the Option(s) or the vesting of the RSU Award(s) shall continue to be governed by the terms and conditions of the applicable Stock Agreements.</w:t>
      </w:r>
    </w:p>
    <w:p>
      <w:pPr>
        <w:spacing w:after="0" w:line="210" w:lineRule="exact"/>
        <w:rPr>
          <w:rFonts w:ascii="Times New Roman" w:cs="Times New Roman" w:eastAsia="Times New Roman" w:hAnsi="Times New Roman"/>
          <w:sz w:val="19"/>
          <w:szCs w:val="19"/>
          <w:color w:val="auto"/>
        </w:rPr>
      </w:pPr>
    </w:p>
    <w:p>
      <w:pPr>
        <w:jc w:val="both"/>
        <w:ind w:left="-622" w:firstLine="622"/>
        <w:spacing w:after="0" w:line="259" w:lineRule="auto"/>
        <w:tabs>
          <w:tab w:leader="none" w:pos="615"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Employee’s Company-sponsored health insurance benefits shall cease no later than the last day of the month in which the Separation Date occurs (or such earlier date as may be required by applicable plan terms and conditions), subject to Employee’s right to continue Employee’s health insurance under COBRA. Employee’s participation in all benefits and incidents of employment, including, but not limited to, vesting in stock options, ceased as of the Separation Date.</w:t>
      </w:r>
    </w:p>
    <w:p>
      <w:pPr>
        <w:spacing w:after="0" w:line="191" w:lineRule="exact"/>
        <w:rPr>
          <w:rFonts w:ascii="Times New Roman" w:cs="Times New Roman" w:eastAsia="Times New Roman" w:hAnsi="Times New Roman"/>
          <w:sz w:val="19"/>
          <w:szCs w:val="19"/>
          <w:color w:val="auto"/>
        </w:rPr>
      </w:pPr>
    </w:p>
    <w:p>
      <w:pPr>
        <w:jc w:val="both"/>
        <w:ind w:left="-622" w:firstLine="622"/>
        <w:spacing w:after="0" w:line="254" w:lineRule="auto"/>
        <w:tabs>
          <w:tab w:leader="none" w:pos="615"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Salary and Receipt of All Benefits</w:t>
      </w:r>
      <w:r>
        <w:rPr>
          <w:rFonts w:ascii="Times New Roman" w:cs="Times New Roman" w:eastAsia="Times New Roman" w:hAnsi="Times New Roman"/>
          <w:sz w:val="19"/>
          <w:szCs w:val="19"/>
          <w:color w:val="auto"/>
        </w:rPr>
        <w:t>. Employee acknowledges and represents that, other than the consideration set forth in this Agreement, the Company and its agents have paid or provided (to the extent applicable) all salary, wages, bonuses, vacation/paid time off, premiums, leaves, housing allowances, relocation costs, interest, severance, outplacement costs, fees, reimbursable expenses, commissions, stock, stock options, vesting, and any and all other benefits and compensation due to Employee, and Employee acknowledges and agrees that, other than the consideration Employee is receiving set forth in this Agreement (contingent on this Agreement), Employee is not and will not be entitled to any other payments, benefits, or compensation from the Company (whether under the Severance Plan, the Participation Agreement, or otherwise).</w:t>
      </w:r>
    </w:p>
    <w:p>
      <w:pPr>
        <w:spacing w:after="0" w:line="211" w:lineRule="exact"/>
        <w:rPr>
          <w:rFonts w:ascii="Times New Roman" w:cs="Times New Roman" w:eastAsia="Times New Roman" w:hAnsi="Times New Roman"/>
          <w:sz w:val="19"/>
          <w:szCs w:val="19"/>
          <w:color w:val="auto"/>
        </w:rPr>
      </w:pPr>
    </w:p>
    <w:p>
      <w:pPr>
        <w:jc w:val="both"/>
        <w:ind w:left="-622" w:firstLine="622"/>
        <w:spacing w:after="0" w:line="252" w:lineRule="auto"/>
        <w:tabs>
          <w:tab w:leader="none" w:pos="615"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 of Claims</w:t>
      </w:r>
      <w:r>
        <w:rPr>
          <w:rFonts w:ascii="Times New Roman" w:cs="Times New Roman" w:eastAsia="Times New Roman" w:hAnsi="Times New Roman"/>
          <w:sz w:val="19"/>
          <w:szCs w:val="19"/>
          <w:color w:val="auto"/>
        </w:rPr>
        <w:t>. Employee agrees that the foregoing consideration represents settlement in full of all outstanding obligations owed to Employee by the Company, its parents, subsidiaries, and affiliates, and each of their respective current and former officers, directors, employees, agents, investors, attorneys, shareholders, administrators, benefit plans, plan administrators, professional employer organizations or co-employers, insurers, trustees, divisions, predecessor and successor corporations, and assigns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Employee may possess against any of the</w:t>
      </w:r>
    </w:p>
    <w:p>
      <w:pPr>
        <w:sectPr>
          <w:pgSz w:w="11900" w:h="16838" w:orient="portrait"/>
          <w:cols w:equalWidth="0" w:num="1">
            <w:col w:w="10618"/>
          </w:cols>
          <w:pgMar w:left="942" w:top="1440" w:right="339" w:bottom="1440" w:gutter="0" w:footer="0" w:header="0"/>
        </w:sectPr>
      </w:pPr>
    </w:p>
    <w:bookmarkStart w:id="310" w:name="page311"/>
    <w:bookmarkEnd w:id="310"/>
    <w:p>
      <w:pPr>
        <w:spacing w:after="0" w:line="2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Releasees arising from any omissions, acts, facts, or damages that have occurred up until and including the date Employee signs this Agreement, including, without limitation:</w:t>
      </w:r>
    </w:p>
    <w:p>
      <w:pPr>
        <w:spacing w:after="0" w:line="168" w:lineRule="exact"/>
        <w:rPr>
          <w:sz w:val="20"/>
          <w:szCs w:val="20"/>
          <w:color w:val="auto"/>
        </w:rPr>
      </w:pPr>
    </w:p>
    <w:p>
      <w:pPr>
        <w:jc w:val="both"/>
        <w:ind w:firstLine="1241"/>
        <w:spacing w:after="0" w:line="262" w:lineRule="auto"/>
        <w:tabs>
          <w:tab w:leader="none" w:pos="1607" w:val="left"/>
        </w:tabs>
        <w:numPr>
          <w:ilvl w:val="1"/>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Employee’s employment relationship with the Company and the termination of that relationship, including, but not limited to, claims related to the Participation Agreement, Severance Plan, or any other agreement with the Company;</w:t>
      </w:r>
    </w:p>
    <w:p>
      <w:pPr>
        <w:spacing w:after="0" w:line="199" w:lineRule="exact"/>
        <w:rPr>
          <w:rFonts w:ascii="Times New Roman" w:cs="Times New Roman" w:eastAsia="Times New Roman" w:hAnsi="Times New Roman"/>
          <w:sz w:val="19"/>
          <w:szCs w:val="19"/>
          <w:color w:val="auto"/>
        </w:rPr>
      </w:pPr>
    </w:p>
    <w:p>
      <w:pPr>
        <w:jc w:val="both"/>
        <w:ind w:firstLine="536"/>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99" w:lineRule="exact"/>
        <w:rPr>
          <w:rFonts w:ascii="Times New Roman" w:cs="Times New Roman" w:eastAsia="Times New Roman" w:hAnsi="Times New Roman"/>
          <w:sz w:val="19"/>
          <w:szCs w:val="19"/>
          <w:color w:val="auto"/>
        </w:rPr>
      </w:pPr>
    </w:p>
    <w:p>
      <w:pPr>
        <w:jc w:val="both"/>
        <w:ind w:firstLine="1241"/>
        <w:spacing w:after="0" w:line="254" w:lineRule="auto"/>
        <w:tabs>
          <w:tab w:leader="none" w:pos="1568"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210" w:lineRule="exact"/>
        <w:rPr>
          <w:rFonts w:ascii="Times New Roman" w:cs="Times New Roman" w:eastAsia="Times New Roman" w:hAnsi="Times New Roman"/>
          <w:sz w:val="19"/>
          <w:szCs w:val="19"/>
          <w:color w:val="auto"/>
        </w:rPr>
      </w:pPr>
    </w:p>
    <w:p>
      <w:pPr>
        <w:jc w:val="both"/>
        <w:ind w:firstLine="1241"/>
        <w:spacing w:after="0" w:line="252" w:lineRule="auto"/>
        <w:tabs>
          <w:tab w:leader="none" w:pos="1788"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Utah Antidiscrimination Act, the Employment Relations and Collective Bargaining Act, the Utah Right to Work Act, the Utah Drug and Alcohol Testing Act, the Utah Minimum Wage Act, the Internet Employment Privacy Act, the Utah Protection of Activities in Private Vehicles Act, the Utah Employment Selection Procedures Act, and the Utah Occupational Safety and Health Act;</w:t>
      </w:r>
    </w:p>
    <w:p>
      <w:pPr>
        <w:spacing w:after="0" w:line="214" w:lineRule="exact"/>
        <w:rPr>
          <w:rFonts w:ascii="Times New Roman" w:cs="Times New Roman" w:eastAsia="Times New Roman" w:hAnsi="Times New Roman"/>
          <w:sz w:val="19"/>
          <w:szCs w:val="19"/>
          <w:color w:val="auto"/>
        </w:rPr>
      </w:pPr>
    </w:p>
    <w:p>
      <w:pPr>
        <w:ind w:left="1560" w:hanging="319"/>
        <w:spacing w:after="0"/>
        <w:tabs>
          <w:tab w:leader="none" w:pos="1560"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the federal or any state constitution;</w:t>
      </w:r>
    </w:p>
    <w:p>
      <w:pPr>
        <w:spacing w:after="0" w:line="232" w:lineRule="exact"/>
        <w:rPr>
          <w:rFonts w:ascii="Times New Roman" w:cs="Times New Roman" w:eastAsia="Times New Roman" w:hAnsi="Times New Roman"/>
          <w:sz w:val="19"/>
          <w:szCs w:val="19"/>
          <w:color w:val="auto"/>
        </w:rPr>
      </w:pPr>
    </w:p>
    <w:p>
      <w:pPr>
        <w:ind w:left="1540" w:hanging="299"/>
        <w:spacing w:after="0"/>
        <w:tabs>
          <w:tab w:leader="none" w:pos="1540"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arising out of any other laws and regulations relating to employment or employment discrimination;</w:t>
      </w:r>
    </w:p>
    <w:p>
      <w:pPr>
        <w:spacing w:after="0" w:line="245" w:lineRule="exact"/>
        <w:rPr>
          <w:rFonts w:ascii="Times New Roman" w:cs="Times New Roman" w:eastAsia="Times New Roman" w:hAnsi="Times New Roman"/>
          <w:sz w:val="19"/>
          <w:szCs w:val="19"/>
          <w:color w:val="auto"/>
        </w:rPr>
      </w:pPr>
    </w:p>
    <w:p>
      <w:pPr>
        <w:ind w:firstLine="1241"/>
        <w:spacing w:after="0" w:line="269" w:lineRule="auto"/>
        <w:tabs>
          <w:tab w:leader="none" w:pos="1609"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claim for any loss, cost, damage, or expense arising out of any dispute over the nonwithholding or other tax treatment of any proceeds received by Employee from the Company; and</w:t>
      </w:r>
    </w:p>
    <w:p>
      <w:pPr>
        <w:spacing w:after="0" w:line="193" w:lineRule="exact"/>
        <w:rPr>
          <w:rFonts w:ascii="Times New Roman" w:cs="Times New Roman" w:eastAsia="Times New Roman" w:hAnsi="Times New Roman"/>
          <w:sz w:val="19"/>
          <w:szCs w:val="19"/>
          <w:color w:val="auto"/>
        </w:rPr>
      </w:pPr>
    </w:p>
    <w:p>
      <w:pPr>
        <w:ind w:left="1580" w:hanging="339"/>
        <w:spacing w:after="0"/>
        <w:tabs>
          <w:tab w:leader="none" w:pos="1580"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attorneys’ fees and costs.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Any and all disputed wage claims that are released herein shall be subject to binding arbitration in accordance with the “Arbitration” section below, except as required by applicable law. This release does not extend to any right Employee may have to unemployment compensation benefits, workers’ compensation benefits, or compensation under the Utah Occupational Disease Act. In addition, this release does not extend to any rights of indemnification Employee may have under the Indemnification Agreement Employee has entered</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into with the Company (the “Indemnification Agreement”) subject to its terms, conditions, and limitations, or under directors and officers liability insurance coverage Employee may have pursuant to applicable Company policies, subject to the applicable terms, conditions, and limitations.</w:t>
      </w:r>
    </w:p>
    <w:p>
      <w:pPr>
        <w:spacing w:after="0" w:line="1" w:lineRule="exact"/>
        <w:rPr>
          <w:sz w:val="20"/>
          <w:szCs w:val="20"/>
          <w:color w:val="auto"/>
        </w:rPr>
      </w:pPr>
    </w:p>
    <w:p>
      <w:pPr>
        <w:jc w:val="both"/>
        <w:ind w:firstLine="622"/>
        <w:spacing w:after="0" w:line="249" w:lineRule="auto"/>
        <w:tabs>
          <w:tab w:leader="none" w:pos="949"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Acknowledgment of Waiver of Claims under ADEA</w:t>
      </w:r>
      <w:r>
        <w:rPr>
          <w:rFonts w:ascii="Times New Roman" w:cs="Times New Roman" w:eastAsia="Times New Roman" w:hAnsi="Times New Roman"/>
          <w:sz w:val="19"/>
          <w:szCs w:val="19"/>
          <w:color w:val="auto"/>
        </w:rPr>
        <w:t xml:space="preserve">. Employee understands and acknowledges that Employee is waiving and releasing any rights Employee may have under the Age Discrimination in Employment Act of 1967 (“ADEA”), and that this waiver and release is knowing and voluntary. Employee understands and agrees that this waiver and release does not apply to any rights or claims that may arise under the ADEA after the date Employee signs this Agreement. Employee understands and acknowledges that the consideration given for this waiver and release is in addition to anything of value to which Employee was already entitled. Employee further understands and acknowledges that Employee has been advised by this writing that: (a) Employee should consult with an attorney </w:t>
      </w:r>
      <w:r>
        <w:rPr>
          <w:rFonts w:ascii="Times New Roman" w:cs="Times New Roman" w:eastAsia="Times New Roman" w:hAnsi="Times New Roman"/>
          <w:sz w:val="19"/>
          <w:szCs w:val="19"/>
          <w:u w:val="single" w:color="auto"/>
          <w:color w:val="auto"/>
        </w:rPr>
        <w:t>prior</w:t>
      </w:r>
      <w:r>
        <w:rPr>
          <w:rFonts w:ascii="Times New Roman" w:cs="Times New Roman" w:eastAsia="Times New Roman" w:hAnsi="Times New Roman"/>
          <w:sz w:val="19"/>
          <w:szCs w:val="19"/>
          <w:color w:val="auto"/>
        </w:rPr>
        <w:t xml:space="preserve"> to executing this Agreement; (b) Employee has twenty-one (21) days within which to consider this Agreement; (c) Employee has seven (7) days following Employee’s execution of this Agreement to revoke this Agreement; (d) this Agreement shall not be effective until after the revocation period has expired; and (e)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Agreement and returns it to the Company in less than the 21-day period identified above, Employee hereby acknowledges that Employee has knowingly and voluntarily chosen to waive the time period allotted for considering this Agreement. Employee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spacing w:after="0" w:line="222" w:lineRule="exact"/>
        <w:rPr>
          <w:rFonts w:ascii="Times New Roman" w:cs="Times New Roman" w:eastAsia="Times New Roman" w:hAnsi="Times New Roman"/>
          <w:sz w:val="19"/>
          <w:szCs w:val="19"/>
          <w:color w:val="auto"/>
        </w:rPr>
      </w:pPr>
    </w:p>
    <w:p>
      <w:pPr>
        <w:jc w:val="both"/>
        <w:ind w:firstLine="622"/>
        <w:spacing w:after="0" w:line="254" w:lineRule="auto"/>
        <w:tabs>
          <w:tab w:leader="none" w:pos="1237"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Unknown Claims</w:t>
      </w:r>
      <w:r>
        <w:rPr>
          <w:rFonts w:ascii="Times New Roman" w:cs="Times New Roman" w:eastAsia="Times New Roman" w:hAnsi="Times New Roman"/>
          <w:sz w:val="19"/>
          <w:szCs w:val="19"/>
          <w:color w:val="auto"/>
        </w:rPr>
        <w:t>. Employee acknowledges that Employee has been advised to consult with legal counsel and that Employee is familiar with the principle that a general release does not extend to claims that the releaser does not know or suspect to exist in Employee’s favor at the time of executing the release, which, if known by Employee, must have materially affected Employee’s settlement with the releasee. Employee, being aware of said principle, agrees to expressly waive any rights Employee may have to that effect, as well as under any other statute or common law principles of similar effect.</w:t>
      </w:r>
    </w:p>
    <w:p>
      <w:pPr>
        <w:spacing w:after="0" w:line="210" w:lineRule="exact"/>
        <w:rPr>
          <w:rFonts w:ascii="Times New Roman" w:cs="Times New Roman" w:eastAsia="Times New Roman" w:hAnsi="Times New Roman"/>
          <w:sz w:val="19"/>
          <w:szCs w:val="19"/>
          <w:color w:val="auto"/>
        </w:rPr>
      </w:pPr>
    </w:p>
    <w:p>
      <w:pPr>
        <w:jc w:val="both"/>
        <w:ind w:firstLine="622"/>
        <w:spacing w:after="0" w:line="254" w:lineRule="auto"/>
        <w:tabs>
          <w:tab w:leader="none" w:pos="1237"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Pending or Future Lawsuits</w:t>
      </w:r>
      <w:r>
        <w:rPr>
          <w:rFonts w:ascii="Times New Roman" w:cs="Times New Roman" w:eastAsia="Times New Roman" w:hAnsi="Times New Roman"/>
          <w:sz w:val="19"/>
          <w:szCs w:val="19"/>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spacing w:after="0" w:line="209" w:lineRule="exact"/>
        <w:rPr>
          <w:rFonts w:ascii="Times New Roman" w:cs="Times New Roman" w:eastAsia="Times New Roman" w:hAnsi="Times New Roman"/>
          <w:sz w:val="19"/>
          <w:szCs w:val="19"/>
          <w:color w:val="auto"/>
        </w:rPr>
      </w:pPr>
    </w:p>
    <w:p>
      <w:pPr>
        <w:jc w:val="both"/>
        <w:ind w:firstLine="622"/>
        <w:spacing w:after="0" w:line="262" w:lineRule="auto"/>
        <w:tabs>
          <w:tab w:leader="none" w:pos="1237"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 to Re-employment</w:t>
      </w:r>
      <w:r>
        <w:rPr>
          <w:rFonts w:ascii="Times New Roman" w:cs="Times New Roman" w:eastAsia="Times New Roman" w:hAnsi="Times New Roman"/>
          <w:sz w:val="19"/>
          <w:szCs w:val="19"/>
          <w:color w:val="auto"/>
        </w:rPr>
        <w:t>. Employee understands and agrees that, as a condition of this Agreement, Employee shall not be entitled to any employment with the Company, and Employee hereby waives any right, or alleged right, of employment or re-employment with the Company.</w:t>
      </w:r>
    </w:p>
    <w:p>
      <w:pPr>
        <w:spacing w:after="0" w:line="199" w:lineRule="exact"/>
        <w:rPr>
          <w:rFonts w:ascii="Times New Roman" w:cs="Times New Roman" w:eastAsia="Times New Roman" w:hAnsi="Times New Roman"/>
          <w:sz w:val="19"/>
          <w:szCs w:val="19"/>
          <w:color w:val="auto"/>
        </w:rPr>
      </w:pPr>
    </w:p>
    <w:p>
      <w:pPr>
        <w:jc w:val="both"/>
        <w:ind w:firstLine="622"/>
        <w:spacing w:after="0" w:line="254" w:lineRule="auto"/>
        <w:tabs>
          <w:tab w:leader="none" w:pos="1229"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Trade Secrets and Confidential Information/Company Property</w:t>
      </w:r>
      <w:r>
        <w:rPr>
          <w:rFonts w:ascii="Times New Roman" w:cs="Times New Roman" w:eastAsia="Times New Roman" w:hAnsi="Times New Roman"/>
          <w:sz w:val="19"/>
          <w:szCs w:val="19"/>
          <w:color w:val="auto"/>
        </w:rPr>
        <w:t>. Employee agrees at all times hereafter to hold in the strictest confidence, and not to use or disclose to any person or entity, any Confidential Information of the Company. Employee understands that “Confidential Information” means any Company (or any subsidiary or affiliate of the Company) or associated third party proprietary information, technical data, trade secrets or know-how, including, but not limited to, research, product plans, products, services, customer lists and customers (including, but not limited to, customers of the Company (or any subsidiary or affiliate of the Company) on whom Employee has called or with whom Employee became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-4485640</wp:posOffset>
            </wp:positionV>
            <wp:extent cx="3201035" cy="1308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3201035" cy="1308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acquainted during the term of Employee’s employment), markets, software, developments, inventions, processes, formulas, technology, designs, drawings, engineering, hardware configuration information, marketing, finances, or other business information disclosed to Employee by the Company (or any subsidiary or affiliate of the Company) either directly or indirectly, in writing, orally, or by drawings or observation of parts or equipment. Employee further understands that Confidential Information does not include any of the foregoing items that have become publicly known and made generally available through no wrongful act of Employee’s or of others who were under confidentiality obligations as to the item or items involved or improvements or new versions thereof. Employee hereby grants consent to notification by the Company to any new employer about Employee’s obligations under this paragraph. Employee represents that Employee has not to date misused or disclosed Confidential Information to any unauthorized party. Employee’s signature below constitutes Employee’s certification under penalty of perjury that Employee has returned all documents and other items provided to Employee by the Company or any subsidiary or affiliate of the Company (with the exception of personnel documents specifically relating to Employee and a copy of the Company’s employee handbook), developed or obtained by Employee in connection with Employee’s employment with the Company, or otherwise belonging to the Company (or any subsidiary or affiliate of the Company).</w:t>
      </w:r>
    </w:p>
    <w:p>
      <w:pPr>
        <w:spacing w:after="0" w:line="199" w:lineRule="exact"/>
        <w:rPr>
          <w:sz w:val="20"/>
          <w:szCs w:val="20"/>
          <w:color w:val="auto"/>
        </w:rPr>
      </w:pPr>
    </w:p>
    <w:p>
      <w:pPr>
        <w:ind w:left="1220" w:hanging="289"/>
        <w:spacing w:after="0"/>
        <w:tabs>
          <w:tab w:leader="none" w:pos="1220"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Inventions</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jc w:val="both"/>
        <w:ind w:firstLine="931"/>
        <w:spacing w:after="0" w:line="264" w:lineRule="auto"/>
        <w:tabs>
          <w:tab w:leader="none" w:pos="1227"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Inventions Defined</w:t>
      </w:r>
      <w:r>
        <w:rPr>
          <w:rFonts w:ascii="Times New Roman" w:cs="Times New Roman" w:eastAsia="Times New Roman" w:hAnsi="Times New Roman"/>
          <w:sz w:val="19"/>
          <w:szCs w:val="19"/>
          <w:color w:val="auto"/>
        </w:rPr>
        <w:t>. “Inventions” means inventions, original works of authorship, developments, concepts, improvements, designs,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discoveries, ideas, know-how, trademarks, and trade secrets, whether or not patentable or registrable under copyright or similar laws, that Employee solely or jointly authored, conceived, developed, or reduced to practice.</w:t>
      </w:r>
    </w:p>
    <w:p>
      <w:pPr>
        <w:spacing w:after="0" w:line="194" w:lineRule="exact"/>
        <w:rPr>
          <w:rFonts w:ascii="Times New Roman" w:cs="Times New Roman" w:eastAsia="Times New Roman" w:hAnsi="Times New Roman"/>
          <w:sz w:val="19"/>
          <w:szCs w:val="19"/>
          <w:color w:val="auto"/>
        </w:rPr>
      </w:pPr>
    </w:p>
    <w:p>
      <w:pPr>
        <w:jc w:val="both"/>
        <w:ind w:firstLine="931"/>
        <w:spacing w:after="0" w:line="255" w:lineRule="auto"/>
        <w:tabs>
          <w:tab w:leader="none" w:pos="1237"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Assignment of Inventions and Works Made for Hire</w:t>
      </w:r>
      <w:r>
        <w:rPr>
          <w:rFonts w:ascii="Times New Roman" w:cs="Times New Roman" w:eastAsia="Times New Roman" w:hAnsi="Times New Roman"/>
          <w:sz w:val="19"/>
          <w:szCs w:val="19"/>
          <w:color w:val="auto"/>
        </w:rPr>
        <w:t>. Employee hereby assigns to the Company, or its designee, all of Employee’s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right, title, and interest (including all related intellectual property rights) in all Inventions that Employee created during the period of time Employee was in the employ of the Company (including during off-duty hours) (“Company Inventions”). In addition, Employee acknowledges that all original works of authorship that were made by Employee (solely or jointly with others) within the scope of and during the period of Employee’s employment with Company and that are protectable by copyright are “works made for hire,” as that term is defined in the United States Copyright Act, and in accordance, the Company is considered the author of these works.</w:t>
      </w:r>
    </w:p>
    <w:p>
      <w:pPr>
        <w:spacing w:after="0" w:line="192" w:lineRule="exact"/>
        <w:rPr>
          <w:rFonts w:ascii="Times New Roman" w:cs="Times New Roman" w:eastAsia="Times New Roman" w:hAnsi="Times New Roman"/>
          <w:sz w:val="19"/>
          <w:szCs w:val="19"/>
          <w:color w:val="auto"/>
        </w:rPr>
      </w:pPr>
    </w:p>
    <w:p>
      <w:pPr>
        <w:jc w:val="both"/>
        <w:ind w:firstLine="931"/>
        <w:spacing w:after="0" w:line="261" w:lineRule="auto"/>
        <w:tabs>
          <w:tab w:leader="none" w:pos="1227"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Exception to Assignments</w:t>
      </w:r>
      <w:r>
        <w:rPr>
          <w:rFonts w:ascii="Times New Roman" w:cs="Times New Roman" w:eastAsia="Times New Roman" w:hAnsi="Times New Roman"/>
          <w:sz w:val="19"/>
          <w:szCs w:val="19"/>
          <w:color w:val="auto"/>
        </w:rPr>
        <w:t>. EMPLOYEE ACKNOWLEDGES AND UNDERSTANDS THAT THE PROVISIONS OF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AGREEMENT REQUIRING ASSIGNMENT OF INVENTIONS TO THE COMPANY DO NOT APPLY TO ANY INVENTION THAT DOES NOT QUALIFY AS AN EMPLOYMENT INVENTION UNDER THE UTAH EMPLOYMENT INVENTIONS ACT (UT ST 34-39-2 AND 34-39-3)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197" w:lineRule="exact"/>
        <w:rPr>
          <w:rFonts w:ascii="Times New Roman" w:cs="Times New Roman" w:eastAsia="Times New Roman" w:hAnsi="Times New Roman"/>
          <w:sz w:val="19"/>
          <w:szCs w:val="19"/>
          <w:color w:val="auto"/>
        </w:rPr>
      </w:pPr>
    </w:p>
    <w:p>
      <w:pPr>
        <w:jc w:val="both"/>
        <w:ind w:firstLine="931"/>
        <w:spacing w:after="0" w:line="253" w:lineRule="auto"/>
        <w:tabs>
          <w:tab w:leader="none" w:pos="1237"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Outside Inventions</w:t>
      </w:r>
      <w:r>
        <w:rPr>
          <w:rFonts w:ascii="Times New Roman" w:cs="Times New Roman" w:eastAsia="Times New Roman" w:hAnsi="Times New Roman"/>
          <w:sz w:val="19"/>
          <w:szCs w:val="19"/>
          <w:color w:val="auto"/>
        </w:rPr>
        <w:t>. Employee acknowledges that Employee has not incorporated any inventions, discoveries, ideas, original works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authorship, developments, improvements, trade secrets and other proprietary information or intellectual property rights owned by any third party into any Company Invention without the Company’s prior written permission. Employee acknowledges that Employee has informed the Company, in writing, before incorporating any inventions, discoveries, ideas, original works of authorship, developments, improvements, trade secrets and other proprietary information or intellectual property rights owned by Employee or in which Employee has an interest prior to, or separate from, Employee’s employment with the Company, including, without limitation, any such inventions that do not qualify as an employment invention under the Utah Employment Inventions Act (“Outside Inventions”) into any Company Invention or otherwise utilizing any Outside Invention in the course of Employee’s</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employment with the Company;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any such incorporated or utilized Outside Inventions, without restriction, including, without limitation, as part of, or in connection with, such Invention, and to practice any method related thereto.</w:t>
      </w:r>
    </w:p>
    <w:p>
      <w:pPr>
        <w:spacing w:after="0" w:line="187" w:lineRule="exact"/>
        <w:rPr>
          <w:sz w:val="20"/>
          <w:szCs w:val="20"/>
          <w:color w:val="auto"/>
        </w:rPr>
      </w:pPr>
    </w:p>
    <w:p>
      <w:pPr>
        <w:jc w:val="both"/>
        <w:ind w:firstLine="931"/>
        <w:spacing w:after="0" w:line="261" w:lineRule="auto"/>
        <w:tabs>
          <w:tab w:leader="none" w:pos="1227"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Moral Rights</w:t>
      </w:r>
      <w:r>
        <w:rPr>
          <w:rFonts w:ascii="Times New Roman" w:cs="Times New Roman" w:eastAsia="Times New Roman" w:hAnsi="Times New Roman"/>
          <w:sz w:val="19"/>
          <w:szCs w:val="19"/>
          <w:color w:val="auto"/>
        </w:rPr>
        <w:t>. Any assignment to the Company of Company Inventions includes all rights of attribution, paternity, integrity,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modification, disclosure and withdrawal, and any other rights throughout the world that may be known as or referred to as “moral rights,” “artist’s rights,” or the like (collectively, “Moral Rights”). If Moral Rights cannot be assigned under applicable law, Employee hereby waives and agrees not to enforce any and all Moral Rights, including any limitation on subsequent modification, to the extent permitted under applicable law.</w:t>
      </w:r>
    </w:p>
    <w:p>
      <w:pPr>
        <w:spacing w:after="0" w:line="197" w:lineRule="exact"/>
        <w:rPr>
          <w:rFonts w:ascii="Times New Roman" w:cs="Times New Roman" w:eastAsia="Times New Roman" w:hAnsi="Times New Roman"/>
          <w:sz w:val="19"/>
          <w:szCs w:val="19"/>
          <w:color w:val="auto"/>
        </w:rPr>
      </w:pPr>
    </w:p>
    <w:p>
      <w:pPr>
        <w:jc w:val="both"/>
        <w:ind w:firstLine="931"/>
        <w:spacing w:after="0" w:line="253" w:lineRule="auto"/>
        <w:tabs>
          <w:tab w:leader="none" w:pos="1232"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Further Assurances</w:t>
      </w:r>
      <w:r>
        <w:rPr>
          <w:rFonts w:ascii="Times New Roman" w:cs="Times New Roman" w:eastAsia="Times New Roman" w:hAnsi="Times New Roman"/>
          <w:sz w:val="19"/>
          <w:szCs w:val="19"/>
          <w:color w:val="auto"/>
        </w:rPr>
        <w:t>. Employee will assist the Company, or its designee, at Company’s expense, in every proper way to secure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protect the Company’s rights in Company Inventions and any related copyrights, patents, mask work rights, or other intellectual property rights in any and all countries. Employee will disclose to the Company all pertinent information and data. Employee will execute all applications, specifications, oaths, assignments, and all other instruments that Company deems necessary in order to apply for and obtain these rights and in order to deliver, assign, and convey to the Company, its successors, assigns, and nominees the sole and exclusive rights, title, and interest in and to Company Inventions, and any related copyrights, patents, mask work rights, or other intellectual property rights. Employee will testify in a suit or other proceeding relating to such Company Inventions and any rights relating thereto.</w:t>
      </w:r>
    </w:p>
    <w:p>
      <w:pPr>
        <w:spacing w:after="0" w:line="209" w:lineRule="exact"/>
        <w:rPr>
          <w:rFonts w:ascii="Times New Roman" w:cs="Times New Roman" w:eastAsia="Times New Roman" w:hAnsi="Times New Roman"/>
          <w:sz w:val="19"/>
          <w:szCs w:val="19"/>
          <w:color w:val="auto"/>
        </w:rPr>
      </w:pPr>
    </w:p>
    <w:p>
      <w:pPr>
        <w:jc w:val="both"/>
        <w:ind w:firstLine="622"/>
        <w:spacing w:after="0" w:line="252" w:lineRule="auto"/>
        <w:tabs>
          <w:tab w:leader="none" w:pos="1229"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Cooperation</w:t>
      </w:r>
      <w:r>
        <w:rPr>
          <w:rFonts w:ascii="Times New Roman" w:cs="Times New Roman" w:eastAsia="Times New Roman" w:hAnsi="Times New Roman"/>
          <w:sz w:val="19"/>
          <w:szCs w:val="19"/>
          <w:color w:val="auto"/>
        </w:rPr>
        <w:t>. Subject to the “Protected Activity Not Prohibited” 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Employee agrees both to immediately notify the Company upon receipt of any such subpoena or court order, and to furnish, within three (3) business days of its receipt, a copy of such subpoena or other court order. Subject to the “Protected Activity Not Prohibited” section below,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214" w:lineRule="exact"/>
        <w:rPr>
          <w:rFonts w:ascii="Times New Roman" w:cs="Times New Roman" w:eastAsia="Times New Roman" w:hAnsi="Times New Roman"/>
          <w:sz w:val="19"/>
          <w:szCs w:val="19"/>
          <w:color w:val="auto"/>
        </w:rPr>
      </w:pPr>
    </w:p>
    <w:p>
      <w:pPr>
        <w:jc w:val="both"/>
        <w:ind w:firstLine="622"/>
        <w:spacing w:after="0" w:line="251" w:lineRule="auto"/>
        <w:tabs>
          <w:tab w:leader="none" w:pos="1229"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Activity Not Prohibited</w:t>
      </w:r>
      <w:r>
        <w:rPr>
          <w:rFonts w:ascii="Times New Roman" w:cs="Times New Roman" w:eastAsia="Times New Roman" w:hAnsi="Times New Roman"/>
          <w:sz w:val="19"/>
          <w:szCs w:val="19"/>
          <w:color w:val="auto"/>
        </w:rPr>
        <w:t>. Employee understands that nothing in this Agreement shall in any way limit or prohibit Employee from engaging in any “Protected Activity,” which means filing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Additionally, nothing in this Agreement constitutes a waiver of any rights Employee may have under the Sarbanes-Oxley Act or Section 7 of the National Labor Relations Act (“NLRA”). For purposes of clarity, nothing in this Agreement shall be interpreted to impair or limit Employee’s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Employee or the Company’s other current or former</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employees, to the extent such activities are protected by Section 7 of the NLRA. When engaging in any of the protected conduct described in this section, Employee agrees to take all reasonable precautions to prevent any unauthorized use or disclosure of any Company confidential information; provided, however, that such disclosures may be made to Government Agencies in connection with Protected Activity. For the sake of clarity, Company confidential information does not include information regarding working conditions, wages, benefits, or other terms and conditions of employment. Additionally, Employee understands that the protected conduct described herein does not include the disclosure of any Company attorney-client privileged communications or privileged attorney work product. Employee understands that nothing in the Confidentiality Agreement shall limit or prohibit Employee from engaging in any protected conduct set forth in this section. Finally, pursuant to the Defend Trade Secrets Act of 2016, Employee is notified that an individual will not be held criminally or civilly liable under any federal or state trade secret law for the disclosure of a trade secret that (a) is made in confidence to a federal, state, or local government official (directly or indirectly) or to an attorney </w:t>
      </w:r>
      <w:r>
        <w:rPr>
          <w:rFonts w:ascii="Times New Roman" w:cs="Times New Roman" w:eastAsia="Times New Roman" w:hAnsi="Times New Roman"/>
          <w:sz w:val="19"/>
          <w:szCs w:val="19"/>
          <w:i w:val="1"/>
          <w:iCs w:val="1"/>
          <w:color w:val="auto"/>
        </w:rPr>
        <w:t>solely</w:t>
      </w:r>
      <w:r>
        <w:rPr>
          <w:rFonts w:ascii="Times New Roman" w:cs="Times New Roman" w:eastAsia="Times New Roman" w:hAnsi="Times New Roman"/>
          <w:sz w:val="19"/>
          <w:szCs w:val="19"/>
          <w:color w:val="auto"/>
        </w:rPr>
        <w:t xml:space="preserve"> for the purpose of reporting or investigating a suspected violation of law, or (b)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5" w:lineRule="exact"/>
        <w:rPr>
          <w:sz w:val="20"/>
          <w:szCs w:val="20"/>
          <w:color w:val="auto"/>
        </w:rPr>
      </w:pPr>
    </w:p>
    <w:p>
      <w:pPr>
        <w:jc w:val="both"/>
        <w:ind w:firstLine="622"/>
        <w:spacing w:after="0" w:line="258" w:lineRule="auto"/>
        <w:tabs>
          <w:tab w:leader="none" w:pos="1229"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Subject to Employee’s rights under the “Protected Activity Not Prohibited” section below, Employee agrees to refrain from any disparagement, defamation, libel, or slander of any of the Releasees, and agrees to refrain from any tortious interference with the contracts and relationships of any of the Releasees.</w:t>
      </w:r>
    </w:p>
    <w:p>
      <w:pPr>
        <w:spacing w:after="0" w:line="190" w:lineRule="exact"/>
        <w:rPr>
          <w:rFonts w:ascii="Times New Roman" w:cs="Times New Roman" w:eastAsia="Times New Roman" w:hAnsi="Times New Roman"/>
          <w:sz w:val="19"/>
          <w:szCs w:val="19"/>
          <w:color w:val="auto"/>
        </w:rPr>
      </w:pPr>
    </w:p>
    <w:p>
      <w:pPr>
        <w:jc w:val="both"/>
        <w:ind w:firstLine="622"/>
        <w:spacing w:after="0" w:line="254" w:lineRule="auto"/>
        <w:tabs>
          <w:tab w:leader="none" w:pos="1229"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Breach</w:t>
      </w:r>
      <w:r>
        <w:rPr>
          <w:rFonts w:ascii="Times New Roman" w:cs="Times New Roman" w:eastAsia="Times New Roman" w:hAnsi="Times New Roman"/>
          <w:sz w:val="19"/>
          <w:szCs w:val="19"/>
          <w:color w:val="auto"/>
        </w:rPr>
        <w:t>. In addition to the rights provided in the “Attorneys’ Fees” section below, Employee acknowledges and agrees that any material breach of this Agreement, unless such breach constitutes a legal action by Employee challenging or seeking a determination in good faith of the validity of the waiver herein under the ADEA, shall entitle the Company immediately to recover and/or cease providing the consideration provided to Employee under this Agreement and to obtain damages, except as provided by law, provided, however, that the Company shall not recover One Hundred Dollars ($100.00) of the consideration already paid pursuant to this Agreement, and such amount shall serve as full and complete consideration for the promises and obligations assumed by Employee under this Agreement.</w:t>
      </w:r>
    </w:p>
    <w:p>
      <w:pPr>
        <w:spacing w:after="0" w:line="211" w:lineRule="exact"/>
        <w:rPr>
          <w:rFonts w:ascii="Times New Roman" w:cs="Times New Roman" w:eastAsia="Times New Roman" w:hAnsi="Times New Roman"/>
          <w:sz w:val="19"/>
          <w:szCs w:val="19"/>
          <w:color w:val="auto"/>
        </w:rPr>
      </w:pPr>
    </w:p>
    <w:p>
      <w:pPr>
        <w:jc w:val="both"/>
        <w:ind w:firstLine="622"/>
        <w:spacing w:after="0" w:line="259" w:lineRule="auto"/>
        <w:tabs>
          <w:tab w:leader="none" w:pos="1229"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Admission of Liability</w:t>
      </w:r>
      <w:r>
        <w:rPr>
          <w:rFonts w:ascii="Times New Roman" w:cs="Times New Roman" w:eastAsia="Times New Roman" w:hAnsi="Times New Roman"/>
          <w:sz w:val="19"/>
          <w:szCs w:val="19"/>
          <w:color w:val="auto"/>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spacing w:after="0" w:line="191"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w:t>
      </w:r>
      <w:r>
        <w:rPr>
          <w:rFonts w:ascii="Times New Roman" w:cs="Times New Roman" w:eastAsia="Times New Roman" w:hAnsi="Times New Roman"/>
          <w:sz w:val="19"/>
          <w:szCs w:val="19"/>
          <w:color w:val="auto"/>
        </w:rPr>
        <w:t>. The Parties shall each bear their own costs, attorneys’ fees, and other fees incurred in connection with the preparation of this</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w:t>
      </w:r>
    </w:p>
    <w:p>
      <w:pPr>
        <w:spacing w:after="0" w:line="220" w:lineRule="exact"/>
        <w:rPr>
          <w:rFonts w:ascii="Times New Roman" w:cs="Times New Roman" w:eastAsia="Times New Roman" w:hAnsi="Times New Roman"/>
          <w:sz w:val="19"/>
          <w:szCs w:val="19"/>
          <w:color w:val="auto"/>
        </w:rPr>
      </w:pPr>
    </w:p>
    <w:p>
      <w:pPr>
        <w:jc w:val="both"/>
        <w:ind w:firstLine="622"/>
        <w:spacing w:after="0" w:line="258" w:lineRule="auto"/>
        <w:tabs>
          <w:tab w:leader="none" w:pos="1229"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THE PARTIES AGREE THAT ANY AND ALL DISPUTES ARISING OUT OF THE TERMS OF THIS AGREEMENT, THEIR INTERPRETATION, EMPLOYEE’S EMPLOYMENT WITH THE COMPANY OR THE TERMS THEREOF, AND ANY OF THE MATTERS HEREIN RELEASED, SHALL BE SUBJECT TO BINDING ARBITRATION UNDER THE FEDERAL ARBITRATION ACT (THE “FAA”). THE FAA’S SUBSTANTIVE AND PROCEDURAL RULES SHALL GOVERN AND APPLY TO THIS ARBITRATION AGREEMENT WITH FULL FORCE AND</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EFFECT, AND ANY STATE COURT OF COMPETENT JURISDICTION MAY STAY PROCEEDINGS PENDING ARBITRATION OR COMPEL ARBITRATION IN THE SAME MANNER AS A FEDERAL COURT UNDER THE FAA. EMPLOYEE AGREES THAT, TO THE FULLEST EXTENT PERMITTED BY LAW, EMPLOYEE MAY BRING ANY SUCH ARBITRATION PROCEEDING ONLY IN EMPLOYEE’S INDIVIDUAL CAPACITY. ANY ARBITRATION WILL OCCUR IN SALT LAKE CITY, UTAH,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UTAH’S RULES OF CIVIL PROCEDURE. THE PARTIES AGREE THAT THE ARBITRATOR SHALL ISSUE A WRITTEN DECISION ON THE MERITS. THE PARTIES ALSO AGREE THAT THE ARBITRATOR SHALL HAVE THE POWER TO AWARD ANY REMEDIES AVAILABLE UNDER APPLICABLE LAW. THE ARBITRATOR MAY GRANT INJUNCTIONS AND OTHER RELIEF IN SUCH DISPUTES. THE ARBITRATOR SHALL APPLY SUBSTANTIVE UTAH LAW TO ANY DISPUTE OR CLAIM, WITHOUT REFERENCE TO ANY CONFLICT-OF-LAW PROVISIONS OF ANY JURISDICTION.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215" w:lineRule="exact"/>
        <w:rPr>
          <w:sz w:val="20"/>
          <w:szCs w:val="20"/>
          <w:color w:val="auto"/>
        </w:rPr>
      </w:pPr>
    </w:p>
    <w:p>
      <w:pPr>
        <w:jc w:val="both"/>
        <w:ind w:firstLine="622"/>
        <w:spacing w:after="0" w:line="252" w:lineRule="auto"/>
        <w:tabs>
          <w:tab w:leader="none" w:pos="1229"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Consequences</w:t>
      </w:r>
      <w:r>
        <w:rPr>
          <w:rFonts w:ascii="Times New Roman" w:cs="Times New Roman" w:eastAsia="Times New Roman" w:hAnsi="Times New Roman"/>
          <w:sz w:val="19"/>
          <w:szCs w:val="19"/>
          <w:color w:val="auto"/>
        </w:rPr>
        <w:t>. The Company makes no representations or warranties with respect to the tax consequences of the consideration provided to Employee or made on Employee’s behalf under the terms of this Agreement. Employee agrees and understands that Employee is responsible for payment, if any, of local, state, and/or federal taxes on the consideration provided hereunder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w:t>
      </w:r>
    </w:p>
    <w:p>
      <w:pPr>
        <w:spacing w:after="0" w:line="211" w:lineRule="exact"/>
        <w:rPr>
          <w:rFonts w:ascii="Times New Roman" w:cs="Times New Roman" w:eastAsia="Times New Roman" w:hAnsi="Times New Roman"/>
          <w:sz w:val="19"/>
          <w:szCs w:val="19"/>
          <w:color w:val="auto"/>
        </w:rPr>
      </w:pPr>
    </w:p>
    <w:p>
      <w:pPr>
        <w:jc w:val="both"/>
        <w:ind w:firstLine="622"/>
        <w:spacing w:after="0" w:line="262" w:lineRule="auto"/>
        <w:tabs>
          <w:tab w:leader="none" w:pos="1229"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xml:space="preserve"> It is intended that this Agreement comply with, or be exempt from, Code Section 409A and the final regulations and official guidance thereunder (“Section 409A”) and any ambiguities herein will be interpreted to so comply and/or be exempt from Section 409A. Each payment and benefit to be paid or provided under this Agreement is intended to constitute a series of separate payments</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Section 1.409A-2(b)(2) of the Treasury Regulations. The Company and Employee will work together in good faith to consider either</w:t>
      </w:r>
    </w:p>
    <w:p>
      <w:pPr>
        <w:spacing w:after="0" w:line="37" w:lineRule="exact"/>
        <w:rPr>
          <w:sz w:val="20"/>
          <w:szCs w:val="20"/>
          <w:color w:val="auto"/>
        </w:rPr>
      </w:pPr>
    </w:p>
    <w:p>
      <w:pPr>
        <w:jc w:val="both"/>
        <w:ind w:firstLine="3"/>
        <w:spacing w:after="0" w:line="255" w:lineRule="auto"/>
        <w:tabs>
          <w:tab w:leader="none" w:pos="226"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amendments to this Agreement; or (ii) revisions to this Agreement with respect to the payment of any awards, which are necessary or appropriate to avoid imposition of any additional tax or income recognition prior to the actual payment to Employee under Section 409A. In no event will the Releasees reimburse Employee for any taxes that may be imposed on Employee as a result of Section 409A.</w:t>
      </w:r>
    </w:p>
    <w:p>
      <w:pPr>
        <w:spacing w:after="0" w:line="193" w:lineRule="exact"/>
        <w:rPr>
          <w:rFonts w:ascii="Times New Roman" w:cs="Times New Roman" w:eastAsia="Times New Roman" w:hAnsi="Times New Roman"/>
          <w:sz w:val="19"/>
          <w:szCs w:val="19"/>
          <w:color w:val="auto"/>
        </w:rPr>
      </w:pPr>
    </w:p>
    <w:p>
      <w:pPr>
        <w:jc w:val="both"/>
        <w:ind w:firstLine="622"/>
        <w:spacing w:after="0" w:line="258" w:lineRule="auto"/>
        <w:tabs>
          <w:tab w:leader="none" w:pos="1229"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92" w:lineRule="exact"/>
        <w:rPr>
          <w:rFonts w:ascii="Times New Roman" w:cs="Times New Roman" w:eastAsia="Times New Roman" w:hAnsi="Times New Roman"/>
          <w:sz w:val="19"/>
          <w:szCs w:val="19"/>
          <w:color w:val="auto"/>
        </w:rPr>
      </w:pPr>
    </w:p>
    <w:p>
      <w:pPr>
        <w:jc w:val="both"/>
        <w:ind w:firstLine="622"/>
        <w:spacing w:after="0" w:line="269" w:lineRule="auto"/>
        <w:tabs>
          <w:tab w:leader="none" w:pos="1229"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0" w:lineRule="exact"/>
        <w:rPr>
          <w:rFonts w:ascii="Times New Roman" w:cs="Times New Roman" w:eastAsia="Times New Roman" w:hAnsi="Times New Roman"/>
          <w:sz w:val="19"/>
          <w:szCs w:val="19"/>
          <w:color w:val="auto"/>
        </w:rPr>
      </w:pPr>
    </w:p>
    <w:p>
      <w:pPr>
        <w:jc w:val="both"/>
        <w:ind w:firstLine="622"/>
        <w:spacing w:after="0" w:line="259" w:lineRule="auto"/>
        <w:tabs>
          <w:tab w:leader="none" w:pos="1229"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Attorneys’ Fees</w:t>
      </w:r>
      <w:r>
        <w:rPr>
          <w:rFonts w:ascii="Times New Roman" w:cs="Times New Roman" w:eastAsia="Times New Roman" w:hAnsi="Times New Roman"/>
          <w:sz w:val="19"/>
          <w:szCs w:val="19"/>
          <w:color w:val="auto"/>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204" w:lineRule="exact"/>
        <w:rPr>
          <w:rFonts w:ascii="Times New Roman" w:cs="Times New Roman" w:eastAsia="Times New Roman" w:hAnsi="Times New Roman"/>
          <w:sz w:val="19"/>
          <w:szCs w:val="19"/>
          <w:color w:val="auto"/>
        </w:rPr>
      </w:pPr>
    </w:p>
    <w:p>
      <w:pPr>
        <w:jc w:val="both"/>
        <w:ind w:firstLine="622"/>
        <w:spacing w:after="0" w:line="254" w:lineRule="auto"/>
        <w:tabs>
          <w:tab w:leader="none" w:pos="1229"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with the exception of the Stock Agreements, the Indemnification Agreement and the Company’s Compensation Recovery Policy.</w:t>
      </w:r>
    </w:p>
    <w:p>
      <w:pPr>
        <w:spacing w:after="0" w:line="210"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Oral Modification</w:t>
      </w:r>
      <w:r>
        <w:rPr>
          <w:rFonts w:ascii="Times New Roman" w:cs="Times New Roman" w:eastAsia="Times New Roman" w:hAnsi="Times New Roman"/>
          <w:sz w:val="18"/>
          <w:szCs w:val="18"/>
          <w:color w:val="auto"/>
        </w:rPr>
        <w:t>. This Agreement may only be amended in a writing signed by Employee and the Company’s Chief Executive</w:t>
      </w:r>
    </w:p>
    <w:p>
      <w:pPr>
        <w:spacing w:after="0" w:line="3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Officer.</w:t>
      </w:r>
    </w:p>
    <w:p>
      <w:pPr>
        <w:spacing w:after="0" w:line="225" w:lineRule="exact"/>
        <w:rPr>
          <w:rFonts w:ascii="Times New Roman" w:cs="Times New Roman" w:eastAsia="Times New Roman" w:hAnsi="Times New Roman"/>
          <w:sz w:val="18"/>
          <w:szCs w:val="18"/>
          <w:color w:val="auto"/>
        </w:rPr>
      </w:pPr>
    </w:p>
    <w:p>
      <w:pPr>
        <w:jc w:val="both"/>
        <w:ind w:firstLine="622"/>
        <w:spacing w:after="0" w:line="251" w:lineRule="auto"/>
        <w:tabs>
          <w:tab w:leader="none" w:pos="1229"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 with Company</w:t>
      </w:r>
      <w:r>
        <w:rPr>
          <w:rFonts w:ascii="Times New Roman" w:cs="Times New Roman" w:eastAsia="Times New Roman" w:hAnsi="Times New Roman"/>
          <w:sz w:val="19"/>
          <w:szCs w:val="19"/>
          <w:color w:val="auto"/>
        </w:rPr>
        <w:t>. Employee agrees that he shall provide reasonable cooperation and assistance to the Company in the transition of Employee’s role and in the resolution of any matters in which Employee was involved during the course of Employee’s employment, or about which he has knowledge, and in the defense or prosecution of any investigations, audits, claims or actions now in existence or which may be brought or threatened in the future against or on behalf of the Company, including any investigations, audits, claims or actions involving or against its officers, directors and employees. Employee’s cooperation with such matters shall include, without limitation, being available to consult with the Company regarding matters in which he has been involved or has knowledge, to reasonably assist the Company in preparing for any proceeding, to provide affidavits reflecting truthful written testimony, to assist with any audit, inspection, proceeding or other inquiry, and to act as a witness to provide truthful testimony in connection with any investigation, audit, mediation, litigation or other legal proceeding affecting the Company. Employee agrees to keep the Company’s Human Resources department apprised of Employee’s current contact information, including telephone numbers, work address, home address, and</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email address(es), and to promptly respond to communications from the Company in connection with this Section. Employee understands and agrees that this provision requires Employee’s cooperation with the Company, but is not intended to have any influence whatsoever on any specific outcome in any matter and he is expected at all times to provide truthful testimony and responses in connection with any matter. Employee understands and agrees that she is not otherwise entitled to any additional compensation for the cooperation referenced herein, beyond the payments and consideration provided under this Agreement.</w:t>
      </w:r>
    </w:p>
    <w:p>
      <w:pPr>
        <w:spacing w:after="0" w:line="210" w:lineRule="exact"/>
        <w:rPr>
          <w:sz w:val="20"/>
          <w:szCs w:val="20"/>
          <w:color w:val="auto"/>
        </w:rPr>
      </w:pPr>
    </w:p>
    <w:p>
      <w:pPr>
        <w:jc w:val="both"/>
        <w:ind w:firstLine="622"/>
        <w:spacing w:after="0" w:line="262" w:lineRule="auto"/>
        <w:tabs>
          <w:tab w:leader="none" w:pos="1229"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governed by the laws of the State of Utah, without regard for choice-of-law provisions, except that any dispute regarding the enforceability of the arbitration section of this Agreement shall be governed by the FAA. Employee consents to personal and exclusive jurisdiction and venue in the State of Utah.</w:t>
      </w:r>
    </w:p>
    <w:p>
      <w:pPr>
        <w:spacing w:after="0" w:line="199" w:lineRule="exact"/>
        <w:rPr>
          <w:rFonts w:ascii="Times New Roman" w:cs="Times New Roman" w:eastAsia="Times New Roman" w:hAnsi="Times New Roman"/>
          <w:sz w:val="19"/>
          <w:szCs w:val="19"/>
          <w:color w:val="auto"/>
        </w:rPr>
      </w:pPr>
    </w:p>
    <w:p>
      <w:pPr>
        <w:ind w:left="1240" w:hanging="618"/>
        <w:spacing w:after="0"/>
        <w:tabs>
          <w:tab w:leader="none" w:pos="1240"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xml:space="preserve"> Employee understands that this Agreement shall be null and void if not executed by Employee within twenty-one</w:t>
      </w:r>
    </w:p>
    <w:p>
      <w:pPr>
        <w:spacing w:after="0" w:line="20" w:lineRule="exact"/>
        <w:rPr>
          <w:rFonts w:ascii="Times New Roman" w:cs="Times New Roman" w:eastAsia="Times New Roman" w:hAnsi="Times New Roman"/>
          <w:sz w:val="19"/>
          <w:szCs w:val="19"/>
          <w:color w:val="auto"/>
        </w:rPr>
      </w:pPr>
    </w:p>
    <w:p>
      <w:pPr>
        <w:ind w:left="360" w:hanging="357"/>
        <w:spacing w:after="0"/>
        <w:tabs>
          <w:tab w:leader="none" w:pos="3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Each Party has seven (7) days after that Party signs this Agreement to revoke it. This Agreement will become effective on the eighth (8th)</w:t>
      </w:r>
    </w:p>
    <w:p>
      <w:pPr>
        <w:spacing w:after="0" w:line="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day after Employee signed this Agreement, so long as it has been signed by the Parties and has not been revoked by either Party before that date (the “Effective Date”).</w:t>
      </w:r>
    </w:p>
    <w:p>
      <w:pPr>
        <w:spacing w:after="0" w:line="181" w:lineRule="exact"/>
        <w:rPr>
          <w:sz w:val="20"/>
          <w:szCs w:val="20"/>
          <w:color w:val="auto"/>
        </w:rPr>
      </w:pPr>
    </w:p>
    <w:p>
      <w:pPr>
        <w:jc w:val="both"/>
        <w:ind w:firstLine="622"/>
        <w:spacing w:after="0" w:line="259" w:lineRule="auto"/>
        <w:tabs>
          <w:tab w:leader="none" w:pos="1229"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Docusign/Echosign or a similarly accredited secure signature service, or other electronic transmission or signature.</w:t>
      </w:r>
    </w:p>
    <w:p>
      <w:pPr>
        <w:spacing w:after="0" w:line="204" w:lineRule="exact"/>
        <w:rPr>
          <w:rFonts w:ascii="Times New Roman" w:cs="Times New Roman" w:eastAsia="Times New Roman" w:hAnsi="Times New Roman"/>
          <w:sz w:val="19"/>
          <w:szCs w:val="19"/>
          <w:color w:val="auto"/>
        </w:rPr>
      </w:pPr>
    </w:p>
    <w:p>
      <w:pPr>
        <w:jc w:val="both"/>
        <w:ind w:firstLine="622"/>
        <w:spacing w:after="0" w:line="262" w:lineRule="auto"/>
        <w:tabs>
          <w:tab w:leader="none" w:pos="1229"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Employee understands and agrees that Employee executed this Agreement voluntarily and without any duress or undue influence on the part or behalf of the Company or any third party, with the full intent of releasing all of Employee’s claims against the Company and any of the other Releasees. Employee acknowledges that:</w:t>
      </w:r>
    </w:p>
    <w:p>
      <w:pPr>
        <w:spacing w:after="0" w:line="186"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has read this Agreement;</w:t>
      </w:r>
    </w:p>
    <w:p>
      <w:pPr>
        <w:spacing w:after="0" w:line="245" w:lineRule="exact"/>
        <w:rPr>
          <w:rFonts w:ascii="Times New Roman" w:cs="Times New Roman" w:eastAsia="Times New Roman" w:hAnsi="Times New Roman"/>
          <w:sz w:val="19"/>
          <w:szCs w:val="19"/>
          <w:color w:val="auto"/>
        </w:rPr>
      </w:pPr>
    </w:p>
    <w:p>
      <w:pPr>
        <w:ind w:left="1860" w:hanging="619"/>
        <w:spacing w:after="0" w:line="262" w:lineRule="auto"/>
        <w:tabs>
          <w:tab w:leader="none" w:pos="1747"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has a right to consult with an attorney regarding this Agreement, and has been represented in the preparation, negotiation, and execution of this Agreement by an attorney of Employee’s own choice or has elected not to retain an attorney;</w:t>
      </w:r>
    </w:p>
    <w:p>
      <w:pPr>
        <w:spacing w:after="0" w:line="199"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understands the terms and consequences of this Agreement and of the releases it contains;</w:t>
      </w:r>
    </w:p>
    <w:p>
      <w:pPr>
        <w:spacing w:after="0" w:line="232" w:lineRule="exact"/>
        <w:rPr>
          <w:rFonts w:ascii="Times New Roman" w:cs="Times New Roman" w:eastAsia="Times New Roman" w:hAnsi="Times New Roman"/>
          <w:sz w:val="19"/>
          <w:szCs w:val="19"/>
          <w:color w:val="auto"/>
        </w:rPr>
      </w:pPr>
    </w:p>
    <w:p>
      <w:pPr>
        <w:ind w:left="1660" w:hanging="419"/>
        <w:spacing w:after="0"/>
        <w:tabs>
          <w:tab w:leader="none" w:pos="1660"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is fully aware of the legal and binding effect of this Agreement; and</w:t>
      </w:r>
    </w:p>
    <w:p>
      <w:pPr>
        <w:spacing w:after="0" w:line="245" w:lineRule="exact"/>
        <w:rPr>
          <w:rFonts w:ascii="Times New Roman" w:cs="Times New Roman" w:eastAsia="Times New Roman" w:hAnsi="Times New Roman"/>
          <w:sz w:val="19"/>
          <w:szCs w:val="19"/>
          <w:color w:val="auto"/>
        </w:rPr>
      </w:pPr>
    </w:p>
    <w:p>
      <w:pPr>
        <w:ind w:left="1860" w:hanging="619"/>
        <w:spacing w:after="0" w:line="283" w:lineRule="auto"/>
        <w:tabs>
          <w:tab w:leader="none" w:pos="1644"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has not relied upon any representations or statements made by the Company that are not specifically set forth in this Agreement.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MICHAEL SECORA, an individual</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Dated: __1/3/2025_______</w:t>
            </w:r>
          </w:p>
        </w:tc>
        <w:tc>
          <w:tcPr>
            <w:tcW w:w="17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 Michael Secora</w:t>
            </w:r>
          </w:p>
        </w:tc>
      </w:tr>
      <w:tr>
        <w:trPr>
          <w:trHeight w:val="20"/>
        </w:trPr>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255"/>
        </w:trPr>
        <w:tc>
          <w:tcPr>
            <w:tcW w:w="2320" w:type="dxa"/>
            <w:vAlign w:val="bottom"/>
            <w:gridSpan w:val="3"/>
          </w:tcPr>
          <w:p>
            <w:pPr>
              <w:ind w:left="380"/>
              <w:spacing w:after="0"/>
              <w:rPr>
                <w:sz w:val="20"/>
                <w:szCs w:val="20"/>
                <w:color w:val="auto"/>
              </w:rPr>
            </w:pPr>
            <w:r>
              <w:rPr>
                <w:rFonts w:ascii="Times New Roman" w:cs="Times New Roman" w:eastAsia="Times New Roman" w:hAnsi="Times New Roman"/>
                <w:sz w:val="19"/>
                <w:szCs w:val="19"/>
                <w:color w:val="auto"/>
              </w:rPr>
              <w:t>Michael Secora</w:t>
            </w:r>
          </w:p>
        </w:tc>
        <w:tc>
          <w:tcPr>
            <w:tcW w:w="17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RECURSION PHARMACEUTICALS, INC.</w:t>
      </w:r>
    </w:p>
    <w:p>
      <w:pPr>
        <w:spacing w:after="0" w:line="200" w:lineRule="exact"/>
        <w:rPr>
          <w:sz w:val="20"/>
          <w:szCs w:val="20"/>
          <w:color w:val="auto"/>
        </w:rPr>
      </w:pPr>
    </w:p>
    <w:p>
      <w:pPr>
        <w:spacing w:after="0" w:line="252" w:lineRule="exact"/>
        <w:rPr>
          <w:sz w:val="20"/>
          <w:szCs w:val="20"/>
          <w:color w:val="auto"/>
        </w:rPr>
      </w:pPr>
    </w:p>
    <w:p>
      <w:pPr>
        <w:spacing w:after="0"/>
        <w:tabs>
          <w:tab w:leader="none" w:pos="2300" w:val="left"/>
          <w:tab w:leader="none" w:pos="2740" w:val="left"/>
        </w:tabs>
        <w:rPr>
          <w:sz w:val="20"/>
          <w:szCs w:val="20"/>
          <w:color w:val="auto"/>
        </w:rPr>
      </w:pPr>
      <w:r>
        <w:rPr>
          <w:rFonts w:ascii="Times New Roman" w:cs="Times New Roman" w:eastAsia="Times New Roman" w:hAnsi="Times New Roman"/>
          <w:sz w:val="19"/>
          <w:szCs w:val="19"/>
          <w:color w:val="auto"/>
        </w:rPr>
        <w:t>Dated: __</w:t>
      </w:r>
      <w:r>
        <w:rPr>
          <w:rFonts w:ascii="Times New Roman" w:cs="Times New Roman" w:eastAsia="Times New Roman" w:hAnsi="Times New Roman"/>
          <w:sz w:val="19"/>
          <w:szCs w:val="19"/>
          <w:u w:val="single" w:color="auto"/>
          <w:color w:val="auto"/>
        </w:rPr>
        <w:t>1/3/2025</w:t>
      </w:r>
      <w:r>
        <w:rPr>
          <w:rFonts w:ascii="Times New Roman" w:cs="Times New Roman" w:eastAsia="Times New Roman" w:hAnsi="Times New Roman"/>
          <w:sz w:val="19"/>
          <w:szCs w:val="19"/>
          <w:color w:val="auto"/>
        </w:rPr>
        <w:t>_______</w:t>
        <w:tab/>
        <w:t>By</w:t>
      </w:r>
      <w:r>
        <w:rPr>
          <w:sz w:val="20"/>
          <w:szCs w:val="20"/>
          <w:color w:val="auto"/>
        </w:rPr>
        <w:tab/>
      </w:r>
      <w:r>
        <w:rPr>
          <w:rFonts w:ascii="Times New Roman" w:cs="Times New Roman" w:eastAsia="Times New Roman" w:hAnsi="Times New Roman"/>
          <w:sz w:val="18"/>
          <w:szCs w:val="18"/>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-10160</wp:posOffset>
            </wp:positionV>
            <wp:extent cx="13265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color w:val="auto"/>
        </w:rPr>
        <w:t>Chris Gibson</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139"/>
          </w:cols>
          <w:pgMar w:left="320" w:top="1440" w:right="1440" w:bottom="1440" w:gutter="0" w:footer="0" w:header="0"/>
        </w:sectPr>
      </w:pPr>
    </w:p>
    <w:bookmarkStart w:id="319" w:name="page320"/>
    <w:bookmarkEnd w:id="319"/>
    <w:p>
      <w:pPr>
        <w:spacing w:after="0" w:line="196" w:lineRule="exact"/>
        <w:rPr>
          <w:sz w:val="20"/>
          <w:szCs w:val="20"/>
          <w:color w:val="auto"/>
        </w:rPr>
      </w:pPr>
    </w:p>
    <w:p>
      <w:pPr>
        <w:jc w:val="center"/>
        <w:ind w:right="-756"/>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20" w:lineRule="exact"/>
        <w:rPr>
          <w:sz w:val="20"/>
          <w:szCs w:val="20"/>
          <w:color w:val="auto"/>
        </w:rPr>
      </w:pPr>
    </w:p>
    <w:p>
      <w:pPr>
        <w:ind w:left="4377"/>
        <w:spacing w:after="0"/>
        <w:rPr>
          <w:sz w:val="20"/>
          <w:szCs w:val="20"/>
          <w:color w:val="auto"/>
        </w:rPr>
      </w:pPr>
      <w:r>
        <w:rPr>
          <w:rFonts w:ascii="Times New Roman" w:cs="Times New Roman" w:eastAsia="Times New Roman" w:hAnsi="Times New Roman"/>
          <w:sz w:val="19"/>
          <w:szCs w:val="19"/>
          <w:b w:val="1"/>
          <w:bCs w:val="1"/>
          <w:color w:val="auto"/>
        </w:rPr>
        <w:t>(Summary of Equity Awards)*</w:t>
      </w:r>
    </w:p>
    <w:p>
      <w:pPr>
        <w:spacing w:after="0" w:line="238" w:lineRule="exact"/>
        <w:rPr>
          <w:sz w:val="20"/>
          <w:szCs w:val="20"/>
          <w:color w:val="auto"/>
        </w:rPr>
      </w:pPr>
    </w:p>
    <w:tbl>
      <w:tblPr>
        <w:tblLayout w:type="fixed"/>
        <w:tblInd w:w="327" w:type="dxa"/>
        <w:tblCellMar>
          <w:top w:w="0" w:type="dxa"/>
          <w:left w:w="0" w:type="dxa"/>
          <w:bottom w:w="0" w:type="dxa"/>
          <w:right w:w="0" w:type="dxa"/>
        </w:tblCellMar>
      </w:tblPr>
      <w:tr>
        <w:trPr>
          <w:trHeight w:val="194"/>
        </w:trPr>
        <w:tc>
          <w:tcPr>
            <w:tcW w:w="148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9"/>
                <w:szCs w:val="19"/>
                <w:b w:val="1"/>
                <w:bCs w:val="1"/>
                <w:color w:val="auto"/>
              </w:rPr>
              <w:t>Equity Award</w:t>
            </w:r>
          </w:p>
        </w:tc>
        <w:tc>
          <w:tcPr>
            <w:tcW w:w="156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spacing w:after="0"/>
              <w:rPr>
                <w:sz w:val="16"/>
                <w:szCs w:val="16"/>
                <w:color w:val="auto"/>
              </w:rPr>
            </w:pPr>
          </w:p>
        </w:tc>
        <w:tc>
          <w:tcPr>
            <w:tcW w:w="162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w w:val="98"/>
              </w:rPr>
              <w:t>Number of Shares</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Per Share</w:t>
            </w:r>
          </w:p>
        </w:tc>
        <w:tc>
          <w:tcPr>
            <w:tcW w:w="234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w w:val="98"/>
              </w:rPr>
              <w:t>Number of Vested Shares</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auto"/>
            </w:tcBorders>
            <w:vMerge w:val="continue"/>
          </w:tcPr>
          <w:p>
            <w:pPr>
              <w:spacing w:after="0"/>
              <w:rPr>
                <w:sz w:val="16"/>
                <w:szCs w:val="16"/>
                <w:color w:val="auto"/>
              </w:rPr>
            </w:pPr>
          </w:p>
        </w:tc>
        <w:tc>
          <w:tcPr>
            <w:tcW w:w="1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9"/>
                <w:szCs w:val="19"/>
                <w:b w:val="1"/>
                <w:bCs w:val="1"/>
                <w:color w:val="auto"/>
              </w:rPr>
              <w:t>Grant Date</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Plan Name</w:t>
            </w:r>
          </w:p>
        </w:tc>
        <w:tc>
          <w:tcPr>
            <w:tcW w:w="162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9"/>
                <w:szCs w:val="19"/>
                <w:b w:val="1"/>
                <w:bCs w:val="1"/>
                <w:color w:val="auto"/>
              </w:rPr>
              <w:t>Subject to Equity</w:t>
            </w:r>
          </w:p>
        </w:tc>
        <w:tc>
          <w:tcPr>
            <w:tcW w:w="1460" w:type="dxa"/>
            <w:vAlign w:val="bottom"/>
            <w:tcBorders>
              <w:right w:val="single" w:sz="8" w:color="auto"/>
            </w:tcBorders>
            <w:vMerge w:val="continue"/>
          </w:tcPr>
          <w:p>
            <w:pPr>
              <w:spacing w:after="0"/>
              <w:rPr>
                <w:sz w:val="16"/>
                <w:szCs w:val="16"/>
                <w:color w:val="auto"/>
              </w:rPr>
            </w:pPr>
          </w:p>
        </w:tc>
        <w:tc>
          <w:tcPr>
            <w:tcW w:w="234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9"/>
                <w:szCs w:val="19"/>
                <w:b w:val="1"/>
                <w:bCs w:val="1"/>
                <w:color w:val="auto"/>
                <w:w w:val="98"/>
              </w:rPr>
              <w:t>Equity Awards as of</w:t>
            </w:r>
          </w:p>
        </w:tc>
        <w:tc>
          <w:tcPr>
            <w:tcW w:w="0" w:type="dxa"/>
            <w:vAlign w:val="bottom"/>
          </w:tcPr>
          <w:p>
            <w:pPr>
              <w:spacing w:after="0"/>
              <w:rPr>
                <w:sz w:val="1"/>
                <w:szCs w:val="1"/>
                <w:color w:val="auto"/>
              </w:rPr>
            </w:pPr>
          </w:p>
        </w:tc>
      </w:tr>
      <w:tr>
        <w:trPr>
          <w:trHeight w:val="244"/>
        </w:trPr>
        <w:tc>
          <w:tcPr>
            <w:tcW w:w="148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9"/>
                <w:szCs w:val="19"/>
                <w:b w:val="1"/>
                <w:bCs w:val="1"/>
                <w:color w:val="auto"/>
              </w:rPr>
              <w:t>Type</w:t>
            </w:r>
          </w:p>
        </w:tc>
        <w:tc>
          <w:tcPr>
            <w:tcW w:w="1560" w:type="dxa"/>
            <w:vAlign w:val="bottom"/>
            <w:tcBorders>
              <w:bottom w:val="single" w:sz="8" w:color="auto"/>
              <w:right w:val="single" w:sz="8" w:color="auto"/>
            </w:tcBorders>
            <w:vMerge w:val="continue"/>
          </w:tcPr>
          <w:p>
            <w:pPr>
              <w:spacing w:after="0"/>
              <w:rPr>
                <w:sz w:val="21"/>
                <w:szCs w:val="21"/>
                <w:color w:val="auto"/>
              </w:rPr>
            </w:pPr>
          </w:p>
        </w:tc>
        <w:tc>
          <w:tcPr>
            <w:tcW w:w="1700" w:type="dxa"/>
            <w:vAlign w:val="bottom"/>
            <w:tcBorders>
              <w:bottom w:val="single" w:sz="8" w:color="auto"/>
              <w:right w:val="single" w:sz="8" w:color="auto"/>
            </w:tcBorders>
            <w:vMerge w:val="continue"/>
          </w:tcPr>
          <w:p>
            <w:pPr>
              <w:spacing w:after="0"/>
              <w:rPr>
                <w:sz w:val="21"/>
                <w:szCs w:val="21"/>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Award at Grant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Exercise Price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Separation Date</w:t>
            </w: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Mar. 4, 2020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2016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45,045</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$2.22</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w w:val="99"/>
              </w:rPr>
              <w:t>-0-</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Mar. 4, 2020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2016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1,454,955</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$2.22</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rPr>
              <w:t>900,000</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Mar. 4, 2020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2016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225,225</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$2.22</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rPr>
              <w:t>225,225</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Mar. 4, 2020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2016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899,772</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$2.22</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rPr>
              <w:t>899,772</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4, 2022</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13,633</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5"/>
              </w:rPr>
              <w:t>$11.40</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w w:val="99"/>
              </w:rPr>
              <w:t>-0-</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4, 2022</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103,051</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5"/>
              </w:rPr>
              <w:t>$11.40</w:t>
            </w:r>
          </w:p>
        </w:tc>
        <w:tc>
          <w:tcPr>
            <w:tcW w:w="234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9"/>
                <w:szCs w:val="19"/>
                <w:color w:val="auto"/>
                <w:w w:val="99"/>
              </w:rPr>
              <w:t>82,650</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4, 2022</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3,914</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5"/>
              </w:rPr>
              <w:t>$11.40</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w w:val="98"/>
              </w:rPr>
              <w:t>3,914</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1, 2023</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16,909</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$8.55</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w w:val="99"/>
              </w:rPr>
              <w:t>-0-</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1, 2023</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387,948</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$8.55</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rPr>
              <w:t>185,548</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ISO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9, 2024</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9,910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$10.09</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w w:val="99"/>
              </w:rPr>
              <w:t>-0-</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NSO</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9, 2024</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338,470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$10.09</w:t>
            </w:r>
          </w:p>
        </w:tc>
        <w:tc>
          <w:tcPr>
            <w:tcW w:w="234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9"/>
                <w:szCs w:val="19"/>
                <w:color w:val="auto"/>
                <w:w w:val="99"/>
              </w:rPr>
              <w:t>72,576</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4, 2022</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1,957</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w w:val="98"/>
              </w:rPr>
              <w:t>1,957</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4, 2022</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58,342</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234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9"/>
                <w:szCs w:val="19"/>
                <w:color w:val="auto"/>
                <w:w w:val="99"/>
              </w:rPr>
              <w:t>40,107</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1, 2023</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7,735</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w w:val="98"/>
              </w:rPr>
              <w:t>7,735</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1, 2023</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202,428</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234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9"/>
                <w:szCs w:val="19"/>
                <w:color w:val="auto"/>
                <w:w w:val="99"/>
              </w:rPr>
              <w:t>88,560</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9, 2024</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174,190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234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9"/>
                <w:szCs w:val="19"/>
                <w:color w:val="auto"/>
                <w:w w:val="99"/>
              </w:rPr>
              <w:t>32,659</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RSU</w:t>
            </w: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Feb. 9, 2024</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2021 Plan</w:t>
            </w: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color w:val="auto"/>
              </w:rPr>
              <w:t>8,659</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c>
          <w:tcPr>
            <w:tcW w:w="2340" w:type="dxa"/>
            <w:vAlign w:val="bottom"/>
            <w:tcBorders>
              <w:right w:val="single" w:sz="8" w:color="auto"/>
            </w:tcBorders>
          </w:tcPr>
          <w:p>
            <w:pPr>
              <w:jc w:val="center"/>
              <w:ind w:left="66"/>
              <w:spacing w:after="0"/>
              <w:rPr>
                <w:sz w:val="20"/>
                <w:szCs w:val="20"/>
                <w:color w:val="auto"/>
              </w:rPr>
            </w:pPr>
            <w:r>
              <w:rPr>
                <w:rFonts w:ascii="Times New Roman" w:cs="Times New Roman" w:eastAsia="Times New Roman" w:hAnsi="Times New Roman"/>
                <w:sz w:val="19"/>
                <w:szCs w:val="19"/>
                <w:color w:val="auto"/>
                <w:w w:val="98"/>
              </w:rPr>
              <w:t>8,659</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5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9"/>
                <w:szCs w:val="19"/>
                <w:b w:val="1"/>
                <w:bCs w:val="1"/>
                <w:color w:val="auto"/>
              </w:rPr>
              <w:t>3,952,143</w:t>
            </w:r>
          </w:p>
        </w:tc>
        <w:tc>
          <w:tcPr>
            <w:tcW w:w="1460" w:type="dxa"/>
            <w:vAlign w:val="bottom"/>
            <w:tcBorders>
              <w:right w:val="single" w:sz="8" w:color="auto"/>
            </w:tcBorders>
          </w:tcPr>
          <w:p>
            <w:pPr>
              <w:spacing w:after="0"/>
              <w:rPr>
                <w:sz w:val="21"/>
                <w:szCs w:val="21"/>
                <w:color w:val="auto"/>
              </w:rPr>
            </w:pPr>
          </w:p>
        </w:tc>
        <w:tc>
          <w:tcPr>
            <w:tcW w:w="234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9"/>
                <w:szCs w:val="19"/>
                <w:b w:val="1"/>
                <w:bCs w:val="1"/>
                <w:color w:val="auto"/>
                <w:w w:val="99"/>
              </w:rPr>
              <w:t>2,549,362</w:t>
            </w:r>
          </w:p>
        </w:tc>
        <w:tc>
          <w:tcPr>
            <w:tcW w:w="0" w:type="dxa"/>
            <w:vAlign w:val="bottom"/>
          </w:tcPr>
          <w:p>
            <w:pPr>
              <w:spacing w:after="0"/>
              <w:rPr>
                <w:sz w:val="1"/>
                <w:szCs w:val="1"/>
                <w:color w:val="auto"/>
              </w:rPr>
            </w:pPr>
          </w:p>
        </w:tc>
      </w:tr>
      <w:tr>
        <w:trPr>
          <w:trHeight w:val="241"/>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137" w:hanging="137"/>
        <w:spacing w:after="0"/>
        <w:tabs>
          <w:tab w:leader="none" w:pos="137" w:val="left"/>
        </w:tabs>
        <w:numPr>
          <w:ilvl w:val="0"/>
          <w:numId w:val="2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This number excludes any RSUs that will be granted under Section 1.c.</w:t>
      </w:r>
    </w:p>
    <w:p>
      <w:pPr>
        <w:sectPr>
          <w:pgSz w:w="11900" w:h="16838" w:orient="portrait"/>
          <w:cols w:equalWidth="0" w:num="1">
            <w:col w:w="10477"/>
          </w:cols>
          <w:pgMar w:left="323" w:top="1440" w:right="1099" w:bottom="1440" w:gutter="0" w:footer="0" w:header="0"/>
        </w:sectPr>
      </w:pPr>
    </w:p>
    <w:bookmarkStart w:id="320" w:name="page321"/>
    <w:bookmarkEnd w:id="320"/>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This number does not take into account any shares acquired from Option exercises or RSU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B</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UTAH CODE TITLE 34, CHAPTER 39, SECTION 3</w:t>
      </w:r>
    </w:p>
    <w:p>
      <w:pPr>
        <w:spacing w:after="0" w:line="224" w:lineRule="exact"/>
        <w:rPr>
          <w:sz w:val="20"/>
          <w:szCs w:val="20"/>
          <w:color w:val="auto"/>
        </w:rPr>
      </w:pPr>
    </w:p>
    <w:p>
      <w:pPr>
        <w:jc w:val="both"/>
        <w:ind w:hanging="1"/>
        <w:spacing w:after="0" w:line="262" w:lineRule="auto"/>
        <w:rPr>
          <w:sz w:val="20"/>
          <w:szCs w:val="20"/>
          <w:color w:val="auto"/>
        </w:rPr>
      </w:pPr>
      <w:r>
        <w:rPr>
          <w:rFonts w:ascii="Times New Roman" w:cs="Times New Roman" w:eastAsia="Times New Roman" w:hAnsi="Times New Roman"/>
          <w:sz w:val="19"/>
          <w:szCs w:val="19"/>
          <w:color w:val="auto"/>
        </w:rPr>
        <w:t>“(1) An employment agreement between an employee and his employer is not enforceable against the employee to the extent that the agreement requires the employee to assign or license, or to offer to assign or license, to the employer any right or intellectual property in or to an invention that is:</w:t>
      </w:r>
    </w:p>
    <w:p>
      <w:pPr>
        <w:spacing w:after="0" w:line="174" w:lineRule="exact"/>
        <w:rPr>
          <w:sz w:val="20"/>
          <w:szCs w:val="20"/>
          <w:color w:val="auto"/>
        </w:rPr>
      </w:pPr>
    </w:p>
    <w:p>
      <w:pPr>
        <w:ind w:left="440" w:hanging="250"/>
        <w:spacing w:after="0"/>
        <w:tabs>
          <w:tab w:leader="none" w:pos="440"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created by the employee entirely on his own time; and</w:t>
      </w:r>
    </w:p>
    <w:p>
      <w:pPr>
        <w:spacing w:after="0" w:line="206" w:lineRule="exact"/>
        <w:rPr>
          <w:rFonts w:ascii="Times New Roman" w:cs="Times New Roman" w:eastAsia="Times New Roman" w:hAnsi="Times New Roman"/>
          <w:sz w:val="19"/>
          <w:szCs w:val="19"/>
          <w:color w:val="auto"/>
        </w:rPr>
      </w:pPr>
    </w:p>
    <w:p>
      <w:pPr>
        <w:ind w:left="460" w:hanging="270"/>
        <w:spacing w:after="0"/>
        <w:tabs>
          <w:tab w:leader="none" w:pos="460"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an employment invention.</w:t>
      </w:r>
    </w:p>
    <w:p>
      <w:pPr>
        <w:spacing w:after="0" w:line="220" w:lineRule="exact"/>
        <w:rPr>
          <w:sz w:val="20"/>
          <w:szCs w:val="20"/>
          <w:color w:val="auto"/>
        </w:rPr>
      </w:pPr>
    </w:p>
    <w:p>
      <w:pPr>
        <w:ind w:firstLine="2"/>
        <w:spacing w:after="0" w:line="269" w:lineRule="auto"/>
        <w:tabs>
          <w:tab w:leader="none" w:pos="279"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agreement between an employee and his employer may require the employee to assign or license, or to offer to assign or license, to his employer any or all of his rights and intellectual property in or to an employment invention.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UTAH CODE TITLE 34, CHAPTER 39, SECTION 2</w:t>
      </w:r>
    </w:p>
    <w:p>
      <w:pPr>
        <w:spacing w:after="0" w:line="211" w:lineRule="exact"/>
        <w:rPr>
          <w:sz w:val="20"/>
          <w:szCs w:val="20"/>
          <w:color w:val="auto"/>
        </w:rPr>
      </w:pPr>
    </w:p>
    <w:p>
      <w:pPr>
        <w:ind w:left="420" w:hanging="418"/>
        <w:spacing w:after="0"/>
        <w:tabs>
          <w:tab w:leader="none" w:pos="420"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‘Employment invention’ means any invention or part thereof conceived, developed, reduced to practice, or created by an employee which is:</w:t>
      </w:r>
    </w:p>
    <w:p>
      <w:pPr>
        <w:spacing w:after="0" w:line="220" w:lineRule="exact"/>
        <w:rPr>
          <w:sz w:val="20"/>
          <w:szCs w:val="20"/>
          <w:color w:val="auto"/>
        </w:rPr>
      </w:pPr>
    </w:p>
    <w:p>
      <w:pPr>
        <w:ind w:left="400" w:hanging="398"/>
        <w:spacing w:after="0"/>
        <w:tabs>
          <w:tab w:leader="none" w:pos="400"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conceived, developed, reduced to practice, or created by the employee:</w:t>
      </w:r>
    </w:p>
    <w:p>
      <w:pPr>
        <w:spacing w:after="0" w:line="206" w:lineRule="exact"/>
        <w:rPr>
          <w:rFonts w:ascii="Times New Roman" w:cs="Times New Roman" w:eastAsia="Times New Roman" w:hAnsi="Times New Roman"/>
          <w:sz w:val="19"/>
          <w:szCs w:val="19"/>
          <w:color w:val="auto"/>
        </w:rPr>
      </w:pPr>
    </w:p>
    <w:p>
      <w:pPr>
        <w:ind w:left="420" w:hanging="230"/>
        <w:spacing w:after="0"/>
        <w:tabs>
          <w:tab w:leader="none" w:pos="420" w:val="left"/>
        </w:tabs>
        <w:numPr>
          <w:ilvl w:val="1"/>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the scope of his employment;</w:t>
      </w:r>
    </w:p>
    <w:p>
      <w:pPr>
        <w:spacing w:after="0" w:line="220" w:lineRule="exact"/>
        <w:rPr>
          <w:sz w:val="20"/>
          <w:szCs w:val="20"/>
          <w:color w:val="auto"/>
        </w:rPr>
      </w:pPr>
    </w:p>
    <w:p>
      <w:pPr>
        <w:ind w:left="280" w:hanging="278"/>
        <w:spacing w:after="0"/>
        <w:tabs>
          <w:tab w:leader="none" w:pos="280"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his employer’s time; or</w:t>
      </w:r>
    </w:p>
    <w:p>
      <w:pPr>
        <w:spacing w:after="0" w:line="219" w:lineRule="exact"/>
        <w:rPr>
          <w:rFonts w:ascii="Times New Roman" w:cs="Times New Roman" w:eastAsia="Times New Roman" w:hAnsi="Times New Roman"/>
          <w:sz w:val="19"/>
          <w:szCs w:val="19"/>
          <w:color w:val="auto"/>
        </w:rPr>
      </w:pPr>
    </w:p>
    <w:p>
      <w:pPr>
        <w:ind w:left="520" w:hanging="330"/>
        <w:spacing w:after="0"/>
        <w:tabs>
          <w:tab w:leader="none" w:pos="520"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the aid, assistance, or use of any of his employer’s property, equipment, facilities, supplies, resources, or intellectual property;</w:t>
      </w:r>
    </w:p>
    <w:p>
      <w:pPr>
        <w:spacing w:after="0" w:line="20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the result of any work, services, or duties performed by an employee for his employer;</w:t>
      </w:r>
    </w:p>
    <w:p>
      <w:pPr>
        <w:spacing w:after="0" w:line="21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 related to the industry or trade of the employer; or</w:t>
      </w:r>
    </w:p>
    <w:p>
      <w:pPr>
        <w:spacing w:after="0" w:line="20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 related to the current or demonstrably anticipated business, research, or development of the employer.</w:t>
      </w:r>
    </w:p>
    <w:p>
      <w:pPr>
        <w:spacing w:after="0" w:line="220" w:lineRule="exact"/>
        <w:rPr>
          <w:sz w:val="20"/>
          <w:szCs w:val="20"/>
          <w:color w:val="auto"/>
        </w:rPr>
      </w:pPr>
    </w:p>
    <w:p>
      <w:pPr>
        <w:ind w:firstLine="2"/>
        <w:spacing w:after="0" w:line="283" w:lineRule="auto"/>
        <w:tabs>
          <w:tab w:leader="none" w:pos="266"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‘Intellectual property’ means any and all patents, trade secrets, know-how, technology, confidential information, ideas, copyrights, trademarks, and service marks and any and all rights, applications, and registrations relating to them.”</w:t>
      </w:r>
    </w:p>
    <w:p>
      <w:pPr>
        <w:sectPr>
          <w:pgSz w:w="11900" w:h="16838" w:orient="portrait"/>
          <w:cols w:equalWidth="0" w:num="1">
            <w:col w:w="11240"/>
          </w:cols>
          <w:pgMar w:left="320" w:top="1440"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696595</wp:posOffset>
            </wp:positionV>
            <wp:extent cx="7146925" cy="4419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7146925" cy="44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0" w:right="700"/>
        <w:spacing w:after="0" w:line="315" w:lineRule="auto"/>
        <w:rPr>
          <w:sz w:val="20"/>
          <w:szCs w:val="20"/>
          <w:color w:val="auto"/>
        </w:rPr>
      </w:pPr>
      <w:r>
        <w:rPr>
          <w:rFonts w:ascii="Arial" w:cs="Arial" w:eastAsia="Arial" w:hAnsi="Arial"/>
          <w:sz w:val="15"/>
          <w:szCs w:val="15"/>
          <w:b w:val="1"/>
          <w:bCs w:val="1"/>
          <w:color w:val="auto"/>
        </w:rPr>
        <w:t>Certain information in this document, marked by brackets [</w:t>
      </w:r>
      <w:r>
        <w:rPr>
          <w:rFonts w:ascii="Arial" w:cs="Arial" w:eastAsia="Arial" w:hAnsi="Arial"/>
          <w:sz w:val="15"/>
          <w:szCs w:val="15"/>
          <w:color w:val="auto"/>
        </w:rPr>
        <w:t>****</w:t>
      </w:r>
      <w:r>
        <w:rPr>
          <w:rFonts w:ascii="Arial" w:cs="Arial" w:eastAsia="Arial" w:hAnsi="Arial"/>
          <w:sz w:val="15"/>
          <w:szCs w:val="15"/>
          <w:b w:val="1"/>
          <w:bCs w:val="1"/>
          <w:color w:val="auto"/>
        </w:rPr>
        <w:t>], has been excluded pursuant to Item 601(b)(10)(iv) of Regulation S-K under the Securities Act of 1933, as amended, because it is both (i) not material and (ii) would likely cause competitive harm to the registrant if publicly disclosed.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RESEARCH COLLABORATION AND LICENCE OPTION AGREEMENT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BETWEEN:</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Sanofi,</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a “société anonyme” having its principal office at 54, rue La Boétie, 75008 PARIS, FRANCE,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Represented by Andre Turenne, duly authorized for the purposes hereof,</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Hereinafter referred to as ‘</w:t>
      </w:r>
      <w:r>
        <w:rPr>
          <w:rFonts w:ascii="Arial" w:cs="Arial" w:eastAsia="Arial" w:hAnsi="Arial"/>
          <w:sz w:val="15"/>
          <w:szCs w:val="15"/>
          <w:b w:val="1"/>
          <w:bCs w:val="1"/>
          <w:color w:val="auto"/>
        </w:rPr>
        <w:t>Sanofi</w:t>
      </w:r>
      <w:r>
        <w:rPr>
          <w:rFonts w:ascii="Arial" w:cs="Arial" w:eastAsia="Arial" w:hAnsi="Arial"/>
          <w:sz w:val="15"/>
          <w:szCs w:val="15"/>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ExScientia,</w:t>
      </w:r>
    </w:p>
    <w:p>
      <w:pPr>
        <w:spacing w:after="0" w:line="42"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a company registered in Scotland (SC428761), having its registered offices at 14 City, Dundee, DD1 3DF, UK and its place of business at the Dundee University Incubator, James Lindsay Place, Dundee DD1 5JJ, UK.</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Represented by Andrew L. Hopkins, duly authorized for the purposes hereof,</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Hereinafter referred to as ‘</w:t>
      </w:r>
      <w:r>
        <w:rPr>
          <w:rFonts w:ascii="Arial" w:cs="Arial" w:eastAsia="Arial" w:hAnsi="Arial"/>
          <w:sz w:val="15"/>
          <w:szCs w:val="15"/>
          <w:b w:val="1"/>
          <w:bCs w:val="1"/>
          <w:color w:val="auto"/>
        </w:rPr>
        <w:t>ExScientia</w:t>
      </w:r>
      <w:r>
        <w:rPr>
          <w:rFonts w:ascii="Arial" w:cs="Arial" w:eastAsia="Arial" w:hAnsi="Arial"/>
          <w:sz w:val="15"/>
          <w:szCs w:val="15"/>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Sanofi and ExScientia being hereinafter individually referred to as a ‘</w:t>
      </w:r>
      <w:r>
        <w:rPr>
          <w:rFonts w:ascii="Arial" w:cs="Arial" w:eastAsia="Arial" w:hAnsi="Arial"/>
          <w:sz w:val="15"/>
          <w:szCs w:val="15"/>
          <w:b w:val="1"/>
          <w:bCs w:val="1"/>
          <w:color w:val="auto"/>
        </w:rPr>
        <w:t>Party’</w:t>
      </w:r>
      <w:r>
        <w:rPr>
          <w:rFonts w:ascii="Arial" w:cs="Arial" w:eastAsia="Arial" w:hAnsi="Arial"/>
          <w:sz w:val="15"/>
          <w:szCs w:val="15"/>
          <w:color w:val="auto"/>
        </w:rPr>
        <w:t xml:space="preserve"> and collectively as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PREAMBLE</w:t>
      </w:r>
    </w:p>
    <w:p>
      <w:pPr>
        <w:spacing w:after="0" w:line="200" w:lineRule="exact"/>
        <w:rPr>
          <w:sz w:val="20"/>
          <w:szCs w:val="20"/>
          <w:color w:val="auto"/>
        </w:rPr>
      </w:pPr>
    </w:p>
    <w:p>
      <w:pPr>
        <w:spacing w:after="0" w:line="24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ExScientia is a life science company whose research activities are focused on developing novel informatics and experimental methods to enable new and</w:t>
      </w:r>
      <w:r>
        <w:rPr>
          <w:rFonts w:ascii="Arial" w:cs="Arial" w:eastAsia="Arial" w:hAnsi="Arial"/>
          <w:sz w:val="15"/>
          <w:szCs w:val="15"/>
          <w:b w:val="1"/>
          <w:bCs w:val="1"/>
          <w:color w:val="auto"/>
        </w:rPr>
        <w:t xml:space="preserve"> </w:t>
      </w:r>
      <w:r>
        <w:rPr>
          <w:rFonts w:ascii="Arial" w:cs="Arial" w:eastAsia="Arial" w:hAnsi="Arial"/>
          <w:sz w:val="15"/>
          <w:szCs w:val="15"/>
          <w:color w:val="auto"/>
        </w:rPr>
        <w:t>more effective ways of conducting drug discovery. ExScientia has developed advanced design technologies such as machine learning models of chem/bio space, evolutionary design, integrated structural database and in silico polypharmacology. In particular, ExScientia has established track record in bispecific small molecule design (“ExScientia Knowledge”, as further defined below).</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Sanofi is a global healthcare company actively involved in the research, development, production and marketing of pharmaceutical products for human</w:t>
      </w:r>
      <w:r>
        <w:rPr>
          <w:rFonts w:ascii="Arial" w:cs="Arial" w:eastAsia="Arial" w:hAnsi="Arial"/>
          <w:sz w:val="15"/>
          <w:szCs w:val="15"/>
          <w:b w:val="1"/>
          <w:bCs w:val="1"/>
          <w:color w:val="auto"/>
        </w:rPr>
        <w:t xml:space="preserve"> </w:t>
      </w:r>
      <w:r>
        <w:rPr>
          <w:rFonts w:ascii="Arial" w:cs="Arial" w:eastAsia="Arial" w:hAnsi="Arial"/>
          <w:sz w:val="15"/>
          <w:szCs w:val="15"/>
          <w:color w:val="auto"/>
        </w:rPr>
        <w:t>health.</w:t>
      </w:r>
    </w:p>
    <w:p>
      <w:pPr>
        <w:spacing w:after="0" w:line="375" w:lineRule="exact"/>
        <w:rPr>
          <w:sz w:val="20"/>
          <w:szCs w:val="20"/>
          <w:color w:val="auto"/>
        </w:rPr>
      </w:pPr>
    </w:p>
    <w:p>
      <w:pPr>
        <w:jc w:val="both"/>
        <w:spacing w:after="0" w:line="333"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Sanofi wishes to apply ExScientia Knowledge to targets of interest selected by Sanofi in order to identify possible structures for Target Combinations (as</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below) and to synthesize and confirm their activity in in vitro assays (the “Research Program” as further defined below).</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ExScientia and Sanofi have decided to join their resources and efforts in order to perform the Research Program.</w:t>
      </w:r>
    </w:p>
    <w:p>
      <w:pPr>
        <w:spacing w:after="0" w:line="214" w:lineRule="exact"/>
        <w:rPr>
          <w:sz w:val="20"/>
          <w:szCs w:val="20"/>
          <w:color w:val="auto"/>
        </w:rPr>
      </w:pPr>
    </w:p>
    <w:p>
      <w:pPr>
        <w:jc w:val="both"/>
        <w:spacing w:after="0" w:line="333"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ExScientia wishes to grant to Sanofi, and Sanofi wishes to receive from ExScientia, the exclusive option to acquire an exclusive license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Research Program Results (as defined herein) to research, develop, manufacture and commercialize the Products (as defined herein).</w:t>
      </w:r>
    </w:p>
    <w:p>
      <w:pPr>
        <w:sectPr>
          <w:pgSz w:w="11900" w:h="16838" w:orient="portrait"/>
          <w:cols w:equalWidth="0" w:num="1">
            <w:col w:w="11240"/>
          </w:cols>
          <w:pgMar w:left="320" w:top="1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- 1/#NUM_PAGES# -</w:t>
      </w:r>
    </w:p>
    <w:p>
      <w:pPr>
        <w:sectPr>
          <w:pgSz w:w="11900" w:h="16838" w:orient="portrait"/>
          <w:cols w:equalWidth="0" w:num="1">
            <w:col w:w="11240"/>
          </w:cols>
          <w:pgMar w:left="320" w:top="133" w:right="339" w:bottom="1440" w:gutter="0" w:footer="0" w:header="0"/>
          <w:type w:val="continuous"/>
        </w:sectPr>
      </w:pPr>
    </w:p>
    <w:bookmarkStart w:id="322" w:name="page323"/>
    <w:bookmarkEnd w:id="322"/>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33"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therefore, in consideration of the foregoing preliminary statement and the mutual covenants and agreements of the Parties contained in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hereby agree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PARTIES have therefore agreed the following: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71386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For the purpose of this Agreement, the capitalized terms used herein shall have the meanings set forth below:</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Agreement: </w:t>
      </w:r>
      <w:r>
        <w:rPr>
          <w:rFonts w:ascii="Arial" w:cs="Arial" w:eastAsia="Arial" w:hAnsi="Arial"/>
          <w:sz w:val="15"/>
          <w:szCs w:val="15"/>
          <w:color w:val="auto"/>
        </w:rPr>
        <w:t>shall mean this Agreement, including the Exhibits attached thereto.</w:t>
      </w:r>
    </w:p>
    <w:p>
      <w:pPr>
        <w:spacing w:after="0" w:line="20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color w:val="auto"/>
        </w:rPr>
        <w:t xml:space="preserve">Affiliates: </w:t>
      </w:r>
      <w:r>
        <w:rPr>
          <w:rFonts w:ascii="Arial" w:cs="Arial" w:eastAsia="Arial" w:hAnsi="Arial"/>
          <w:sz w:val="15"/>
          <w:szCs w:val="15"/>
          <w:color w:val="auto"/>
        </w:rPr>
        <w:t>shall mean, with respect to a Party or any other Person, any Person controlling, controlled by, or under common control with, such Party or such other</w:t>
      </w:r>
      <w:r>
        <w:rPr>
          <w:rFonts w:ascii="Arial" w:cs="Arial" w:eastAsia="Arial" w:hAnsi="Arial"/>
          <w:sz w:val="15"/>
          <w:szCs w:val="15"/>
          <w:b w:val="1"/>
          <w:bCs w:val="1"/>
          <w:color w:val="auto"/>
        </w:rPr>
        <w:t xml:space="preserve"> </w:t>
      </w:r>
      <w:r>
        <w:rPr>
          <w:rFonts w:ascii="Arial" w:cs="Arial" w:eastAsia="Arial" w:hAnsi="Arial"/>
          <w:sz w:val="15"/>
          <w:szCs w:val="15"/>
          <w:color w:val="auto"/>
        </w:rPr>
        <w:t>Person. For the purpose of this definition only, “control” and, with correlative meanings, the terms “controlled by” and “under common control with”, shall refer to (i) the possession, directly or indirectly, of the power to direct the management or policies of a Person, whether through the ownership of voting securities, by contract or otherwise, or (ii) the beneficial ownership of at least fifty percent (50%) of the voting securities or other ownership interest of a Person.</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color w:val="auto"/>
        </w:rPr>
        <w:t xml:space="preserve">Annual Net Sales: </w:t>
      </w:r>
      <w:r>
        <w:rPr>
          <w:rFonts w:ascii="Arial" w:cs="Arial" w:eastAsia="Arial" w:hAnsi="Arial"/>
          <w:sz w:val="15"/>
          <w:szCs w:val="15"/>
          <w:color w:val="auto"/>
        </w:rPr>
        <w:t>shall mean the cumulative total of all Net Sales of the relevant Product(s) in all countries in the Territory during any calendar year during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w:t>
      </w:r>
    </w:p>
    <w:p>
      <w:pPr>
        <w:spacing w:after="0" w:line="375" w:lineRule="exact"/>
        <w:rPr>
          <w:sz w:val="20"/>
          <w:szCs w:val="20"/>
          <w:color w:val="auto"/>
        </w:rPr>
      </w:pPr>
    </w:p>
    <w:p>
      <w:pPr>
        <w:jc w:val="both"/>
        <w:spacing w:after="0" w:line="333" w:lineRule="auto"/>
        <w:rPr>
          <w:sz w:val="20"/>
          <w:szCs w:val="20"/>
          <w:color w:val="auto"/>
        </w:rPr>
      </w:pPr>
      <w:r>
        <w:rPr>
          <w:rFonts w:ascii="Arial" w:cs="Arial" w:eastAsia="Arial" w:hAnsi="Arial"/>
          <w:sz w:val="15"/>
          <w:szCs w:val="15"/>
          <w:b w:val="1"/>
          <w:bCs w:val="1"/>
          <w:color w:val="auto"/>
        </w:rPr>
        <w:t xml:space="preserve">Bona-fide Research Contractors: </w:t>
      </w:r>
      <w:r>
        <w:rPr>
          <w:rFonts w:ascii="Arial" w:cs="Arial" w:eastAsia="Arial" w:hAnsi="Arial"/>
          <w:sz w:val="15"/>
          <w:szCs w:val="15"/>
          <w:color w:val="auto"/>
        </w:rPr>
        <w:t>shall mean any person or entity engaged by Sanofi or any of its Affiliates under this Agreement to perform on their behalf any of</w:t>
      </w:r>
      <w:r>
        <w:rPr>
          <w:rFonts w:ascii="Arial" w:cs="Arial" w:eastAsia="Arial" w:hAnsi="Arial"/>
          <w:sz w:val="15"/>
          <w:szCs w:val="15"/>
          <w:b w:val="1"/>
          <w:bCs w:val="1"/>
          <w:color w:val="auto"/>
        </w:rPr>
        <w:t xml:space="preserve"> </w:t>
      </w:r>
      <w:r>
        <w:rPr>
          <w:rFonts w:ascii="Arial" w:cs="Arial" w:eastAsia="Arial" w:hAnsi="Arial"/>
          <w:sz w:val="15"/>
          <w:szCs w:val="15"/>
          <w:color w:val="auto"/>
        </w:rPr>
        <w:t>Sanofi’s or its Affiliates’ Research Program tasks.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Confidential Information: </w:t>
      </w:r>
      <w:r>
        <w:rPr>
          <w:rFonts w:ascii="Arial" w:cs="Arial" w:eastAsia="Arial" w:hAnsi="Arial"/>
          <w:sz w:val="15"/>
          <w:szCs w:val="15"/>
          <w:color w:val="auto"/>
        </w:rPr>
        <w:t>shall mean any information included in the list below:</w:t>
      </w:r>
    </w:p>
    <w:p>
      <w:pPr>
        <w:spacing w:after="0" w:line="42" w:lineRule="exact"/>
        <w:rPr>
          <w:sz w:val="20"/>
          <w:szCs w:val="20"/>
          <w:color w:val="auto"/>
        </w:rPr>
      </w:pPr>
    </w:p>
    <w:p>
      <w:pPr>
        <w:ind w:left="620" w:hanging="307"/>
        <w:spacing w:after="0"/>
        <w:tabs>
          <w:tab w:leader="none" w:pos="620" w:val="left"/>
        </w:tabs>
        <w:numPr>
          <w:ilvl w:val="0"/>
          <w:numId w:val="280"/>
        </w:numPr>
        <w:rPr>
          <w:rFonts w:ascii="MS PGothic" w:cs="MS PGothic" w:eastAsia="MS PGothic" w:hAnsi="MS PGothic"/>
          <w:sz w:val="15"/>
          <w:szCs w:val="15"/>
          <w:color w:val="auto"/>
        </w:rPr>
      </w:pPr>
      <w:r>
        <w:rPr>
          <w:rFonts w:ascii="Arial" w:cs="Arial" w:eastAsia="Arial" w:hAnsi="Arial"/>
          <w:sz w:val="15"/>
          <w:szCs w:val="15"/>
          <w:color w:val="auto"/>
        </w:rPr>
        <w:t>The terms of the Agreement and the content of the discussions held between the Parties in the framework of the negotiation of the Agreement;</w:t>
      </w:r>
    </w:p>
    <w:p>
      <w:pPr>
        <w:spacing w:after="0" w:line="42" w:lineRule="exact"/>
        <w:rPr>
          <w:rFonts w:ascii="MS PGothic" w:cs="MS PGothic" w:eastAsia="MS PGothic" w:hAnsi="MS PGothic"/>
          <w:sz w:val="15"/>
          <w:szCs w:val="15"/>
          <w:color w:val="auto"/>
        </w:rPr>
      </w:pPr>
    </w:p>
    <w:p>
      <w:pPr>
        <w:ind w:left="620" w:hanging="307"/>
        <w:spacing w:after="0"/>
        <w:tabs>
          <w:tab w:leader="none" w:pos="620" w:val="left"/>
        </w:tabs>
        <w:numPr>
          <w:ilvl w:val="0"/>
          <w:numId w:val="280"/>
        </w:numPr>
        <w:rPr>
          <w:rFonts w:ascii="MS PGothic" w:cs="MS PGothic" w:eastAsia="MS PGothic" w:hAnsi="MS PGothic"/>
          <w:sz w:val="15"/>
          <w:szCs w:val="15"/>
          <w:color w:val="auto"/>
        </w:rPr>
      </w:pPr>
      <w:r>
        <w:rPr>
          <w:rFonts w:ascii="Arial" w:cs="Arial" w:eastAsia="Arial" w:hAnsi="Arial"/>
          <w:sz w:val="15"/>
          <w:szCs w:val="15"/>
          <w:color w:val="auto"/>
        </w:rPr>
        <w:t>ExScientia Knowledge;</w:t>
      </w:r>
    </w:p>
    <w:p>
      <w:pPr>
        <w:spacing w:after="0" w:line="33" w:lineRule="exact"/>
        <w:rPr>
          <w:rFonts w:ascii="MS PGothic" w:cs="MS PGothic" w:eastAsia="MS PGothic" w:hAnsi="MS PGothic"/>
          <w:sz w:val="15"/>
          <w:szCs w:val="15"/>
          <w:color w:val="auto"/>
        </w:rPr>
      </w:pPr>
    </w:p>
    <w:p>
      <w:pPr>
        <w:ind w:left="620" w:hanging="307"/>
        <w:spacing w:after="0"/>
        <w:tabs>
          <w:tab w:leader="none" w:pos="620" w:val="left"/>
        </w:tabs>
        <w:numPr>
          <w:ilvl w:val="0"/>
          <w:numId w:val="280"/>
        </w:numPr>
        <w:rPr>
          <w:rFonts w:ascii="MS PGothic" w:cs="MS PGothic" w:eastAsia="MS PGothic" w:hAnsi="MS PGothic"/>
          <w:sz w:val="15"/>
          <w:szCs w:val="15"/>
          <w:color w:val="auto"/>
        </w:rPr>
      </w:pPr>
      <w:r>
        <w:rPr>
          <w:rFonts w:ascii="Arial" w:cs="Arial" w:eastAsia="Arial" w:hAnsi="Arial"/>
          <w:sz w:val="15"/>
          <w:szCs w:val="15"/>
          <w:color w:val="auto"/>
        </w:rPr>
        <w:t>Sanofi Knowledge;</w:t>
      </w:r>
    </w:p>
    <w:p>
      <w:pPr>
        <w:spacing w:after="0" w:line="33" w:lineRule="exact"/>
        <w:rPr>
          <w:rFonts w:ascii="MS PGothic" w:cs="MS PGothic" w:eastAsia="MS PGothic" w:hAnsi="MS PGothic"/>
          <w:sz w:val="15"/>
          <w:szCs w:val="15"/>
          <w:color w:val="auto"/>
        </w:rPr>
      </w:pPr>
    </w:p>
    <w:p>
      <w:pPr>
        <w:ind w:left="620" w:hanging="307"/>
        <w:spacing w:after="0"/>
        <w:tabs>
          <w:tab w:leader="none" w:pos="620" w:val="left"/>
        </w:tabs>
        <w:numPr>
          <w:ilvl w:val="0"/>
          <w:numId w:val="280"/>
        </w:numPr>
        <w:rPr>
          <w:rFonts w:ascii="MS PGothic" w:cs="MS PGothic" w:eastAsia="MS PGothic" w:hAnsi="MS PGothic"/>
          <w:sz w:val="15"/>
          <w:szCs w:val="15"/>
          <w:color w:val="auto"/>
        </w:rPr>
      </w:pPr>
      <w:r>
        <w:rPr>
          <w:rFonts w:ascii="Arial" w:cs="Arial" w:eastAsia="Arial" w:hAnsi="Arial"/>
          <w:sz w:val="15"/>
          <w:szCs w:val="15"/>
          <w:color w:val="auto"/>
        </w:rPr>
        <w:t>The Research Program;</w:t>
      </w:r>
    </w:p>
    <w:p>
      <w:pPr>
        <w:spacing w:after="0" w:line="33" w:lineRule="exact"/>
        <w:rPr>
          <w:rFonts w:ascii="MS PGothic" w:cs="MS PGothic" w:eastAsia="MS PGothic" w:hAnsi="MS PGothic"/>
          <w:sz w:val="15"/>
          <w:szCs w:val="15"/>
          <w:color w:val="auto"/>
        </w:rPr>
      </w:pPr>
    </w:p>
    <w:p>
      <w:pPr>
        <w:ind w:left="620" w:hanging="307"/>
        <w:spacing w:after="0"/>
        <w:tabs>
          <w:tab w:leader="none" w:pos="620" w:val="left"/>
        </w:tabs>
        <w:numPr>
          <w:ilvl w:val="0"/>
          <w:numId w:val="280"/>
        </w:numPr>
        <w:rPr>
          <w:rFonts w:ascii="MS PGothic" w:cs="MS PGothic" w:eastAsia="MS PGothic" w:hAnsi="MS PGothic"/>
          <w:sz w:val="15"/>
          <w:szCs w:val="15"/>
          <w:color w:val="auto"/>
        </w:rPr>
      </w:pPr>
      <w:r>
        <w:rPr>
          <w:rFonts w:ascii="Arial" w:cs="Arial" w:eastAsia="Arial" w:hAnsi="Arial"/>
          <w:sz w:val="15"/>
          <w:szCs w:val="15"/>
          <w:color w:val="auto"/>
        </w:rPr>
        <w:t>The Research Program Results;</w:t>
      </w:r>
    </w:p>
    <w:p>
      <w:pPr>
        <w:spacing w:after="0" w:line="33" w:lineRule="exact"/>
        <w:rPr>
          <w:rFonts w:ascii="MS PGothic" w:cs="MS PGothic" w:eastAsia="MS PGothic" w:hAnsi="MS PGothic"/>
          <w:sz w:val="15"/>
          <w:szCs w:val="15"/>
          <w:color w:val="auto"/>
        </w:rPr>
      </w:pPr>
    </w:p>
    <w:p>
      <w:pPr>
        <w:jc w:val="both"/>
        <w:ind w:left="620" w:hanging="307"/>
        <w:spacing w:after="0" w:line="281" w:lineRule="auto"/>
        <w:tabs>
          <w:tab w:leader="none" w:pos="631" w:val="left"/>
        </w:tabs>
        <w:numPr>
          <w:ilvl w:val="0"/>
          <w:numId w:val="280"/>
        </w:numPr>
        <w:rPr>
          <w:rFonts w:ascii="MS PGothic" w:cs="MS PGothic" w:eastAsia="MS PGothic" w:hAnsi="MS PGothic"/>
          <w:sz w:val="15"/>
          <w:szCs w:val="15"/>
          <w:color w:val="auto"/>
        </w:rPr>
      </w:pPr>
      <w:r>
        <w:rPr>
          <w:rFonts w:ascii="Arial" w:cs="Arial" w:eastAsia="Arial" w:hAnsi="Arial"/>
          <w:sz w:val="15"/>
          <w:szCs w:val="15"/>
          <w:color w:val="auto"/>
        </w:rPr>
        <w:t>Information of any type, whether oral or written, and whatever its form and the medium used, communicated directly or indirectly by one Party to the other in the framework of the Agreement (including, but not limited to, any information in reports, scientific and manufacturing information and plans, marketing and business plans and financial and personnel matters relating to a Party of its present or future products, sales, suppliers, customers, employees, investors or business);</w:t>
      </w:r>
    </w:p>
    <w:p>
      <w:pPr>
        <w:spacing w:after="0" w:line="3" w:lineRule="exact"/>
        <w:rPr>
          <w:rFonts w:ascii="MS PGothic" w:cs="MS PGothic" w:eastAsia="MS PGothic" w:hAnsi="MS PGothic"/>
          <w:sz w:val="15"/>
          <w:szCs w:val="15"/>
          <w:color w:val="auto"/>
        </w:rPr>
      </w:pPr>
    </w:p>
    <w:p>
      <w:pPr>
        <w:ind w:left="620" w:hanging="307"/>
        <w:spacing w:after="0" w:line="330" w:lineRule="auto"/>
        <w:tabs>
          <w:tab w:leader="none" w:pos="623" w:val="left"/>
        </w:tabs>
        <w:numPr>
          <w:ilvl w:val="0"/>
          <w:numId w:val="280"/>
        </w:numPr>
        <w:rPr>
          <w:rFonts w:ascii="MS PGothic" w:cs="MS PGothic" w:eastAsia="MS PGothic" w:hAnsi="MS PGothic"/>
          <w:sz w:val="15"/>
          <w:szCs w:val="15"/>
          <w:color w:val="auto"/>
        </w:rPr>
      </w:pPr>
      <w:r>
        <w:rPr>
          <w:rFonts w:ascii="Arial" w:cs="Arial" w:eastAsia="Arial" w:hAnsi="Arial"/>
          <w:sz w:val="15"/>
          <w:szCs w:val="15"/>
          <w:color w:val="auto"/>
        </w:rPr>
        <w:t>Any information which a Party might receive or discover on the occasion of its visit or visits to the offices, facilities and/or laboratories of the other Party or on the occasion of its discussions with the said other Party.</w:t>
      </w:r>
    </w:p>
    <w:p>
      <w:pPr>
        <w:spacing w:after="0" w:line="10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color w:val="auto"/>
        </w:rPr>
        <w:t xml:space="preserve">“Control” or “Controlled”: </w:t>
      </w:r>
      <w:r>
        <w:rPr>
          <w:rFonts w:ascii="Arial" w:cs="Arial" w:eastAsia="Arial" w:hAnsi="Arial"/>
          <w:sz w:val="15"/>
          <w:szCs w:val="15"/>
          <w:color w:val="auto"/>
        </w:rPr>
        <w:t>shall mean, with respect to any Know-How, Patent Rights or other intellectual property right, the possession by a Party (including its</w:t>
      </w:r>
      <w:r>
        <w:rPr>
          <w:rFonts w:ascii="Arial" w:cs="Arial" w:eastAsia="Arial" w:hAnsi="Arial"/>
          <w:sz w:val="15"/>
          <w:szCs w:val="15"/>
          <w:b w:val="1"/>
          <w:bCs w:val="1"/>
          <w:color w:val="auto"/>
        </w:rPr>
        <w:t xml:space="preserve"> </w:t>
      </w:r>
      <w:r>
        <w:rPr>
          <w:rFonts w:ascii="Arial" w:cs="Arial" w:eastAsia="Arial" w:hAnsi="Arial"/>
          <w:sz w:val="15"/>
          <w:szCs w:val="15"/>
          <w:color w:val="auto"/>
        </w:rPr>
        <w:t>Affiliates) of the ability to grant to the other Party (including its Affiliates) access, ownership, a license and/or a sublicense as provided herein without violating the terms of any agreement or other arrangement with any Third Party as of the time such Party would first be required hereunder to grant the other Party such access, ownership, license or sublicense.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Effective Date: </w:t>
      </w:r>
      <w:r>
        <w:rPr>
          <w:rFonts w:ascii="Arial" w:cs="Arial" w:eastAsia="Arial" w:hAnsi="Arial"/>
          <w:sz w:val="15"/>
          <w:szCs w:val="15"/>
          <w:color w:val="auto"/>
        </w:rPr>
        <w:t>shall mean the date of the last signature of the Agreement.</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 xml:space="preserve">ExScientia Knowledge: </w:t>
      </w:r>
      <w:r>
        <w:rPr>
          <w:rFonts w:ascii="Arial" w:cs="Arial" w:eastAsia="Arial" w:hAnsi="Arial"/>
          <w:sz w:val="15"/>
          <w:szCs w:val="15"/>
          <w:color w:val="auto"/>
        </w:rPr>
        <w:t>shall mean the Research Program Results and all data, chemical structures, Know-How, materials, inventions, methods, procedures,</w:t>
      </w:r>
      <w:r>
        <w:rPr>
          <w:rFonts w:ascii="Arial" w:cs="Arial" w:eastAsia="Arial" w:hAnsi="Arial"/>
          <w:sz w:val="15"/>
          <w:szCs w:val="15"/>
          <w:b w:val="1"/>
          <w:bCs w:val="1"/>
          <w:color w:val="auto"/>
        </w:rPr>
        <w:t xml:space="preserve"> </w:t>
      </w:r>
      <w:r>
        <w:rPr>
          <w:rFonts w:ascii="Arial" w:cs="Arial" w:eastAsia="Arial" w:hAnsi="Arial"/>
          <w:sz w:val="15"/>
          <w:szCs w:val="15"/>
          <w:color w:val="auto"/>
        </w:rPr>
        <w:t>manufacturing secrets, trade secrets, software (in its source code and object code versions), files, plans, diagrams, drawings, formulae, and/or any other type of information, in any form whatsoever, patentable or otherwise, and/or patented or otherwise directly related to, and/or reasonably necessary for, the performance of the Research Program which are owned or Controlled by ExScientia prior to the Effective Date and/or are developed or acquired by ExScientia in parallel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- 2/#NUM_PAGES# -</w:t>
      </w:r>
    </w:p>
    <w:p>
      <w:pPr>
        <w:sectPr>
          <w:pgSz w:w="11900" w:h="16838" w:orient="portrait"/>
          <w:cols w:equalWidth="0" w:num="1">
            <w:col w:w="11240"/>
          </w:cols>
          <w:pgMar w:left="320" w:top="133" w:right="3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independently from ExScientia performance under the Agreement. Subject to the foregoing, ExScientia Knowledge includes in particular:</w:t>
      </w:r>
    </w:p>
    <w:p>
      <w:pPr>
        <w:spacing w:after="0" w:line="34" w:lineRule="exact"/>
        <w:rPr>
          <w:sz w:val="20"/>
          <w:szCs w:val="20"/>
          <w:color w:val="auto"/>
        </w:rPr>
      </w:pPr>
    </w:p>
    <w:p>
      <w:pPr>
        <w:ind w:right="660" w:firstLine="3"/>
        <w:spacing w:after="0" w:line="287" w:lineRule="auto"/>
        <w:tabs>
          <w:tab w:leader="none" w:pos="94" w:val="left"/>
        </w:tabs>
        <w:numPr>
          <w:ilvl w:val="0"/>
          <w:numId w:val="281"/>
        </w:numPr>
        <w:rPr>
          <w:rFonts w:ascii="Arial" w:cs="Arial" w:eastAsia="Arial" w:hAnsi="Arial"/>
          <w:sz w:val="15"/>
          <w:szCs w:val="15"/>
          <w:color w:val="auto"/>
        </w:rPr>
      </w:pPr>
      <w:r>
        <w:rPr>
          <w:rFonts w:ascii="Arial" w:cs="Arial" w:eastAsia="Arial" w:hAnsi="Arial"/>
          <w:sz w:val="15"/>
          <w:szCs w:val="15"/>
          <w:color w:val="auto"/>
        </w:rPr>
        <w:t>Machine learning probabalistic models of chem/bio space - Automated design and evolutionary design algorithms - Active learning algorithms - Integrated structural database and structure-based design programs - In silico polypharmacology.</w:t>
      </w:r>
    </w:p>
    <w:p>
      <w:pPr>
        <w:ind w:right="200" w:firstLine="3"/>
        <w:spacing w:after="0" w:line="330" w:lineRule="auto"/>
        <w:tabs>
          <w:tab w:leader="none" w:pos="94" w:val="left"/>
        </w:tabs>
        <w:numPr>
          <w:ilvl w:val="0"/>
          <w:numId w:val="281"/>
        </w:numPr>
        <w:rPr>
          <w:rFonts w:ascii="Arial" w:cs="Arial" w:eastAsia="Arial" w:hAnsi="Arial"/>
          <w:sz w:val="15"/>
          <w:szCs w:val="15"/>
          <w:color w:val="auto"/>
        </w:rPr>
      </w:pPr>
      <w:r>
        <w:rPr>
          <w:rFonts w:ascii="Arial" w:cs="Arial" w:eastAsia="Arial" w:hAnsi="Arial"/>
          <w:sz w:val="15"/>
          <w:szCs w:val="15"/>
          <w:color w:val="auto"/>
        </w:rPr>
        <w:t>Track record in bispecific design for DPP4/PDE4 inhibitors for diabetes - Track record in delivering advances leads and development candidate-quality bispecific molecules.</w:t>
      </w:r>
    </w:p>
    <w:p>
      <w:pPr>
        <w:spacing w:after="0" w:line="142"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color w:val="auto"/>
        </w:rPr>
        <w:t xml:space="preserve">First Commercial Sale: </w:t>
      </w:r>
      <w:r>
        <w:rPr>
          <w:rFonts w:ascii="Arial" w:cs="Arial" w:eastAsia="Arial" w:hAnsi="Arial"/>
          <w:sz w:val="15"/>
          <w:szCs w:val="15"/>
          <w:color w:val="auto"/>
        </w:rPr>
        <w:t>shall mean with respect to any Product, on a country-by country basis, the first sale for monetary value for use or consumption by the end</w:t>
      </w:r>
      <w:r>
        <w:rPr>
          <w:rFonts w:ascii="Arial" w:cs="Arial" w:eastAsia="Arial" w:hAnsi="Arial"/>
          <w:sz w:val="15"/>
          <w:szCs w:val="15"/>
          <w:b w:val="1"/>
          <w:bCs w:val="1"/>
          <w:color w:val="auto"/>
        </w:rPr>
        <w:t xml:space="preserve"> </w:t>
      </w:r>
      <w:r>
        <w:rPr>
          <w:rFonts w:ascii="Arial" w:cs="Arial" w:eastAsia="Arial" w:hAnsi="Arial"/>
          <w:sz w:val="15"/>
          <w:szCs w:val="15"/>
          <w:color w:val="auto"/>
        </w:rPr>
        <w:t>user of such Product in such country after Regulatory Approval for such Product has been obtained in such country. Sales prior to receipt of Regulatory Approval for such Product, such as so-called “treatment IND sales,” “named patient sales,” and “compassionate use sales,” shall not be construed as a First Commercial Sale.</w:t>
      </w:r>
    </w:p>
    <w:p>
      <w:pPr>
        <w:spacing w:after="0" w:line="11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color w:val="auto"/>
        </w:rPr>
        <w:t xml:space="preserve">Governmental Authority: </w:t>
      </w:r>
      <w:r>
        <w:rPr>
          <w:rFonts w:ascii="Arial" w:cs="Arial" w:eastAsia="Arial" w:hAnsi="Arial"/>
          <w:sz w:val="15"/>
          <w:szCs w:val="15"/>
          <w:color w:val="auto"/>
        </w:rPr>
        <w:t>shall mean any federal, state, local, municipal or other governmental, regulatory, administrative, judicial, public or statutory</w:t>
      </w:r>
      <w:r>
        <w:rPr>
          <w:rFonts w:ascii="Arial" w:cs="Arial" w:eastAsia="Arial" w:hAnsi="Arial"/>
          <w:sz w:val="15"/>
          <w:szCs w:val="15"/>
          <w:b w:val="1"/>
          <w:bCs w:val="1"/>
          <w:color w:val="auto"/>
        </w:rPr>
        <w:t xml:space="preserve"> </w:t>
      </w:r>
      <w:r>
        <w:rPr>
          <w:rFonts w:ascii="Arial" w:cs="Arial" w:eastAsia="Arial" w:hAnsi="Arial"/>
          <w:sz w:val="15"/>
          <w:szCs w:val="15"/>
          <w:color w:val="auto"/>
        </w:rPr>
        <w:t>instrumentality, court or governmental tribunal, agency, commission, authority, body or entity, or any political subdivision thereof having legal jurisdiction over the matter or Person in question.</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b w:val="1"/>
          <w:bCs w:val="1"/>
          <w:color w:val="auto"/>
        </w:rPr>
        <w:t xml:space="preserve">Know-How: </w:t>
      </w:r>
      <w:r>
        <w:rPr>
          <w:rFonts w:ascii="Arial" w:cs="Arial" w:eastAsia="Arial" w:hAnsi="Arial"/>
          <w:sz w:val="15"/>
          <w:szCs w:val="15"/>
          <w:color w:val="auto"/>
        </w:rPr>
        <w:t>shall mean any and all unpatented technical and other information which is not in the public domain, comprising or relating to scientific and business</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data and materials, including all biological, chemical, pharmacological, toxicological, preclinical, clinical, analytical, and assay information, research plans, procedures, designs for experiments and tests, technology, software, instrumentation, devices, data (including marketing research, marketing and sales), regulatory filings, biological materials, constructs, compounds, inventions (patentable or otherwise, but excluding inventions covered by patent rights), practices, methods, models, knowledge, trade secrets, skill and expertise.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Licence Grant: </w:t>
      </w:r>
      <w:r>
        <w:rPr>
          <w:rFonts w:ascii="Arial" w:cs="Arial" w:eastAsia="Arial" w:hAnsi="Arial"/>
          <w:sz w:val="15"/>
          <w:szCs w:val="15"/>
          <w:color w:val="auto"/>
        </w:rPr>
        <w:t>shall have the meaning assigned to such term in Article 7.4.</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Net Sales: </w:t>
      </w:r>
      <w:r>
        <w:rPr>
          <w:rFonts w:ascii="Arial" w:cs="Arial" w:eastAsia="Arial" w:hAnsi="Arial"/>
          <w:sz w:val="15"/>
          <w:szCs w:val="15"/>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Option: </w:t>
      </w:r>
      <w:r>
        <w:rPr>
          <w:rFonts w:ascii="Arial" w:cs="Arial" w:eastAsia="Arial" w:hAnsi="Arial"/>
          <w:sz w:val="15"/>
          <w:szCs w:val="15"/>
          <w:color w:val="auto"/>
        </w:rPr>
        <w:t>shall have the meaning assigned to such term in Article 7.3.</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Option Period: </w:t>
      </w:r>
      <w:r>
        <w:rPr>
          <w:rFonts w:ascii="Arial" w:cs="Arial" w:eastAsia="Arial" w:hAnsi="Arial"/>
          <w:sz w:val="15"/>
          <w:szCs w:val="15"/>
          <w:color w:val="auto"/>
        </w:rPr>
        <w:t>shall mean the period of time during which the Option lasts. The Option Period is defined in Article 7.3 of this Agreement.</w:t>
      </w:r>
    </w:p>
    <w:p>
      <w:pPr>
        <w:spacing w:after="0" w:line="214" w:lineRule="exact"/>
        <w:rPr>
          <w:sz w:val="20"/>
          <w:szCs w:val="20"/>
          <w:color w:val="auto"/>
        </w:rPr>
      </w:pPr>
    </w:p>
    <w:p>
      <w:pPr>
        <w:jc w:val="both"/>
        <w:spacing w:after="0" w:line="333" w:lineRule="auto"/>
        <w:rPr>
          <w:sz w:val="20"/>
          <w:szCs w:val="20"/>
          <w:color w:val="auto"/>
        </w:rPr>
      </w:pPr>
      <w:r>
        <w:rPr>
          <w:rFonts w:ascii="Arial" w:cs="Arial" w:eastAsia="Arial" w:hAnsi="Arial"/>
          <w:sz w:val="15"/>
          <w:szCs w:val="15"/>
          <w:b w:val="1"/>
          <w:bCs w:val="1"/>
          <w:color w:val="auto"/>
        </w:rPr>
        <w:t xml:space="preserve">Person: </w:t>
      </w:r>
      <w:r>
        <w:rPr>
          <w:rFonts w:ascii="Arial" w:cs="Arial" w:eastAsia="Arial" w:hAnsi="Arial"/>
          <w:sz w:val="15"/>
          <w:szCs w:val="15"/>
          <w:color w:val="auto"/>
        </w:rPr>
        <w:t>shall mean any individual, firm, corporation, partnership, limited liability company, trust, business trust, joint venture company, governmental authority,</w:t>
      </w:r>
      <w:r>
        <w:rPr>
          <w:rFonts w:ascii="Arial" w:cs="Arial" w:eastAsia="Arial" w:hAnsi="Arial"/>
          <w:sz w:val="15"/>
          <w:szCs w:val="15"/>
          <w:b w:val="1"/>
          <w:bCs w:val="1"/>
          <w:color w:val="auto"/>
        </w:rPr>
        <w:t xml:space="preserve"> </w:t>
      </w:r>
      <w:r>
        <w:rPr>
          <w:rFonts w:ascii="Arial" w:cs="Arial" w:eastAsia="Arial" w:hAnsi="Arial"/>
          <w:sz w:val="15"/>
          <w:szCs w:val="15"/>
          <w:color w:val="auto"/>
        </w:rPr>
        <w:t>association or other entity.</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Phase I: </w:t>
      </w:r>
      <w:r>
        <w:rPr>
          <w:rFonts w:ascii="Arial" w:cs="Arial" w:eastAsia="Arial" w:hAnsi="Arial"/>
          <w:sz w:val="15"/>
          <w:szCs w:val="15"/>
          <w:color w:val="auto"/>
        </w:rPr>
        <w:t>shall mean that part of the Research Program to be performed by ExScientia, as further described in Exhibit A.</w:t>
      </w:r>
    </w:p>
    <w:p>
      <w:pPr>
        <w:spacing w:after="0" w:line="20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color w:val="auto"/>
        </w:rPr>
        <w:t xml:space="preserve">Phase I Results: </w:t>
      </w:r>
      <w:r>
        <w:rPr>
          <w:rFonts w:ascii="Arial" w:cs="Arial" w:eastAsia="Arial" w:hAnsi="Arial"/>
          <w:sz w:val="15"/>
          <w:szCs w:val="15"/>
          <w:color w:val="auto"/>
        </w:rPr>
        <w:t>shall mean all the Know How, patent applications and issued patents, and other intellectual property rights, including compound structures,</w:t>
      </w:r>
      <w:r>
        <w:rPr>
          <w:rFonts w:ascii="Arial" w:cs="Arial" w:eastAsia="Arial" w:hAnsi="Arial"/>
          <w:sz w:val="15"/>
          <w:szCs w:val="15"/>
          <w:b w:val="1"/>
          <w:bCs w:val="1"/>
          <w:color w:val="auto"/>
        </w:rPr>
        <w:t xml:space="preserve"> </w:t>
      </w:r>
      <w:r>
        <w:rPr>
          <w:rFonts w:ascii="Arial" w:cs="Arial" w:eastAsia="Arial" w:hAnsi="Arial"/>
          <w:sz w:val="15"/>
          <w:szCs w:val="15"/>
          <w:color w:val="auto"/>
        </w:rPr>
        <w:t>patented or otherwise, and any associated design rational explanations that directly arise during Phase I, identified solely by ExScientia, and directly related with a specific Target Combination.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Phase II: </w:t>
      </w:r>
      <w:r>
        <w:rPr>
          <w:rFonts w:ascii="Arial" w:cs="Arial" w:eastAsia="Arial" w:hAnsi="Arial"/>
          <w:sz w:val="15"/>
          <w:szCs w:val="15"/>
          <w:color w:val="auto"/>
        </w:rPr>
        <w:t>shall mean that part of the Research Program to be performed by Sanofi as further described in Exhibit A.</w:t>
      </w:r>
    </w:p>
    <w:p>
      <w:pPr>
        <w:spacing w:after="0" w:line="214" w:lineRule="exact"/>
        <w:rPr>
          <w:sz w:val="20"/>
          <w:szCs w:val="20"/>
          <w:color w:val="auto"/>
        </w:rPr>
      </w:pPr>
    </w:p>
    <w:p>
      <w:pPr>
        <w:jc w:val="both"/>
        <w:spacing w:after="0" w:line="333" w:lineRule="auto"/>
        <w:rPr>
          <w:sz w:val="20"/>
          <w:szCs w:val="20"/>
          <w:color w:val="auto"/>
        </w:rPr>
      </w:pPr>
      <w:r>
        <w:rPr>
          <w:rFonts w:ascii="Arial" w:cs="Arial" w:eastAsia="Arial" w:hAnsi="Arial"/>
          <w:sz w:val="15"/>
          <w:szCs w:val="15"/>
          <w:b w:val="1"/>
          <w:bCs w:val="1"/>
          <w:color w:val="auto"/>
        </w:rPr>
        <w:t xml:space="preserve">Phase II Results: </w:t>
      </w:r>
      <w:r>
        <w:rPr>
          <w:rFonts w:ascii="Arial" w:cs="Arial" w:eastAsia="Arial" w:hAnsi="Arial"/>
          <w:sz w:val="15"/>
          <w:szCs w:val="15"/>
          <w:color w:val="auto"/>
        </w:rPr>
        <w:t>shall mean all the data, Know How, patent applications and issued patents, and other intellectual property rights, that directly arise during Phase</w:t>
      </w:r>
      <w:r>
        <w:rPr>
          <w:rFonts w:ascii="Arial" w:cs="Arial" w:eastAsia="Arial" w:hAnsi="Arial"/>
          <w:sz w:val="15"/>
          <w:szCs w:val="15"/>
          <w:b w:val="1"/>
          <w:bCs w:val="1"/>
          <w:color w:val="auto"/>
        </w:rPr>
        <w:t xml:space="preserve"> </w:t>
      </w:r>
      <w:r>
        <w:rPr>
          <w:rFonts w:ascii="Arial" w:cs="Arial" w:eastAsia="Arial" w:hAnsi="Arial"/>
          <w:sz w:val="15"/>
          <w:szCs w:val="15"/>
          <w:color w:val="auto"/>
        </w:rPr>
        <w:t>II, directly related to Phase I and subsequently synthesized and assayed by Sanofi during the performance of the Phase I! on a specific Target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- 3/#NUM_PAGES# -</w:t>
      </w:r>
    </w:p>
    <w:p>
      <w:pPr>
        <w:sectPr>
          <w:pgSz w:w="11900" w:h="16838" w:orient="portrait"/>
          <w:cols w:equalWidth="0" w:num="1">
            <w:col w:w="11240"/>
          </w:cols>
          <w:pgMar w:left="320" w:top="133"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Product: </w:t>
      </w:r>
      <w:r>
        <w:rPr>
          <w:rFonts w:ascii="Arial" w:cs="Arial" w:eastAsia="Arial" w:hAnsi="Arial"/>
          <w:sz w:val="15"/>
          <w:szCs w:val="15"/>
          <w:color w:val="auto"/>
        </w:rPr>
        <w:t>shall mean any pharmaceutical product that contains or comprises a small molecule compound that [****].</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b w:val="1"/>
          <w:bCs w:val="1"/>
          <w:color w:val="auto"/>
        </w:rPr>
        <w:t xml:space="preserve">Regulatory Approval: </w:t>
      </w:r>
      <w:r>
        <w:rPr>
          <w:rFonts w:ascii="Arial" w:cs="Arial" w:eastAsia="Arial" w:hAnsi="Arial"/>
          <w:sz w:val="15"/>
          <w:szCs w:val="15"/>
          <w:color w:val="auto"/>
        </w:rPr>
        <w:t>shall mean (a) in the United States, approval by the FDA of a New Drug Application or Biologic License Application or similar application for</w:t>
      </w:r>
      <w:r>
        <w:rPr>
          <w:rFonts w:ascii="Arial" w:cs="Arial" w:eastAsia="Arial" w:hAnsi="Arial"/>
          <w:sz w:val="15"/>
          <w:szCs w:val="15"/>
          <w:b w:val="1"/>
          <w:bCs w:val="1"/>
          <w:color w:val="auto"/>
        </w:rPr>
        <w:t xml:space="preserve"> </w:t>
      </w:r>
      <w:r>
        <w:rPr>
          <w:rFonts w:ascii="Arial" w:cs="Arial" w:eastAsia="Arial" w:hAnsi="Arial"/>
          <w:sz w:val="15"/>
          <w:szCs w:val="15"/>
          <w:color w:val="auto"/>
        </w:rPr>
        <w:t>marketing approval, and satisfaction of all related applicable FDA registration and notification requirements, if any, or (b) in any other country in the Territory, approval by Regulatory Authorities (including pricing and reimbursement approvals) having jurisdiction over such country of a single application or set of applications comparable to an New Drug Application or Biologic License Application in the U.S. and satisfaction of all related applicable regulatory and notification requirements required for the marketing and sale of pharmaceuticals in such country.</w:t>
      </w:r>
    </w:p>
    <w:p>
      <w:pPr>
        <w:spacing w:after="0" w:line="142"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color w:val="auto"/>
        </w:rPr>
        <w:t xml:space="preserve">Regulatory Authorities: </w:t>
      </w:r>
      <w:r>
        <w:rPr>
          <w:rFonts w:ascii="Arial" w:cs="Arial" w:eastAsia="Arial" w:hAnsi="Arial"/>
          <w:sz w:val="15"/>
          <w:szCs w:val="15"/>
          <w:color w:val="auto"/>
        </w:rPr>
        <w:t>shall mean the FDA, and any health regulatory authority in any country in the Territory that is a counterpart to the FDA and holds</w:t>
      </w:r>
      <w:r>
        <w:rPr>
          <w:rFonts w:ascii="Arial" w:cs="Arial" w:eastAsia="Arial" w:hAnsi="Arial"/>
          <w:sz w:val="15"/>
          <w:szCs w:val="15"/>
          <w:b w:val="1"/>
          <w:bCs w:val="1"/>
          <w:color w:val="auto"/>
        </w:rPr>
        <w:t xml:space="preserve"> </w:t>
      </w:r>
      <w:r>
        <w:rPr>
          <w:rFonts w:ascii="Arial" w:cs="Arial" w:eastAsia="Arial" w:hAnsi="Arial"/>
          <w:sz w:val="15"/>
          <w:szCs w:val="15"/>
          <w:color w:val="auto"/>
        </w:rPr>
        <w:t>responsibility for granting Regulatory Approvals for a Product in such country, and any successor(s) thereto, including, without limitation, the European Commission and the Ministry for Health, Labor and Welfare of Japan.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Research Program: </w:t>
      </w:r>
      <w:r>
        <w:rPr>
          <w:rFonts w:ascii="Arial" w:cs="Arial" w:eastAsia="Arial" w:hAnsi="Arial"/>
          <w:sz w:val="15"/>
          <w:szCs w:val="15"/>
          <w:color w:val="auto"/>
        </w:rPr>
        <w:t>shall mean Phase I and Phase II.</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Research Program Results: </w:t>
      </w:r>
      <w:r>
        <w:rPr>
          <w:rFonts w:ascii="Arial" w:cs="Arial" w:eastAsia="Arial" w:hAnsi="Arial"/>
          <w:sz w:val="15"/>
          <w:szCs w:val="15"/>
          <w:color w:val="auto"/>
        </w:rPr>
        <w:t>shall mean Phase I Results and Phase II Results.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Research Program Term: </w:t>
      </w:r>
      <w:r>
        <w:rPr>
          <w:rFonts w:ascii="Arial" w:cs="Arial" w:eastAsia="Arial" w:hAnsi="Arial"/>
          <w:sz w:val="15"/>
          <w:szCs w:val="15"/>
          <w:color w:val="auto"/>
        </w:rPr>
        <w:t>shall have the meaning assigned to such term in Article 1.</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Sanofi Knowledge: </w:t>
      </w:r>
      <w:r>
        <w:rPr>
          <w:rFonts w:ascii="Arial" w:cs="Arial" w:eastAsia="Arial" w:hAnsi="Arial"/>
          <w:sz w:val="15"/>
          <w:szCs w:val="15"/>
          <w:color w:val="auto"/>
        </w:rPr>
        <w:t>[****]</w:t>
      </w:r>
    </w:p>
    <w:p>
      <w:pPr>
        <w:spacing w:after="0" w:line="201" w:lineRule="exact"/>
        <w:rPr>
          <w:sz w:val="20"/>
          <w:szCs w:val="20"/>
          <w:color w:val="auto"/>
        </w:rPr>
      </w:pPr>
    </w:p>
    <w:p>
      <w:pPr>
        <w:jc w:val="both"/>
        <w:spacing w:after="0" w:line="333" w:lineRule="auto"/>
        <w:rPr>
          <w:sz w:val="20"/>
          <w:szCs w:val="20"/>
          <w:color w:val="auto"/>
        </w:rPr>
      </w:pPr>
      <w:r>
        <w:rPr>
          <w:rFonts w:ascii="Arial" w:cs="Arial" w:eastAsia="Arial" w:hAnsi="Arial"/>
          <w:sz w:val="15"/>
          <w:szCs w:val="15"/>
          <w:b w:val="1"/>
          <w:bCs w:val="1"/>
          <w:color w:val="auto"/>
        </w:rPr>
        <w:t xml:space="preserve">Steering Committee: </w:t>
      </w:r>
      <w:r>
        <w:rPr>
          <w:rFonts w:ascii="Arial" w:cs="Arial" w:eastAsia="Arial" w:hAnsi="Arial"/>
          <w:sz w:val="15"/>
          <w:szCs w:val="15"/>
          <w:color w:val="auto"/>
        </w:rPr>
        <w:t>shall mean the steering committee to serve as the overall governing body for the Research Program and all other matters related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of the Research Program, as per the provisions of Article 4 of this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Sublicensee: </w:t>
      </w:r>
      <w:r>
        <w:rPr>
          <w:rFonts w:ascii="Arial" w:cs="Arial" w:eastAsia="Arial" w:hAnsi="Arial"/>
          <w:sz w:val="15"/>
          <w:szCs w:val="15"/>
          <w:color w:val="auto"/>
        </w:rPr>
        <w:t>shall mean a Third Party to which a Party has granted sublicence rights under the Research Program Results.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Targets: </w:t>
      </w:r>
      <w:r>
        <w:rPr>
          <w:rFonts w:ascii="Arial" w:cs="Arial" w:eastAsia="Arial" w:hAnsi="Arial"/>
          <w:sz w:val="15"/>
          <w:szCs w:val="15"/>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Target Combination: </w:t>
      </w:r>
      <w:r>
        <w:rPr>
          <w:rFonts w:ascii="Arial" w:cs="Arial" w:eastAsia="Arial" w:hAnsi="Arial"/>
          <w:sz w:val="15"/>
          <w:szCs w:val="15"/>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Term: </w:t>
      </w:r>
      <w:r>
        <w:rPr>
          <w:rFonts w:ascii="Arial" w:cs="Arial" w:eastAsia="Arial" w:hAnsi="Arial"/>
          <w:sz w:val="15"/>
          <w:szCs w:val="15"/>
          <w:color w:val="auto"/>
        </w:rPr>
        <w:t>shall have the meaning assigned to such term in Article 5.</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Territory: </w:t>
      </w:r>
      <w:r>
        <w:rPr>
          <w:rFonts w:ascii="Arial" w:cs="Arial" w:eastAsia="Arial" w:hAnsi="Arial"/>
          <w:sz w:val="15"/>
          <w:szCs w:val="15"/>
          <w:color w:val="auto"/>
        </w:rPr>
        <w:t>shall mean worldwide.</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Third Party: </w:t>
      </w:r>
      <w:r>
        <w:rPr>
          <w:rFonts w:ascii="Arial" w:cs="Arial" w:eastAsia="Arial" w:hAnsi="Arial"/>
          <w:sz w:val="15"/>
          <w:szCs w:val="15"/>
          <w:color w:val="auto"/>
        </w:rPr>
        <w:t>shall mean any person other than the Parties or their respective Affiliates.</w:t>
      </w:r>
    </w:p>
    <w:p>
      <w:pPr>
        <w:spacing w:after="0" w:line="201"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1:</w:t>
      </w:r>
      <w:r>
        <w:rPr>
          <w:sz w:val="20"/>
          <w:szCs w:val="20"/>
          <w:color w:val="auto"/>
        </w:rPr>
        <w:tab/>
      </w:r>
      <w:r>
        <w:rPr>
          <w:rFonts w:ascii="Arial" w:cs="Arial" w:eastAsia="Arial" w:hAnsi="Arial"/>
          <w:sz w:val="15"/>
          <w:szCs w:val="15"/>
          <w:b w:val="1"/>
          <w:bCs w:val="1"/>
          <w:color w:val="auto"/>
        </w:rPr>
        <w:t>Research Program</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Each Party (and/or their Affiliates or Bona Fide Research Contractor) undertakes to perform its tasks under the Research Program as described in Exhibit A.</w:t>
      </w:r>
    </w:p>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details of the Research Program can only be modified by a written amendment to this Agreement duly signed by the Parties’ representatives in compliance with provisions of Article 16.2 below, except for any scientific modification which has no impact on the Agreement budget or duration and which can be agreed upon by the Steering Committee in compliance with the provisions of Article 4 below.</w:t>
      </w:r>
    </w:p>
    <w:p>
      <w:pPr>
        <w:spacing w:after="0" w:line="14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Research Program shall commence on the Effective Date and expire upon the earlier of completion of all Research Program activities with respect to all Target Combinations and the delivery of all deliverables as described in Exhibit A (the “Research Program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- 4/#NUM_PAGES# -</w:t>
      </w:r>
    </w:p>
    <w:p>
      <w:pPr>
        <w:sectPr>
          <w:pgSz w:w="11900" w:h="16838" w:orient="portrait"/>
          <w:cols w:equalWidth="0" w:num="1">
            <w:col w:w="11240"/>
          </w:cols>
          <w:pgMar w:left="320" w:top="133" w:right="3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2:</w:t>
      </w:r>
      <w:r>
        <w:rPr>
          <w:sz w:val="20"/>
          <w:szCs w:val="20"/>
          <w:color w:val="auto"/>
        </w:rPr>
        <w:tab/>
      </w:r>
      <w:r>
        <w:rPr>
          <w:rFonts w:ascii="Arial" w:cs="Arial" w:eastAsia="Arial" w:hAnsi="Arial"/>
          <w:sz w:val="15"/>
          <w:szCs w:val="15"/>
          <w:b w:val="1"/>
          <w:bCs w:val="1"/>
          <w:color w:val="auto"/>
        </w:rPr>
        <w:t>Carrying out of the Research Program</w:t>
      </w:r>
    </w:p>
    <w:p>
      <w:pPr>
        <w:spacing w:after="0" w:line="214" w:lineRule="exact"/>
        <w:rPr>
          <w:sz w:val="20"/>
          <w:szCs w:val="20"/>
          <w:color w:val="auto"/>
        </w:rPr>
      </w:pPr>
    </w:p>
    <w:p>
      <w:pPr>
        <w:jc w:val="both"/>
        <w:ind w:left="620" w:hanging="618"/>
        <w:spacing w:after="0" w:line="308" w:lineRule="auto"/>
        <w:tabs>
          <w:tab w:leader="none" w:pos="60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5"/>
          <w:szCs w:val="15"/>
          <w:color w:val="auto"/>
        </w:rPr>
        <w:t>Each Party (and/or their Affiliates or Bona Fide Research Contractor) undertakes to perform the Research Program in a manner commensurate with professional standards, by implementing all necessary means, and in accordance with the terms of the Agreement, the timelines for completion of each activity as further detailed in Exhibit A, and all applicable laws, rules and regulations, including the Sanofi Code of Conduct, as mentioned in Appendix B.</w:t>
      </w:r>
    </w:p>
    <w:p>
      <w:pPr>
        <w:spacing w:after="0" w:line="122" w:lineRule="exact"/>
        <w:rPr>
          <w:sz w:val="20"/>
          <w:szCs w:val="20"/>
          <w:color w:val="auto"/>
        </w:rPr>
      </w:pPr>
    </w:p>
    <w:p>
      <w:pPr>
        <w:jc w:val="both"/>
        <w:ind w:left="620" w:hanging="618"/>
        <w:spacing w:after="0" w:line="290" w:lineRule="auto"/>
        <w:tabs>
          <w:tab w:leader="none" w:pos="60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5"/>
          <w:szCs w:val="15"/>
          <w:color w:val="auto"/>
        </w:rPr>
        <w:t>During the Term, each Party will (i) provide the other with copies of and/or reasonable access to any Research Program Results generated during the performance of the Research Program, that is reasonably required by or useful to such other Party for the performance of its obligations and exercise of its rights, under this Agreement (ii) keep the other Party reasonably informed with respect to the performance, progress and results of the Research Program and the activities for which it is responsible under the Research Program, including without limitation by providing regular updates at each meeting of the Steering Committee (iii) keep the other Party reasonably informed as soon as possible, of any problem or difficulty that could affect the performance of the Research Program (iv) maintain, and require Affiliates and Bona Fide Research Contractors to maintain, complete, accurate and up to date books of account and records of all acts by it in connection with the Research Program performed under this Agreement for a minimum period of [****] following the termination of this Agreement. [****] Without prejudice to the generality of the foregoing, this obligation will extend to [****]. In addition, each Party will provide the other Party with a copy of [****].</w:t>
      </w:r>
    </w:p>
    <w:p>
      <w:pPr>
        <w:spacing w:after="0" w:line="148"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5"/>
          <w:szCs w:val="15"/>
          <w:color w:val="auto"/>
        </w:rPr>
        <w:t>During the performance of the Research Program, each Party shall supply the other with the deliverables defined in Exhibit A in compliance with the timelines defined in said exhibit.</w:t>
      </w:r>
    </w:p>
    <w:p>
      <w:pPr>
        <w:spacing w:after="0" w:line="106" w:lineRule="exact"/>
        <w:rPr>
          <w:sz w:val="20"/>
          <w:szCs w:val="20"/>
          <w:color w:val="auto"/>
        </w:rPr>
      </w:pPr>
    </w:p>
    <w:p>
      <w:pPr>
        <w:jc w:val="both"/>
        <w:ind w:left="620" w:hanging="618"/>
        <w:spacing w:after="0" w:line="308" w:lineRule="auto"/>
        <w:tabs>
          <w:tab w:leader="none" w:pos="60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5"/>
          <w:szCs w:val="15"/>
          <w:color w:val="auto"/>
        </w:rPr>
        <w:t>The Parties will set up a minimum of monthly meetings or teleconferences in order to discuss the progress of the Research Program. ExScientia shall prepare and provide Sanofi with a) a first report [****] from the start of the Research Program, and (b) a second report [****] from the start of the Research Program, as provided herein. All reports shall include [****], pursuant to the terms of Article 2.2.</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The aforementioned reports will be drafted in English, signed by ExScientia Scientific Interlocutors and sent to Sanofi’s Scientific Interlocutors for acceptation.</w:t>
      </w:r>
    </w:p>
    <w:p>
      <w:pPr>
        <w:spacing w:after="0" w:line="199"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3:</w:t>
      </w:r>
      <w:r>
        <w:rPr>
          <w:sz w:val="20"/>
          <w:szCs w:val="20"/>
          <w:color w:val="auto"/>
        </w:rPr>
        <w:tab/>
      </w:r>
      <w:r>
        <w:rPr>
          <w:rFonts w:ascii="Arial" w:cs="Arial" w:eastAsia="Arial" w:hAnsi="Arial"/>
          <w:sz w:val="15"/>
          <w:szCs w:val="15"/>
          <w:b w:val="1"/>
          <w:bCs w:val="1"/>
          <w:color w:val="auto"/>
        </w:rPr>
        <w:t>Scientific Interlocutors</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5"/>
          <w:szCs w:val="15"/>
          <w:color w:val="auto"/>
        </w:rPr>
        <w:t>ExScientia has designated [****] to be the scientific interlocutors with Sanofi (hereinafter the “ExScientia’s Scientific Interlocutors”).</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5"/>
          <w:szCs w:val="15"/>
          <w:color w:val="auto"/>
        </w:rPr>
        <w:t>Sanofi has designated [****] to be the scientific interlocutors with ExScientia (hereinafter the “Sanofi’s Scientific Interlocutors”).</w:t>
      </w:r>
    </w:p>
    <w:p>
      <w:pPr>
        <w:spacing w:after="0" w:line="201"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4:</w:t>
      </w:r>
      <w:r>
        <w:rPr>
          <w:sz w:val="20"/>
          <w:szCs w:val="20"/>
          <w:color w:val="auto"/>
        </w:rPr>
        <w:tab/>
      </w:r>
      <w:r>
        <w:rPr>
          <w:rFonts w:ascii="Arial" w:cs="Arial" w:eastAsia="Arial" w:hAnsi="Arial"/>
          <w:sz w:val="15"/>
          <w:szCs w:val="15"/>
          <w:b w:val="1"/>
          <w:bCs w:val="1"/>
          <w:color w:val="auto"/>
        </w:rPr>
        <w:t>Monitoring of the Agreement</w:t>
      </w:r>
    </w:p>
    <w:p>
      <w:pPr>
        <w:spacing w:after="0" w:line="214"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5"/>
          <w:szCs w:val="15"/>
          <w:color w:val="auto"/>
        </w:rPr>
        <w:t>Under this Agreement a Steering Committee shall be created, the members of which shall be the Parties Scientific Interlocutors designated in Article 3 above and other Parties’ personnel considered as necessary by these Parties.</w:t>
      </w:r>
    </w:p>
    <w:p>
      <w:pPr>
        <w:spacing w:after="0" w:line="106" w:lineRule="exact"/>
        <w:rPr>
          <w:sz w:val="20"/>
          <w:szCs w:val="20"/>
          <w:color w:val="auto"/>
        </w:rPr>
      </w:pPr>
    </w:p>
    <w:p>
      <w:pPr>
        <w:jc w:val="both"/>
        <w:ind w:left="620" w:hanging="618"/>
        <w:spacing w:after="0" w:line="308" w:lineRule="auto"/>
        <w:tabs>
          <w:tab w:leader="none" w:pos="60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5"/>
          <w:szCs w:val="15"/>
          <w:color w:val="auto"/>
        </w:rPr>
        <w:t>If, for any reason, one of the members of the Steering Committee should no longer be in a position to meet the obligations imposed on him/her under this Agreement, the Parties will keep each other mutually informed in writing and will provide the name of the new representative, who must be equivalently committed and competent.</w:t>
      </w:r>
    </w:p>
    <w:p>
      <w:pPr>
        <w:spacing w:after="0" w:line="122"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5"/>
          <w:szCs w:val="15"/>
          <w:color w:val="auto"/>
        </w:rPr>
        <w:t>The Steering Committee shall be created for the purpose of ensuring in particular, but not limited to, proper performance of the Research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- 5/#NUM_PAGES# -</w:t>
      </w:r>
    </w:p>
    <w:p>
      <w:pPr>
        <w:sectPr>
          <w:pgSz w:w="11900" w:h="16838" w:orient="portrait"/>
          <w:cols w:equalWidth="0" w:num="1">
            <w:col w:w="11240"/>
          </w:cols>
          <w:pgMar w:left="320" w:top="134"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20" w:hanging="618"/>
        <w:spacing w:after="0" w:line="308" w:lineRule="auto"/>
        <w:tabs>
          <w:tab w:leader="none" w:pos="600" w:val="left"/>
        </w:tabs>
        <w:rPr>
          <w:sz w:val="20"/>
          <w:szCs w:val="20"/>
          <w:color w:val="auto"/>
        </w:rPr>
      </w:pPr>
      <w:r>
        <w:rPr>
          <w:rFonts w:ascii="Arial" w:cs="Arial" w:eastAsia="Arial" w:hAnsi="Arial"/>
          <w:sz w:val="15"/>
          <w:szCs w:val="15"/>
          <w:b w:val="1"/>
          <w:bCs w:val="1"/>
          <w:color w:val="auto"/>
        </w:rPr>
        <w:t>4.4</w:t>
      </w:r>
      <w:r>
        <w:rPr>
          <w:sz w:val="20"/>
          <w:szCs w:val="20"/>
          <w:color w:val="auto"/>
        </w:rPr>
        <w:tab/>
      </w:r>
      <w:r>
        <w:rPr>
          <w:rFonts w:ascii="Arial" w:cs="Arial" w:eastAsia="Arial" w:hAnsi="Arial"/>
          <w:sz w:val="15"/>
          <w:szCs w:val="15"/>
          <w:color w:val="auto"/>
        </w:rPr>
        <w:t>The Steering Committee shall meet at least at the milestone points defined in Exhibit A. An extraordinary meeting can be called upon request of one of the Parties. At meetings of the Steering Committee, each Party will inform the other Party of any information necessary for this Agreement to run smoothly. These meetings can be held by phone, in the form of teleconferences or in person, as the Parties wish.</w:t>
      </w:r>
    </w:p>
    <w:p>
      <w:pPr>
        <w:spacing w:after="0" w:line="135"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4.5</w:t>
      </w:r>
      <w:r>
        <w:rPr>
          <w:sz w:val="20"/>
          <w:szCs w:val="20"/>
          <w:color w:val="auto"/>
        </w:rPr>
        <w:tab/>
      </w:r>
      <w:r>
        <w:rPr>
          <w:rFonts w:ascii="Arial" w:cs="Arial" w:eastAsia="Arial" w:hAnsi="Arial"/>
          <w:sz w:val="15"/>
          <w:szCs w:val="15"/>
          <w:color w:val="auto"/>
        </w:rPr>
        <w:t>The role of the Steering Committee shall be:</w:t>
      </w:r>
    </w:p>
    <w:p>
      <w:pPr>
        <w:spacing w:after="0" w:line="42" w:lineRule="exact"/>
        <w:rPr>
          <w:sz w:val="20"/>
          <w:szCs w:val="20"/>
          <w:color w:val="auto"/>
        </w:rPr>
      </w:pPr>
    </w:p>
    <w:p>
      <w:pPr>
        <w:ind w:left="920" w:hanging="298"/>
        <w:spacing w:after="0"/>
        <w:tabs>
          <w:tab w:leader="none" w:pos="920" w:val="left"/>
        </w:tabs>
        <w:numPr>
          <w:ilvl w:val="0"/>
          <w:numId w:val="282"/>
        </w:numPr>
        <w:rPr>
          <w:rFonts w:ascii="MS PGothic" w:cs="MS PGothic" w:eastAsia="MS PGothic" w:hAnsi="MS PGothic"/>
          <w:sz w:val="15"/>
          <w:szCs w:val="15"/>
          <w:color w:val="auto"/>
        </w:rPr>
      </w:pPr>
      <w:r>
        <w:rPr>
          <w:rFonts w:ascii="Arial" w:cs="Arial" w:eastAsia="Arial" w:hAnsi="Arial"/>
          <w:sz w:val="15"/>
          <w:szCs w:val="15"/>
          <w:color w:val="auto"/>
        </w:rPr>
        <w:t>to provide general management of the Research Program and to oversee and monitor the completion of the steps set out in the Research Program,</w:t>
      </w:r>
    </w:p>
    <w:p>
      <w:pPr>
        <w:spacing w:after="0" w:line="29" w:lineRule="exact"/>
        <w:rPr>
          <w:rFonts w:ascii="MS PGothic" w:cs="MS PGothic" w:eastAsia="MS PGothic" w:hAnsi="MS PGothic"/>
          <w:sz w:val="15"/>
          <w:szCs w:val="15"/>
          <w:color w:val="auto"/>
        </w:rPr>
      </w:pPr>
    </w:p>
    <w:p>
      <w:pPr>
        <w:ind w:left="920" w:hanging="298"/>
        <w:spacing w:after="0"/>
        <w:tabs>
          <w:tab w:leader="none" w:pos="920" w:val="left"/>
        </w:tabs>
        <w:numPr>
          <w:ilvl w:val="0"/>
          <w:numId w:val="282"/>
        </w:numPr>
        <w:rPr>
          <w:rFonts w:ascii="MS PGothic" w:cs="MS PGothic" w:eastAsia="MS PGothic" w:hAnsi="MS PGothic"/>
          <w:sz w:val="15"/>
          <w:szCs w:val="15"/>
          <w:color w:val="auto"/>
        </w:rPr>
      </w:pPr>
      <w:r>
        <w:rPr>
          <w:rFonts w:ascii="Arial" w:cs="Arial" w:eastAsia="Arial" w:hAnsi="Arial"/>
          <w:sz w:val="15"/>
          <w:szCs w:val="15"/>
          <w:color w:val="auto"/>
        </w:rPr>
        <w:t>to oversee and monitor compliance with the timelines of the Research Program,</w:t>
      </w:r>
    </w:p>
    <w:p>
      <w:pPr>
        <w:spacing w:after="0" w:line="33" w:lineRule="exact"/>
        <w:rPr>
          <w:rFonts w:ascii="MS PGothic" w:cs="MS PGothic" w:eastAsia="MS PGothic" w:hAnsi="MS PGothic"/>
          <w:sz w:val="15"/>
          <w:szCs w:val="15"/>
          <w:color w:val="auto"/>
        </w:rPr>
      </w:pPr>
    </w:p>
    <w:p>
      <w:pPr>
        <w:ind w:left="920" w:hanging="298"/>
        <w:spacing w:after="0"/>
        <w:tabs>
          <w:tab w:leader="none" w:pos="920" w:val="left"/>
        </w:tabs>
        <w:numPr>
          <w:ilvl w:val="0"/>
          <w:numId w:val="282"/>
        </w:numPr>
        <w:rPr>
          <w:rFonts w:ascii="MS PGothic" w:cs="MS PGothic" w:eastAsia="MS PGothic" w:hAnsi="MS PGothic"/>
          <w:sz w:val="15"/>
          <w:szCs w:val="15"/>
          <w:color w:val="auto"/>
        </w:rPr>
      </w:pPr>
      <w:r>
        <w:rPr>
          <w:rFonts w:ascii="Arial" w:cs="Arial" w:eastAsia="Arial" w:hAnsi="Arial"/>
          <w:sz w:val="15"/>
          <w:szCs w:val="15"/>
          <w:color w:val="auto"/>
        </w:rPr>
        <w:t>to assess all measures necessary to facilitate performance of the Research Program,</w:t>
      </w:r>
    </w:p>
    <w:p>
      <w:pPr>
        <w:spacing w:after="0" w:line="33" w:lineRule="exact"/>
        <w:rPr>
          <w:rFonts w:ascii="MS PGothic" w:cs="MS PGothic" w:eastAsia="MS PGothic" w:hAnsi="MS PGothic"/>
          <w:sz w:val="15"/>
          <w:szCs w:val="15"/>
          <w:color w:val="auto"/>
        </w:rPr>
      </w:pPr>
    </w:p>
    <w:p>
      <w:pPr>
        <w:ind w:left="920" w:hanging="298"/>
        <w:spacing w:after="0"/>
        <w:tabs>
          <w:tab w:leader="none" w:pos="920" w:val="left"/>
        </w:tabs>
        <w:numPr>
          <w:ilvl w:val="0"/>
          <w:numId w:val="282"/>
        </w:numPr>
        <w:rPr>
          <w:rFonts w:ascii="MS PGothic" w:cs="MS PGothic" w:eastAsia="MS PGothic" w:hAnsi="MS PGothic"/>
          <w:sz w:val="15"/>
          <w:szCs w:val="15"/>
          <w:color w:val="auto"/>
        </w:rPr>
      </w:pPr>
      <w:r>
        <w:rPr>
          <w:rFonts w:ascii="Arial" w:cs="Arial" w:eastAsia="Arial" w:hAnsi="Arial"/>
          <w:sz w:val="15"/>
          <w:szCs w:val="15"/>
          <w:color w:val="auto"/>
        </w:rPr>
        <w:t>if necessary in light of the Research Program Results, to decide to make changes to the Research Program and/or to the Research Program Term.</w:t>
      </w:r>
    </w:p>
    <w:p>
      <w:pPr>
        <w:spacing w:after="0" w:line="33" w:lineRule="exact"/>
        <w:rPr>
          <w:rFonts w:ascii="MS PGothic" w:cs="MS PGothic" w:eastAsia="MS PGothic" w:hAnsi="MS PGothic"/>
          <w:sz w:val="15"/>
          <w:szCs w:val="15"/>
          <w:color w:val="auto"/>
        </w:rPr>
      </w:pPr>
    </w:p>
    <w:p>
      <w:pPr>
        <w:ind w:left="940" w:hanging="318"/>
        <w:spacing w:after="0" w:line="275" w:lineRule="auto"/>
        <w:tabs>
          <w:tab w:leader="none" w:pos="1009" w:val="left"/>
        </w:tabs>
        <w:numPr>
          <w:ilvl w:val="0"/>
          <w:numId w:val="282"/>
        </w:numPr>
        <w:rPr>
          <w:rFonts w:ascii="MS PGothic" w:cs="MS PGothic" w:eastAsia="MS PGothic" w:hAnsi="MS PGothic"/>
          <w:sz w:val="15"/>
          <w:szCs w:val="15"/>
          <w:color w:val="auto"/>
        </w:rPr>
      </w:pPr>
      <w:r>
        <w:rPr>
          <w:rFonts w:ascii="Arial" w:cs="Arial" w:eastAsia="Arial" w:hAnsi="Arial"/>
          <w:sz w:val="15"/>
          <w:szCs w:val="15"/>
          <w:color w:val="auto"/>
        </w:rPr>
        <w:t>to manage the complete dissemination of information relating to the Research Program Results among the Parties, and to ensure that a spirit of cooperation is established and maintained between the Parties.</w:t>
      </w:r>
    </w:p>
    <w:p>
      <w:pPr>
        <w:spacing w:after="0" w:line="3" w:lineRule="exact"/>
        <w:rPr>
          <w:rFonts w:ascii="MS PGothic" w:cs="MS PGothic" w:eastAsia="MS PGothic" w:hAnsi="MS PGothic"/>
          <w:sz w:val="15"/>
          <w:szCs w:val="15"/>
          <w:color w:val="auto"/>
        </w:rPr>
      </w:pPr>
    </w:p>
    <w:p>
      <w:pPr>
        <w:ind w:left="920" w:hanging="298"/>
        <w:spacing w:after="0"/>
        <w:tabs>
          <w:tab w:leader="none" w:pos="920" w:val="left"/>
        </w:tabs>
        <w:numPr>
          <w:ilvl w:val="0"/>
          <w:numId w:val="282"/>
        </w:numPr>
        <w:rPr>
          <w:rFonts w:ascii="MS PGothic" w:cs="MS PGothic" w:eastAsia="MS PGothic" w:hAnsi="MS PGothic"/>
          <w:sz w:val="15"/>
          <w:szCs w:val="15"/>
          <w:color w:val="auto"/>
        </w:rPr>
      </w:pPr>
      <w:r>
        <w:rPr>
          <w:rFonts w:ascii="Arial" w:cs="Arial" w:eastAsia="Arial" w:hAnsi="Arial"/>
          <w:sz w:val="15"/>
          <w:szCs w:val="15"/>
          <w:color w:val="auto"/>
        </w:rPr>
        <w:t>to discuss the opportunity for Sanofi or its Affiliates to exercise the Option.</w:t>
      </w:r>
    </w:p>
    <w:p>
      <w:pPr>
        <w:spacing w:after="0" w:line="212" w:lineRule="exact"/>
        <w:rPr>
          <w:sz w:val="20"/>
          <w:szCs w:val="20"/>
          <w:color w:val="auto"/>
        </w:rPr>
      </w:pPr>
    </w:p>
    <w:p>
      <w:pPr>
        <w:jc w:val="both"/>
        <w:ind w:left="620" w:hanging="618"/>
        <w:spacing w:after="0" w:line="299" w:lineRule="auto"/>
        <w:tabs>
          <w:tab w:leader="none" w:pos="600" w:val="left"/>
        </w:tabs>
        <w:rPr>
          <w:sz w:val="20"/>
          <w:szCs w:val="20"/>
          <w:color w:val="auto"/>
        </w:rPr>
      </w:pPr>
      <w:r>
        <w:rPr>
          <w:rFonts w:ascii="Arial" w:cs="Arial" w:eastAsia="Arial" w:hAnsi="Arial"/>
          <w:sz w:val="15"/>
          <w:szCs w:val="15"/>
          <w:b w:val="1"/>
          <w:bCs w:val="1"/>
          <w:color w:val="auto"/>
        </w:rPr>
        <w:t>4.6</w:t>
      </w:r>
      <w:r>
        <w:rPr>
          <w:sz w:val="20"/>
          <w:szCs w:val="20"/>
          <w:color w:val="auto"/>
        </w:rPr>
        <w:tab/>
      </w:r>
      <w:r>
        <w:rPr>
          <w:rFonts w:ascii="Arial" w:cs="Arial" w:eastAsia="Arial" w:hAnsi="Arial"/>
          <w:sz w:val="15"/>
          <w:szCs w:val="15"/>
          <w:color w:val="auto"/>
        </w:rPr>
        <w:t>Decisions of the Steering Committee will be made unanimously by the members who are present or represented and who shall in no case be less than two representatives for each Party. In the event that any matter for which the Steering Committee has decision making authority cannot be decided unanimously, [****].</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p>
    <w:p>
      <w:pPr>
        <w:spacing w:after="0" w:line="199"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4.7</w:t>
      </w:r>
      <w:r>
        <w:rPr>
          <w:sz w:val="20"/>
          <w:szCs w:val="20"/>
          <w:color w:val="auto"/>
        </w:rPr>
        <w:tab/>
      </w:r>
      <w:r>
        <w:rPr>
          <w:rFonts w:ascii="Arial" w:cs="Arial" w:eastAsia="Arial" w:hAnsi="Arial"/>
          <w:sz w:val="15"/>
          <w:szCs w:val="15"/>
          <w:color w:val="auto"/>
        </w:rPr>
        <w:t>Minutes of each meeting will be drafted and sent to each Steering Committee member within [****] from said meeting. These minutes will be deemed approved if no objections are received within [****].</w:t>
      </w:r>
    </w:p>
    <w:p>
      <w:pPr>
        <w:spacing w:after="0" w:line="106" w:lineRule="exact"/>
        <w:rPr>
          <w:sz w:val="20"/>
          <w:szCs w:val="20"/>
          <w:color w:val="auto"/>
        </w:rPr>
      </w:pPr>
    </w:p>
    <w:p>
      <w:pPr>
        <w:jc w:val="both"/>
        <w:ind w:left="620" w:hanging="618"/>
        <w:spacing w:after="0" w:line="308" w:lineRule="auto"/>
        <w:tabs>
          <w:tab w:leader="none" w:pos="600" w:val="left"/>
        </w:tabs>
        <w:rPr>
          <w:sz w:val="20"/>
          <w:szCs w:val="20"/>
          <w:color w:val="auto"/>
        </w:rPr>
      </w:pPr>
      <w:r>
        <w:rPr>
          <w:rFonts w:ascii="Arial" w:cs="Arial" w:eastAsia="Arial" w:hAnsi="Arial"/>
          <w:sz w:val="15"/>
          <w:szCs w:val="15"/>
          <w:b w:val="1"/>
          <w:bCs w:val="1"/>
          <w:color w:val="auto"/>
        </w:rPr>
        <w:t>4.8</w:t>
      </w:r>
      <w:r>
        <w:rPr>
          <w:sz w:val="20"/>
          <w:szCs w:val="20"/>
          <w:color w:val="auto"/>
        </w:rPr>
        <w:tab/>
      </w:r>
      <w:r>
        <w:rPr>
          <w:rFonts w:ascii="Arial" w:cs="Arial" w:eastAsia="Arial" w:hAnsi="Arial"/>
          <w:sz w:val="15"/>
          <w:szCs w:val="15"/>
          <w:color w:val="auto"/>
        </w:rPr>
        <w:t>Any decision affecting and/or modifying the rights and obligations of the Parties under this Agreement, in particular financial, shall be set out in an amendment to the Agreement which shall be effective only if made in writing and signed by authorized representatives of both Parties in compliance with provisions of Article 16.2 below.</w:t>
      </w:r>
    </w:p>
    <w:p>
      <w:pPr>
        <w:spacing w:after="0" w:line="122"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4.9</w:t>
      </w:r>
      <w:r>
        <w:rPr>
          <w:sz w:val="20"/>
          <w:szCs w:val="20"/>
          <w:color w:val="auto"/>
        </w:rPr>
        <w:tab/>
      </w:r>
      <w:r>
        <w:rPr>
          <w:rFonts w:ascii="Arial" w:cs="Arial" w:eastAsia="Arial" w:hAnsi="Arial"/>
          <w:sz w:val="15"/>
          <w:szCs w:val="15"/>
          <w:color w:val="auto"/>
        </w:rPr>
        <w:t>The Steering Committee shall automatically disband upon expiration or termination of the Research Program.</w:t>
      </w:r>
    </w:p>
    <w:p>
      <w:pPr>
        <w:spacing w:after="0" w:line="214" w:lineRule="exact"/>
        <w:rPr>
          <w:sz w:val="20"/>
          <w:szCs w:val="20"/>
          <w:color w:val="auto"/>
        </w:rPr>
      </w:pPr>
    </w:p>
    <w:p>
      <w:pPr>
        <w:jc w:val="both"/>
        <w:ind w:left="620" w:hanging="618"/>
        <w:spacing w:after="0" w:line="297" w:lineRule="auto"/>
        <w:tabs>
          <w:tab w:leader="none" w:pos="600" w:val="left"/>
        </w:tabs>
        <w:rPr>
          <w:sz w:val="20"/>
          <w:szCs w:val="20"/>
          <w:color w:val="auto"/>
        </w:rPr>
      </w:pPr>
      <w:r>
        <w:rPr>
          <w:rFonts w:ascii="Arial" w:cs="Arial" w:eastAsia="Arial" w:hAnsi="Arial"/>
          <w:sz w:val="15"/>
          <w:szCs w:val="15"/>
          <w:b w:val="1"/>
          <w:bCs w:val="1"/>
          <w:color w:val="auto"/>
        </w:rPr>
        <w:t>4.10</w:t>
      </w:r>
      <w:r>
        <w:rPr>
          <w:sz w:val="20"/>
          <w:szCs w:val="20"/>
          <w:color w:val="auto"/>
        </w:rPr>
        <w:tab/>
      </w:r>
      <w:r>
        <w:rPr>
          <w:rFonts w:ascii="Arial" w:cs="Arial" w:eastAsia="Arial" w:hAnsi="Arial"/>
          <w:sz w:val="15"/>
          <w:szCs w:val="15"/>
          <w:color w:val="auto"/>
        </w:rPr>
        <w:t>Each Party will appoint one (1) individual employee representative to act as a single point of contact between the Parties during the Term (the “Alliance Managers”). The Alliance Managers will promote effective communication between the Parties and coordination of the Parties’ activities and responsibilities according to this Agreement and manage and oversee the performance of the Agreement. Each Party may change its designated Alliance Manager from time to time upon written notice to the other Party. Any Alliance Manager may designate a substitute to temporarily perform the functions of that Alliance Manager by written notice to the other Party.</w:t>
      </w:r>
    </w:p>
    <w:p>
      <w:pPr>
        <w:spacing w:after="0" w:line="132"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5:</w:t>
      </w:r>
      <w:r>
        <w:rPr>
          <w:sz w:val="20"/>
          <w:szCs w:val="20"/>
          <w:color w:val="auto"/>
        </w:rPr>
        <w:tab/>
      </w:r>
      <w:r>
        <w:rPr>
          <w:rFonts w:ascii="Arial" w:cs="Arial" w:eastAsia="Arial" w:hAnsi="Arial"/>
          <w:sz w:val="15"/>
          <w:szCs w:val="15"/>
          <w:b w:val="1"/>
          <w:bCs w:val="1"/>
          <w:color w:val="auto"/>
        </w:rPr>
        <w:t>Term of the Agreement</w:t>
      </w:r>
    </w:p>
    <w:p>
      <w:pPr>
        <w:spacing w:after="0" w:line="201"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5.1</w:t>
      </w:r>
      <w:r>
        <w:rPr>
          <w:sz w:val="20"/>
          <w:szCs w:val="20"/>
          <w:color w:val="auto"/>
        </w:rPr>
        <w:tab/>
      </w:r>
      <w:r>
        <w:rPr>
          <w:rFonts w:ascii="Arial" w:cs="Arial" w:eastAsia="Arial" w:hAnsi="Arial"/>
          <w:sz w:val="15"/>
          <w:szCs w:val="15"/>
          <w:color w:val="auto"/>
        </w:rPr>
        <w:t>The Agreement shall enter into force on the Effective Date and shall remain in full force and effect until terminated pursuant to the terms of Article 14.1 (the “Term”).</w:t>
      </w:r>
    </w:p>
    <w:p>
      <w:pPr>
        <w:spacing w:after="0" w:line="106"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6:</w:t>
      </w:r>
      <w:r>
        <w:rPr>
          <w:sz w:val="20"/>
          <w:szCs w:val="20"/>
          <w:color w:val="auto"/>
        </w:rPr>
        <w:tab/>
      </w:r>
      <w:r>
        <w:rPr>
          <w:rFonts w:ascii="Arial" w:cs="Arial" w:eastAsia="Arial" w:hAnsi="Arial"/>
          <w:sz w:val="15"/>
          <w:szCs w:val="15"/>
          <w:b w:val="1"/>
          <w:bCs w:val="1"/>
          <w:color w:val="auto"/>
        </w:rPr>
        <w:t>Ownership and patent matters</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6.1</w:t>
      </w:r>
      <w:r>
        <w:rPr>
          <w:sz w:val="20"/>
          <w:szCs w:val="20"/>
          <w:color w:val="auto"/>
        </w:rPr>
        <w:tab/>
      </w:r>
      <w:r>
        <w:rPr>
          <w:rFonts w:ascii="Arial" w:cs="Arial" w:eastAsia="Arial" w:hAnsi="Arial"/>
          <w:sz w:val="15"/>
          <w:szCs w:val="15"/>
          <w:color w:val="auto"/>
        </w:rPr>
        <w:t>ExScientia Knowledge and Sanofi Knowledge</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6.1.1</w:t>
      </w:r>
      <w:r>
        <w:rPr>
          <w:sz w:val="20"/>
          <w:szCs w:val="20"/>
          <w:color w:val="auto"/>
        </w:rPr>
        <w:tab/>
      </w:r>
      <w:r>
        <w:rPr>
          <w:rFonts w:ascii="Arial" w:cs="Arial" w:eastAsia="Arial" w:hAnsi="Arial"/>
          <w:sz w:val="15"/>
          <w:szCs w:val="15"/>
          <w:color w:val="auto"/>
        </w:rPr>
        <w:t>ExScientia shall remain the sole owner of ExScientia Knowledge and Sanofi and its Affiliates shall remain the sole owner of Sanofi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- 6/#NUM_PAGES# -</w:t>
      </w:r>
    </w:p>
    <w:p>
      <w:pPr>
        <w:sectPr>
          <w:pgSz w:w="11900" w:h="16838" w:orient="portrait"/>
          <w:cols w:equalWidth="0" w:num="1">
            <w:col w:w="11240"/>
          </w:cols>
          <w:pgMar w:left="320" w:top="134"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6.1.2</w:t>
      </w:r>
      <w:r>
        <w:rPr>
          <w:sz w:val="20"/>
          <w:szCs w:val="20"/>
          <w:color w:val="auto"/>
        </w:rPr>
        <w:tab/>
      </w:r>
      <w:r>
        <w:rPr>
          <w:rFonts w:ascii="Arial" w:cs="Arial" w:eastAsia="Arial" w:hAnsi="Arial"/>
          <w:sz w:val="15"/>
          <w:szCs w:val="15"/>
          <w:color w:val="auto"/>
        </w:rPr>
        <w:t>No licence or other right is or shall be created or granted hereunder by implication, estoppel or otherwise. All such licences and rights are or shall be granted only as expressly provided in this Agreement.</w:t>
      </w:r>
    </w:p>
    <w:p>
      <w:pPr>
        <w:spacing w:after="0" w:line="119"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6.2</w:t>
      </w:r>
      <w:r>
        <w:rPr>
          <w:sz w:val="20"/>
          <w:szCs w:val="20"/>
          <w:color w:val="auto"/>
        </w:rPr>
        <w:tab/>
      </w:r>
      <w:r>
        <w:rPr>
          <w:rFonts w:ascii="Arial" w:cs="Arial" w:eastAsia="Arial" w:hAnsi="Arial"/>
          <w:sz w:val="15"/>
          <w:szCs w:val="15"/>
          <w:color w:val="auto"/>
        </w:rPr>
        <w:t>Research Program Results ownership</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6.2.1</w:t>
      </w:r>
      <w:r>
        <w:rPr>
          <w:sz w:val="20"/>
          <w:szCs w:val="20"/>
          <w:color w:val="auto"/>
        </w:rPr>
        <w:tab/>
      </w:r>
      <w:r>
        <w:rPr>
          <w:rFonts w:ascii="Arial" w:cs="Arial" w:eastAsia="Arial" w:hAnsi="Arial"/>
          <w:sz w:val="15"/>
          <w:szCs w:val="15"/>
          <w:color w:val="auto"/>
        </w:rPr>
        <w:t>Research Program Results shall be solely owned by ExScientia.</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6.2.2</w:t>
      </w:r>
      <w:r>
        <w:rPr>
          <w:sz w:val="20"/>
          <w:szCs w:val="20"/>
          <w:color w:val="auto"/>
        </w:rPr>
        <w:tab/>
      </w:r>
      <w:r>
        <w:rPr>
          <w:rFonts w:ascii="Arial" w:cs="Arial" w:eastAsia="Arial" w:hAnsi="Arial"/>
          <w:sz w:val="15"/>
          <w:szCs w:val="15"/>
          <w:color w:val="auto"/>
        </w:rPr>
        <w:t>Sanofi shall and hereby does [****]. For clarity, Sanofi shall [****].</w:t>
      </w:r>
    </w:p>
    <w:p>
      <w:pPr>
        <w:spacing w:after="0" w:line="201"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6.2.3</w:t>
      </w:r>
      <w:r>
        <w:rPr>
          <w:sz w:val="20"/>
          <w:szCs w:val="20"/>
          <w:color w:val="auto"/>
        </w:rPr>
        <w:tab/>
      </w:r>
      <w:r>
        <w:rPr>
          <w:rFonts w:ascii="Arial" w:cs="Arial" w:eastAsia="Arial" w:hAnsi="Arial"/>
          <w:sz w:val="15"/>
          <w:szCs w:val="15"/>
          <w:color w:val="auto"/>
        </w:rPr>
        <w:t>ExScientia shall ensure that all of its employees, agents and authorized subcontractors involved in the performance of [****] agree, in writing, to assign to ExScientia, directly or indirectly, any and all intellectual property rights arising from [****].</w:t>
      </w:r>
    </w:p>
    <w:p>
      <w:pPr>
        <w:spacing w:after="0" w:line="119"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6.3</w:t>
      </w:r>
      <w:r>
        <w:rPr>
          <w:sz w:val="20"/>
          <w:szCs w:val="20"/>
          <w:color w:val="auto"/>
        </w:rPr>
        <w:tab/>
      </w:r>
      <w:r>
        <w:rPr>
          <w:rFonts w:ascii="Arial" w:cs="Arial" w:eastAsia="Arial" w:hAnsi="Arial"/>
          <w:sz w:val="15"/>
          <w:szCs w:val="15"/>
          <w:color w:val="auto"/>
        </w:rPr>
        <w:t>ExScientia Knowledge and Sanofi Knowledge protection</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6.3.1</w:t>
      </w:r>
      <w:r>
        <w:rPr>
          <w:sz w:val="20"/>
          <w:szCs w:val="20"/>
          <w:color w:val="auto"/>
        </w:rPr>
        <w:tab/>
      </w:r>
      <w:r>
        <w:rPr>
          <w:rFonts w:ascii="Arial" w:cs="Arial" w:eastAsia="Arial" w:hAnsi="Arial"/>
          <w:sz w:val="15"/>
          <w:szCs w:val="15"/>
          <w:color w:val="auto"/>
        </w:rPr>
        <w:t>Unless otherwise agreed in writing by the Parties, Sanofi shall have [****] and ExScientia shall have [****].</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6.3.2</w:t>
      </w:r>
      <w:r>
        <w:rPr>
          <w:sz w:val="20"/>
          <w:szCs w:val="20"/>
          <w:color w:val="auto"/>
        </w:rPr>
        <w:tab/>
      </w:r>
      <w:r>
        <w:rPr>
          <w:rFonts w:ascii="Arial" w:cs="Arial" w:eastAsia="Arial" w:hAnsi="Arial"/>
          <w:sz w:val="15"/>
          <w:szCs w:val="15"/>
          <w:color w:val="auto"/>
        </w:rPr>
        <w:t>In any case where ExScientia wants [****].</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6.3.3</w:t>
      </w:r>
      <w:r>
        <w:rPr>
          <w:sz w:val="20"/>
          <w:szCs w:val="20"/>
          <w:color w:val="auto"/>
        </w:rPr>
        <w:tab/>
      </w:r>
      <w:r>
        <w:rPr>
          <w:rFonts w:ascii="Arial" w:cs="Arial" w:eastAsia="Arial" w:hAnsi="Arial"/>
          <w:sz w:val="15"/>
          <w:szCs w:val="15"/>
          <w:color w:val="auto"/>
        </w:rPr>
        <w:t>[****]</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6.3.4</w:t>
      </w:r>
      <w:r>
        <w:rPr>
          <w:sz w:val="20"/>
          <w:szCs w:val="20"/>
          <w:color w:val="auto"/>
        </w:rPr>
        <w:tab/>
      </w:r>
      <w:r>
        <w:rPr>
          <w:rFonts w:ascii="Arial" w:cs="Arial" w:eastAsia="Arial" w:hAnsi="Arial"/>
          <w:sz w:val="15"/>
          <w:szCs w:val="15"/>
          <w:color w:val="auto"/>
        </w:rPr>
        <w:t>If Sanofi or its Affiliates exercises the Option with respect to a Target Combination during the Option Period [****].</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6.3.5</w:t>
      </w:r>
      <w:r>
        <w:rPr>
          <w:sz w:val="20"/>
          <w:szCs w:val="20"/>
          <w:color w:val="auto"/>
        </w:rPr>
        <w:tab/>
      </w:r>
      <w:r>
        <w:rPr>
          <w:rFonts w:ascii="Arial" w:cs="Arial" w:eastAsia="Arial" w:hAnsi="Arial"/>
          <w:sz w:val="15"/>
          <w:szCs w:val="15"/>
          <w:color w:val="auto"/>
        </w:rPr>
        <w:t>If Sanofi or its Affiliates does not exercise the Option with respect to any Target Combination during the Option Period, [****].</w:t>
      </w:r>
    </w:p>
    <w:p>
      <w:pPr>
        <w:spacing w:after="0" w:line="201"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7:</w:t>
      </w:r>
      <w:r>
        <w:rPr>
          <w:sz w:val="20"/>
          <w:szCs w:val="20"/>
          <w:color w:val="auto"/>
        </w:rPr>
        <w:tab/>
      </w:r>
      <w:r>
        <w:rPr>
          <w:rFonts w:ascii="Arial" w:cs="Arial" w:eastAsia="Arial" w:hAnsi="Arial"/>
          <w:sz w:val="15"/>
          <w:szCs w:val="15"/>
          <w:b w:val="1"/>
          <w:bCs w:val="1"/>
          <w:color w:val="auto"/>
        </w:rPr>
        <w:t>Licenses granted to Sanofi</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7.1</w:t>
      </w:r>
      <w:r>
        <w:rPr>
          <w:sz w:val="20"/>
          <w:szCs w:val="20"/>
          <w:color w:val="auto"/>
        </w:rPr>
        <w:tab/>
      </w:r>
      <w:r>
        <w:rPr>
          <w:rFonts w:ascii="Arial" w:cs="Arial" w:eastAsia="Arial" w:hAnsi="Arial"/>
          <w:sz w:val="15"/>
          <w:szCs w:val="15"/>
          <w:color w:val="auto"/>
        </w:rPr>
        <w:t>License for the carrying out of the Research Program</w:t>
      </w:r>
    </w:p>
    <w:p>
      <w:pPr>
        <w:spacing w:after="0" w:line="203" w:lineRule="exact"/>
        <w:rPr>
          <w:sz w:val="20"/>
          <w:szCs w:val="20"/>
          <w:color w:val="auto"/>
        </w:rPr>
      </w:pPr>
    </w:p>
    <w:p>
      <w:pPr>
        <w:jc w:val="both"/>
        <w:ind w:left="620"/>
        <w:spacing w:after="0" w:line="330" w:lineRule="auto"/>
        <w:rPr>
          <w:sz w:val="20"/>
          <w:szCs w:val="20"/>
          <w:color w:val="auto"/>
        </w:rPr>
      </w:pPr>
      <w:r>
        <w:rPr>
          <w:rFonts w:ascii="Arial" w:cs="Arial" w:eastAsia="Arial" w:hAnsi="Arial"/>
          <w:sz w:val="15"/>
          <w:szCs w:val="15"/>
          <w:color w:val="auto"/>
        </w:rPr>
        <w:t>ExScientia hereby grants to Sanofi and its Affiliates, during the Research Program Term, a worldwide, co-exclusive (with ExScientia), sublicensable (through multiple tiers) licence under the Research Program Results to carry out the Research Program.</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7.2</w:t>
      </w:r>
      <w:r>
        <w:rPr>
          <w:sz w:val="20"/>
          <w:szCs w:val="20"/>
          <w:color w:val="auto"/>
        </w:rPr>
        <w:tab/>
      </w:r>
      <w:r>
        <w:rPr>
          <w:rFonts w:ascii="Arial" w:cs="Arial" w:eastAsia="Arial" w:hAnsi="Arial"/>
          <w:sz w:val="15"/>
          <w:szCs w:val="15"/>
          <w:color w:val="auto"/>
        </w:rPr>
        <w:t>Research License</w:t>
      </w:r>
    </w:p>
    <w:p>
      <w:pPr>
        <w:spacing w:after="0" w:line="203" w:lineRule="exact"/>
        <w:rPr>
          <w:sz w:val="20"/>
          <w:szCs w:val="20"/>
          <w:color w:val="auto"/>
        </w:rPr>
      </w:pPr>
    </w:p>
    <w:p>
      <w:pPr>
        <w:jc w:val="both"/>
        <w:ind w:left="620"/>
        <w:spacing w:after="0" w:line="308" w:lineRule="auto"/>
        <w:rPr>
          <w:sz w:val="20"/>
          <w:szCs w:val="20"/>
          <w:color w:val="auto"/>
        </w:rPr>
      </w:pPr>
      <w:r>
        <w:rPr>
          <w:rFonts w:ascii="Arial" w:cs="Arial" w:eastAsia="Arial" w:hAnsi="Arial"/>
          <w:sz w:val="15"/>
          <w:szCs w:val="15"/>
          <w:color w:val="auto"/>
        </w:rPr>
        <w:t>ExScientia hereby grants to Sanofi and its Affiliates a perpetual, irrevocable, worldwide, nonexclusive, sublicensable (through multiple tiers) licence under the Research Program Results for research purposes. For the avoidance of doubt “research purposes” does not include the clinical development or commercial exploitation of a Product.</w:t>
      </w:r>
    </w:p>
    <w:p>
      <w:pPr>
        <w:spacing w:after="0" w:line="133"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7.3</w:t>
      </w:r>
      <w:r>
        <w:rPr>
          <w:sz w:val="20"/>
          <w:szCs w:val="20"/>
          <w:color w:val="auto"/>
        </w:rPr>
        <w:tab/>
      </w:r>
      <w:r>
        <w:rPr>
          <w:rFonts w:ascii="Arial" w:cs="Arial" w:eastAsia="Arial" w:hAnsi="Arial"/>
          <w:sz w:val="15"/>
          <w:szCs w:val="15"/>
          <w:color w:val="auto"/>
        </w:rPr>
        <w:t>Commercial License Option</w:t>
      </w:r>
    </w:p>
    <w:p>
      <w:pPr>
        <w:spacing w:after="0" w:line="203" w:lineRule="exact"/>
        <w:rPr>
          <w:sz w:val="20"/>
          <w:szCs w:val="20"/>
          <w:color w:val="auto"/>
        </w:rPr>
      </w:pPr>
    </w:p>
    <w:p>
      <w:pPr>
        <w:jc w:val="both"/>
        <w:ind w:left="620"/>
        <w:spacing w:after="0" w:line="330" w:lineRule="auto"/>
        <w:rPr>
          <w:sz w:val="20"/>
          <w:szCs w:val="20"/>
          <w:color w:val="auto"/>
        </w:rPr>
      </w:pPr>
      <w:r>
        <w:rPr>
          <w:rFonts w:ascii="Arial" w:cs="Arial" w:eastAsia="Arial" w:hAnsi="Arial"/>
          <w:sz w:val="15"/>
          <w:szCs w:val="15"/>
          <w:color w:val="auto"/>
        </w:rPr>
        <w:t>Subject to the terms and conditions of this Agreement, ExScientia hereby grants to Sanofi and its Affiliates an exclusive option to acquire an exclusive license under the Research Program Results to research, develop, manufacture and commercialize the Products (the “Option”).</w:t>
      </w:r>
    </w:p>
    <w:p>
      <w:pPr>
        <w:spacing w:after="0" w:line="106" w:lineRule="exact"/>
        <w:rPr>
          <w:sz w:val="20"/>
          <w:szCs w:val="20"/>
          <w:color w:val="auto"/>
        </w:rPr>
      </w:pPr>
    </w:p>
    <w:p>
      <w:pPr>
        <w:jc w:val="both"/>
        <w:ind w:left="620"/>
        <w:spacing w:after="0" w:line="330" w:lineRule="auto"/>
        <w:rPr>
          <w:sz w:val="20"/>
          <w:szCs w:val="20"/>
          <w:color w:val="auto"/>
        </w:rPr>
      </w:pPr>
      <w:r>
        <w:rPr>
          <w:rFonts w:ascii="Arial" w:cs="Arial" w:eastAsia="Arial" w:hAnsi="Arial"/>
          <w:sz w:val="15"/>
          <w:szCs w:val="15"/>
          <w:color w:val="auto"/>
        </w:rPr>
        <w:t>Sanofi or any of its Affiliates may exercise the Option with respect to any Target Combination, on a Target Combination by Target Combination basis, by providing written notice to ExScientia at any time prior to the date that is thirty-six (36) months after the Effective Date (the “Option Period”).</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7.4</w:t>
      </w:r>
      <w:r>
        <w:rPr>
          <w:sz w:val="20"/>
          <w:szCs w:val="20"/>
          <w:color w:val="auto"/>
        </w:rPr>
        <w:tab/>
      </w:r>
      <w:r>
        <w:rPr>
          <w:rFonts w:ascii="Arial" w:cs="Arial" w:eastAsia="Arial" w:hAnsi="Arial"/>
          <w:sz w:val="15"/>
          <w:szCs w:val="15"/>
          <w:color w:val="auto"/>
        </w:rPr>
        <w:t>Commercial License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- 7/#NUM_PAGES# -</w:t>
      </w:r>
    </w:p>
    <w:p>
      <w:pPr>
        <w:sectPr>
          <w:pgSz w:w="11900" w:h="16838" w:orient="portrait"/>
          <w:cols w:equalWidth="0" w:num="1">
            <w:col w:w="11240"/>
          </w:cols>
          <w:pgMar w:left="320" w:top="134" w:right="3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20"/>
        <w:spacing w:after="0" w:line="301" w:lineRule="auto"/>
        <w:rPr>
          <w:sz w:val="20"/>
          <w:szCs w:val="20"/>
          <w:color w:val="auto"/>
        </w:rPr>
      </w:pPr>
      <w:r>
        <w:rPr>
          <w:rFonts w:ascii="Arial" w:cs="Arial" w:eastAsia="Arial" w:hAnsi="Arial"/>
          <w:sz w:val="15"/>
          <w:szCs w:val="15"/>
          <w:color w:val="auto"/>
        </w:rPr>
        <w:t>If Sanofi or any of its Affiliates exercises the Option with respect to a Target Combination within the Option Period, then ExScientia shall and hereby does grant to Sanofi and its Affiliates, during the Term, an exclusive, worldwide licence under the Research Program Results, with the unlimited right to grant sublicenses through multiples tiers to research, develop, manufacture and commercialize Products comprising compounds that binds to and/or modulates the activity of a Target within such Target Combination in the Territory (the “License Grant”).</w:t>
      </w:r>
    </w:p>
    <w:p>
      <w:pPr>
        <w:spacing w:after="0" w:line="140" w:lineRule="exact"/>
        <w:rPr>
          <w:sz w:val="20"/>
          <w:szCs w:val="20"/>
          <w:color w:val="auto"/>
        </w:rPr>
      </w:pPr>
    </w:p>
    <w:p>
      <w:pPr>
        <w:jc w:val="both"/>
        <w:ind w:left="620"/>
        <w:spacing w:after="0" w:line="312" w:lineRule="auto"/>
        <w:rPr>
          <w:sz w:val="20"/>
          <w:szCs w:val="20"/>
          <w:color w:val="auto"/>
        </w:rPr>
      </w:pPr>
      <w:r>
        <w:rPr>
          <w:rFonts w:ascii="Arial" w:cs="Arial" w:eastAsia="Arial" w:hAnsi="Arial"/>
          <w:sz w:val="15"/>
          <w:szCs w:val="15"/>
          <w:color w:val="auto"/>
        </w:rPr>
        <w:t>Sanofi’s Option with respect to a Target Combination shall expire if Sanofi or any of its Affiliates does not exercise the Option with respect to such Target Combination within the Option Period.</w:t>
      </w:r>
    </w:p>
    <w:p>
      <w:pPr>
        <w:spacing w:after="0" w:line="130"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7.5</w:t>
      </w:r>
      <w:r>
        <w:rPr>
          <w:sz w:val="20"/>
          <w:szCs w:val="20"/>
          <w:color w:val="auto"/>
        </w:rPr>
        <w:tab/>
      </w:r>
      <w:r>
        <w:rPr>
          <w:rFonts w:ascii="Arial" w:cs="Arial" w:eastAsia="Arial" w:hAnsi="Arial"/>
          <w:sz w:val="15"/>
          <w:szCs w:val="15"/>
          <w:color w:val="auto"/>
        </w:rPr>
        <w:t>Exclusivity</w:t>
      </w:r>
    </w:p>
    <w:p>
      <w:pPr>
        <w:spacing w:after="0" w:line="201" w:lineRule="exact"/>
        <w:rPr>
          <w:sz w:val="20"/>
          <w:szCs w:val="20"/>
          <w:color w:val="auto"/>
        </w:rPr>
      </w:pPr>
    </w:p>
    <w:p>
      <w:pPr>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7.5.1</w:t>
      </w:r>
      <w:r>
        <w:rPr>
          <w:sz w:val="20"/>
          <w:szCs w:val="20"/>
          <w:color w:val="auto"/>
        </w:rPr>
        <w:tab/>
      </w:r>
      <w:r>
        <w:rPr>
          <w:rFonts w:ascii="Arial" w:cs="Arial" w:eastAsia="Arial" w:hAnsi="Arial"/>
          <w:sz w:val="15"/>
          <w:szCs w:val="15"/>
          <w:color w:val="auto"/>
        </w:rPr>
        <w:t>Prior to expiration of the Option Period, ExScientia shall not negotiate, discuss or execute any agreement with any Third Party to assign, license, grant or otherwise transfer, including by option, any rights with respect to such [****].</w:t>
      </w:r>
    </w:p>
    <w:p>
      <w:pPr>
        <w:spacing w:after="0" w:line="106" w:lineRule="exact"/>
        <w:rPr>
          <w:sz w:val="20"/>
          <w:szCs w:val="20"/>
          <w:color w:val="auto"/>
        </w:rPr>
      </w:pPr>
    </w:p>
    <w:p>
      <w:pPr>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7.5.2</w:t>
      </w:r>
      <w:r>
        <w:rPr>
          <w:sz w:val="20"/>
          <w:szCs w:val="20"/>
          <w:color w:val="auto"/>
        </w:rPr>
        <w:tab/>
      </w:r>
      <w:r>
        <w:rPr>
          <w:rFonts w:ascii="Arial" w:cs="Arial" w:eastAsia="Arial" w:hAnsi="Arial"/>
          <w:sz w:val="15"/>
          <w:szCs w:val="15"/>
          <w:color w:val="auto"/>
        </w:rPr>
        <w:t>If at any time after expiration of the Option Period ExScientia wishes to execute an agreement with any Third Party to assign, license, grant or otherwise transfer, including by option, any rights with respect to any Target Combination or with respect to any Product, then ExScientia shall [****].</w:t>
      </w:r>
    </w:p>
    <w:p>
      <w:pPr>
        <w:spacing w:after="0" w:line="119" w:lineRule="exact"/>
        <w:rPr>
          <w:sz w:val="20"/>
          <w:szCs w:val="20"/>
          <w:color w:val="auto"/>
        </w:rPr>
      </w:pPr>
    </w:p>
    <w:p>
      <w:pPr>
        <w:ind w:left="620" w:hanging="618"/>
        <w:spacing w:after="0" w:line="312" w:lineRule="auto"/>
        <w:tabs>
          <w:tab w:leader="none" w:pos="600" w:val="left"/>
        </w:tabs>
        <w:rPr>
          <w:sz w:val="20"/>
          <w:szCs w:val="20"/>
          <w:color w:val="auto"/>
        </w:rPr>
      </w:pPr>
      <w:r>
        <w:rPr>
          <w:rFonts w:ascii="Arial" w:cs="Arial" w:eastAsia="Arial" w:hAnsi="Arial"/>
          <w:sz w:val="15"/>
          <w:szCs w:val="15"/>
          <w:b w:val="1"/>
          <w:bCs w:val="1"/>
          <w:color w:val="auto"/>
        </w:rPr>
        <w:t>7.5.3</w:t>
      </w:r>
      <w:r>
        <w:rPr>
          <w:sz w:val="20"/>
          <w:szCs w:val="20"/>
          <w:color w:val="auto"/>
        </w:rPr>
        <w:tab/>
      </w:r>
      <w:r>
        <w:rPr>
          <w:rFonts w:ascii="Arial" w:cs="Arial" w:eastAsia="Arial" w:hAnsi="Arial"/>
          <w:sz w:val="15"/>
          <w:szCs w:val="15"/>
          <w:color w:val="auto"/>
        </w:rPr>
        <w:t>If Sanofi or any of its Affiliates does not exercise the Option with respect to any Target Combination within the Option Period, then ExScientia exclusivity commitments set forth in this Article 7.5 shall terminate with respect to such Target Combination.</w:t>
      </w:r>
    </w:p>
    <w:p>
      <w:pPr>
        <w:spacing w:after="0" w:line="132"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8:</w:t>
      </w:r>
      <w:r>
        <w:rPr>
          <w:sz w:val="20"/>
          <w:szCs w:val="20"/>
          <w:color w:val="auto"/>
        </w:rPr>
        <w:tab/>
      </w:r>
      <w:r>
        <w:rPr>
          <w:rFonts w:ascii="Arial" w:cs="Arial" w:eastAsia="Arial" w:hAnsi="Arial"/>
          <w:sz w:val="15"/>
          <w:szCs w:val="15"/>
          <w:b w:val="1"/>
          <w:bCs w:val="1"/>
          <w:color w:val="auto"/>
        </w:rPr>
        <w:t>Financial terms</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8.1</w:t>
      </w:r>
      <w:r>
        <w:rPr>
          <w:sz w:val="20"/>
          <w:szCs w:val="20"/>
          <w:color w:val="auto"/>
        </w:rPr>
        <w:tab/>
      </w:r>
      <w:r>
        <w:rPr>
          <w:rFonts w:ascii="Arial" w:cs="Arial" w:eastAsia="Arial" w:hAnsi="Arial"/>
          <w:sz w:val="15"/>
          <w:szCs w:val="15"/>
          <w:color w:val="auto"/>
        </w:rPr>
        <w:t>Research Program funding</w:t>
      </w:r>
    </w:p>
    <w:p>
      <w:pPr>
        <w:spacing w:after="0" w:line="203" w:lineRule="exact"/>
        <w:rPr>
          <w:sz w:val="20"/>
          <w:szCs w:val="20"/>
          <w:color w:val="auto"/>
        </w:rPr>
      </w:pPr>
    </w:p>
    <w:p>
      <w:pPr>
        <w:ind w:left="620"/>
        <w:spacing w:after="0" w:line="330" w:lineRule="auto"/>
        <w:rPr>
          <w:sz w:val="20"/>
          <w:szCs w:val="20"/>
          <w:color w:val="auto"/>
        </w:rPr>
      </w:pPr>
      <w:r>
        <w:rPr>
          <w:rFonts w:ascii="Arial" w:cs="Arial" w:eastAsia="Arial" w:hAnsi="Arial"/>
          <w:sz w:val="15"/>
          <w:szCs w:val="15"/>
          <w:color w:val="auto"/>
        </w:rPr>
        <w:t>Sanofi shall provide up to a total of [****] to fund ExScientia’s Research Program activities (the “Research Funding”). The Research Program Funding shall be paid as follows and pursuant to Article 8.3:</w:t>
      </w:r>
    </w:p>
    <w:p>
      <w:pPr>
        <w:spacing w:after="0" w:line="119" w:lineRule="exact"/>
        <w:rPr>
          <w:sz w:val="20"/>
          <w:szCs w:val="20"/>
          <w:color w:val="auto"/>
        </w:rPr>
      </w:pPr>
    </w:p>
    <w:p>
      <w:pPr>
        <w:ind w:left="1240" w:hanging="618"/>
        <w:spacing w:after="0"/>
        <w:tabs>
          <w:tab w:leader="none" w:pos="1240" w:val="left"/>
        </w:tabs>
        <w:numPr>
          <w:ilvl w:val="0"/>
          <w:numId w:val="283"/>
        </w:numPr>
        <w:rPr>
          <w:rFonts w:ascii="Arial" w:cs="Arial" w:eastAsia="Arial" w:hAnsi="Arial"/>
          <w:sz w:val="15"/>
          <w:szCs w:val="15"/>
          <w:b w:val="1"/>
          <w:bCs w:val="1"/>
          <w:color w:val="auto"/>
        </w:rPr>
      </w:pPr>
      <w:r>
        <w:rPr>
          <w:rFonts w:ascii="Arial" w:cs="Arial" w:eastAsia="Arial" w:hAnsi="Arial"/>
          <w:sz w:val="15"/>
          <w:szCs w:val="15"/>
          <w:color w:val="auto"/>
        </w:rPr>
        <w:t>On or after the execution of the Agreement, [****];</w:t>
      </w:r>
    </w:p>
    <w:p>
      <w:pPr>
        <w:spacing w:after="0" w:line="201" w:lineRule="exact"/>
        <w:rPr>
          <w:rFonts w:ascii="Arial" w:cs="Arial" w:eastAsia="Arial" w:hAnsi="Arial"/>
          <w:sz w:val="15"/>
          <w:szCs w:val="15"/>
          <w:b w:val="1"/>
          <w:bCs w:val="1"/>
          <w:color w:val="auto"/>
        </w:rPr>
      </w:pPr>
    </w:p>
    <w:p>
      <w:pPr>
        <w:ind w:left="1240" w:hanging="618"/>
        <w:spacing w:after="0"/>
        <w:tabs>
          <w:tab w:leader="none" w:pos="1240" w:val="left"/>
        </w:tabs>
        <w:numPr>
          <w:ilvl w:val="0"/>
          <w:numId w:val="283"/>
        </w:numPr>
        <w:rPr>
          <w:rFonts w:ascii="Arial" w:cs="Arial" w:eastAsia="Arial" w:hAnsi="Arial"/>
          <w:sz w:val="15"/>
          <w:szCs w:val="15"/>
          <w:b w:val="1"/>
          <w:bCs w:val="1"/>
          <w:color w:val="auto"/>
        </w:rPr>
      </w:pPr>
      <w:r>
        <w:rPr>
          <w:rFonts w:ascii="Arial" w:cs="Arial" w:eastAsia="Arial" w:hAnsi="Arial"/>
          <w:sz w:val="15"/>
          <w:szCs w:val="15"/>
          <w:color w:val="auto"/>
        </w:rPr>
        <w:t>On or after the date that is [****];</w:t>
      </w:r>
    </w:p>
    <w:p>
      <w:pPr>
        <w:spacing w:after="0" w:line="201" w:lineRule="exact"/>
        <w:rPr>
          <w:rFonts w:ascii="Arial" w:cs="Arial" w:eastAsia="Arial" w:hAnsi="Arial"/>
          <w:sz w:val="15"/>
          <w:szCs w:val="15"/>
          <w:b w:val="1"/>
          <w:bCs w:val="1"/>
          <w:color w:val="auto"/>
        </w:rPr>
      </w:pPr>
    </w:p>
    <w:p>
      <w:pPr>
        <w:ind w:left="1240" w:hanging="618"/>
        <w:spacing w:after="0"/>
        <w:tabs>
          <w:tab w:leader="none" w:pos="1240" w:val="left"/>
        </w:tabs>
        <w:numPr>
          <w:ilvl w:val="0"/>
          <w:numId w:val="283"/>
        </w:numPr>
        <w:rPr>
          <w:rFonts w:ascii="Arial" w:cs="Arial" w:eastAsia="Arial" w:hAnsi="Arial"/>
          <w:sz w:val="15"/>
          <w:szCs w:val="15"/>
          <w:b w:val="1"/>
          <w:bCs w:val="1"/>
          <w:color w:val="auto"/>
        </w:rPr>
      </w:pPr>
      <w:r>
        <w:rPr>
          <w:rFonts w:ascii="Arial" w:cs="Arial" w:eastAsia="Arial" w:hAnsi="Arial"/>
          <w:sz w:val="15"/>
          <w:szCs w:val="15"/>
          <w:color w:val="auto"/>
        </w:rPr>
        <w:t>On or after the date that is [****];</w:t>
      </w:r>
    </w:p>
    <w:p>
      <w:pPr>
        <w:spacing w:after="0" w:line="201" w:lineRule="exact"/>
        <w:rPr>
          <w:rFonts w:ascii="Arial" w:cs="Arial" w:eastAsia="Arial" w:hAnsi="Arial"/>
          <w:sz w:val="15"/>
          <w:szCs w:val="15"/>
          <w:b w:val="1"/>
          <w:bCs w:val="1"/>
          <w:color w:val="auto"/>
        </w:rPr>
      </w:pPr>
    </w:p>
    <w:p>
      <w:pPr>
        <w:ind w:left="1240" w:hanging="618"/>
        <w:spacing w:after="0"/>
        <w:tabs>
          <w:tab w:leader="none" w:pos="1240" w:val="left"/>
        </w:tabs>
        <w:numPr>
          <w:ilvl w:val="0"/>
          <w:numId w:val="283"/>
        </w:numPr>
        <w:rPr>
          <w:rFonts w:ascii="Arial" w:cs="Arial" w:eastAsia="Arial" w:hAnsi="Arial"/>
          <w:sz w:val="15"/>
          <w:szCs w:val="15"/>
          <w:b w:val="1"/>
          <w:bCs w:val="1"/>
          <w:color w:val="auto"/>
        </w:rPr>
      </w:pPr>
      <w:r>
        <w:rPr>
          <w:rFonts w:ascii="Arial" w:cs="Arial" w:eastAsia="Arial" w:hAnsi="Arial"/>
          <w:sz w:val="15"/>
          <w:szCs w:val="15"/>
          <w:color w:val="auto"/>
        </w:rPr>
        <w:t>Sanofi shall pay each such invoice within [****] of its receipt.</w:t>
      </w:r>
    </w:p>
    <w:p>
      <w:pPr>
        <w:spacing w:after="0" w:line="212"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8.2</w:t>
      </w:r>
      <w:r>
        <w:rPr>
          <w:sz w:val="20"/>
          <w:szCs w:val="20"/>
          <w:color w:val="auto"/>
        </w:rPr>
        <w:tab/>
      </w:r>
      <w:r>
        <w:rPr>
          <w:rFonts w:ascii="Arial" w:cs="Arial" w:eastAsia="Arial" w:hAnsi="Arial"/>
          <w:sz w:val="15"/>
          <w:szCs w:val="15"/>
          <w:color w:val="auto"/>
        </w:rPr>
        <w:t>Commercial Licence Milestone Payments</w:t>
      </w:r>
    </w:p>
    <w:p>
      <w:pPr>
        <w:spacing w:after="0" w:line="201" w:lineRule="exact"/>
        <w:rPr>
          <w:sz w:val="20"/>
          <w:szCs w:val="20"/>
          <w:color w:val="auto"/>
        </w:rPr>
      </w:pPr>
    </w:p>
    <w:p>
      <w:pPr>
        <w:jc w:val="both"/>
        <w:ind w:left="620" w:hanging="618"/>
        <w:spacing w:after="0" w:line="308" w:lineRule="auto"/>
        <w:tabs>
          <w:tab w:leader="none" w:pos="600" w:val="left"/>
        </w:tabs>
        <w:rPr>
          <w:sz w:val="20"/>
          <w:szCs w:val="20"/>
          <w:color w:val="auto"/>
        </w:rPr>
      </w:pPr>
      <w:r>
        <w:rPr>
          <w:rFonts w:ascii="Arial" w:cs="Arial" w:eastAsia="Arial" w:hAnsi="Arial"/>
          <w:sz w:val="15"/>
          <w:szCs w:val="15"/>
          <w:b w:val="1"/>
          <w:bCs w:val="1"/>
          <w:color w:val="auto"/>
        </w:rPr>
        <w:t>8.2.1</w:t>
      </w:r>
      <w:r>
        <w:rPr>
          <w:sz w:val="20"/>
          <w:szCs w:val="20"/>
          <w:color w:val="auto"/>
        </w:rPr>
        <w:tab/>
      </w:r>
      <w:r>
        <w:rPr>
          <w:rFonts w:ascii="Arial" w:cs="Arial" w:eastAsia="Arial" w:hAnsi="Arial"/>
          <w:sz w:val="15"/>
          <w:szCs w:val="15"/>
          <w:color w:val="auto"/>
        </w:rPr>
        <w:t>In consideration of the Licence Grant granted to Sanofi and its Affiliates, Sanofi shall pay to ExScientia the following one-time only milestone payments (the “Commercial Licence Milestone Payments” consisting of Research, Development and Approval Milestone Payments and Sales Milestone Payments) upon the first occurrence of the indicated milestone event with respect to a Product, on a Product-by-Product basis: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Research, Development and Approval Milestone Payments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Sales Milestone Payments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Sanofi shall pay to ExScientia a Sales Milestone Payment of [****], Thus, by way of example, if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- 8/#NUM_PAGES# -</w:t>
      </w:r>
    </w:p>
    <w:p>
      <w:pPr>
        <w:sectPr>
          <w:pgSz w:w="11900" w:h="16838" w:orient="portrait"/>
          <w:cols w:equalWidth="0" w:num="1">
            <w:col w:w="11240"/>
          </w:cols>
          <w:pgMar w:left="320" w:top="133" w:right="3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Sanofi would pay ExScientia the foregoing sales milestone payments [****].</w:t>
      </w:r>
    </w:p>
    <w:p>
      <w:pPr>
        <w:spacing w:after="0" w:line="212"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8.2.2</w:t>
      </w:r>
      <w:r>
        <w:rPr>
          <w:sz w:val="20"/>
          <w:szCs w:val="20"/>
          <w:color w:val="auto"/>
        </w:rPr>
        <w:tab/>
      </w:r>
      <w:r>
        <w:rPr>
          <w:rFonts w:ascii="Arial" w:cs="Arial" w:eastAsia="Arial" w:hAnsi="Arial"/>
          <w:sz w:val="15"/>
          <w:szCs w:val="15"/>
          <w:color w:val="auto"/>
        </w:rPr>
        <w:t>In the event any Research, Development and Approval Milestone Payments are [****].</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8.3</w:t>
      </w:r>
      <w:r>
        <w:rPr>
          <w:sz w:val="20"/>
          <w:szCs w:val="20"/>
          <w:color w:val="auto"/>
        </w:rPr>
        <w:tab/>
      </w:r>
      <w:r>
        <w:rPr>
          <w:rFonts w:ascii="Arial" w:cs="Arial" w:eastAsia="Arial" w:hAnsi="Arial"/>
          <w:sz w:val="15"/>
          <w:szCs w:val="15"/>
          <w:color w:val="auto"/>
        </w:rPr>
        <w:t>Payments terms</w:t>
      </w:r>
    </w:p>
    <w:p>
      <w:pPr>
        <w:spacing w:after="0" w:line="201"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8.3.1</w:t>
      </w:r>
      <w:r>
        <w:rPr>
          <w:sz w:val="20"/>
          <w:szCs w:val="20"/>
          <w:color w:val="auto"/>
        </w:rPr>
        <w:tab/>
      </w:r>
      <w:r>
        <w:rPr>
          <w:rFonts w:ascii="Arial" w:cs="Arial" w:eastAsia="Arial" w:hAnsi="Arial"/>
          <w:sz w:val="15"/>
          <w:szCs w:val="15"/>
          <w:color w:val="auto"/>
        </w:rPr>
        <w:t>Sanofi shall notify ExScientia upon achievement of the milestone events detailed in Article 8.2 and upon receipt of each such notice, ExScientia shall invoice Sanofi for the corresponding payments due hereunder.</w:t>
      </w:r>
    </w:p>
    <w:p>
      <w:pPr>
        <w:spacing w:after="0" w:line="106" w:lineRule="exact"/>
        <w:rPr>
          <w:sz w:val="20"/>
          <w:szCs w:val="20"/>
          <w:color w:val="auto"/>
        </w:rPr>
      </w:pPr>
    </w:p>
    <w:p>
      <w:pPr>
        <w:jc w:val="both"/>
        <w:ind w:left="620" w:hanging="618"/>
        <w:spacing w:after="0" w:line="308" w:lineRule="auto"/>
        <w:tabs>
          <w:tab w:leader="none" w:pos="600" w:val="left"/>
        </w:tabs>
        <w:rPr>
          <w:sz w:val="20"/>
          <w:szCs w:val="20"/>
          <w:color w:val="auto"/>
        </w:rPr>
      </w:pPr>
      <w:r>
        <w:rPr>
          <w:rFonts w:ascii="Arial" w:cs="Arial" w:eastAsia="Arial" w:hAnsi="Arial"/>
          <w:sz w:val="15"/>
          <w:szCs w:val="15"/>
          <w:b w:val="1"/>
          <w:bCs w:val="1"/>
          <w:color w:val="auto"/>
        </w:rPr>
        <w:t>8.3.2</w:t>
      </w:r>
      <w:r>
        <w:rPr>
          <w:sz w:val="20"/>
          <w:szCs w:val="20"/>
          <w:color w:val="auto"/>
        </w:rPr>
        <w:tab/>
      </w:r>
      <w:r>
        <w:rPr>
          <w:rFonts w:ascii="Arial" w:cs="Arial" w:eastAsia="Arial" w:hAnsi="Arial"/>
          <w:sz w:val="15"/>
          <w:szCs w:val="15"/>
          <w:color w:val="auto"/>
        </w:rPr>
        <w:t>All invoices provided by under this Agreement shall be paid by Sanofi, by wire transfer within [****] days after the receipt of the applicable invoice. Such invoices shall mention the Agreement date and reference, the Research Program and specify the contractual event for which payment is due, as well as payment instructions, and shall be sent by express courier service to Sanofi at the address indicated below:</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SANOFI</w:t>
      </w:r>
    </w:p>
    <w:p>
      <w:pPr>
        <w:spacing w:after="0" w:line="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p>
    <w:p>
      <w:pPr>
        <w:spacing w:after="0" w:line="238" w:lineRule="exact"/>
        <w:rPr>
          <w:sz w:val="20"/>
          <w:szCs w:val="20"/>
          <w:color w:val="auto"/>
        </w:rPr>
      </w:pPr>
    </w:p>
    <w:p>
      <w:pPr>
        <w:jc w:val="both"/>
        <w:ind w:left="620" w:hanging="618"/>
        <w:spacing w:after="0" w:line="299" w:lineRule="auto"/>
        <w:tabs>
          <w:tab w:leader="none" w:pos="600" w:val="left"/>
        </w:tabs>
        <w:rPr>
          <w:sz w:val="20"/>
          <w:szCs w:val="20"/>
          <w:color w:val="auto"/>
        </w:rPr>
      </w:pPr>
      <w:r>
        <w:rPr>
          <w:rFonts w:ascii="Arial" w:cs="Arial" w:eastAsia="Arial" w:hAnsi="Arial"/>
          <w:sz w:val="15"/>
          <w:szCs w:val="15"/>
          <w:b w:val="1"/>
          <w:bCs w:val="1"/>
          <w:color w:val="auto"/>
        </w:rPr>
        <w:t>8.3.3</w:t>
      </w:r>
      <w:r>
        <w:rPr>
          <w:sz w:val="20"/>
          <w:szCs w:val="20"/>
          <w:color w:val="auto"/>
        </w:rPr>
        <w:tab/>
      </w:r>
      <w:r>
        <w:rPr>
          <w:rFonts w:ascii="Arial" w:cs="Arial" w:eastAsia="Arial" w:hAnsi="Arial"/>
          <w:sz w:val="15"/>
          <w:szCs w:val="15"/>
          <w:color w:val="auto"/>
        </w:rPr>
        <w:t>In the event that ExScientia issues an incorrect invoice, Sanofi will have the right to withhold payment on the specific invoice until such time as the query is satisfactorily answered and/or rectified. If any portion of an invoice is disputed, the Parties will use reasonable efforts to reconcile the disputed amount as soon as practicable.</w:t>
      </w:r>
    </w:p>
    <w:p>
      <w:pPr>
        <w:spacing w:after="0" w:line="142"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8.3.4</w:t>
      </w:r>
      <w:r>
        <w:rPr>
          <w:sz w:val="20"/>
          <w:szCs w:val="20"/>
          <w:color w:val="auto"/>
        </w:rPr>
        <w:tab/>
      </w:r>
      <w:r>
        <w:rPr>
          <w:rFonts w:ascii="Arial" w:cs="Arial" w:eastAsia="Arial" w:hAnsi="Arial"/>
          <w:sz w:val="15"/>
          <w:szCs w:val="15"/>
          <w:color w:val="auto"/>
        </w:rPr>
        <w:t>ExScientia shall provide Sanofi with reasonable assistance to enable the recovery by Sanofi, as permitted by applicable law, of withholding taxes, value added taxes, or similar obligations resulting from payments made by the latter under this Agreement.</w:t>
      </w:r>
    </w:p>
    <w:p>
      <w:pPr>
        <w:spacing w:after="0" w:line="106"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8.4</w:t>
      </w:r>
      <w:r>
        <w:rPr>
          <w:sz w:val="20"/>
          <w:szCs w:val="20"/>
          <w:color w:val="auto"/>
        </w:rPr>
        <w:tab/>
      </w:r>
      <w:r>
        <w:rPr>
          <w:rFonts w:ascii="Arial" w:cs="Arial" w:eastAsia="Arial" w:hAnsi="Arial"/>
          <w:sz w:val="14"/>
          <w:szCs w:val="14"/>
          <w:color w:val="auto"/>
        </w:rPr>
        <w:t>Taxes</w:t>
      </w:r>
    </w:p>
    <w:p>
      <w:pPr>
        <w:spacing w:after="0" w:line="203" w:lineRule="exact"/>
        <w:rPr>
          <w:sz w:val="20"/>
          <w:szCs w:val="20"/>
          <w:color w:val="auto"/>
        </w:rPr>
      </w:pPr>
    </w:p>
    <w:p>
      <w:pPr>
        <w:jc w:val="both"/>
        <w:ind w:left="620"/>
        <w:spacing w:after="0" w:line="294" w:lineRule="auto"/>
        <w:rPr>
          <w:sz w:val="20"/>
          <w:szCs w:val="20"/>
          <w:color w:val="auto"/>
        </w:rPr>
      </w:pPr>
      <w:r>
        <w:rPr>
          <w:rFonts w:ascii="Arial" w:cs="Arial" w:eastAsia="Arial" w:hAnsi="Arial"/>
          <w:sz w:val="15"/>
          <w:szCs w:val="15"/>
          <w:color w:val="auto"/>
        </w:rPr>
        <w:t>ExScientia shall bear any and all taxes levied on account of any payment received under this Agreement. In the event that Sanofi is required, under applicable laws, to withhold any deduction or tax from any payment due to ExScientia under this Agreement, such amount shall be deducted from the payment to be made by Sanofi, paid to the proper taxing authority, provided that Sanofi shall take reasonable and lawful actions to avoid and minimize such withholding and promptly notify ExScientia so that ExScientia may take lawful actions to avoid and minimize such withholding. If requested by ExScientia, Sanofi shall promptly furnish ExScientia with copies of any tax certificate or other documentation evidencing such withholding as necessary to satisfy the requirements of the relevant Governmental Authority related to any application by ExScientia for foreign tax credit for such payment. Each Party agrees to cooperate with the other Party in claiming exemptions from such deductions or withholdings under any agreement or treaty from time to time in effect.</w:t>
      </w:r>
    </w:p>
    <w:p>
      <w:pPr>
        <w:spacing w:after="0" w:line="337"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9:</w:t>
      </w:r>
      <w:r>
        <w:rPr>
          <w:sz w:val="20"/>
          <w:szCs w:val="20"/>
          <w:color w:val="auto"/>
        </w:rPr>
        <w:tab/>
      </w:r>
      <w:r>
        <w:rPr>
          <w:rFonts w:ascii="Arial" w:cs="Arial" w:eastAsia="Arial" w:hAnsi="Arial"/>
          <w:sz w:val="15"/>
          <w:szCs w:val="15"/>
          <w:b w:val="1"/>
          <w:bCs w:val="1"/>
          <w:color w:val="auto"/>
        </w:rPr>
        <w:t>Confidentiality</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9.1</w:t>
      </w:r>
      <w:r>
        <w:rPr>
          <w:sz w:val="20"/>
          <w:szCs w:val="20"/>
          <w:color w:val="auto"/>
        </w:rPr>
        <w:tab/>
      </w:r>
      <w:r>
        <w:rPr>
          <w:rFonts w:ascii="Arial" w:cs="Arial" w:eastAsia="Arial" w:hAnsi="Arial"/>
          <w:sz w:val="15"/>
          <w:szCs w:val="15"/>
          <w:color w:val="auto"/>
        </w:rPr>
        <w:t>Non-disclosure</w:t>
      </w:r>
    </w:p>
    <w:p>
      <w:pPr>
        <w:spacing w:after="0" w:line="201" w:lineRule="exact"/>
        <w:rPr>
          <w:sz w:val="20"/>
          <w:szCs w:val="20"/>
          <w:color w:val="auto"/>
        </w:rPr>
      </w:pPr>
    </w:p>
    <w:p>
      <w:pPr>
        <w:jc w:val="both"/>
        <w:ind w:left="620" w:hanging="618"/>
        <w:spacing w:after="0" w:line="308" w:lineRule="auto"/>
        <w:tabs>
          <w:tab w:leader="none" w:pos="600" w:val="left"/>
        </w:tabs>
        <w:rPr>
          <w:sz w:val="20"/>
          <w:szCs w:val="20"/>
          <w:color w:val="auto"/>
        </w:rPr>
      </w:pPr>
      <w:r>
        <w:rPr>
          <w:rFonts w:ascii="Arial" w:cs="Arial" w:eastAsia="Arial" w:hAnsi="Arial"/>
          <w:sz w:val="15"/>
          <w:szCs w:val="15"/>
          <w:b w:val="1"/>
          <w:bCs w:val="1"/>
          <w:color w:val="auto"/>
        </w:rPr>
        <w:t>9.1.1</w:t>
      </w:r>
      <w:r>
        <w:rPr>
          <w:sz w:val="20"/>
          <w:szCs w:val="20"/>
          <w:color w:val="auto"/>
        </w:rPr>
        <w:tab/>
      </w:r>
      <w:r>
        <w:rPr>
          <w:rFonts w:ascii="Arial" w:cs="Arial" w:eastAsia="Arial" w:hAnsi="Arial"/>
          <w:sz w:val="15"/>
          <w:szCs w:val="15"/>
          <w:color w:val="auto"/>
        </w:rPr>
        <w:t>Except to the extent expressly authorized by this Agreement or otherwise agreed in writing, each Party shall, during the Term and for a ten (10) - year period following the Term, restrict the use, keep confidential, not use for any purpose other than the performance of this Agreement and not disclose to any Third Party any of the other Party’s Confidential Information.</w:t>
      </w:r>
    </w:p>
    <w:p>
      <w:pPr>
        <w:spacing w:after="0" w:line="122" w:lineRule="exact"/>
        <w:rPr>
          <w:sz w:val="20"/>
          <w:szCs w:val="20"/>
          <w:color w:val="auto"/>
        </w:rPr>
      </w:pPr>
    </w:p>
    <w:p>
      <w:pPr>
        <w:jc w:val="both"/>
        <w:ind w:left="620" w:hanging="618"/>
        <w:spacing w:after="0" w:line="331" w:lineRule="auto"/>
        <w:tabs>
          <w:tab w:leader="none" w:pos="600" w:val="left"/>
        </w:tabs>
        <w:rPr>
          <w:sz w:val="20"/>
          <w:szCs w:val="20"/>
          <w:color w:val="auto"/>
        </w:rPr>
      </w:pPr>
      <w:r>
        <w:rPr>
          <w:rFonts w:ascii="Arial" w:cs="Arial" w:eastAsia="Arial" w:hAnsi="Arial"/>
          <w:sz w:val="15"/>
          <w:szCs w:val="15"/>
          <w:b w:val="1"/>
          <w:bCs w:val="1"/>
          <w:color w:val="auto"/>
        </w:rPr>
        <w:t>9.1.2</w:t>
      </w:r>
      <w:r>
        <w:rPr>
          <w:sz w:val="20"/>
          <w:szCs w:val="20"/>
          <w:color w:val="auto"/>
        </w:rPr>
        <w:tab/>
      </w:r>
      <w:r>
        <w:rPr>
          <w:rFonts w:ascii="Arial" w:cs="Arial" w:eastAsia="Arial" w:hAnsi="Arial"/>
          <w:sz w:val="15"/>
          <w:szCs w:val="15"/>
          <w:color w:val="auto"/>
        </w:rPr>
        <w:t>Each Party shall disclose the other Party’s Confidential Information only to those of its employees, Affiliates, Sublicensees and Bona-fide Research Contractors participating in the performance of the Agreement and shall bind them to confidentiality obligations at least as stringent as those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- 9/#NUM_PAGES# -</w:t>
      </w:r>
    </w:p>
    <w:p>
      <w:pPr>
        <w:sectPr>
          <w:pgSz w:w="11900" w:h="16838" w:orient="portrait"/>
          <w:cols w:equalWidth="0" w:num="1">
            <w:col w:w="11240"/>
          </w:cols>
          <w:pgMar w:left="320" w:top="133" w:right="3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9.2</w:t>
      </w:r>
      <w:r>
        <w:rPr>
          <w:sz w:val="20"/>
          <w:szCs w:val="20"/>
          <w:color w:val="auto"/>
        </w:rPr>
        <w:tab/>
      </w:r>
      <w:r>
        <w:rPr>
          <w:rFonts w:ascii="Arial" w:cs="Arial" w:eastAsia="Arial" w:hAnsi="Arial"/>
          <w:sz w:val="15"/>
          <w:szCs w:val="15"/>
          <w:color w:val="auto"/>
        </w:rPr>
        <w:t>Authorized Disclosure</w:t>
      </w:r>
    </w:p>
    <w:p>
      <w:pPr>
        <w:spacing w:after="0" w:line="216" w:lineRule="exact"/>
        <w:rPr>
          <w:sz w:val="20"/>
          <w:szCs w:val="20"/>
          <w:color w:val="auto"/>
        </w:rPr>
      </w:pPr>
    </w:p>
    <w:p>
      <w:pPr>
        <w:ind w:left="620"/>
        <w:spacing w:after="0" w:line="330" w:lineRule="auto"/>
        <w:rPr>
          <w:sz w:val="20"/>
          <w:szCs w:val="20"/>
          <w:color w:val="auto"/>
        </w:rPr>
      </w:pPr>
      <w:r>
        <w:rPr>
          <w:rFonts w:ascii="Arial" w:cs="Arial" w:eastAsia="Arial" w:hAnsi="Arial"/>
          <w:sz w:val="15"/>
          <w:szCs w:val="15"/>
          <w:color w:val="auto"/>
        </w:rPr>
        <w:t>Notwithstanding Article 9.1, the receiving Party may disclose Confidential Information belonging to the disclosing Party only to the extent that it can be established by the receiving Party by competent proof that such information:</w:t>
      </w:r>
    </w:p>
    <w:p>
      <w:pPr>
        <w:spacing w:after="0" w:line="106" w:lineRule="exact"/>
        <w:rPr>
          <w:sz w:val="20"/>
          <w:szCs w:val="20"/>
          <w:color w:val="auto"/>
        </w:rPr>
      </w:pPr>
    </w:p>
    <w:p>
      <w:pPr>
        <w:ind w:left="1240" w:hanging="618"/>
        <w:spacing w:after="0"/>
        <w:tabs>
          <w:tab w:leader="none" w:pos="1240" w:val="left"/>
        </w:tabs>
        <w:numPr>
          <w:ilvl w:val="0"/>
          <w:numId w:val="284"/>
        </w:numPr>
        <w:rPr>
          <w:rFonts w:ascii="Arial" w:cs="Arial" w:eastAsia="Arial" w:hAnsi="Arial"/>
          <w:sz w:val="15"/>
          <w:szCs w:val="15"/>
          <w:b w:val="1"/>
          <w:bCs w:val="1"/>
          <w:color w:val="auto"/>
        </w:rPr>
      </w:pPr>
      <w:r>
        <w:rPr>
          <w:rFonts w:ascii="Arial" w:cs="Arial" w:eastAsia="Arial" w:hAnsi="Arial"/>
          <w:sz w:val="15"/>
          <w:szCs w:val="15"/>
          <w:color w:val="auto"/>
        </w:rPr>
        <w:t>was, according to the receiving Party’s records, in its possession prior to the date of disclosure,</w:t>
      </w:r>
    </w:p>
    <w:p>
      <w:pPr>
        <w:spacing w:after="0" w:line="201" w:lineRule="exact"/>
        <w:rPr>
          <w:rFonts w:ascii="Arial" w:cs="Arial" w:eastAsia="Arial" w:hAnsi="Arial"/>
          <w:sz w:val="15"/>
          <w:szCs w:val="15"/>
          <w:b w:val="1"/>
          <w:bCs w:val="1"/>
          <w:color w:val="auto"/>
        </w:rPr>
      </w:pPr>
    </w:p>
    <w:p>
      <w:pPr>
        <w:ind w:left="1240" w:hanging="618"/>
        <w:spacing w:after="0"/>
        <w:tabs>
          <w:tab w:leader="none" w:pos="1240" w:val="left"/>
        </w:tabs>
        <w:numPr>
          <w:ilvl w:val="0"/>
          <w:numId w:val="284"/>
        </w:numPr>
        <w:rPr>
          <w:rFonts w:ascii="Arial" w:cs="Arial" w:eastAsia="Arial" w:hAnsi="Arial"/>
          <w:sz w:val="15"/>
          <w:szCs w:val="15"/>
          <w:b w:val="1"/>
          <w:bCs w:val="1"/>
          <w:color w:val="auto"/>
        </w:rPr>
      </w:pPr>
      <w:r>
        <w:rPr>
          <w:rFonts w:ascii="Arial" w:cs="Arial" w:eastAsia="Arial" w:hAnsi="Arial"/>
          <w:sz w:val="15"/>
          <w:szCs w:val="15"/>
          <w:color w:val="auto"/>
        </w:rPr>
        <w:t>is at the time of disclosure or hereafter becomes general public knowledge through no act or omission on the part of the receiving Party,</w:t>
      </w:r>
    </w:p>
    <w:p>
      <w:pPr>
        <w:spacing w:after="0" w:line="201" w:lineRule="exact"/>
        <w:rPr>
          <w:rFonts w:ascii="Arial" w:cs="Arial" w:eastAsia="Arial" w:hAnsi="Arial"/>
          <w:sz w:val="15"/>
          <w:szCs w:val="15"/>
          <w:b w:val="1"/>
          <w:bCs w:val="1"/>
          <w:color w:val="auto"/>
        </w:rPr>
      </w:pPr>
    </w:p>
    <w:p>
      <w:pPr>
        <w:ind w:left="1240" w:hanging="618"/>
        <w:spacing w:after="0"/>
        <w:tabs>
          <w:tab w:leader="none" w:pos="1240" w:val="left"/>
        </w:tabs>
        <w:numPr>
          <w:ilvl w:val="0"/>
          <w:numId w:val="284"/>
        </w:numPr>
        <w:rPr>
          <w:rFonts w:ascii="Arial" w:cs="Arial" w:eastAsia="Arial" w:hAnsi="Arial"/>
          <w:sz w:val="15"/>
          <w:szCs w:val="15"/>
          <w:b w:val="1"/>
          <w:bCs w:val="1"/>
          <w:color w:val="auto"/>
        </w:rPr>
      </w:pPr>
      <w:r>
        <w:rPr>
          <w:rFonts w:ascii="Arial" w:cs="Arial" w:eastAsia="Arial" w:hAnsi="Arial"/>
          <w:sz w:val="15"/>
          <w:szCs w:val="15"/>
          <w:color w:val="auto"/>
        </w:rPr>
        <w:t>is rightfully received by the receiving Party from a Third Party not under an obligation of confidentiality towards the disclosing Party,</w:t>
      </w:r>
    </w:p>
    <w:p>
      <w:pPr>
        <w:spacing w:after="0" w:line="214" w:lineRule="exact"/>
        <w:rPr>
          <w:rFonts w:ascii="Arial" w:cs="Arial" w:eastAsia="Arial" w:hAnsi="Arial"/>
          <w:sz w:val="15"/>
          <w:szCs w:val="15"/>
          <w:b w:val="1"/>
          <w:bCs w:val="1"/>
          <w:color w:val="auto"/>
        </w:rPr>
      </w:pPr>
    </w:p>
    <w:p>
      <w:pPr>
        <w:ind w:left="1240" w:hanging="618"/>
        <w:spacing w:after="0" w:line="330" w:lineRule="auto"/>
        <w:tabs>
          <w:tab w:leader="none" w:pos="1231" w:val="left"/>
        </w:tabs>
        <w:numPr>
          <w:ilvl w:val="0"/>
          <w:numId w:val="284"/>
        </w:numPr>
        <w:rPr>
          <w:rFonts w:ascii="Arial" w:cs="Arial" w:eastAsia="Arial" w:hAnsi="Arial"/>
          <w:sz w:val="15"/>
          <w:szCs w:val="15"/>
          <w:b w:val="1"/>
          <w:bCs w:val="1"/>
          <w:color w:val="auto"/>
        </w:rPr>
      </w:pPr>
      <w:r>
        <w:rPr>
          <w:rFonts w:ascii="Arial" w:cs="Arial" w:eastAsia="Arial" w:hAnsi="Arial"/>
          <w:sz w:val="15"/>
          <w:szCs w:val="15"/>
          <w:color w:val="auto"/>
        </w:rPr>
        <w:t>has been independently developed by the receiving Party, but without reliance on Confidential Information, as can be shown by the receiving Party’s records,</w:t>
      </w:r>
    </w:p>
    <w:p>
      <w:pPr>
        <w:spacing w:after="0" w:line="105" w:lineRule="exact"/>
        <w:rPr>
          <w:rFonts w:ascii="Arial" w:cs="Arial" w:eastAsia="Arial" w:hAnsi="Arial"/>
          <w:sz w:val="15"/>
          <w:szCs w:val="15"/>
          <w:b w:val="1"/>
          <w:bCs w:val="1"/>
          <w:color w:val="auto"/>
        </w:rPr>
      </w:pPr>
    </w:p>
    <w:p>
      <w:pPr>
        <w:ind w:left="1240" w:hanging="618"/>
        <w:spacing w:after="0" w:line="330" w:lineRule="auto"/>
        <w:tabs>
          <w:tab w:leader="none" w:pos="1236" w:val="left"/>
        </w:tabs>
        <w:numPr>
          <w:ilvl w:val="0"/>
          <w:numId w:val="284"/>
        </w:numPr>
        <w:rPr>
          <w:rFonts w:ascii="Arial" w:cs="Arial" w:eastAsia="Arial" w:hAnsi="Arial"/>
          <w:sz w:val="15"/>
          <w:szCs w:val="15"/>
          <w:b w:val="1"/>
          <w:bCs w:val="1"/>
          <w:color w:val="auto"/>
        </w:rPr>
      </w:pPr>
      <w:r>
        <w:rPr>
          <w:rFonts w:ascii="Arial" w:cs="Arial" w:eastAsia="Arial" w:hAnsi="Arial"/>
          <w:sz w:val="15"/>
          <w:szCs w:val="15"/>
          <w:color w:val="auto"/>
        </w:rPr>
        <w:t>is required to be disclosed as a result of applicable laws or regulations or final order of a court provided that the receiving Party promptly notifies the disclosing Party thereof.</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9.3</w:t>
      </w:r>
      <w:r>
        <w:rPr>
          <w:sz w:val="20"/>
          <w:szCs w:val="20"/>
          <w:color w:val="auto"/>
        </w:rPr>
        <w:tab/>
      </w:r>
      <w:r>
        <w:rPr>
          <w:rFonts w:ascii="Arial" w:cs="Arial" w:eastAsia="Arial" w:hAnsi="Arial"/>
          <w:sz w:val="15"/>
          <w:szCs w:val="15"/>
          <w:color w:val="auto"/>
        </w:rPr>
        <w:t>Exclusions to Confidentiality</w:t>
      </w:r>
    </w:p>
    <w:p>
      <w:pPr>
        <w:spacing w:after="0" w:line="216" w:lineRule="exact"/>
        <w:rPr>
          <w:sz w:val="20"/>
          <w:szCs w:val="20"/>
          <w:color w:val="auto"/>
        </w:rPr>
      </w:pPr>
    </w:p>
    <w:p>
      <w:pPr>
        <w:jc w:val="both"/>
        <w:ind w:left="620"/>
        <w:spacing w:after="0" w:line="282" w:lineRule="auto"/>
        <w:rPr>
          <w:sz w:val="20"/>
          <w:szCs w:val="20"/>
          <w:color w:val="auto"/>
        </w:rPr>
      </w:pPr>
      <w:r>
        <w:rPr>
          <w:rFonts w:ascii="Arial" w:cs="Arial" w:eastAsia="Arial" w:hAnsi="Arial"/>
          <w:sz w:val="15"/>
          <w:szCs w:val="15"/>
          <w:color w:val="auto"/>
        </w:rPr>
        <w:t>The restrictions contained in this Article 9 shall not apply to any Confidential Information that (i) is submitted by Sanofi to Governmental Authorities to facilitate the issuance of Regulatory Approvals for any Product, provided that reasonable measures shall be taken to assure confidential treatment of such information; (ii) is provided by Sanofi to any Third Party under appropriate terms and conditions, including confidentiality provisions equivalent to those in this Agreement, for consulting, manufacturing development, manufacturing, external testing, marketing trials and sublicensing or potential sublicensing; or</w:t>
      </w:r>
    </w:p>
    <w:p>
      <w:pPr>
        <w:spacing w:after="0" w:line="2" w:lineRule="exact"/>
        <w:rPr>
          <w:sz w:val="20"/>
          <w:szCs w:val="20"/>
          <w:color w:val="auto"/>
        </w:rPr>
      </w:pPr>
    </w:p>
    <w:p>
      <w:pPr>
        <w:jc w:val="both"/>
        <w:ind w:left="620" w:firstLine="2"/>
        <w:spacing w:after="0" w:line="308" w:lineRule="auto"/>
        <w:tabs>
          <w:tab w:leader="none" w:pos="877" w:val="left"/>
        </w:tabs>
        <w:numPr>
          <w:ilvl w:val="0"/>
          <w:numId w:val="285"/>
        </w:numPr>
        <w:rPr>
          <w:rFonts w:ascii="Arial" w:cs="Arial" w:eastAsia="Arial" w:hAnsi="Arial"/>
          <w:sz w:val="15"/>
          <w:szCs w:val="15"/>
          <w:color w:val="auto"/>
        </w:rPr>
      </w:pPr>
      <w:r>
        <w:rPr>
          <w:rFonts w:ascii="Arial" w:cs="Arial" w:eastAsia="Arial" w:hAnsi="Arial"/>
          <w:sz w:val="15"/>
          <w:szCs w:val="15"/>
          <w:color w:val="auto"/>
        </w:rPr>
        <w:t>is otherwise disclosed by Sanofi in connection with the development, manufacturing or commercialization of the Product hereunder (including, without limitation, to comply with any governmental or stock exchange disclosure requirements) or an order by a court or other regulatory body having competent jurisdiction.</w:t>
      </w:r>
    </w:p>
    <w:p>
      <w:pPr>
        <w:spacing w:after="0" w:line="133"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10:</w:t>
      </w:r>
      <w:r>
        <w:rPr>
          <w:sz w:val="20"/>
          <w:szCs w:val="20"/>
          <w:color w:val="auto"/>
        </w:rPr>
        <w:tab/>
      </w:r>
      <w:r>
        <w:rPr>
          <w:rFonts w:ascii="Arial" w:cs="Arial" w:eastAsia="Arial" w:hAnsi="Arial"/>
          <w:sz w:val="15"/>
          <w:szCs w:val="15"/>
          <w:b w:val="1"/>
          <w:bCs w:val="1"/>
          <w:color w:val="auto"/>
        </w:rPr>
        <w:t>Publications – Communication</w:t>
      </w:r>
    </w:p>
    <w:p>
      <w:pPr>
        <w:spacing w:after="0" w:line="201"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10.1</w:t>
      </w:r>
      <w:r>
        <w:rPr>
          <w:sz w:val="20"/>
          <w:szCs w:val="20"/>
          <w:color w:val="auto"/>
        </w:rPr>
        <w:tab/>
      </w:r>
      <w:r>
        <w:rPr>
          <w:rFonts w:ascii="Arial" w:cs="Arial" w:eastAsia="Arial" w:hAnsi="Arial"/>
          <w:sz w:val="15"/>
          <w:szCs w:val="15"/>
          <w:color w:val="auto"/>
        </w:rPr>
        <w:t>Neither Party shall make any publication or release pertaining to the Research Program and/or Research Program Results prior to the end of the Term without the prior written consent of the other Party.</w:t>
      </w:r>
    </w:p>
    <w:p>
      <w:pPr>
        <w:spacing w:after="0" w:line="106" w:lineRule="exact"/>
        <w:rPr>
          <w:sz w:val="20"/>
          <w:szCs w:val="20"/>
          <w:color w:val="auto"/>
        </w:rPr>
      </w:pPr>
    </w:p>
    <w:p>
      <w:pPr>
        <w:jc w:val="both"/>
        <w:ind w:left="620" w:hanging="618"/>
        <w:spacing w:after="0" w:line="297" w:lineRule="auto"/>
        <w:tabs>
          <w:tab w:leader="none" w:pos="600" w:val="left"/>
        </w:tabs>
        <w:rPr>
          <w:sz w:val="20"/>
          <w:szCs w:val="20"/>
          <w:color w:val="auto"/>
        </w:rPr>
      </w:pPr>
      <w:r>
        <w:rPr>
          <w:rFonts w:ascii="Arial" w:cs="Arial" w:eastAsia="Arial" w:hAnsi="Arial"/>
          <w:sz w:val="15"/>
          <w:szCs w:val="15"/>
          <w:b w:val="1"/>
          <w:bCs w:val="1"/>
          <w:color w:val="auto"/>
        </w:rPr>
        <w:t>10.2</w:t>
      </w:r>
      <w:r>
        <w:rPr>
          <w:sz w:val="20"/>
          <w:szCs w:val="20"/>
          <w:color w:val="auto"/>
        </w:rPr>
        <w:tab/>
      </w:r>
      <w:r>
        <w:rPr>
          <w:rFonts w:ascii="Arial" w:cs="Arial" w:eastAsia="Arial" w:hAnsi="Arial"/>
          <w:sz w:val="15"/>
          <w:szCs w:val="15"/>
          <w:color w:val="auto"/>
        </w:rPr>
        <w:t>Prior to expiration of the Option Period, any presentation or publication regarding the Research Program and/or Research Program Results will be submitted to the other Party for review at least [****] in advance of any presentation or submission for publication. If requested by the aforementioned other Party, any presentation or submission for publication shall be delayed for a limited time, not to exceed [****], to allow for filing of a patent application or such other measures as said other Party deems appropriate to establish and preserve its proprietary rights. Each Party shall remove from any of its foreseen publication/communication, upon request by the other Party, any Confidential Information of said other Party.</w:t>
      </w:r>
    </w:p>
    <w:p>
      <w:pPr>
        <w:spacing w:after="0" w:line="132"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10.3</w:t>
      </w:r>
      <w:r>
        <w:rPr>
          <w:sz w:val="20"/>
          <w:szCs w:val="20"/>
          <w:color w:val="auto"/>
        </w:rPr>
        <w:tab/>
      </w:r>
      <w:r>
        <w:rPr>
          <w:rFonts w:ascii="Arial" w:cs="Arial" w:eastAsia="Arial" w:hAnsi="Arial"/>
          <w:sz w:val="15"/>
          <w:szCs w:val="15"/>
          <w:color w:val="auto"/>
        </w:rPr>
        <w:t>Notwithstanding the foregoing, if Sanofi or its Affiliates exercises the Option with respect to a Target Combination in the Option Period, [****].</w:t>
      </w:r>
    </w:p>
    <w:p>
      <w:pPr>
        <w:spacing w:after="0" w:line="201"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10.4</w:t>
      </w:r>
      <w:r>
        <w:rPr>
          <w:sz w:val="20"/>
          <w:szCs w:val="20"/>
          <w:color w:val="auto"/>
        </w:rPr>
        <w:tab/>
      </w:r>
      <w:r>
        <w:rPr>
          <w:rFonts w:ascii="Arial" w:cs="Arial" w:eastAsia="Arial" w:hAnsi="Arial"/>
          <w:sz w:val="15"/>
          <w:szCs w:val="15"/>
          <w:color w:val="auto"/>
        </w:rPr>
        <w:t>Each publication or release pertaining to the Research Program and/or Research Program Results by a Party shall mention contribution of the other Party unless otherwise requested by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- 10/#NUM_PAGES# -</w:t>
      </w:r>
    </w:p>
    <w:p>
      <w:pPr>
        <w:sectPr>
          <w:pgSz w:w="11900" w:h="16838" w:orient="portrait"/>
          <w:cols w:equalWidth="0" w:num="1">
            <w:col w:w="11240"/>
          </w:cols>
          <w:pgMar w:left="320" w:top="134" w:right="3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10.5</w:t>
      </w:r>
      <w:r>
        <w:rPr>
          <w:sz w:val="20"/>
          <w:szCs w:val="20"/>
          <w:color w:val="auto"/>
        </w:rPr>
        <w:tab/>
      </w:r>
      <w:r>
        <w:rPr>
          <w:rFonts w:ascii="Arial" w:cs="Arial" w:eastAsia="Arial" w:hAnsi="Arial"/>
          <w:sz w:val="15"/>
          <w:szCs w:val="15"/>
          <w:color w:val="auto"/>
        </w:rPr>
        <w:t>Subject to the provisions above, no Party shall use the name(s) of the other Party and/or of said other Party’s employees in advertising or promotional material without the prior written consent of this other Party.</w:t>
      </w:r>
    </w:p>
    <w:p>
      <w:pPr>
        <w:spacing w:after="0" w:line="119"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11:</w:t>
      </w:r>
      <w:r>
        <w:rPr>
          <w:sz w:val="20"/>
          <w:szCs w:val="20"/>
          <w:color w:val="auto"/>
        </w:rPr>
        <w:tab/>
      </w:r>
      <w:r>
        <w:rPr>
          <w:rFonts w:ascii="Arial" w:cs="Arial" w:eastAsia="Arial" w:hAnsi="Arial"/>
          <w:sz w:val="15"/>
          <w:szCs w:val="15"/>
          <w:b w:val="1"/>
          <w:bCs w:val="1"/>
          <w:color w:val="auto"/>
        </w:rPr>
        <w:t>Representations, warranties and covenants</w:t>
      </w:r>
    </w:p>
    <w:p>
      <w:pPr>
        <w:spacing w:after="0" w:line="201"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11.1</w:t>
      </w:r>
      <w:r>
        <w:rPr>
          <w:sz w:val="20"/>
          <w:szCs w:val="20"/>
          <w:color w:val="auto"/>
        </w:rPr>
        <w:tab/>
      </w:r>
      <w:r>
        <w:rPr>
          <w:rFonts w:ascii="Arial" w:cs="Arial" w:eastAsia="Arial" w:hAnsi="Arial"/>
          <w:sz w:val="15"/>
          <w:szCs w:val="15"/>
          <w:color w:val="auto"/>
        </w:rPr>
        <w:t>Representations, warranties and covenants of both Parties</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Each Party represents and warrants to the other Party that, as of the Effective Date:</w:t>
      </w:r>
    </w:p>
    <w:p>
      <w:pPr>
        <w:spacing w:after="0" w:line="201" w:lineRule="exact"/>
        <w:rPr>
          <w:sz w:val="20"/>
          <w:szCs w:val="20"/>
          <w:color w:val="auto"/>
        </w:rPr>
      </w:pPr>
    </w:p>
    <w:p>
      <w:pPr>
        <w:ind w:left="1240" w:hanging="618"/>
        <w:spacing w:after="0" w:line="330" w:lineRule="auto"/>
        <w:tabs>
          <w:tab w:leader="none" w:pos="1236" w:val="left"/>
        </w:tabs>
        <w:numPr>
          <w:ilvl w:val="0"/>
          <w:numId w:val="286"/>
        </w:numPr>
        <w:rPr>
          <w:rFonts w:ascii="Arial" w:cs="Arial" w:eastAsia="Arial" w:hAnsi="Arial"/>
          <w:sz w:val="15"/>
          <w:szCs w:val="15"/>
          <w:b w:val="1"/>
          <w:bCs w:val="1"/>
          <w:color w:val="auto"/>
        </w:rPr>
      </w:pPr>
      <w:r>
        <w:rPr>
          <w:rFonts w:ascii="Arial" w:cs="Arial" w:eastAsia="Arial" w:hAnsi="Arial"/>
          <w:sz w:val="15"/>
          <w:szCs w:val="15"/>
          <w:color w:val="auto"/>
        </w:rPr>
        <w:t>Such Party is duly organized and validly existing under the laws of the jurisdiction of its incorporation and has full corporate power and authority to enter into this Agreement and to carry out the provisions hereof;</w:t>
      </w:r>
    </w:p>
    <w:p>
      <w:pPr>
        <w:spacing w:after="0" w:line="118" w:lineRule="exact"/>
        <w:rPr>
          <w:rFonts w:ascii="Arial" w:cs="Arial" w:eastAsia="Arial" w:hAnsi="Arial"/>
          <w:sz w:val="15"/>
          <w:szCs w:val="15"/>
          <w:b w:val="1"/>
          <w:bCs w:val="1"/>
          <w:color w:val="auto"/>
        </w:rPr>
      </w:pPr>
    </w:p>
    <w:p>
      <w:pPr>
        <w:ind w:left="1240" w:hanging="618"/>
        <w:spacing w:after="0" w:line="330" w:lineRule="auto"/>
        <w:tabs>
          <w:tab w:leader="none" w:pos="1231" w:val="left"/>
        </w:tabs>
        <w:numPr>
          <w:ilvl w:val="0"/>
          <w:numId w:val="286"/>
        </w:numPr>
        <w:rPr>
          <w:rFonts w:ascii="Arial" w:cs="Arial" w:eastAsia="Arial" w:hAnsi="Arial"/>
          <w:sz w:val="15"/>
          <w:szCs w:val="15"/>
          <w:b w:val="1"/>
          <w:bCs w:val="1"/>
          <w:color w:val="auto"/>
        </w:rPr>
      </w:pPr>
      <w:r>
        <w:rPr>
          <w:rFonts w:ascii="Arial" w:cs="Arial" w:eastAsia="Arial" w:hAnsi="Arial"/>
          <w:sz w:val="15"/>
          <w:szCs w:val="15"/>
          <w:color w:val="auto"/>
        </w:rPr>
        <w:t>Such Party has taken all corporate action necessary to authorize the execution and delivery of this Agreement and the performance of its obligations under this Agreement;</w:t>
      </w:r>
    </w:p>
    <w:p>
      <w:pPr>
        <w:spacing w:after="0" w:line="105" w:lineRule="exact"/>
        <w:rPr>
          <w:rFonts w:ascii="Arial" w:cs="Arial" w:eastAsia="Arial" w:hAnsi="Arial"/>
          <w:sz w:val="15"/>
          <w:szCs w:val="15"/>
          <w:b w:val="1"/>
          <w:bCs w:val="1"/>
          <w:color w:val="auto"/>
        </w:rPr>
      </w:pPr>
    </w:p>
    <w:p>
      <w:pPr>
        <w:jc w:val="both"/>
        <w:ind w:left="1240" w:hanging="618"/>
        <w:spacing w:after="0" w:line="297" w:lineRule="auto"/>
        <w:tabs>
          <w:tab w:leader="none" w:pos="1236" w:val="left"/>
        </w:tabs>
        <w:numPr>
          <w:ilvl w:val="0"/>
          <w:numId w:val="286"/>
        </w:numPr>
        <w:rPr>
          <w:rFonts w:ascii="Arial" w:cs="Arial" w:eastAsia="Arial" w:hAnsi="Arial"/>
          <w:sz w:val="15"/>
          <w:szCs w:val="15"/>
          <w:b w:val="1"/>
          <w:bCs w:val="1"/>
          <w:color w:val="auto"/>
        </w:rPr>
      </w:pPr>
      <w:r>
        <w:rPr>
          <w:rFonts w:ascii="Arial" w:cs="Arial" w:eastAsia="Arial" w:hAnsi="Arial"/>
          <w:sz w:val="15"/>
          <w:szCs w:val="15"/>
          <w:color w:val="auto"/>
        </w:rPr>
        <w:t>This Agreement is a legal and valid obligation of such Party, binding upon such Party and enforceable against such Party in accordance with the terms of this Agreement except as such enforceability may be affected by laws affecting creditors’ rights generally and general equitable principles. The execution, delivery and performance of this Agreement by such Party do not and shall not conflict with any agreement, instrument or understanding, oral or written, to which such Party is a party or by which such Party may be bound, or violate any law or regulation of any court, governmental body or administrative or other agency having authority over such Party.</w:t>
      </w:r>
    </w:p>
    <w:p>
      <w:pPr>
        <w:spacing w:after="0" w:line="131" w:lineRule="exact"/>
        <w:rPr>
          <w:rFonts w:ascii="Arial" w:cs="Arial" w:eastAsia="Arial" w:hAnsi="Arial"/>
          <w:sz w:val="15"/>
          <w:szCs w:val="15"/>
          <w:b w:val="1"/>
          <w:bCs w:val="1"/>
          <w:color w:val="auto"/>
        </w:rPr>
      </w:pPr>
    </w:p>
    <w:p>
      <w:pPr>
        <w:ind w:left="1240" w:hanging="618"/>
        <w:spacing w:after="0" w:line="330" w:lineRule="auto"/>
        <w:tabs>
          <w:tab w:leader="none" w:pos="1231" w:val="left"/>
        </w:tabs>
        <w:numPr>
          <w:ilvl w:val="0"/>
          <w:numId w:val="286"/>
        </w:numPr>
        <w:rPr>
          <w:rFonts w:ascii="Arial" w:cs="Arial" w:eastAsia="Arial" w:hAnsi="Arial"/>
          <w:sz w:val="15"/>
          <w:szCs w:val="15"/>
          <w:b w:val="1"/>
          <w:bCs w:val="1"/>
          <w:color w:val="auto"/>
        </w:rPr>
      </w:pPr>
      <w:r>
        <w:rPr>
          <w:rFonts w:ascii="Arial" w:cs="Arial" w:eastAsia="Arial" w:hAnsi="Arial"/>
          <w:sz w:val="15"/>
          <w:szCs w:val="15"/>
          <w:color w:val="auto"/>
        </w:rPr>
        <w:t>All consents, approvals and authorizations from all Governmental Authorities or other Third Parties required to be obtained by such Party in connection with the execution, delivery and performance of this Agreement have been obtained.</w:t>
      </w:r>
    </w:p>
    <w:p>
      <w:pPr>
        <w:spacing w:after="0" w:line="10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11.2</w:t>
      </w:r>
      <w:r>
        <w:rPr>
          <w:sz w:val="20"/>
          <w:szCs w:val="20"/>
          <w:color w:val="auto"/>
        </w:rPr>
        <w:tab/>
      </w:r>
      <w:r>
        <w:rPr>
          <w:rFonts w:ascii="Arial" w:cs="Arial" w:eastAsia="Arial" w:hAnsi="Arial"/>
          <w:sz w:val="15"/>
          <w:szCs w:val="15"/>
          <w:color w:val="auto"/>
        </w:rPr>
        <w:t>Additional Representations, warranties and covenants of ExScientia</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ExScientia represents and warrants to Sanofi that, as of the Effective Date:</w:t>
      </w:r>
    </w:p>
    <w:p>
      <w:pPr>
        <w:spacing w:after="0" w:line="201" w:lineRule="exact"/>
        <w:rPr>
          <w:sz w:val="20"/>
          <w:szCs w:val="20"/>
          <w:color w:val="auto"/>
        </w:rPr>
      </w:pPr>
    </w:p>
    <w:p>
      <w:pPr>
        <w:ind w:left="1240" w:hanging="618"/>
        <w:spacing w:after="0"/>
        <w:tabs>
          <w:tab w:leader="none" w:pos="1240" w:val="left"/>
        </w:tabs>
        <w:numPr>
          <w:ilvl w:val="0"/>
          <w:numId w:val="287"/>
        </w:numPr>
        <w:rPr>
          <w:rFonts w:ascii="Arial" w:cs="Arial" w:eastAsia="Arial" w:hAnsi="Arial"/>
          <w:sz w:val="15"/>
          <w:szCs w:val="15"/>
          <w:b w:val="1"/>
          <w:bCs w:val="1"/>
          <w:color w:val="auto"/>
        </w:rPr>
      </w:pPr>
      <w:r>
        <w:rPr>
          <w:rFonts w:ascii="Arial" w:cs="Arial" w:eastAsia="Arial" w:hAnsi="Arial"/>
          <w:sz w:val="15"/>
          <w:szCs w:val="15"/>
          <w:color w:val="auto"/>
        </w:rPr>
        <w:t>ExScientia has sufficient facilities, experienced personnel and other capabilities to enable it to perform its obligations under this Agreement;</w:t>
      </w:r>
    </w:p>
    <w:p>
      <w:pPr>
        <w:spacing w:after="0" w:line="201" w:lineRule="exact"/>
        <w:rPr>
          <w:rFonts w:ascii="Arial" w:cs="Arial" w:eastAsia="Arial" w:hAnsi="Arial"/>
          <w:sz w:val="15"/>
          <w:szCs w:val="15"/>
          <w:b w:val="1"/>
          <w:bCs w:val="1"/>
          <w:color w:val="auto"/>
        </w:rPr>
      </w:pPr>
    </w:p>
    <w:p>
      <w:pPr>
        <w:ind w:left="1240" w:hanging="618"/>
        <w:spacing w:after="0"/>
        <w:tabs>
          <w:tab w:leader="none" w:pos="1240" w:val="left"/>
        </w:tabs>
        <w:numPr>
          <w:ilvl w:val="0"/>
          <w:numId w:val="287"/>
        </w:numPr>
        <w:rPr>
          <w:rFonts w:ascii="Arial" w:cs="Arial" w:eastAsia="Arial" w:hAnsi="Arial"/>
          <w:sz w:val="15"/>
          <w:szCs w:val="15"/>
          <w:b w:val="1"/>
          <w:bCs w:val="1"/>
          <w:color w:val="auto"/>
        </w:rPr>
      </w:pPr>
      <w:r>
        <w:rPr>
          <w:rFonts w:ascii="Arial" w:cs="Arial" w:eastAsia="Arial" w:hAnsi="Arial"/>
          <w:sz w:val="15"/>
          <w:szCs w:val="15"/>
          <w:color w:val="auto"/>
        </w:rPr>
        <w:t>ExScientia has the right to grant to Sanofi all the licenses granted pursuant to this Agreement;</w:t>
      </w:r>
    </w:p>
    <w:p>
      <w:pPr>
        <w:spacing w:after="0" w:line="201" w:lineRule="exact"/>
        <w:rPr>
          <w:rFonts w:ascii="Arial" w:cs="Arial" w:eastAsia="Arial" w:hAnsi="Arial"/>
          <w:sz w:val="15"/>
          <w:szCs w:val="15"/>
          <w:b w:val="1"/>
          <w:bCs w:val="1"/>
          <w:color w:val="auto"/>
        </w:rPr>
      </w:pPr>
    </w:p>
    <w:p>
      <w:pPr>
        <w:jc w:val="both"/>
        <w:ind w:left="1240" w:hanging="618"/>
        <w:spacing w:after="0" w:line="308" w:lineRule="auto"/>
        <w:tabs>
          <w:tab w:leader="none" w:pos="1236" w:val="left"/>
        </w:tabs>
        <w:numPr>
          <w:ilvl w:val="0"/>
          <w:numId w:val="287"/>
        </w:numPr>
        <w:rPr>
          <w:rFonts w:ascii="Arial" w:cs="Arial" w:eastAsia="Arial" w:hAnsi="Arial"/>
          <w:sz w:val="15"/>
          <w:szCs w:val="15"/>
          <w:b w:val="1"/>
          <w:bCs w:val="1"/>
          <w:color w:val="auto"/>
        </w:rPr>
      </w:pPr>
      <w:r>
        <w:rPr>
          <w:rFonts w:ascii="Arial" w:cs="Arial" w:eastAsia="Arial" w:hAnsi="Arial"/>
          <w:sz w:val="15"/>
          <w:szCs w:val="15"/>
          <w:color w:val="auto"/>
        </w:rPr>
        <w:t>ExScientia has not entered into any agreement with any Third Party which is in conflict with the rights granted to Sanofi under this Agreement and the execution and performance of this Agreement by ExScientia does not and shall not violate any agreement or undertaking to which ExScientia is a party.</w:t>
      </w:r>
    </w:p>
    <w:p>
      <w:pPr>
        <w:spacing w:after="0" w:line="135" w:lineRule="exact"/>
        <w:rPr>
          <w:rFonts w:ascii="Arial" w:cs="Arial" w:eastAsia="Arial" w:hAnsi="Arial"/>
          <w:sz w:val="15"/>
          <w:szCs w:val="15"/>
          <w:b w:val="1"/>
          <w:bCs w:val="1"/>
          <w:color w:val="auto"/>
        </w:rPr>
      </w:pPr>
    </w:p>
    <w:p>
      <w:pPr>
        <w:jc w:val="both"/>
        <w:ind w:left="1240" w:hanging="618"/>
        <w:spacing w:after="0" w:line="293" w:lineRule="auto"/>
        <w:tabs>
          <w:tab w:leader="none" w:pos="1231" w:val="left"/>
        </w:tabs>
        <w:numPr>
          <w:ilvl w:val="0"/>
          <w:numId w:val="287"/>
        </w:numPr>
        <w:rPr>
          <w:rFonts w:ascii="Arial" w:cs="Arial" w:eastAsia="Arial" w:hAnsi="Arial"/>
          <w:sz w:val="15"/>
          <w:szCs w:val="15"/>
          <w:b w:val="1"/>
          <w:bCs w:val="1"/>
          <w:color w:val="auto"/>
        </w:rPr>
      </w:pPr>
      <w:r>
        <w:rPr>
          <w:rFonts w:ascii="Arial" w:cs="Arial" w:eastAsia="Arial" w:hAnsi="Arial"/>
          <w:sz w:val="15"/>
          <w:szCs w:val="15"/>
          <w:color w:val="auto"/>
        </w:rPr>
        <w:t>ExScientia shall comply with the U.S. Foreign Corrupt Practices Act, the United Kingdom Anti-Bribery Act, and any other analogous Laws existing in any other country or region in the Territory, in connection with the performance of this Agreement. ExScientia shall not make any payment, either directly or indirectly, of money or other assets to any government or political party officials, officials of international public organizations, candidates for public office, or representatives of other businesses or persons acting on behalf of any of the foregoing, that would constitute a violation of any applicable Laws.</w:t>
      </w:r>
    </w:p>
    <w:p>
      <w:pPr>
        <w:spacing w:after="0" w:line="144"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12:</w:t>
      </w:r>
      <w:r>
        <w:rPr>
          <w:sz w:val="20"/>
          <w:szCs w:val="20"/>
          <w:color w:val="auto"/>
        </w:rPr>
        <w:tab/>
      </w:r>
      <w:r>
        <w:rPr>
          <w:rFonts w:ascii="Arial" w:cs="Arial" w:eastAsia="Arial" w:hAnsi="Arial"/>
          <w:sz w:val="15"/>
          <w:szCs w:val="15"/>
          <w:b w:val="1"/>
          <w:bCs w:val="1"/>
          <w:color w:val="auto"/>
        </w:rPr>
        <w:t>Indemnification and Insurance</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12.1</w:t>
      </w:r>
      <w:r>
        <w:rPr>
          <w:sz w:val="20"/>
          <w:szCs w:val="20"/>
          <w:color w:val="auto"/>
        </w:rPr>
        <w:tab/>
      </w:r>
      <w:r>
        <w:rPr>
          <w:rFonts w:ascii="Arial" w:cs="Arial" w:eastAsia="Arial" w:hAnsi="Arial"/>
          <w:sz w:val="15"/>
          <w:szCs w:val="15"/>
          <w:color w:val="auto"/>
        </w:rPr>
        <w:t>Indemnification of ExScientia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- 11/#NUM_PAGES# -</w:t>
      </w:r>
    </w:p>
    <w:p>
      <w:pPr>
        <w:sectPr>
          <w:pgSz w:w="11900" w:h="16838" w:orient="portrait"/>
          <w:cols w:equalWidth="0" w:num="1">
            <w:col w:w="11240"/>
          </w:cols>
          <w:pgMar w:left="320" w:top="133" w:right="3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20"/>
        <w:spacing w:after="0" w:line="294" w:lineRule="auto"/>
        <w:rPr>
          <w:sz w:val="20"/>
          <w:szCs w:val="20"/>
          <w:color w:val="auto"/>
        </w:rPr>
      </w:pPr>
      <w:r>
        <w:rPr>
          <w:rFonts w:ascii="Arial" w:cs="Arial" w:eastAsia="Arial" w:hAnsi="Arial"/>
          <w:sz w:val="15"/>
          <w:szCs w:val="15"/>
          <w:color w:val="auto"/>
        </w:rPr>
        <w:t>Sanofi shall indemnify ExScientia, and its directors, officers, employees and agents (each, a “ExScientia Indemnitee”), and defend and hold each of them harmless from and against any and all losses, damages. liabilities. costs and expenses (including reasonable attorneys’ fees and expenses) (collectively, “Losses”) arising in connection with any and all claims, demands, lawsuits, or investigations by a Third Party (each a “Third Party Claim”) against an ExScientia Indemnitee, to the extent caused by or arising out of: (a) any breach by Sanofi of this Agreement, (b) the gross negligence or wilful misconduct on the part of Sanofi, its Sublicensees or service providers in performing any activity contemplated by this Agreement, (c) the performance of Sanofi ‘s activities under the Research Program; or (d) the development, manufacture, use, handling, storage, supply, commercialisation or other disposition of Products by Sanofi or its Sublicensees, in each case excluding any Losses to the extent ExScientia has an obligation to indemnify Sanofi pursuant to Article</w:t>
      </w:r>
    </w:p>
    <w:p>
      <w:pPr>
        <w:spacing w:after="0" w:line="337"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12.2</w:t>
      </w:r>
      <w:r>
        <w:rPr>
          <w:sz w:val="20"/>
          <w:szCs w:val="20"/>
          <w:color w:val="auto"/>
        </w:rPr>
        <w:tab/>
      </w:r>
      <w:r>
        <w:rPr>
          <w:rFonts w:ascii="Arial" w:cs="Arial" w:eastAsia="Arial" w:hAnsi="Arial"/>
          <w:sz w:val="15"/>
          <w:szCs w:val="15"/>
          <w:color w:val="auto"/>
        </w:rPr>
        <w:t>Indemnification of Sanofi</w:t>
      </w:r>
    </w:p>
    <w:p>
      <w:pPr>
        <w:spacing w:after="0" w:line="216" w:lineRule="exact"/>
        <w:rPr>
          <w:sz w:val="20"/>
          <w:szCs w:val="20"/>
          <w:color w:val="auto"/>
        </w:rPr>
      </w:pPr>
    </w:p>
    <w:p>
      <w:pPr>
        <w:jc w:val="both"/>
        <w:ind w:left="620"/>
        <w:spacing w:after="0" w:line="293" w:lineRule="auto"/>
        <w:rPr>
          <w:sz w:val="20"/>
          <w:szCs w:val="20"/>
          <w:color w:val="auto"/>
        </w:rPr>
      </w:pPr>
      <w:r>
        <w:rPr>
          <w:rFonts w:ascii="Arial" w:cs="Arial" w:eastAsia="Arial" w:hAnsi="Arial"/>
          <w:sz w:val="15"/>
          <w:szCs w:val="15"/>
          <w:color w:val="auto"/>
        </w:rPr>
        <w:t>ExScientia shall indemnify Sanofi and its respective directors, officers, employees and agents (each, a “Sanofi Indemnitee”), and defend and hold each of them harmless from and against any and all Losses arising in connection with any Third Party Claim against a Sanofi Indemnitee, to the extent caused by or arising out of: (a) any breach by ExScientia of this Agreement; (b) the gross negligence or wilful misconduct on the part of ExScientia in performing any activity contemplated by this Agreement; (c) the performance of ExScientia’s activities under the Research Program, in each case excluding any Losses to the extent Sanofi has an obligation to indemnify ExScientia pursuant to Article 12.1.</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12.3</w:t>
      </w:r>
      <w:r>
        <w:rPr>
          <w:sz w:val="20"/>
          <w:szCs w:val="20"/>
          <w:color w:val="auto"/>
        </w:rPr>
        <w:tab/>
      </w:r>
      <w:r>
        <w:rPr>
          <w:rFonts w:ascii="Arial" w:cs="Arial" w:eastAsia="Arial" w:hAnsi="Arial"/>
          <w:sz w:val="15"/>
          <w:szCs w:val="15"/>
          <w:color w:val="auto"/>
        </w:rPr>
        <w:t>Notice of Claim</w:t>
      </w:r>
    </w:p>
    <w:p>
      <w:pPr>
        <w:spacing w:after="0" w:line="203" w:lineRule="exact"/>
        <w:rPr>
          <w:sz w:val="20"/>
          <w:szCs w:val="20"/>
          <w:color w:val="auto"/>
        </w:rPr>
      </w:pPr>
    </w:p>
    <w:p>
      <w:pPr>
        <w:jc w:val="both"/>
        <w:ind w:left="620"/>
        <w:spacing w:after="0" w:line="293" w:lineRule="auto"/>
        <w:rPr>
          <w:sz w:val="20"/>
          <w:szCs w:val="20"/>
          <w:color w:val="auto"/>
        </w:rPr>
      </w:pPr>
      <w:r>
        <w:rPr>
          <w:rFonts w:ascii="Arial" w:cs="Arial" w:eastAsia="Arial" w:hAnsi="Arial"/>
          <w:sz w:val="15"/>
          <w:szCs w:val="15"/>
          <w:color w:val="auto"/>
        </w:rPr>
        <w:t>All indemnification claims in respect of any Sanofi Indemnitee or ExScientia Indemnitee seeking indemnity under Articles 12.1 or 12.2 (collectively, the “Indemnitees” and each an “Indemnitee”) shall be made solely by the corresponding Party (the “Indemnified Party”). The Indemnified Party shall give the indemnifying Party (the “Indemnifying Party”) prompt written notice (an “Indemnification Claim Notice”) of any Losses or discovery of fact upon which such Indemnified Party intends to base a request for indemnification under Article 12.1 or 12.2, but in no event shall the Indemnifying Party be liable for any Losses that result from any delay in providing such notice. Each Indemnification Claim Notice must contain a description of the claim and the nature and amount of such Loss (to the extent that the nature and amount of such Loss are known at such time). Together with the Indemnification Claim Notice, the Indemnified Party shall furnish promptly to the Indemnifying Party copies of all notices and documents (including court papers) received by any Indemnitee in connection with the Third Party Claim.</w:t>
      </w:r>
    </w:p>
    <w:p>
      <w:pPr>
        <w:spacing w:after="0" w:line="13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12.4</w:t>
      </w:r>
      <w:r>
        <w:rPr>
          <w:sz w:val="20"/>
          <w:szCs w:val="20"/>
          <w:color w:val="auto"/>
        </w:rPr>
        <w:tab/>
      </w:r>
      <w:r>
        <w:rPr>
          <w:rFonts w:ascii="Arial" w:cs="Arial" w:eastAsia="Arial" w:hAnsi="Arial"/>
          <w:sz w:val="15"/>
          <w:szCs w:val="15"/>
          <w:color w:val="auto"/>
        </w:rPr>
        <w:t>Control of Defense</w:t>
      </w:r>
    </w:p>
    <w:p>
      <w:pPr>
        <w:spacing w:after="0" w:line="203" w:lineRule="exact"/>
        <w:rPr>
          <w:sz w:val="20"/>
          <w:szCs w:val="20"/>
          <w:color w:val="auto"/>
        </w:rPr>
      </w:pPr>
    </w:p>
    <w:p>
      <w:pPr>
        <w:jc w:val="both"/>
        <w:ind w:left="620"/>
        <w:spacing w:after="0" w:line="295" w:lineRule="auto"/>
        <w:rPr>
          <w:sz w:val="20"/>
          <w:szCs w:val="20"/>
          <w:color w:val="auto"/>
        </w:rPr>
      </w:pPr>
      <w:r>
        <w:rPr>
          <w:rFonts w:ascii="Arial" w:cs="Arial" w:eastAsia="Arial" w:hAnsi="Arial"/>
          <w:sz w:val="15"/>
          <w:szCs w:val="15"/>
          <w:color w:val="auto"/>
        </w:rPr>
        <w:t>At its option, the indemnifying Party may assume the defense of any Third Party Claim subject to indemnification as provided for in Articles 12.1 or 12.2 by giving written notice to the Indemnified Party within thirty (30) days after the Indemnifying Party’s receipt of an Indemnification Claim Notice. Upon assuming the defense of a Third Party Claim, the Indemnifying Party may select and appoint the lead legal counsel for the defense of the Third Party Claim. Should the Indemnifying Party assume the defense of a Third Party Claim, the Indemnifying Party shall not be liable to the Indemnified Party or any other Indemnitee for any legal expenses subsequently incurred by such Indemnified Party or other Indemnitee in connection with the analysis, defense or settlement of the Third Party Claim.</w:t>
      </w:r>
    </w:p>
    <w:p>
      <w:pPr>
        <w:spacing w:after="0" w:line="13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12.5</w:t>
      </w:r>
      <w:r>
        <w:rPr>
          <w:sz w:val="20"/>
          <w:szCs w:val="20"/>
          <w:color w:val="auto"/>
        </w:rPr>
        <w:tab/>
      </w:r>
      <w:r>
        <w:rPr>
          <w:rFonts w:ascii="Arial" w:cs="Arial" w:eastAsia="Arial" w:hAnsi="Arial"/>
          <w:sz w:val="15"/>
          <w:szCs w:val="15"/>
          <w:color w:val="auto"/>
        </w:rPr>
        <w:t>LIMITATION ON DAMAGES</w:t>
      </w:r>
    </w:p>
    <w:p>
      <w:pPr>
        <w:spacing w:after="0" w:line="216" w:lineRule="exact"/>
        <w:rPr>
          <w:sz w:val="20"/>
          <w:szCs w:val="20"/>
          <w:color w:val="auto"/>
        </w:rPr>
      </w:pPr>
    </w:p>
    <w:p>
      <w:pPr>
        <w:jc w:val="both"/>
        <w:ind w:left="620"/>
        <w:spacing w:after="0" w:line="295" w:lineRule="auto"/>
        <w:rPr>
          <w:sz w:val="20"/>
          <w:szCs w:val="20"/>
          <w:color w:val="auto"/>
        </w:rPr>
      </w:pPr>
      <w:r>
        <w:rPr>
          <w:rFonts w:ascii="Arial" w:cs="Arial" w:eastAsia="Arial" w:hAnsi="Arial"/>
          <w:sz w:val="15"/>
          <w:szCs w:val="15"/>
          <w:color w:val="auto"/>
        </w:rPr>
        <w:t>IN NO EVENT SHALL EITHER PARTY BE LIABLE TO THE OTHER PARTY FOR SPECIAL, INDIRECT, INCIDENTAL, PUNITIVE OR CONSEQUENTIAL DAMAGES, OR ANY DAMAGES CONSTITUTING LOST PROFITS UNDER THIS AGREEMENT OR ANY OTHER AGREEMENT OR INSTRUMENT CONTEMPLATED HEREBY, [****]. THE ENTIRE LIABILITY OF EACH PARTY TO ANY OTHER PARTY IN CONNECTION WITH THIS AGREEMENT SHALL NOT EXCEED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- 12/#NUM_PAGES# -</w:t>
      </w:r>
    </w:p>
    <w:p>
      <w:pPr>
        <w:sectPr>
          <w:pgSz w:w="11900" w:h="16838" w:orient="portrait"/>
          <w:cols w:equalWidth="0" w:num="1">
            <w:col w:w="11240"/>
          </w:cols>
          <w:pgMar w:left="320" w:top="133" w:right="3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12.6</w:t>
      </w:r>
      <w:r>
        <w:rPr>
          <w:sz w:val="20"/>
          <w:szCs w:val="20"/>
          <w:color w:val="auto"/>
        </w:rPr>
        <w:tab/>
      </w:r>
      <w:r>
        <w:rPr>
          <w:rFonts w:ascii="Arial" w:cs="Arial" w:eastAsia="Arial" w:hAnsi="Arial"/>
          <w:sz w:val="15"/>
          <w:szCs w:val="15"/>
          <w:color w:val="auto"/>
        </w:rPr>
        <w:t>Insurance</w:t>
      </w:r>
    </w:p>
    <w:p>
      <w:pPr>
        <w:spacing w:after="0" w:line="216" w:lineRule="exact"/>
        <w:rPr>
          <w:sz w:val="20"/>
          <w:szCs w:val="20"/>
          <w:color w:val="auto"/>
        </w:rPr>
      </w:pPr>
    </w:p>
    <w:p>
      <w:pPr>
        <w:jc w:val="both"/>
        <w:ind w:left="620"/>
        <w:spacing w:after="0" w:line="308" w:lineRule="auto"/>
        <w:rPr>
          <w:sz w:val="20"/>
          <w:szCs w:val="20"/>
          <w:color w:val="auto"/>
        </w:rPr>
      </w:pPr>
      <w:r>
        <w:rPr>
          <w:rFonts w:ascii="Arial" w:cs="Arial" w:eastAsia="Arial" w:hAnsi="Arial"/>
          <w:sz w:val="15"/>
          <w:szCs w:val="15"/>
          <w:color w:val="auto"/>
        </w:rPr>
        <w:t>During the Term of this Agreement, each Party shall have and maintain such types and amounts of liability insurance; and may maintain self-insurance;_ as is normal and customary in the industry generally for similarly situated parties, and shall upon request provide the other Party with a certificate of insurance in that regard, along with any amendments and revisions thereto.</w:t>
      </w:r>
    </w:p>
    <w:p>
      <w:pPr>
        <w:spacing w:after="0" w:line="120"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13:</w:t>
      </w:r>
      <w:r>
        <w:rPr>
          <w:sz w:val="20"/>
          <w:szCs w:val="20"/>
          <w:color w:val="auto"/>
        </w:rPr>
        <w:tab/>
      </w:r>
      <w:r>
        <w:rPr>
          <w:rFonts w:ascii="Arial" w:cs="Arial" w:eastAsia="Arial" w:hAnsi="Arial"/>
          <w:sz w:val="15"/>
          <w:szCs w:val="15"/>
          <w:b w:val="1"/>
          <w:bCs w:val="1"/>
          <w:color w:val="auto"/>
        </w:rPr>
        <w:t>Force majeure</w:t>
      </w:r>
    </w:p>
    <w:p>
      <w:pPr>
        <w:spacing w:after="0" w:line="201"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13.1</w:t>
      </w:r>
      <w:r>
        <w:rPr>
          <w:sz w:val="20"/>
          <w:szCs w:val="20"/>
          <w:color w:val="auto"/>
        </w:rPr>
        <w:tab/>
      </w:r>
      <w:r>
        <w:rPr>
          <w:rFonts w:ascii="Arial" w:cs="Arial" w:eastAsia="Arial" w:hAnsi="Arial"/>
          <w:sz w:val="15"/>
          <w:szCs w:val="15"/>
          <w:color w:val="auto"/>
        </w:rPr>
        <w:t>Neither Party shall be liable to the other for any failure to fulfil its obligations under the Agreement to the extent that such failure is attributable to “force majeure”.</w:t>
      </w:r>
    </w:p>
    <w:p>
      <w:pPr>
        <w:spacing w:after="0" w:line="106" w:lineRule="exact"/>
        <w:rPr>
          <w:sz w:val="20"/>
          <w:szCs w:val="20"/>
          <w:color w:val="auto"/>
        </w:rPr>
      </w:pPr>
    </w:p>
    <w:p>
      <w:pPr>
        <w:jc w:val="both"/>
        <w:ind w:left="620" w:hanging="618"/>
        <w:spacing w:after="0" w:line="301" w:lineRule="auto"/>
        <w:tabs>
          <w:tab w:leader="none" w:pos="600" w:val="left"/>
        </w:tabs>
        <w:rPr>
          <w:sz w:val="20"/>
          <w:szCs w:val="20"/>
          <w:color w:val="auto"/>
        </w:rPr>
      </w:pPr>
      <w:r>
        <w:rPr>
          <w:rFonts w:ascii="Arial" w:cs="Arial" w:eastAsia="Arial" w:hAnsi="Arial"/>
          <w:sz w:val="15"/>
          <w:szCs w:val="15"/>
          <w:b w:val="1"/>
          <w:bCs w:val="1"/>
          <w:color w:val="auto"/>
        </w:rPr>
        <w:t>13.2</w:t>
      </w:r>
      <w:r>
        <w:rPr>
          <w:sz w:val="20"/>
          <w:szCs w:val="20"/>
          <w:color w:val="auto"/>
        </w:rPr>
        <w:tab/>
      </w:r>
      <w:r>
        <w:rPr>
          <w:rFonts w:ascii="Arial" w:cs="Arial" w:eastAsia="Arial" w:hAnsi="Arial"/>
          <w:sz w:val="15"/>
          <w:szCs w:val="15"/>
          <w:color w:val="auto"/>
        </w:rPr>
        <w:t>As used herein, “force majeure” shall mean and include any events which the Parties could not reasonably have foreseen or controlled on the date hereof by reason of the unavoidable, unforeseeable and uncontrollable nature of such events, including, but not limited to, any decree, ruling, decision or instruction, judgment or order issued by any authority, whether enacted or otherwise promulgated, riots, insurrections or civil or foreign wars, as well as any other circumstances beyond the control of the Parties or the affected Party.</w:t>
      </w:r>
    </w:p>
    <w:p>
      <w:pPr>
        <w:spacing w:after="0" w:line="140" w:lineRule="exact"/>
        <w:rPr>
          <w:sz w:val="20"/>
          <w:szCs w:val="20"/>
          <w:color w:val="auto"/>
        </w:rPr>
      </w:pPr>
    </w:p>
    <w:p>
      <w:pPr>
        <w:jc w:val="both"/>
        <w:ind w:left="620" w:hanging="618"/>
        <w:spacing w:after="0" w:line="295" w:lineRule="auto"/>
        <w:tabs>
          <w:tab w:leader="none" w:pos="600" w:val="left"/>
        </w:tabs>
        <w:rPr>
          <w:sz w:val="20"/>
          <w:szCs w:val="20"/>
          <w:color w:val="auto"/>
        </w:rPr>
      </w:pPr>
      <w:r>
        <w:rPr>
          <w:rFonts w:ascii="Arial" w:cs="Arial" w:eastAsia="Arial" w:hAnsi="Arial"/>
          <w:sz w:val="15"/>
          <w:szCs w:val="15"/>
          <w:b w:val="1"/>
          <w:bCs w:val="1"/>
          <w:color w:val="auto"/>
        </w:rPr>
        <w:t>13.3</w:t>
      </w:r>
      <w:r>
        <w:rPr>
          <w:sz w:val="20"/>
          <w:szCs w:val="20"/>
          <w:color w:val="auto"/>
        </w:rPr>
        <w:tab/>
      </w:r>
      <w:r>
        <w:rPr>
          <w:rFonts w:ascii="Arial" w:cs="Arial" w:eastAsia="Arial" w:hAnsi="Arial"/>
          <w:sz w:val="15"/>
          <w:szCs w:val="15"/>
          <w:color w:val="auto"/>
        </w:rPr>
        <w:t>The Party suffering from the occurrence of such force majeure shall (i) promptly inform the other Party and (ii) shall make all reasonable efforts to mitigate the consequences of such force majeure and to remedy the situation as quickly as possible. Any timelines affected by such force majeure shall be extended for a period equal to that of the delay and any financial consequences shall be negotiated in good faith between the Parties. Notice of the start and stop of any such force majeure shall be provided to the other Party.</w:t>
      </w:r>
    </w:p>
    <w:p>
      <w:pPr>
        <w:spacing w:after="0" w:line="145"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13.4</w:t>
      </w:r>
      <w:r>
        <w:rPr>
          <w:sz w:val="20"/>
          <w:szCs w:val="20"/>
          <w:color w:val="auto"/>
        </w:rPr>
        <w:tab/>
      </w:r>
      <w:r>
        <w:rPr>
          <w:rFonts w:ascii="Arial" w:cs="Arial" w:eastAsia="Arial" w:hAnsi="Arial"/>
          <w:sz w:val="15"/>
          <w:szCs w:val="15"/>
          <w:color w:val="auto"/>
        </w:rPr>
        <w:t>If after three (3) running months from the notice of the occurrence, the force majeure persists, each Party may terminate the Agreement by registered letter with return receipt requested and termination shall become effective forthwith.</w:t>
      </w:r>
    </w:p>
    <w:p>
      <w:pPr>
        <w:spacing w:after="0" w:line="106"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14:</w:t>
      </w:r>
      <w:r>
        <w:rPr>
          <w:sz w:val="20"/>
          <w:szCs w:val="20"/>
          <w:color w:val="auto"/>
        </w:rPr>
        <w:tab/>
      </w:r>
      <w:r>
        <w:rPr>
          <w:rFonts w:ascii="Arial" w:cs="Arial" w:eastAsia="Arial" w:hAnsi="Arial"/>
          <w:sz w:val="15"/>
          <w:szCs w:val="15"/>
          <w:b w:val="1"/>
          <w:bCs w:val="1"/>
          <w:color w:val="auto"/>
        </w:rPr>
        <w:t>Termination and effects of termination</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14.1</w:t>
      </w:r>
      <w:r>
        <w:rPr>
          <w:sz w:val="20"/>
          <w:szCs w:val="20"/>
          <w:color w:val="auto"/>
        </w:rPr>
        <w:tab/>
      </w:r>
      <w:r>
        <w:rPr>
          <w:rFonts w:ascii="Arial" w:cs="Arial" w:eastAsia="Arial" w:hAnsi="Arial"/>
          <w:sz w:val="15"/>
          <w:szCs w:val="15"/>
          <w:color w:val="auto"/>
        </w:rPr>
        <w:t>Termination</w:t>
      </w:r>
    </w:p>
    <w:p>
      <w:pPr>
        <w:spacing w:after="0" w:line="201" w:lineRule="exact"/>
        <w:rPr>
          <w:sz w:val="20"/>
          <w:szCs w:val="20"/>
          <w:color w:val="auto"/>
        </w:rPr>
      </w:pPr>
    </w:p>
    <w:p>
      <w:pPr>
        <w:jc w:val="both"/>
        <w:ind w:left="620" w:hanging="618"/>
        <w:spacing w:after="0" w:line="297" w:lineRule="auto"/>
        <w:tabs>
          <w:tab w:leader="none" w:pos="600" w:val="left"/>
        </w:tabs>
        <w:rPr>
          <w:sz w:val="20"/>
          <w:szCs w:val="20"/>
          <w:color w:val="auto"/>
        </w:rPr>
      </w:pPr>
      <w:r>
        <w:rPr>
          <w:rFonts w:ascii="Arial" w:cs="Arial" w:eastAsia="Arial" w:hAnsi="Arial"/>
          <w:sz w:val="15"/>
          <w:szCs w:val="15"/>
          <w:b w:val="1"/>
          <w:bCs w:val="1"/>
          <w:color w:val="auto"/>
        </w:rPr>
        <w:t>14.1.1</w:t>
      </w:r>
      <w:r>
        <w:rPr>
          <w:sz w:val="20"/>
          <w:szCs w:val="20"/>
          <w:color w:val="auto"/>
        </w:rPr>
        <w:tab/>
      </w:r>
      <w:r>
        <w:rPr>
          <w:rFonts w:ascii="Arial" w:cs="Arial" w:eastAsia="Arial" w:hAnsi="Arial"/>
          <w:sz w:val="15"/>
          <w:szCs w:val="15"/>
          <w:color w:val="auto"/>
        </w:rPr>
        <w:t>Either Party shall be entitled to terminate the Agreement, without prejudice to any claim for damages, if the other Party commits a material breach and fails to remedy such breach within thirty (30) days of receipt of a registered letter with return receipt requested specifying the breach. Termination shall become effective upon first presentation to the defaulting Party of a second registered letter with return receipt requested, notifying the decision of termination. Either Party shall also be entitled to terminate the Agreement in the case this Party is obliged to suspend or stop the Research Program due to any applicable law or any administrative or court decision.</w:t>
      </w:r>
    </w:p>
    <w:p>
      <w:pPr>
        <w:spacing w:after="0" w:line="145"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14.1.2</w:t>
      </w:r>
      <w:r>
        <w:rPr>
          <w:sz w:val="20"/>
          <w:szCs w:val="20"/>
          <w:color w:val="auto"/>
        </w:rPr>
        <w:tab/>
      </w:r>
      <w:r>
        <w:rPr>
          <w:rFonts w:ascii="Arial" w:cs="Arial" w:eastAsia="Arial" w:hAnsi="Arial"/>
          <w:sz w:val="15"/>
          <w:szCs w:val="15"/>
          <w:color w:val="auto"/>
        </w:rPr>
        <w:t>Either Party may immediately terminate the Agreement by registered letter with return receipt requested in case of the other Party breach of Articles 12.6 (insurance) and 11.2 d) (anti-bribery), as soon as it is aware of such breach.</w:t>
      </w:r>
    </w:p>
    <w:p>
      <w:pPr>
        <w:spacing w:after="0" w:line="106" w:lineRule="exact"/>
        <w:rPr>
          <w:sz w:val="20"/>
          <w:szCs w:val="20"/>
          <w:color w:val="auto"/>
        </w:rPr>
      </w:pPr>
    </w:p>
    <w:p>
      <w:pPr>
        <w:jc w:val="both"/>
        <w:ind w:left="620" w:hanging="618"/>
        <w:spacing w:after="0" w:line="308" w:lineRule="auto"/>
        <w:tabs>
          <w:tab w:leader="none" w:pos="600" w:val="left"/>
        </w:tabs>
        <w:rPr>
          <w:sz w:val="20"/>
          <w:szCs w:val="20"/>
          <w:color w:val="auto"/>
        </w:rPr>
      </w:pPr>
      <w:r>
        <w:rPr>
          <w:rFonts w:ascii="Arial" w:cs="Arial" w:eastAsia="Arial" w:hAnsi="Arial"/>
          <w:sz w:val="15"/>
          <w:szCs w:val="15"/>
          <w:b w:val="1"/>
          <w:bCs w:val="1"/>
          <w:color w:val="auto"/>
        </w:rPr>
        <w:t>14.1.3</w:t>
      </w:r>
      <w:r>
        <w:rPr>
          <w:sz w:val="20"/>
          <w:szCs w:val="20"/>
          <w:color w:val="auto"/>
        </w:rPr>
        <w:tab/>
      </w:r>
      <w:r>
        <w:rPr>
          <w:rFonts w:ascii="Arial" w:cs="Arial" w:eastAsia="Arial" w:hAnsi="Arial"/>
          <w:sz w:val="15"/>
          <w:szCs w:val="15"/>
          <w:color w:val="auto"/>
        </w:rPr>
        <w:t>Sanofi shall have the right, exercisable in its sole discretion, to terminate this Agreement in its entirety for any reason (or for no reason) at any time by providing ExScientia with sixty (60) calendar days’ prior written notice to that effect. Any such termination shall be effective upon expiration of such sixty (60) calendar day notice period.</w:t>
      </w:r>
    </w:p>
    <w:p>
      <w:pPr>
        <w:spacing w:after="0" w:line="122"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14.2</w:t>
      </w:r>
      <w:r>
        <w:rPr>
          <w:sz w:val="20"/>
          <w:szCs w:val="20"/>
          <w:color w:val="auto"/>
        </w:rPr>
        <w:tab/>
      </w:r>
      <w:r>
        <w:rPr>
          <w:rFonts w:ascii="Arial" w:cs="Arial" w:eastAsia="Arial" w:hAnsi="Arial"/>
          <w:sz w:val="15"/>
          <w:szCs w:val="15"/>
          <w:color w:val="auto"/>
        </w:rPr>
        <w:t>Effects of termination</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14.2.1</w:t>
      </w:r>
      <w:r>
        <w:rPr>
          <w:sz w:val="20"/>
          <w:szCs w:val="20"/>
          <w:color w:val="auto"/>
        </w:rPr>
        <w:tab/>
      </w:r>
      <w:r>
        <w:rPr>
          <w:rFonts w:ascii="Arial" w:cs="Arial" w:eastAsia="Arial" w:hAnsi="Arial"/>
          <w:sz w:val="15"/>
          <w:szCs w:val="15"/>
          <w:color w:val="auto"/>
        </w:rPr>
        <w:t>If this Agreement is terminated by either Party for any reason:</w:t>
      </w:r>
    </w:p>
    <w:p>
      <w:pPr>
        <w:spacing w:after="0" w:line="216" w:lineRule="exact"/>
        <w:rPr>
          <w:sz w:val="20"/>
          <w:szCs w:val="20"/>
          <w:color w:val="auto"/>
        </w:rPr>
      </w:pPr>
    </w:p>
    <w:p>
      <w:pPr>
        <w:ind w:left="1240" w:hanging="618"/>
        <w:spacing w:after="0"/>
        <w:tabs>
          <w:tab w:leader="none" w:pos="1240" w:val="left"/>
        </w:tabs>
        <w:numPr>
          <w:ilvl w:val="0"/>
          <w:numId w:val="288"/>
        </w:numPr>
        <w:rPr>
          <w:rFonts w:ascii="Arial" w:cs="Arial" w:eastAsia="Arial" w:hAnsi="Arial"/>
          <w:sz w:val="15"/>
          <w:szCs w:val="15"/>
          <w:b w:val="1"/>
          <w:bCs w:val="1"/>
          <w:color w:val="auto"/>
        </w:rPr>
      </w:pPr>
      <w:r>
        <w:rPr>
          <w:rFonts w:ascii="Arial" w:cs="Arial" w:eastAsia="Arial" w:hAnsi="Arial"/>
          <w:sz w:val="15"/>
          <w:szCs w:val="15"/>
          <w:color w:val="auto"/>
        </w:rPr>
        <w:t>all licences and rights granted by the Parties under this Agreement shall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- 13/#NUM_PAGES# -</w:t>
      </w:r>
    </w:p>
    <w:p>
      <w:pPr>
        <w:sectPr>
          <w:pgSz w:w="11900" w:h="16838" w:orient="portrait"/>
          <w:cols w:equalWidth="0" w:num="1">
            <w:col w:w="11240"/>
          </w:cols>
          <w:pgMar w:left="320" w:top="134" w:right="3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40" w:hanging="618"/>
        <w:spacing w:after="0" w:line="330" w:lineRule="auto"/>
        <w:tabs>
          <w:tab w:leader="none" w:pos="1231" w:val="left"/>
        </w:tabs>
        <w:numPr>
          <w:ilvl w:val="0"/>
          <w:numId w:val="289"/>
        </w:numPr>
        <w:rPr>
          <w:rFonts w:ascii="Arial" w:cs="Arial" w:eastAsia="Arial" w:hAnsi="Arial"/>
          <w:sz w:val="15"/>
          <w:szCs w:val="15"/>
          <w:b w:val="1"/>
          <w:bCs w:val="1"/>
          <w:color w:val="auto"/>
        </w:rPr>
      </w:pPr>
      <w:r>
        <w:rPr>
          <w:rFonts w:ascii="Arial" w:cs="Arial" w:eastAsia="Arial" w:hAnsi="Arial"/>
          <w:sz w:val="15"/>
          <w:szCs w:val="15"/>
          <w:color w:val="auto"/>
        </w:rPr>
        <w:t>ExScientia shall promptly, if the Agreement is terminated during the Research Program Term, deliver to Sanofi a report summarizing the Research Program Results already obtained at the effective date of termination;</w:t>
      </w:r>
    </w:p>
    <w:p>
      <w:pPr>
        <w:spacing w:after="0" w:line="118" w:lineRule="exact"/>
        <w:rPr>
          <w:rFonts w:ascii="Arial" w:cs="Arial" w:eastAsia="Arial" w:hAnsi="Arial"/>
          <w:sz w:val="15"/>
          <w:szCs w:val="15"/>
          <w:b w:val="1"/>
          <w:bCs w:val="1"/>
          <w:color w:val="auto"/>
        </w:rPr>
      </w:pPr>
    </w:p>
    <w:p>
      <w:pPr>
        <w:ind w:left="1240" w:hanging="618"/>
        <w:spacing w:after="0" w:line="330" w:lineRule="auto"/>
        <w:tabs>
          <w:tab w:leader="none" w:pos="1236" w:val="left"/>
        </w:tabs>
        <w:numPr>
          <w:ilvl w:val="0"/>
          <w:numId w:val="289"/>
        </w:numPr>
        <w:rPr>
          <w:rFonts w:ascii="Arial" w:cs="Arial" w:eastAsia="Arial" w:hAnsi="Arial"/>
          <w:sz w:val="15"/>
          <w:szCs w:val="15"/>
          <w:b w:val="1"/>
          <w:bCs w:val="1"/>
          <w:color w:val="auto"/>
        </w:rPr>
      </w:pPr>
      <w:r>
        <w:rPr>
          <w:rFonts w:ascii="Arial" w:cs="Arial" w:eastAsia="Arial" w:hAnsi="Arial"/>
          <w:sz w:val="15"/>
          <w:szCs w:val="15"/>
          <w:color w:val="auto"/>
        </w:rPr>
        <w:t>Each Party shall destroy all Confidential information of the other Party provided that Sanofi shall have no obligation to destroy any Research Program Results.</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14.2.2</w:t>
      </w:r>
      <w:r>
        <w:rPr>
          <w:sz w:val="20"/>
          <w:szCs w:val="20"/>
          <w:color w:val="auto"/>
        </w:rPr>
        <w:tab/>
      </w:r>
      <w:r>
        <w:rPr>
          <w:rFonts w:ascii="Arial" w:cs="Arial" w:eastAsia="Arial" w:hAnsi="Arial"/>
          <w:sz w:val="15"/>
          <w:szCs w:val="15"/>
          <w:color w:val="auto"/>
        </w:rPr>
        <w:t>Accrued Rights, Surviving Obligations</w:t>
      </w:r>
    </w:p>
    <w:p>
      <w:pPr>
        <w:spacing w:after="0" w:line="203" w:lineRule="exact"/>
        <w:rPr>
          <w:sz w:val="20"/>
          <w:szCs w:val="20"/>
          <w:color w:val="auto"/>
        </w:rPr>
      </w:pPr>
    </w:p>
    <w:p>
      <w:pPr>
        <w:jc w:val="both"/>
        <w:ind w:left="1240" w:hanging="618"/>
        <w:spacing w:after="0" w:line="308" w:lineRule="auto"/>
        <w:tabs>
          <w:tab w:leader="none" w:pos="1236" w:val="left"/>
        </w:tabs>
        <w:numPr>
          <w:ilvl w:val="0"/>
          <w:numId w:val="290"/>
        </w:numPr>
        <w:rPr>
          <w:rFonts w:ascii="Arial" w:cs="Arial" w:eastAsia="Arial" w:hAnsi="Arial"/>
          <w:sz w:val="15"/>
          <w:szCs w:val="15"/>
          <w:b w:val="1"/>
          <w:bCs w:val="1"/>
          <w:color w:val="auto"/>
        </w:rPr>
      </w:pPr>
      <w:r>
        <w:rPr>
          <w:rFonts w:ascii="Arial" w:cs="Arial" w:eastAsia="Arial" w:hAnsi="Arial"/>
          <w:sz w:val="15"/>
          <w:szCs w:val="15"/>
          <w:color w:val="auto"/>
        </w:rPr>
        <w:t>Termination of this Agreement for any reason shall be without prejudice to any rights, which shall have accrued, to the benefit of either Party prior to such termination. Such termination shall not relieve either Party from obligations, which are expressly indicated to survive termination or expiration of this Agreement.</w:t>
      </w:r>
    </w:p>
    <w:p>
      <w:pPr>
        <w:spacing w:after="0" w:line="122" w:lineRule="exact"/>
        <w:rPr>
          <w:rFonts w:ascii="Arial" w:cs="Arial" w:eastAsia="Arial" w:hAnsi="Arial"/>
          <w:sz w:val="15"/>
          <w:szCs w:val="15"/>
          <w:b w:val="1"/>
          <w:bCs w:val="1"/>
          <w:color w:val="auto"/>
        </w:rPr>
      </w:pPr>
    </w:p>
    <w:p>
      <w:pPr>
        <w:jc w:val="both"/>
        <w:ind w:left="1240" w:hanging="618"/>
        <w:spacing w:after="0" w:line="308" w:lineRule="auto"/>
        <w:tabs>
          <w:tab w:leader="none" w:pos="1231" w:val="left"/>
        </w:tabs>
        <w:numPr>
          <w:ilvl w:val="0"/>
          <w:numId w:val="290"/>
        </w:numPr>
        <w:rPr>
          <w:rFonts w:ascii="Arial" w:cs="Arial" w:eastAsia="Arial" w:hAnsi="Arial"/>
          <w:sz w:val="15"/>
          <w:szCs w:val="15"/>
          <w:b w:val="1"/>
          <w:bCs w:val="1"/>
          <w:color w:val="auto"/>
        </w:rPr>
      </w:pPr>
      <w:r>
        <w:rPr>
          <w:rFonts w:ascii="Arial" w:cs="Arial" w:eastAsia="Arial" w:hAnsi="Arial"/>
          <w:sz w:val="15"/>
          <w:szCs w:val="15"/>
          <w:color w:val="auto"/>
        </w:rPr>
        <w:t>All of the Parties’ rights and obligations under the following articles shall survive termination: Article 6 (Ownership and patent matters), Article 7.2 (Research License), Article 9 (Confidentiality), Article 10 (Publication-Communication), Article 11 (Representations, warranties and covenants), Article 12 (Indemnification and Insurance) and Article 14 (Termination and effects of termination).</w:t>
      </w:r>
    </w:p>
    <w:p>
      <w:pPr>
        <w:spacing w:after="0" w:line="133"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14.2.3</w:t>
      </w:r>
      <w:r>
        <w:rPr>
          <w:sz w:val="20"/>
          <w:szCs w:val="20"/>
          <w:color w:val="auto"/>
        </w:rPr>
        <w:tab/>
      </w:r>
      <w:r>
        <w:rPr>
          <w:rFonts w:ascii="Arial" w:cs="Arial" w:eastAsia="Arial" w:hAnsi="Arial"/>
          <w:sz w:val="15"/>
          <w:szCs w:val="15"/>
          <w:color w:val="auto"/>
        </w:rPr>
        <w:t>ExScientia Reversion Rights</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p>
    <w:p>
      <w:pPr>
        <w:spacing w:after="0" w:line="199"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15:</w:t>
      </w:r>
      <w:r>
        <w:rPr>
          <w:sz w:val="20"/>
          <w:szCs w:val="20"/>
          <w:color w:val="auto"/>
        </w:rPr>
        <w:tab/>
      </w:r>
      <w:r>
        <w:rPr>
          <w:rFonts w:ascii="Arial" w:cs="Arial" w:eastAsia="Arial" w:hAnsi="Arial"/>
          <w:sz w:val="15"/>
          <w:szCs w:val="15"/>
          <w:b w:val="1"/>
          <w:bCs w:val="1"/>
          <w:color w:val="auto"/>
        </w:rPr>
        <w:t>Parties personnel</w:t>
      </w:r>
    </w:p>
    <w:p>
      <w:pPr>
        <w:spacing w:after="0" w:line="201"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15.1</w:t>
      </w:r>
      <w:r>
        <w:rPr>
          <w:sz w:val="20"/>
          <w:szCs w:val="20"/>
          <w:color w:val="auto"/>
        </w:rPr>
        <w:tab/>
      </w:r>
      <w:r>
        <w:rPr>
          <w:rFonts w:ascii="Arial" w:cs="Arial" w:eastAsia="Arial" w:hAnsi="Arial"/>
          <w:sz w:val="15"/>
          <w:szCs w:val="15"/>
          <w:color w:val="auto"/>
        </w:rPr>
        <w:t>Each Party warrants that it will comply with all applicable labour laws, rules and regulations. In this respect, each Party warrants that it will comply with all of its social and tax obligations as an employer.</w:t>
      </w:r>
    </w:p>
    <w:p>
      <w:pPr>
        <w:spacing w:after="0" w:line="119" w:lineRule="exact"/>
        <w:rPr>
          <w:sz w:val="20"/>
          <w:szCs w:val="20"/>
          <w:color w:val="auto"/>
        </w:rPr>
      </w:pPr>
    </w:p>
    <w:p>
      <w:pPr>
        <w:jc w:val="both"/>
        <w:ind w:left="620" w:hanging="618"/>
        <w:spacing w:after="0" w:line="330" w:lineRule="auto"/>
        <w:tabs>
          <w:tab w:leader="none" w:pos="600" w:val="left"/>
        </w:tabs>
        <w:rPr>
          <w:sz w:val="20"/>
          <w:szCs w:val="20"/>
          <w:color w:val="auto"/>
        </w:rPr>
      </w:pPr>
      <w:r>
        <w:rPr>
          <w:rFonts w:ascii="Arial" w:cs="Arial" w:eastAsia="Arial" w:hAnsi="Arial"/>
          <w:sz w:val="15"/>
          <w:szCs w:val="15"/>
          <w:b w:val="1"/>
          <w:bCs w:val="1"/>
          <w:color w:val="auto"/>
        </w:rPr>
        <w:t>15.2</w:t>
      </w:r>
      <w:r>
        <w:rPr>
          <w:sz w:val="20"/>
          <w:szCs w:val="20"/>
          <w:color w:val="auto"/>
        </w:rPr>
        <w:tab/>
      </w:r>
      <w:r>
        <w:rPr>
          <w:rFonts w:ascii="Arial" w:cs="Arial" w:eastAsia="Arial" w:hAnsi="Arial"/>
          <w:sz w:val="15"/>
          <w:szCs w:val="15"/>
          <w:color w:val="auto"/>
        </w:rPr>
        <w:t>Each Party acknowledges that its employees remain under its authority and supervision, and can in no case be considered as the other Party’s employees or benefit from any kind of advantage granted to employees of the other Party.</w:t>
      </w:r>
    </w:p>
    <w:p>
      <w:pPr>
        <w:spacing w:after="0" w:line="106" w:lineRule="exact"/>
        <w:rPr>
          <w:sz w:val="20"/>
          <w:szCs w:val="20"/>
          <w:color w:val="auto"/>
        </w:rPr>
      </w:pPr>
    </w:p>
    <w:p>
      <w:pPr>
        <w:jc w:val="both"/>
        <w:ind w:left="620" w:hanging="618"/>
        <w:spacing w:after="0" w:line="294" w:lineRule="auto"/>
        <w:tabs>
          <w:tab w:leader="none" w:pos="600" w:val="left"/>
        </w:tabs>
        <w:rPr>
          <w:sz w:val="20"/>
          <w:szCs w:val="20"/>
          <w:color w:val="auto"/>
        </w:rPr>
      </w:pPr>
      <w:r>
        <w:rPr>
          <w:rFonts w:ascii="Arial" w:cs="Arial" w:eastAsia="Arial" w:hAnsi="Arial"/>
          <w:sz w:val="15"/>
          <w:szCs w:val="15"/>
          <w:b w:val="1"/>
          <w:bCs w:val="1"/>
          <w:color w:val="auto"/>
        </w:rPr>
        <w:t>15.3</w:t>
      </w:r>
      <w:r>
        <w:rPr>
          <w:sz w:val="20"/>
          <w:szCs w:val="20"/>
          <w:color w:val="auto"/>
        </w:rPr>
        <w:tab/>
      </w:r>
      <w:r>
        <w:rPr>
          <w:rFonts w:ascii="Arial" w:cs="Arial" w:eastAsia="Arial" w:hAnsi="Arial"/>
          <w:sz w:val="15"/>
          <w:szCs w:val="15"/>
          <w:color w:val="auto"/>
        </w:rPr>
        <w:t>Each Party undertakes (i) to assign to the performance of the Research Program skilled personnel with expertise in the domains required by the Research Program (hereinafter “Participants”) in order to ensure the proper quality and timely performance of the Research Program and (ii) to take any and all reasonable and necessary measures aimed at overcoming any problem or difficulty arising out of unavailability of the Participants and likely to affect the performance of the Research Program. Should any of the Participants become unavailable, the Party to which the Participant belongs shall make reasonable efforts to maintain the continuity of the Research Program. In this respect, said Party undertakes to use reasonable endeavours to replace him/her, as soon as possible, by a person at least as skilled and experienced as such unavailable Participant. Where such replacement could not occur in a reasonable time period each Party shall be entitled to terminate the Agreement with a 2-weeks prior written notice, by registered mail with return receipt requested.</w:t>
      </w:r>
    </w:p>
    <w:p>
      <w:pPr>
        <w:spacing w:after="0" w:line="339"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16:</w:t>
      </w:r>
      <w:r>
        <w:rPr>
          <w:sz w:val="20"/>
          <w:szCs w:val="20"/>
          <w:color w:val="auto"/>
        </w:rPr>
        <w:tab/>
      </w:r>
      <w:r>
        <w:rPr>
          <w:rFonts w:ascii="Arial" w:cs="Arial" w:eastAsia="Arial" w:hAnsi="Arial"/>
          <w:sz w:val="15"/>
          <w:szCs w:val="15"/>
          <w:b w:val="1"/>
          <w:bCs w:val="1"/>
          <w:color w:val="auto"/>
        </w:rPr>
        <w:t>Miscellaneous</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16.1</w:t>
      </w:r>
      <w:r>
        <w:rPr>
          <w:sz w:val="20"/>
          <w:szCs w:val="20"/>
          <w:color w:val="auto"/>
        </w:rPr>
        <w:tab/>
      </w:r>
      <w:r>
        <w:rPr>
          <w:rFonts w:ascii="Arial" w:cs="Arial" w:eastAsia="Arial" w:hAnsi="Arial"/>
          <w:sz w:val="15"/>
          <w:szCs w:val="15"/>
          <w:color w:val="auto"/>
        </w:rPr>
        <w:t>Assignment and Sub-contracting</w:t>
      </w:r>
    </w:p>
    <w:p>
      <w:pPr>
        <w:spacing w:after="0" w:line="203" w:lineRule="exact"/>
        <w:rPr>
          <w:sz w:val="20"/>
          <w:szCs w:val="20"/>
          <w:color w:val="auto"/>
        </w:rPr>
      </w:pPr>
    </w:p>
    <w:p>
      <w:pPr>
        <w:jc w:val="both"/>
        <w:ind w:left="1240" w:hanging="618"/>
        <w:spacing w:after="0" w:line="301" w:lineRule="auto"/>
        <w:tabs>
          <w:tab w:leader="none" w:pos="1236" w:val="left"/>
        </w:tabs>
        <w:numPr>
          <w:ilvl w:val="0"/>
          <w:numId w:val="291"/>
        </w:numPr>
        <w:rPr>
          <w:rFonts w:ascii="Arial" w:cs="Arial" w:eastAsia="Arial" w:hAnsi="Arial"/>
          <w:sz w:val="15"/>
          <w:szCs w:val="15"/>
          <w:b w:val="1"/>
          <w:bCs w:val="1"/>
          <w:color w:val="auto"/>
        </w:rPr>
      </w:pPr>
      <w:r>
        <w:rPr>
          <w:rFonts w:ascii="Arial" w:cs="Arial" w:eastAsia="Arial" w:hAnsi="Arial"/>
          <w:sz w:val="15"/>
          <w:szCs w:val="15"/>
          <w:color w:val="auto"/>
        </w:rPr>
        <w:t>ExScientia shall not assign or otherwise transfer, wholly or partly, this Agreement to any Third Party without the prior written consent of Sanofi. Sanofi may assign this Agreement to an Affiliate or any Third Party by reason of any merger, acquisition, partnership or license, without the prior consent of ExScientia. Each party undertakes to sign, on the request of the other, any document necessary to the legal and administrative regularization of such a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- 14/#NUM_PAGES# -</w:t>
      </w:r>
    </w:p>
    <w:p>
      <w:pPr>
        <w:sectPr>
          <w:pgSz w:w="11900" w:h="16838" w:orient="portrait"/>
          <w:cols w:equalWidth="0" w:num="1">
            <w:col w:w="11240"/>
          </w:cols>
          <w:pgMar w:left="320" w:top="133"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240" w:hanging="618"/>
        <w:spacing w:after="0" w:line="301" w:lineRule="auto"/>
        <w:tabs>
          <w:tab w:leader="none" w:pos="1231" w:val="left"/>
        </w:tabs>
        <w:numPr>
          <w:ilvl w:val="0"/>
          <w:numId w:val="292"/>
        </w:numPr>
        <w:rPr>
          <w:rFonts w:ascii="Arial" w:cs="Arial" w:eastAsia="Arial" w:hAnsi="Arial"/>
          <w:sz w:val="15"/>
          <w:szCs w:val="15"/>
          <w:b w:val="1"/>
          <w:bCs w:val="1"/>
          <w:color w:val="auto"/>
        </w:rPr>
      </w:pPr>
      <w:r>
        <w:rPr>
          <w:rFonts w:ascii="Arial" w:cs="Arial" w:eastAsia="Arial" w:hAnsi="Arial"/>
          <w:sz w:val="15"/>
          <w:szCs w:val="15"/>
          <w:color w:val="auto"/>
        </w:rPr>
        <w:t>ExScientia shall not subcontract any of the rights or obligations herein, without the prior written consent of Sanofi. It is however agreed that notwithstanding Sanofi’s consent to the subcontracting of part of the Research Program, as the case may be, ExScientia shall remain fully liable for the performance of the Research Program subcontracted and undertakes to have the agreed sub-contractors comply with the provisions of the Agreement.</w:t>
      </w:r>
    </w:p>
    <w:p>
      <w:pPr>
        <w:spacing w:after="0" w:line="140" w:lineRule="exact"/>
        <w:rPr>
          <w:rFonts w:ascii="Arial" w:cs="Arial" w:eastAsia="Arial" w:hAnsi="Arial"/>
          <w:sz w:val="15"/>
          <w:szCs w:val="15"/>
          <w:b w:val="1"/>
          <w:bCs w:val="1"/>
          <w:color w:val="auto"/>
        </w:rPr>
      </w:pPr>
    </w:p>
    <w:p>
      <w:pPr>
        <w:ind w:left="1240" w:hanging="618"/>
        <w:spacing w:after="0" w:line="276" w:lineRule="auto"/>
        <w:tabs>
          <w:tab w:leader="none" w:pos="1236" w:val="left"/>
        </w:tabs>
        <w:numPr>
          <w:ilvl w:val="0"/>
          <w:numId w:val="292"/>
        </w:numPr>
        <w:rPr>
          <w:rFonts w:ascii="Arial" w:cs="Arial" w:eastAsia="Arial" w:hAnsi="Arial"/>
          <w:sz w:val="15"/>
          <w:szCs w:val="15"/>
          <w:b w:val="1"/>
          <w:bCs w:val="1"/>
          <w:color w:val="auto"/>
        </w:rPr>
      </w:pPr>
      <w:r>
        <w:rPr>
          <w:rFonts w:ascii="Arial" w:cs="Arial" w:eastAsia="Arial" w:hAnsi="Arial"/>
          <w:sz w:val="15"/>
          <w:szCs w:val="15"/>
          <w:color w:val="auto"/>
        </w:rPr>
        <w:t>Sanofi shall have, during the Term, the right to subcontract to an Affiliate or any Third Party, in whole or in part, its rights and obligations hereunder.</w:t>
      </w:r>
    </w:p>
    <w:p>
      <w:pPr>
        <w:spacing w:after="0" w:line="380"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16.2</w:t>
      </w:r>
      <w:r>
        <w:rPr>
          <w:sz w:val="20"/>
          <w:szCs w:val="20"/>
          <w:color w:val="auto"/>
        </w:rPr>
        <w:tab/>
      </w:r>
      <w:r>
        <w:rPr>
          <w:rFonts w:ascii="Arial" w:cs="Arial" w:eastAsia="Arial" w:hAnsi="Arial"/>
          <w:sz w:val="15"/>
          <w:szCs w:val="15"/>
          <w:color w:val="auto"/>
        </w:rPr>
        <w:t>Entire Agreement</w:t>
      </w:r>
    </w:p>
    <w:p>
      <w:pPr>
        <w:spacing w:after="0" w:line="203" w:lineRule="exact"/>
        <w:rPr>
          <w:sz w:val="20"/>
          <w:szCs w:val="20"/>
          <w:color w:val="auto"/>
        </w:rPr>
      </w:pPr>
    </w:p>
    <w:p>
      <w:pPr>
        <w:jc w:val="both"/>
        <w:ind w:left="620"/>
        <w:spacing w:after="0" w:line="308" w:lineRule="auto"/>
        <w:rPr>
          <w:sz w:val="20"/>
          <w:szCs w:val="20"/>
          <w:color w:val="auto"/>
        </w:rPr>
      </w:pPr>
      <w:r>
        <w:rPr>
          <w:rFonts w:ascii="Arial" w:cs="Arial" w:eastAsia="Arial" w:hAnsi="Arial"/>
          <w:sz w:val="15"/>
          <w:szCs w:val="15"/>
          <w:color w:val="auto"/>
        </w:rPr>
        <w:t>This Agreement is the entire understanding between the Parties hereto with regard to the subject matter hereby. In the case of any contradiction between the provisions of the documents of ExScientia and Sanofi and those of this Agreement, the Parties agree that the provisions of this Agreement shall prevail. Any modification to the Agreement will be effective only if made in writing and signed by authorized representatives of both Parties.</w:t>
      </w:r>
    </w:p>
    <w:p>
      <w:pPr>
        <w:spacing w:after="0" w:line="120"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16.3</w:t>
      </w:r>
      <w:r>
        <w:rPr>
          <w:sz w:val="20"/>
          <w:szCs w:val="20"/>
          <w:color w:val="auto"/>
        </w:rPr>
        <w:tab/>
      </w:r>
      <w:r>
        <w:rPr>
          <w:rFonts w:ascii="Arial" w:cs="Arial" w:eastAsia="Arial" w:hAnsi="Arial"/>
          <w:sz w:val="14"/>
          <w:szCs w:val="14"/>
          <w:color w:val="auto"/>
        </w:rPr>
        <w:t>Waiver</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 waiver by either Party of a breach of any term of the Agreement by the other Party shall constitute a waiver of any other breach of the Agreement.</w:t>
      </w:r>
    </w:p>
    <w:p>
      <w:pPr>
        <w:spacing w:after="0" w:line="199"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16.4</w:t>
      </w:r>
      <w:r>
        <w:rPr>
          <w:sz w:val="20"/>
          <w:szCs w:val="20"/>
          <w:color w:val="auto"/>
        </w:rPr>
        <w:tab/>
      </w:r>
      <w:r>
        <w:rPr>
          <w:rFonts w:ascii="Arial" w:cs="Arial" w:eastAsia="Arial" w:hAnsi="Arial"/>
          <w:sz w:val="15"/>
          <w:szCs w:val="15"/>
          <w:color w:val="auto"/>
        </w:rPr>
        <w:t>Severability</w:t>
      </w:r>
    </w:p>
    <w:p>
      <w:pPr>
        <w:spacing w:after="0" w:line="203" w:lineRule="exact"/>
        <w:rPr>
          <w:sz w:val="20"/>
          <w:szCs w:val="20"/>
          <w:color w:val="auto"/>
        </w:rPr>
      </w:pPr>
    </w:p>
    <w:p>
      <w:pPr>
        <w:jc w:val="both"/>
        <w:ind w:left="620"/>
        <w:spacing w:after="0" w:line="308" w:lineRule="auto"/>
        <w:rPr>
          <w:sz w:val="20"/>
          <w:szCs w:val="20"/>
          <w:color w:val="auto"/>
        </w:rPr>
      </w:pPr>
      <w:r>
        <w:rPr>
          <w:rFonts w:ascii="Arial" w:cs="Arial" w:eastAsia="Arial" w:hAnsi="Arial"/>
          <w:sz w:val="15"/>
          <w:szCs w:val="15"/>
          <w:color w:val="auto"/>
        </w:rPr>
        <w:t>Should any of the provisions hereof be held to be void, invalid, illegal or unenforceable in any respect, no other provision of the Agreement shall be affected thereby, provided however that the Parties shall in such case promptly negotiate in good faith such adjustments in the Agreement as shall be necessary to make it fair and equitable to the Parties</w:t>
      </w:r>
    </w:p>
    <w:p>
      <w:pPr>
        <w:spacing w:after="0" w:line="120"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16.5</w:t>
      </w:r>
      <w:r>
        <w:rPr>
          <w:sz w:val="20"/>
          <w:szCs w:val="20"/>
          <w:color w:val="auto"/>
        </w:rPr>
        <w:tab/>
      </w:r>
      <w:r>
        <w:rPr>
          <w:rFonts w:ascii="Arial" w:cs="Arial" w:eastAsia="Arial" w:hAnsi="Arial"/>
          <w:sz w:val="15"/>
          <w:szCs w:val="15"/>
          <w:color w:val="auto"/>
        </w:rPr>
        <w:t>Archival</w:t>
      </w:r>
    </w:p>
    <w:p>
      <w:pPr>
        <w:spacing w:after="0" w:line="216" w:lineRule="exact"/>
        <w:rPr>
          <w:sz w:val="20"/>
          <w:szCs w:val="20"/>
          <w:color w:val="auto"/>
        </w:rPr>
      </w:pPr>
    </w:p>
    <w:p>
      <w:pPr>
        <w:ind w:left="1240" w:hanging="618"/>
        <w:spacing w:after="0"/>
        <w:tabs>
          <w:tab w:leader="none" w:pos="1240" w:val="left"/>
        </w:tabs>
        <w:numPr>
          <w:ilvl w:val="0"/>
          <w:numId w:val="293"/>
        </w:numPr>
        <w:rPr>
          <w:rFonts w:ascii="Arial" w:cs="Arial" w:eastAsia="Arial" w:hAnsi="Arial"/>
          <w:sz w:val="15"/>
          <w:szCs w:val="15"/>
          <w:b w:val="1"/>
          <w:bCs w:val="1"/>
          <w:color w:val="auto"/>
        </w:rPr>
      </w:pPr>
      <w:r>
        <w:rPr>
          <w:rFonts w:ascii="Arial" w:cs="Arial" w:eastAsia="Arial" w:hAnsi="Arial"/>
          <w:sz w:val="15"/>
          <w:szCs w:val="15"/>
          <w:color w:val="auto"/>
        </w:rPr>
        <w:t>ExScientia shall archive any and all data issued from the performance of the Research Program during a ten (10)-year period after the Term.</w:t>
      </w:r>
    </w:p>
    <w:p>
      <w:pPr>
        <w:spacing w:after="0" w:line="201" w:lineRule="exact"/>
        <w:rPr>
          <w:rFonts w:ascii="Arial" w:cs="Arial" w:eastAsia="Arial" w:hAnsi="Arial"/>
          <w:sz w:val="15"/>
          <w:szCs w:val="15"/>
          <w:b w:val="1"/>
          <w:bCs w:val="1"/>
          <w:color w:val="auto"/>
        </w:rPr>
      </w:pPr>
    </w:p>
    <w:p>
      <w:pPr>
        <w:jc w:val="both"/>
        <w:ind w:left="1240" w:hanging="618"/>
        <w:spacing w:after="0" w:line="308" w:lineRule="auto"/>
        <w:tabs>
          <w:tab w:leader="none" w:pos="1231" w:val="left"/>
        </w:tabs>
        <w:numPr>
          <w:ilvl w:val="0"/>
          <w:numId w:val="293"/>
        </w:numPr>
        <w:rPr>
          <w:rFonts w:ascii="Arial" w:cs="Arial" w:eastAsia="Arial" w:hAnsi="Arial"/>
          <w:sz w:val="15"/>
          <w:szCs w:val="15"/>
          <w:b w:val="1"/>
          <w:bCs w:val="1"/>
          <w:color w:val="auto"/>
        </w:rPr>
      </w:pPr>
      <w:r>
        <w:rPr>
          <w:rFonts w:ascii="Arial" w:cs="Arial" w:eastAsia="Arial" w:hAnsi="Arial"/>
          <w:sz w:val="15"/>
          <w:szCs w:val="15"/>
          <w:color w:val="auto"/>
        </w:rPr>
        <w:t>If, during this period, ExScientia cannot or does not wish to ensure archival of such data, ExScientia shall then notify Sanofi. Sanofi will instruct ExScientia as to either (i) the transfer of the data to another place of archival under Sanofi’s responsibility and at Sanofi costs or (ii) the destruction of the data. In no event, shall ExScientia destroy such data during this period without Sanofi’s prior written consent.</w:t>
      </w:r>
    </w:p>
    <w:p>
      <w:pPr>
        <w:spacing w:after="0" w:line="120"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b w:val="1"/>
          <w:bCs w:val="1"/>
          <w:color w:val="auto"/>
        </w:rPr>
        <w:t>Article 17:</w:t>
      </w:r>
      <w:r>
        <w:rPr>
          <w:sz w:val="20"/>
          <w:szCs w:val="20"/>
          <w:color w:val="auto"/>
        </w:rPr>
        <w:tab/>
      </w:r>
      <w:r>
        <w:rPr>
          <w:rFonts w:ascii="Arial" w:cs="Arial" w:eastAsia="Arial" w:hAnsi="Arial"/>
          <w:sz w:val="15"/>
          <w:szCs w:val="15"/>
          <w:b w:val="1"/>
          <w:bCs w:val="1"/>
          <w:color w:val="auto"/>
        </w:rPr>
        <w:t>Governing law — Dispute resolution</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b w:val="1"/>
          <w:bCs w:val="1"/>
          <w:color w:val="auto"/>
        </w:rPr>
        <w:t>17.1</w:t>
      </w:r>
      <w:r>
        <w:rPr>
          <w:sz w:val="20"/>
          <w:szCs w:val="20"/>
          <w:color w:val="auto"/>
        </w:rPr>
        <w:tab/>
      </w:r>
      <w:r>
        <w:rPr>
          <w:rFonts w:ascii="Arial" w:cs="Arial" w:eastAsia="Arial" w:hAnsi="Arial"/>
          <w:sz w:val="15"/>
          <w:szCs w:val="15"/>
          <w:color w:val="auto"/>
        </w:rPr>
        <w:t>The Agreement’s validity, performance, termination and construction shall be governed by the Laws of England and Wales.</w:t>
      </w:r>
    </w:p>
    <w:p>
      <w:pPr>
        <w:spacing w:after="0" w:line="214" w:lineRule="exact"/>
        <w:rPr>
          <w:sz w:val="20"/>
          <w:szCs w:val="20"/>
          <w:color w:val="auto"/>
        </w:rPr>
      </w:pPr>
    </w:p>
    <w:p>
      <w:pPr>
        <w:jc w:val="both"/>
        <w:ind w:left="620" w:hanging="618"/>
        <w:spacing w:after="0" w:line="295" w:lineRule="auto"/>
        <w:tabs>
          <w:tab w:leader="none" w:pos="600" w:val="left"/>
        </w:tabs>
        <w:rPr>
          <w:sz w:val="20"/>
          <w:szCs w:val="20"/>
          <w:color w:val="auto"/>
        </w:rPr>
      </w:pPr>
      <w:r>
        <w:rPr>
          <w:rFonts w:ascii="Arial" w:cs="Arial" w:eastAsia="Arial" w:hAnsi="Arial"/>
          <w:sz w:val="15"/>
          <w:szCs w:val="15"/>
          <w:b w:val="1"/>
          <w:bCs w:val="1"/>
          <w:color w:val="auto"/>
        </w:rPr>
        <w:t>17.2</w:t>
      </w:r>
      <w:r>
        <w:rPr>
          <w:sz w:val="20"/>
          <w:szCs w:val="20"/>
          <w:color w:val="auto"/>
        </w:rPr>
        <w:tab/>
      </w:r>
      <w:r>
        <w:rPr>
          <w:rFonts w:ascii="Arial" w:cs="Arial" w:eastAsia="Arial" w:hAnsi="Arial"/>
          <w:sz w:val="15"/>
          <w:szCs w:val="15"/>
          <w:color w:val="auto"/>
        </w:rPr>
        <w:t>Any dispute between the Parties on any matter within the scope of the Steering Committee responsibilities shall be resolved in accordance with Article 4. Any other dispute between Sanofi and ExScientia in connection with or arising out of the validity, performance, construction or termination of the Agreement, including, but not limited to, in the event of plurality of defendants, summary proceedings or impleader, shall be submitted to the jurisdiction of the competent courts of London, unless amicably settled between the Parties.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- 15/#NUM_PAGES# -</w:t>
      </w:r>
    </w:p>
    <w:p>
      <w:pPr>
        <w:sectPr>
          <w:pgSz w:w="11900" w:h="16838" w:orient="portrait"/>
          <w:cols w:equalWidth="0" w:num="1">
            <w:col w:w="11240"/>
          </w:cols>
          <w:pgMar w:left="320" w:top="134"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7"/>
          <w:szCs w:val="17"/>
          <w:b w:val="1"/>
          <w:bCs w:val="1"/>
          <w:color w:val="auto"/>
        </w:rPr>
        <w:t>Exhibit 10.35</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WITNESS WHEREOF, the Parties hereto have caused the Agreement to be duly executed by their duly authorized officers in two counterparts, each of which shall be deemed to be an original, on the Effective Date.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Sanofi</w:t>
      </w:r>
    </w:p>
    <w:p>
      <w:pPr>
        <w:spacing w:after="0" w:line="345"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Date:</w:t>
        <w:tab/>
        <w:t>6/27/16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454660</wp:posOffset>
            </wp:positionV>
            <wp:extent cx="1092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109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SVP, BD&amp;L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ExScientia</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/s/ Andrew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9556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CEO, Ex Scientia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- 16/#NUM_PAGES# -</w:t>
      </w:r>
    </w:p>
    <w:p>
      <w:pPr>
        <w:sectPr>
          <w:pgSz w:w="11900" w:h="16838" w:orient="portrait"/>
          <w:cols w:equalWidth="0" w:num="1">
            <w:col w:w="11240"/>
          </w:cols>
          <w:pgMar w:left="320" w:top="134"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7"/>
          <w:szCs w:val="17"/>
          <w:b w:val="1"/>
          <w:bCs w:val="1"/>
          <w:color w:val="auto"/>
        </w:rPr>
        <w:t>EXHIBIT 10.36</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RESEARCH COLLABORATION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dated September 19, 2023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by and between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EXSCIENTIA AI LTD.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MERCK HEALTHCARE KGAA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5"/>
          <w:szCs w:val="15"/>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40"/>
          </w:cols>
          <w:pgMar w:left="320" w:top="121" w:right="33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RESEARCH COLLABORATION AGREEMENT</w:t>
      </w:r>
    </w:p>
    <w:p>
      <w:pPr>
        <w:spacing w:after="0" w:line="21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color w:val="auto"/>
        </w:rPr>
        <w:t>This Research Collaboration Agreement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as of September 19, 2023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by and between:</w:t>
      </w:r>
    </w:p>
    <w:p>
      <w:pPr>
        <w:spacing w:after="0" w:line="57" w:lineRule="exact"/>
        <w:rPr>
          <w:sz w:val="20"/>
          <w:szCs w:val="20"/>
          <w:color w:val="auto"/>
        </w:rPr>
      </w:pPr>
    </w:p>
    <w:p>
      <w:pPr>
        <w:ind w:left="500" w:hanging="497"/>
        <w:spacing w:after="0" w:line="286" w:lineRule="auto"/>
        <w:tabs>
          <w:tab w:leader="none" w:pos="498" w:val="left"/>
        </w:tabs>
        <w:numPr>
          <w:ilvl w:val="0"/>
          <w:numId w:val="2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Exscientia AI Ltd.</w:t>
      </w:r>
      <w:r>
        <w:rPr>
          <w:rFonts w:ascii="Times New Roman" w:cs="Times New Roman" w:eastAsia="Times New Roman" w:hAnsi="Times New Roman"/>
          <w:sz w:val="21"/>
          <w:szCs w:val="21"/>
          <w:color w:val="auto"/>
        </w:rPr>
        <w:t>, a corporation organized under the laws of Scotland, located at Dundee One River Court, 5 West Victoria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Dock Road, Dundee, Scotland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w:t>
      </w:r>
    </w:p>
    <w:p>
      <w:pPr>
        <w:spacing w:after="0" w:line="43" w:lineRule="exact"/>
        <w:rPr>
          <w:rFonts w:ascii="Times New Roman" w:cs="Times New Roman" w:eastAsia="Times New Roman" w:hAnsi="Times New Roman"/>
          <w:sz w:val="21"/>
          <w:szCs w:val="21"/>
          <w:b w:val="1"/>
          <w:bCs w:val="1"/>
          <w:color w:val="auto"/>
        </w:rPr>
      </w:pPr>
    </w:p>
    <w:p>
      <w:pPr>
        <w:ind w:left="500" w:hanging="497"/>
        <w:spacing w:after="0" w:line="286" w:lineRule="auto"/>
        <w:tabs>
          <w:tab w:leader="none" w:pos="498" w:val="left"/>
        </w:tabs>
        <w:numPr>
          <w:ilvl w:val="0"/>
          <w:numId w:val="2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Merck Healthcare KGaA</w:t>
      </w:r>
      <w:r>
        <w:rPr>
          <w:rFonts w:ascii="Times New Roman" w:cs="Times New Roman" w:eastAsia="Times New Roman" w:hAnsi="Times New Roman"/>
          <w:sz w:val="21"/>
          <w:szCs w:val="21"/>
          <w:color w:val="auto"/>
        </w:rPr>
        <w:t>, a corporation with limited partners organized under the laws of Germany, located at Frankfurter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Strasse 250, 64293 Darmstadt, Germany (“</w:t>
      </w:r>
      <w:r>
        <w:rPr>
          <w:rFonts w:ascii="Times New Roman" w:cs="Times New Roman" w:eastAsia="Times New Roman" w:hAnsi="Times New Roman"/>
          <w:sz w:val="21"/>
          <w:szCs w:val="21"/>
          <w:b w:val="1"/>
          <w:bCs w:val="1"/>
          <w:color w:val="auto"/>
        </w:rPr>
        <w:t>Merck</w:t>
      </w:r>
      <w:r>
        <w:rPr>
          <w:rFonts w:ascii="Times New Roman" w:cs="Times New Roman" w:eastAsia="Times New Roman" w:hAnsi="Times New Roman"/>
          <w:sz w:val="21"/>
          <w:szCs w:val="21"/>
          <w:color w:val="auto"/>
        </w:rPr>
        <w:t>”).</w:t>
      </w:r>
    </w:p>
    <w:p>
      <w:pPr>
        <w:spacing w:after="0" w:line="43" w:lineRule="exact"/>
        <w:rPr>
          <w:rFonts w:ascii="Times New Roman" w:cs="Times New Roman" w:eastAsia="Times New Roman" w:hAnsi="Times New Roman"/>
          <w:sz w:val="21"/>
          <w:szCs w:val="21"/>
          <w:b w:val="1"/>
          <w:bCs w:val="1"/>
          <w:color w:val="auto"/>
        </w:rPr>
      </w:pPr>
    </w:p>
    <w:p>
      <w:pPr>
        <w:ind w:left="50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Company and Merck each may be referred to herein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0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 Company is an Artificial Intelligence (“</w:t>
      </w:r>
      <w:r>
        <w:rPr>
          <w:rFonts w:ascii="Times New Roman" w:cs="Times New Roman" w:eastAsia="Times New Roman" w:hAnsi="Times New Roman"/>
          <w:sz w:val="21"/>
          <w:szCs w:val="21"/>
          <w:b w:val="1"/>
          <w:bCs w:val="1"/>
          <w:color w:val="auto"/>
        </w:rPr>
        <w:t>AI</w:t>
      </w:r>
      <w:r>
        <w:rPr>
          <w:rFonts w:ascii="Times New Roman" w:cs="Times New Roman" w:eastAsia="Times New Roman" w:hAnsi="Times New Roman"/>
          <w:sz w:val="21"/>
          <w:szCs w:val="21"/>
          <w:color w:val="auto"/>
        </w:rPr>
        <w:t>”)-based drug discovery company which has developed a technology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platform focusing on implementing AI design and precision data generation aiming to significantly accelerate the pre-clinical drug discovery stage;</w:t>
      </w:r>
    </w:p>
    <w:p>
      <w:pPr>
        <w:spacing w:after="0" w:line="175"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Merck is, inter alia, engaged in the research, development, manufacturing and commercialization of pharmaceutical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products;</w:t>
      </w:r>
    </w:p>
    <w:p>
      <w:pPr>
        <w:spacing w:after="0" w:line="44"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hereby wish to set forth the terms and conditions under which a collaboration will be carried out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identify and discover certain Target Compounds originated from Collaboration Targets, through the performance of each Research Plan (each as defined below);</w:t>
      </w:r>
    </w:p>
    <w:p>
      <w:pPr>
        <w:spacing w:after="0" w:line="162" w:lineRule="exact"/>
        <w:rPr>
          <w:sz w:val="20"/>
          <w:szCs w:val="20"/>
          <w:color w:val="auto"/>
        </w:rPr>
      </w:pPr>
    </w:p>
    <w:p>
      <w:pPr>
        <w:jc w:val="both"/>
        <w:ind w:firstLine="487"/>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Merck will be responsible for the clinical development and commercialization of Products (as defined below)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worldwide, in accordance with the terms and conditions set forth in this Agreement;</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various promises and undertakings set forth herein, the Parties agree as follows:</w:t>
      </w:r>
    </w:p>
    <w:p>
      <w:pPr>
        <w:spacing w:after="0" w:line="2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ARTICLE 1</w:t>
      </w:r>
    </w:p>
    <w:p>
      <w:pPr>
        <w:spacing w:after="0" w:line="10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Agreement, the following capitalized terms shall have the following meanings:</w:t>
      </w:r>
    </w:p>
    <w:p>
      <w:pPr>
        <w:spacing w:after="0" w:line="115" w:lineRule="exact"/>
        <w:rPr>
          <w:sz w:val="20"/>
          <w:szCs w:val="20"/>
          <w:color w:val="auto"/>
        </w:rPr>
      </w:pPr>
    </w:p>
    <w:p>
      <w:pPr>
        <w:jc w:val="both"/>
        <w:ind w:firstLine="487"/>
        <w:spacing w:after="0" w:line="250" w:lineRule="auto"/>
        <w:rPr>
          <w:sz w:val="20"/>
          <w:szCs w:val="20"/>
          <w:color w:val="auto"/>
        </w:rPr>
      </w:pPr>
      <w:r>
        <w:rPr>
          <w:rFonts w:ascii="Times New Roman" w:cs="Times New Roman" w:eastAsia="Times New Roman" w:hAnsi="Times New Roman"/>
          <w:sz w:val="21"/>
          <w:szCs w:val="21"/>
          <w:color w:val="auto"/>
        </w:rPr>
        <w:t>1.1 “</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a Person that controls, is controlled by or is under common control with another Person, but only for so long as such control exists. For the purposes of this Section 1.1, the word “control” (including, with correlative meaning, the terms “controlled by” or “under the common control with”) means the actual power, either directly or indirectly through one or more intermediaries, to direct the management and policies of such Person, whether by the ownership of at least fifty percent (50%) of the voting stock of such entity, or by contract or otherwise.</w:t>
      </w:r>
    </w:p>
    <w:p>
      <w:pPr>
        <w:spacing w:after="0" w:line="83"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360" w:right="339" w:bottom="1440" w:gutter="0" w:footer="0" w:header="0"/>
        </w:sectPr>
      </w:pPr>
    </w:p>
    <w:bookmarkStart w:id="339" w:name="page340"/>
    <w:bookmarkEnd w:id="339"/>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Alliance Manager</w:t>
      </w:r>
      <w:r>
        <w:rPr>
          <w:rFonts w:ascii="Times New Roman" w:cs="Times New Roman" w:eastAsia="Times New Roman" w:hAnsi="Times New Roman"/>
          <w:sz w:val="20"/>
          <w:szCs w:val="20"/>
          <w:color w:val="auto"/>
        </w:rPr>
        <w:t>” has the meaning set forth in Section 2.2.</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Anti-Bribery Laws</w:t>
      </w:r>
      <w:r>
        <w:rPr>
          <w:rFonts w:ascii="Times New Roman" w:cs="Times New Roman" w:eastAsia="Times New Roman" w:hAnsi="Times New Roman"/>
          <w:sz w:val="20"/>
          <w:szCs w:val="20"/>
          <w:color w:val="auto"/>
        </w:rPr>
        <w:t>” has the meaning set forth in Section 13.2.2.</w:t>
      </w:r>
    </w:p>
    <w:p>
      <w:pPr>
        <w:spacing w:after="0" w:line="107" w:lineRule="exact"/>
        <w:rPr>
          <w:sz w:val="20"/>
          <w:szCs w:val="20"/>
          <w:color w:val="auto"/>
        </w:rPr>
      </w:pPr>
    </w:p>
    <w:p>
      <w:pPr>
        <w:jc w:val="both"/>
        <w:ind w:firstLine="487"/>
        <w:spacing w:after="0" w:line="264" w:lineRule="auto"/>
        <w:rPr>
          <w:sz w:val="20"/>
          <w:szCs w:val="20"/>
          <w:color w:val="auto"/>
        </w:rPr>
      </w:pPr>
      <w:r>
        <w:rPr>
          <w:rFonts w:ascii="Times New Roman" w:cs="Times New Roman" w:eastAsia="Times New Roman" w:hAnsi="Times New Roman"/>
          <w:sz w:val="21"/>
          <w:szCs w:val="21"/>
          <w:color w:val="auto"/>
        </w:rPr>
        <w:t>1.5 “</w:t>
      </w: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means any applicable supranational, federal, state, local or foreign law, statute, ordinance or principle of common law, or any rule, regulation, standard, judgment, order, writ, injunction, decree, arbitration award, agency guidelines or other requirement, license or permit of any Governmental Body, which may be in effect from time to time.</w:t>
      </w:r>
    </w:p>
    <w:p>
      <w:pPr>
        <w:spacing w:after="0" w:line="54"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AUA</w:t>
      </w:r>
      <w:r>
        <w:rPr>
          <w:rFonts w:ascii="Times New Roman" w:cs="Times New Roman" w:eastAsia="Times New Roman" w:hAnsi="Times New Roman"/>
          <w:sz w:val="20"/>
          <w:szCs w:val="20"/>
          <w:color w:val="auto"/>
        </w:rPr>
        <w:t>” means Animal Use Agreement.</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Background IP</w:t>
      </w:r>
      <w:r>
        <w:rPr>
          <w:rFonts w:ascii="Times New Roman" w:cs="Times New Roman" w:eastAsia="Times New Roman" w:hAnsi="Times New Roman"/>
          <w:sz w:val="20"/>
          <w:szCs w:val="20"/>
          <w:color w:val="auto"/>
        </w:rPr>
        <w:t>” means Company Background IP and Merck Background IP.</w:t>
      </w:r>
    </w:p>
    <w:p>
      <w:pPr>
        <w:spacing w:after="0" w:line="107" w:lineRule="exact"/>
        <w:rPr>
          <w:sz w:val="20"/>
          <w:szCs w:val="20"/>
          <w:color w:val="auto"/>
        </w:rPr>
      </w:pPr>
    </w:p>
    <w:p>
      <w:pPr>
        <w:jc w:val="both"/>
        <w:ind w:firstLine="487"/>
        <w:spacing w:after="0" w:line="286" w:lineRule="auto"/>
        <w:rPr>
          <w:sz w:val="20"/>
          <w:szCs w:val="20"/>
          <w:color w:val="auto"/>
        </w:rPr>
      </w:pPr>
      <w:r>
        <w:rPr>
          <w:rFonts w:ascii="Times New Roman" w:cs="Times New Roman" w:eastAsia="Times New Roman" w:hAnsi="Times New Roman"/>
          <w:sz w:val="21"/>
          <w:szCs w:val="21"/>
          <w:color w:val="auto"/>
        </w:rPr>
        <w:t>1.8 “</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means a day other than Saturday or Sunday on which banking institutions in Darmstadt, Germany, in London, United Kingdom, and in New York, USA are open for business.</w:t>
      </w:r>
    </w:p>
    <w:p>
      <w:pPr>
        <w:spacing w:after="0" w:line="30" w:lineRule="exact"/>
        <w:rPr>
          <w:sz w:val="20"/>
          <w:szCs w:val="20"/>
          <w:color w:val="auto"/>
        </w:rPr>
      </w:pPr>
    </w:p>
    <w:p>
      <w:pPr>
        <w:jc w:val="both"/>
        <w:ind w:firstLine="487"/>
        <w:spacing w:after="0" w:line="258" w:lineRule="auto"/>
        <w:rPr>
          <w:sz w:val="20"/>
          <w:szCs w:val="20"/>
          <w:color w:val="auto"/>
        </w:rPr>
      </w:pPr>
      <w:r>
        <w:rPr>
          <w:rFonts w:ascii="Times New Roman" w:cs="Times New Roman" w:eastAsia="Times New Roman" w:hAnsi="Times New Roman"/>
          <w:sz w:val="21"/>
          <w:szCs w:val="21"/>
          <w:color w:val="auto"/>
        </w:rPr>
        <w:t>1.9 “</w:t>
      </w:r>
      <w:r>
        <w:rPr>
          <w:rFonts w:ascii="Times New Roman" w:cs="Times New Roman" w:eastAsia="Times New Roman" w:hAnsi="Times New Roman"/>
          <w:sz w:val="21"/>
          <w:szCs w:val="21"/>
          <w:b w:val="1"/>
          <w:bCs w:val="1"/>
          <w:color w:val="auto"/>
        </w:rPr>
        <w:t>Calendar Quarter</w:t>
      </w:r>
      <w:r>
        <w:rPr>
          <w:rFonts w:ascii="Times New Roman" w:cs="Times New Roman" w:eastAsia="Times New Roman" w:hAnsi="Times New Roman"/>
          <w:sz w:val="21"/>
          <w:szCs w:val="21"/>
          <w:color w:val="auto"/>
        </w:rPr>
        <w:t>” means each three (3) month period commencing January 1, April 1, July 1 or October 1; provided, however, that (a) the first Calendar Quarter of the Term shall extend from the Effective Date to the end of the first full Calendar Quarter thereafter, and (b) the last Calendar Quarter of the Term shall end on the date of expiration or termination of this Agreement.</w:t>
      </w:r>
    </w:p>
    <w:p>
      <w:pPr>
        <w:spacing w:after="0" w:line="59" w:lineRule="exact"/>
        <w:rPr>
          <w:sz w:val="20"/>
          <w:szCs w:val="20"/>
          <w:color w:val="auto"/>
        </w:rPr>
      </w:pPr>
    </w:p>
    <w:p>
      <w:pPr>
        <w:jc w:val="both"/>
        <w:ind w:firstLine="487"/>
        <w:spacing w:after="0" w:line="257" w:lineRule="auto"/>
        <w:rPr>
          <w:sz w:val="20"/>
          <w:szCs w:val="20"/>
          <w:color w:val="auto"/>
        </w:rPr>
      </w:pPr>
      <w:r>
        <w:rPr>
          <w:rFonts w:ascii="Times New Roman" w:cs="Times New Roman" w:eastAsia="Times New Roman" w:hAnsi="Times New Roman"/>
          <w:sz w:val="21"/>
          <w:szCs w:val="21"/>
          <w:color w:val="auto"/>
        </w:rPr>
        <w:t>1.10 “</w:t>
      </w:r>
      <w:r>
        <w:rPr>
          <w:rFonts w:ascii="Times New Roman" w:cs="Times New Roman" w:eastAsia="Times New Roman" w:hAnsi="Times New Roman"/>
          <w:sz w:val="21"/>
          <w:szCs w:val="21"/>
          <w:b w:val="1"/>
          <w:bCs w:val="1"/>
          <w:color w:val="auto"/>
        </w:rPr>
        <w:t>Calendar Year</w:t>
      </w:r>
      <w:r>
        <w:rPr>
          <w:rFonts w:ascii="Times New Roman" w:cs="Times New Roman" w:eastAsia="Times New Roman" w:hAnsi="Times New Roman"/>
          <w:sz w:val="21"/>
          <w:szCs w:val="21"/>
          <w:color w:val="auto"/>
        </w:rPr>
        <w:t>” means the period beginning on January 1 and ending on December 31 of the same year, provided, however, that (a) the first Calendar Year of the Term shall commence on the Effective Date and end on December 31 of the same year and (b) the last Calendar Year of the Term shall commence on January 1 of the Calendar Year in which this Agreement terminates or expires and end on the date of termination or expiration of this Agreement.</w:t>
      </w:r>
    </w:p>
    <w:p>
      <w:pPr>
        <w:spacing w:after="0" w:line="61"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1.11 “</w:t>
      </w:r>
      <w:r>
        <w:rPr>
          <w:rFonts w:ascii="Times New Roman" w:cs="Times New Roman" w:eastAsia="Times New Roman" w:hAnsi="Times New Roman"/>
          <w:sz w:val="21"/>
          <w:szCs w:val="21"/>
          <w:b w:val="1"/>
          <w:bCs w:val="1"/>
          <w:color w:val="auto"/>
        </w:rPr>
        <w:t>Candidate Development Target Profile</w:t>
      </w:r>
      <w:r>
        <w:rPr>
          <w:rFonts w:ascii="Times New Roman" w:cs="Times New Roman" w:eastAsia="Times New Roman" w:hAnsi="Times New Roman"/>
          <w:sz w:val="21"/>
          <w:szCs w:val="21"/>
          <w:color w:val="auto"/>
        </w:rPr>
        <w:t>” means, in respect of a Collaboration Target, the desired key characteristics of a Target Compound set forth in the Research Plan for that Collaboration Target.</w:t>
      </w:r>
    </w:p>
    <w:p>
      <w:pPr>
        <w:spacing w:after="0" w:line="44" w:lineRule="exact"/>
        <w:rPr>
          <w:sz w:val="20"/>
          <w:szCs w:val="20"/>
          <w:color w:val="auto"/>
        </w:rPr>
      </w:pPr>
    </w:p>
    <w:p>
      <w:pPr>
        <w:jc w:val="both"/>
        <w:ind w:firstLine="487"/>
        <w:spacing w:after="0" w:line="249" w:lineRule="auto"/>
        <w:rPr>
          <w:sz w:val="20"/>
          <w:szCs w:val="20"/>
          <w:color w:val="auto"/>
        </w:rPr>
      </w:pPr>
      <w:r>
        <w:rPr>
          <w:rFonts w:ascii="Times New Roman" w:cs="Times New Roman" w:eastAsia="Times New Roman" w:hAnsi="Times New Roman"/>
          <w:sz w:val="21"/>
          <w:szCs w:val="21"/>
          <w:color w:val="auto"/>
        </w:rPr>
        <w:t>1.12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with respect to a Person: (a) a transaction or series of related transactions that results in the sale or other disposition of all or substantially all of such Person’s assets; or (b) a merger or consolidation in which such Person is not the surviving corporation or in which, if such Person is the surviving corporation, the shareholders of such Person immediately prior to the consummation of such merger or consolidation do not, immediately after consummation of such merger or consolidation, possess, directly or indirectly through one or more intermediaries, a majority of the voting power of all of the surviving entity’s outstanding stock and other securities and the power to elect a majority of the members of such Person’s board of directors; or (c) a transaction or series of related transactions (which may include a tender offer for such Person’s stock or the issuance, sale or exchange of stock of such Person) if the shareholders of such Person immediately prior to the initial such transaction do not, immediately after consummation of such transaction or any of such related transactions, own, directly or indirectly through one or more intermediaries, stock or other securities of the entity that possess a majority of the voting power of all of such Person’s outstanding stock and other securities and the power to elect a majority of the members of such Person’s board of directors.</w:t>
      </w:r>
    </w:p>
    <w:p>
      <w:pPr>
        <w:spacing w:after="0" w:line="6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has the meaning set forth in Section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61" w:right="339" w:bottom="1440" w:gutter="0" w:footer="0" w:header="0"/>
        </w:sectPr>
      </w:pPr>
    </w:p>
    <w:bookmarkStart w:id="340" w:name="page341"/>
    <w:bookmarkEnd w:id="340"/>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1.14 “</w:t>
      </w:r>
      <w:r>
        <w:rPr>
          <w:rFonts w:ascii="Times New Roman" w:cs="Times New Roman" w:eastAsia="Times New Roman" w:hAnsi="Times New Roman"/>
          <w:sz w:val="21"/>
          <w:szCs w:val="21"/>
          <w:b w:val="1"/>
          <w:bCs w:val="1"/>
          <w:color w:val="auto"/>
        </w:rPr>
        <w:t>Clinical Trial</w:t>
      </w:r>
      <w:r>
        <w:rPr>
          <w:rFonts w:ascii="Times New Roman" w:cs="Times New Roman" w:eastAsia="Times New Roman" w:hAnsi="Times New Roman"/>
          <w:sz w:val="21"/>
          <w:szCs w:val="21"/>
          <w:color w:val="auto"/>
        </w:rPr>
        <w:t>” means a clinical trial in human subjects that has been approved by a Regulatory Authority and Institutional Review Board or Ethics Committee and is designed to measure the safety or efficacy of a pharmaceutical product.</w:t>
      </w:r>
    </w:p>
    <w:p>
      <w:pPr>
        <w:spacing w:after="0" w:line="44" w:lineRule="exact"/>
        <w:rPr>
          <w:sz w:val="20"/>
          <w:szCs w:val="20"/>
          <w:color w:val="auto"/>
        </w:rPr>
      </w:pPr>
    </w:p>
    <w:p>
      <w:pPr>
        <w:jc w:val="both"/>
        <w:ind w:firstLine="487"/>
        <w:spacing w:after="0" w:line="264" w:lineRule="auto"/>
        <w:rPr>
          <w:sz w:val="20"/>
          <w:szCs w:val="20"/>
          <w:color w:val="auto"/>
        </w:rPr>
      </w:pPr>
      <w:r>
        <w:rPr>
          <w:rFonts w:ascii="Times New Roman" w:cs="Times New Roman" w:eastAsia="Times New Roman" w:hAnsi="Times New Roman"/>
          <w:sz w:val="21"/>
          <w:szCs w:val="21"/>
          <w:color w:val="auto"/>
        </w:rPr>
        <w:t>1.15 “</w:t>
      </w:r>
      <w:r>
        <w:rPr>
          <w:rFonts w:ascii="Times New Roman" w:cs="Times New Roman" w:eastAsia="Times New Roman" w:hAnsi="Times New Roman"/>
          <w:sz w:val="21"/>
          <w:szCs w:val="21"/>
          <w:b w:val="1"/>
          <w:bCs w:val="1"/>
          <w:color w:val="auto"/>
        </w:rPr>
        <w:t>Collaboration IP</w:t>
      </w:r>
      <w:r>
        <w:rPr>
          <w:rFonts w:ascii="Times New Roman" w:cs="Times New Roman" w:eastAsia="Times New Roman" w:hAnsi="Times New Roman"/>
          <w:sz w:val="21"/>
          <w:szCs w:val="21"/>
          <w:color w:val="auto"/>
        </w:rPr>
        <w:t>” means all Intellectual Property Rights discovered, generated, created or conceived in the performance of any Research Plan (including under Section 3.1.4), but does not comprise, and consequently excludes, all Company Platform IP and generic improvements thereof, and Company Foreground IP.</w:t>
      </w:r>
    </w:p>
    <w:p>
      <w:pPr>
        <w:spacing w:after="0" w:line="54" w:lineRule="exact"/>
        <w:rPr>
          <w:sz w:val="20"/>
          <w:szCs w:val="20"/>
          <w:color w:val="auto"/>
        </w:rPr>
      </w:pPr>
    </w:p>
    <w:p>
      <w:pPr>
        <w:jc w:val="both"/>
        <w:ind w:firstLine="487"/>
        <w:spacing w:after="0" w:line="257" w:lineRule="auto"/>
        <w:rPr>
          <w:sz w:val="20"/>
          <w:szCs w:val="20"/>
          <w:color w:val="auto"/>
        </w:rPr>
      </w:pPr>
      <w:r>
        <w:rPr>
          <w:rFonts w:ascii="Times New Roman" w:cs="Times New Roman" w:eastAsia="Times New Roman" w:hAnsi="Times New Roman"/>
          <w:sz w:val="21"/>
          <w:szCs w:val="21"/>
          <w:color w:val="auto"/>
        </w:rPr>
        <w:t>1.16 “</w:t>
      </w:r>
      <w:r>
        <w:rPr>
          <w:rFonts w:ascii="Times New Roman" w:cs="Times New Roman" w:eastAsia="Times New Roman" w:hAnsi="Times New Roman"/>
          <w:sz w:val="21"/>
          <w:szCs w:val="21"/>
          <w:b w:val="1"/>
          <w:bCs w:val="1"/>
          <w:color w:val="auto"/>
        </w:rPr>
        <w:t>Collaboration Material</w:t>
      </w:r>
      <w:r>
        <w:rPr>
          <w:rFonts w:ascii="Times New Roman" w:cs="Times New Roman" w:eastAsia="Times New Roman" w:hAnsi="Times New Roman"/>
          <w:sz w:val="21"/>
          <w:szCs w:val="21"/>
          <w:color w:val="auto"/>
        </w:rPr>
        <w:t>” means any information, data, finding, know how, test result, discovery, invention, process, method, technique, formula, material, specification or improvement whatsoever (whether patentable or not) that are generated in the course of or as a result of the activities under the Research Plans, including all Target Compounds, but excluding any Company Platform Technology and Company Platform Technology Inventions.</w:t>
      </w:r>
    </w:p>
    <w:p>
      <w:pPr>
        <w:spacing w:after="0" w:line="61"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Collaboration Patent Application</w:t>
      </w:r>
      <w:r>
        <w:rPr>
          <w:rFonts w:ascii="Times New Roman" w:cs="Times New Roman" w:eastAsia="Times New Roman" w:hAnsi="Times New Roman"/>
          <w:sz w:val="20"/>
          <w:szCs w:val="20"/>
          <w:color w:val="auto"/>
        </w:rPr>
        <w:t>” has the meaning set forth in Section 8.4.</w:t>
      </w:r>
    </w:p>
    <w:p>
      <w:pPr>
        <w:spacing w:after="0" w:line="107"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1.18 “</w:t>
      </w:r>
      <w:r>
        <w:rPr>
          <w:rFonts w:ascii="Times New Roman" w:cs="Times New Roman" w:eastAsia="Times New Roman" w:hAnsi="Times New Roman"/>
          <w:sz w:val="21"/>
          <w:szCs w:val="21"/>
          <w:b w:val="1"/>
          <w:bCs w:val="1"/>
          <w:color w:val="auto"/>
        </w:rPr>
        <w:t>Collaboration Target</w:t>
      </w:r>
      <w:r>
        <w:rPr>
          <w:rFonts w:ascii="Times New Roman" w:cs="Times New Roman" w:eastAsia="Times New Roman" w:hAnsi="Times New Roman"/>
          <w:sz w:val="21"/>
          <w:szCs w:val="21"/>
          <w:color w:val="auto"/>
        </w:rPr>
        <w:t xml:space="preserve">” means each of the Targets (i) listed in </w:t>
      </w:r>
      <w:r>
        <w:rPr>
          <w:rFonts w:ascii="Times New Roman" w:cs="Times New Roman" w:eastAsia="Times New Roman" w:hAnsi="Times New Roman"/>
          <w:sz w:val="21"/>
          <w:szCs w:val="21"/>
          <w:b w:val="1"/>
          <w:bCs w:val="1"/>
          <w:u w:val="single" w:color="auto"/>
          <w:color w:val="auto"/>
        </w:rPr>
        <w:t>Schedule 1.18</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Initial Collaboration Targets</w:t>
      </w:r>
      <w:r>
        <w:rPr>
          <w:rFonts w:ascii="Times New Roman" w:cs="Times New Roman" w:eastAsia="Times New Roman" w:hAnsi="Times New Roman"/>
          <w:sz w:val="21"/>
          <w:szCs w:val="21"/>
          <w:color w:val="auto"/>
        </w:rPr>
        <w:t>”), unless [***], or (ii) elected pursuant to Section 3.2.1 or Section 3.2.2.</w:t>
      </w:r>
    </w:p>
    <w:p>
      <w:pPr>
        <w:spacing w:after="0" w:line="44" w:lineRule="exact"/>
        <w:rPr>
          <w:sz w:val="20"/>
          <w:szCs w:val="20"/>
          <w:color w:val="auto"/>
        </w:rPr>
      </w:pPr>
    </w:p>
    <w:p>
      <w:pPr>
        <w:jc w:val="both"/>
        <w:ind w:firstLine="487"/>
        <w:spacing w:after="0" w:line="256" w:lineRule="auto"/>
        <w:rPr>
          <w:sz w:val="20"/>
          <w:szCs w:val="20"/>
          <w:color w:val="auto"/>
        </w:rPr>
      </w:pPr>
      <w:r>
        <w:rPr>
          <w:rFonts w:ascii="Times New Roman" w:cs="Times New Roman" w:eastAsia="Times New Roman" w:hAnsi="Times New Roman"/>
          <w:sz w:val="21"/>
          <w:szCs w:val="21"/>
          <w:color w:val="auto"/>
        </w:rPr>
        <w:t>1.19 “</w:t>
      </w:r>
      <w:r>
        <w:rPr>
          <w:rFonts w:ascii="Times New Roman" w:cs="Times New Roman" w:eastAsia="Times New Roman" w:hAnsi="Times New Roman"/>
          <w:sz w:val="21"/>
          <w:szCs w:val="21"/>
          <w:b w:val="1"/>
          <w:bCs w:val="1"/>
          <w:color w:val="auto"/>
        </w:rPr>
        <w:t>Combination Product</w:t>
      </w:r>
      <w:r>
        <w:rPr>
          <w:rFonts w:ascii="Times New Roman" w:cs="Times New Roman" w:eastAsia="Times New Roman" w:hAnsi="Times New Roman"/>
          <w:sz w:val="21"/>
          <w:szCs w:val="21"/>
          <w:color w:val="auto"/>
        </w:rPr>
        <w:t>” means a Product that includes one or more active ingredients in addition to a Target Compound.</w:t>
      </w:r>
    </w:p>
    <w:p>
      <w:pPr>
        <w:spacing w:after="0" w:line="348" w:lineRule="exact"/>
        <w:rPr>
          <w:sz w:val="20"/>
          <w:szCs w:val="20"/>
          <w:color w:val="auto"/>
        </w:rPr>
      </w:pPr>
    </w:p>
    <w:p>
      <w:pPr>
        <w:jc w:val="both"/>
        <w:ind w:firstLine="487"/>
        <w:spacing w:after="0" w:line="253" w:lineRule="auto"/>
        <w:rPr>
          <w:sz w:val="20"/>
          <w:szCs w:val="20"/>
          <w:color w:val="auto"/>
        </w:rPr>
      </w:pPr>
      <w:r>
        <w:rPr>
          <w:rFonts w:ascii="Times New Roman" w:cs="Times New Roman" w:eastAsia="Times New Roman" w:hAnsi="Times New Roman"/>
          <w:sz w:val="21"/>
          <w:szCs w:val="21"/>
          <w:color w:val="auto"/>
        </w:rPr>
        <w:t>1.20 “</w:t>
      </w:r>
      <w:r>
        <w:rPr>
          <w:rFonts w:ascii="Times New Roman" w:cs="Times New Roman" w:eastAsia="Times New Roman" w:hAnsi="Times New Roman"/>
          <w:sz w:val="21"/>
          <w:szCs w:val="21"/>
          <w:b w:val="1"/>
          <w:bCs w:val="1"/>
          <w:color w:val="auto"/>
        </w:rPr>
        <w:t>Commercialization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Commercialize</w:t>
      </w:r>
      <w:r>
        <w:rPr>
          <w:rFonts w:ascii="Times New Roman" w:cs="Times New Roman" w:eastAsia="Times New Roman" w:hAnsi="Times New Roman"/>
          <w:sz w:val="21"/>
          <w:szCs w:val="21"/>
          <w:color w:val="auto"/>
        </w:rPr>
        <w:t>” means any and all activities undertaken before or after Regulatory Approval of a MAA for a particular Product and directed to the commercial exploitation of the Product, including the marketing, promoting, distributing, importing or exporting for sale, offering for sale, and selling of the Product, and interacting with Regulatory Authorities regarding the foregoing.</w:t>
      </w:r>
    </w:p>
    <w:p>
      <w:pPr>
        <w:spacing w:after="0" w:line="65"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 Milestone</w:t>
      </w:r>
      <w:r>
        <w:rPr>
          <w:rFonts w:ascii="Times New Roman" w:cs="Times New Roman" w:eastAsia="Times New Roman" w:hAnsi="Times New Roman"/>
          <w:sz w:val="20"/>
          <w:szCs w:val="20"/>
          <w:color w:val="auto"/>
        </w:rPr>
        <w:t>” means those milestones mentioned in No. D1 to D3 in Section 7.2.1.</w:t>
      </w:r>
    </w:p>
    <w:p>
      <w:pPr>
        <w:spacing w:after="0" w:line="119" w:lineRule="exact"/>
        <w:rPr>
          <w:sz w:val="20"/>
          <w:szCs w:val="20"/>
          <w:color w:val="auto"/>
        </w:rPr>
      </w:pPr>
    </w:p>
    <w:p>
      <w:pPr>
        <w:jc w:val="both"/>
        <w:ind w:firstLine="487"/>
        <w:spacing w:after="0" w:line="250" w:lineRule="auto"/>
        <w:rPr>
          <w:sz w:val="20"/>
          <w:szCs w:val="20"/>
          <w:color w:val="auto"/>
        </w:rPr>
      </w:pPr>
      <w:r>
        <w:rPr>
          <w:rFonts w:ascii="Times New Roman" w:cs="Times New Roman" w:eastAsia="Times New Roman" w:hAnsi="Times New Roman"/>
          <w:sz w:val="21"/>
          <w:szCs w:val="21"/>
          <w:color w:val="auto"/>
        </w:rPr>
        <w:t>1.22 “</w:t>
      </w:r>
      <w:r>
        <w:rPr>
          <w:rFonts w:ascii="Times New Roman" w:cs="Times New Roman" w:eastAsia="Times New Roman" w:hAnsi="Times New Roman"/>
          <w:sz w:val="21"/>
          <w:szCs w:val="21"/>
          <w:b w:val="1"/>
          <w:bCs w:val="1"/>
          <w:color w:val="auto"/>
        </w:rPr>
        <w:t>Commercially Reasonable Efforts</w:t>
      </w:r>
      <w:r>
        <w:rPr>
          <w:rFonts w:ascii="Times New Roman" w:cs="Times New Roman" w:eastAsia="Times New Roman" w:hAnsi="Times New Roman"/>
          <w:sz w:val="21"/>
          <w:szCs w:val="21"/>
          <w:color w:val="auto"/>
        </w:rPr>
        <w:t>” means: (a) with respect to any objective [***], such [***] as [***]; and (b) with respect to any objective [***], the carrying out of such tasks with a level of efforts and resources consistent with the efforts and resources that [***]; and (c) with respect to any objective [***], the application, consistent with [***], consistent with the level of efforts [***], taking into account [***]. For clarity, Commercially Reasonable Efforts will not mean that a Party guarantees that it will actually accomplish the applicable task or objective.</w:t>
      </w:r>
    </w:p>
    <w:p>
      <w:pPr>
        <w:spacing w:after="0" w:line="83"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1.23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preamble.</w:t>
      </w:r>
    </w:p>
    <w:p>
      <w:pPr>
        <w:spacing w:after="0" w:line="107" w:lineRule="exact"/>
        <w:rPr>
          <w:sz w:val="20"/>
          <w:szCs w:val="20"/>
          <w:color w:val="auto"/>
        </w:rPr>
      </w:pPr>
    </w:p>
    <w:p>
      <w:pPr>
        <w:jc w:val="both"/>
        <w:ind w:firstLine="487"/>
        <w:spacing w:after="0" w:line="253" w:lineRule="auto"/>
        <w:rPr>
          <w:sz w:val="20"/>
          <w:szCs w:val="20"/>
          <w:color w:val="auto"/>
        </w:rPr>
      </w:pPr>
      <w:r>
        <w:rPr>
          <w:rFonts w:ascii="Times New Roman" w:cs="Times New Roman" w:eastAsia="Times New Roman" w:hAnsi="Times New Roman"/>
          <w:sz w:val="21"/>
          <w:szCs w:val="21"/>
          <w:color w:val="auto"/>
        </w:rPr>
        <w:t>1.24 “</w:t>
      </w:r>
      <w:r>
        <w:rPr>
          <w:rFonts w:ascii="Times New Roman" w:cs="Times New Roman" w:eastAsia="Times New Roman" w:hAnsi="Times New Roman"/>
          <w:sz w:val="21"/>
          <w:szCs w:val="21"/>
          <w:b w:val="1"/>
          <w:bCs w:val="1"/>
          <w:color w:val="auto"/>
        </w:rPr>
        <w:t>Company Background IP</w:t>
      </w:r>
      <w:r>
        <w:rPr>
          <w:rFonts w:ascii="Times New Roman" w:cs="Times New Roman" w:eastAsia="Times New Roman" w:hAnsi="Times New Roman"/>
          <w:sz w:val="21"/>
          <w:szCs w:val="21"/>
          <w:color w:val="auto"/>
        </w:rPr>
        <w:t>” means any and all Company Intellectual Property Rights and Know How that Company either: (i) owned, controlled, or had rights with respect to prior to the Effective Date; or (ii) develops or acquires outside of this Agreement, necessary to discover, research, develop, make, have made, use, offer for sale, sell, have sold, commercialize, import and export Target Compounds, and excluding any Company Platform Technology and Company Platform Technology Inventions.</w:t>
      </w:r>
    </w:p>
    <w:p>
      <w:pPr>
        <w:spacing w:after="0" w:line="65"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Foreground IP</w:t>
      </w:r>
      <w:r>
        <w:rPr>
          <w:rFonts w:ascii="Times New Roman" w:cs="Times New Roman" w:eastAsia="Times New Roman" w:hAnsi="Times New Roman"/>
          <w:sz w:val="20"/>
          <w:szCs w:val="20"/>
          <w:color w:val="auto"/>
        </w:rPr>
        <w:t>” has the meaning set forth in Section 8.2.</w:t>
      </w:r>
    </w:p>
    <w:p>
      <w:pPr>
        <w:spacing w:after="0" w:line="119"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1.26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Foreground Patents</w:t>
      </w:r>
      <w:r>
        <w:rPr>
          <w:rFonts w:ascii="Times New Roman" w:cs="Times New Roman" w:eastAsia="Times New Roman" w:hAnsi="Times New Roman"/>
          <w:sz w:val="20"/>
          <w:szCs w:val="20"/>
          <w:color w:val="auto"/>
        </w:rPr>
        <w:t>” has the meaning set forth in Section 8.2.</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Indemnitees</w:t>
      </w:r>
      <w:r>
        <w:rPr>
          <w:rFonts w:ascii="Times New Roman" w:cs="Times New Roman" w:eastAsia="Times New Roman" w:hAnsi="Times New Roman"/>
          <w:sz w:val="20"/>
          <w:szCs w:val="20"/>
          <w:color w:val="auto"/>
        </w:rPr>
        <w:t>” has the meaning set forth in Section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60" w:right="339" w:bottom="1440" w:gutter="0" w:footer="0" w:header="0"/>
        </w:sectPr>
      </w:pPr>
    </w:p>
    <w:bookmarkStart w:id="341" w:name="page342"/>
    <w:bookmarkEnd w:id="341"/>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1.28 “</w:t>
      </w:r>
      <w:r>
        <w:rPr>
          <w:rFonts w:ascii="Times New Roman" w:cs="Times New Roman" w:eastAsia="Times New Roman" w:hAnsi="Times New Roman"/>
          <w:sz w:val="21"/>
          <w:szCs w:val="21"/>
          <w:b w:val="1"/>
          <w:bCs w:val="1"/>
          <w:color w:val="auto"/>
        </w:rPr>
        <w:t>Company Platform IP</w:t>
      </w:r>
      <w:r>
        <w:rPr>
          <w:rFonts w:ascii="Times New Roman" w:cs="Times New Roman" w:eastAsia="Times New Roman" w:hAnsi="Times New Roman"/>
          <w:sz w:val="21"/>
          <w:szCs w:val="21"/>
          <w:color w:val="auto"/>
        </w:rPr>
        <w:t>” means the Intellectual Property Rights subsisting in the Company Platform Technology and the Company Platform Technology Inventions.</w:t>
      </w:r>
    </w:p>
    <w:p>
      <w:pPr>
        <w:spacing w:after="0" w:line="44"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Platform Technology</w:t>
      </w:r>
      <w:r>
        <w:rPr>
          <w:rFonts w:ascii="Times New Roman" w:cs="Times New Roman" w:eastAsia="Times New Roman" w:hAnsi="Times New Roman"/>
          <w:sz w:val="20"/>
          <w:szCs w:val="20"/>
          <w:color w:val="auto"/>
        </w:rPr>
        <w:t>” means [***].</w:t>
      </w:r>
    </w:p>
    <w:p>
      <w:pPr>
        <w:spacing w:after="0" w:line="119" w:lineRule="exact"/>
        <w:rPr>
          <w:sz w:val="20"/>
          <w:szCs w:val="20"/>
          <w:color w:val="auto"/>
        </w:rPr>
      </w:pPr>
    </w:p>
    <w:p>
      <w:pPr>
        <w:jc w:val="both"/>
        <w:ind w:firstLine="487"/>
        <w:spacing w:after="0" w:line="258" w:lineRule="auto"/>
        <w:rPr>
          <w:sz w:val="20"/>
          <w:szCs w:val="20"/>
          <w:color w:val="auto"/>
        </w:rPr>
      </w:pPr>
      <w:r>
        <w:rPr>
          <w:rFonts w:ascii="Times New Roman" w:cs="Times New Roman" w:eastAsia="Times New Roman" w:hAnsi="Times New Roman"/>
          <w:sz w:val="21"/>
          <w:szCs w:val="21"/>
          <w:color w:val="auto"/>
        </w:rPr>
        <w:t>1.30 “</w:t>
      </w:r>
      <w:r>
        <w:rPr>
          <w:rFonts w:ascii="Times New Roman" w:cs="Times New Roman" w:eastAsia="Times New Roman" w:hAnsi="Times New Roman"/>
          <w:sz w:val="21"/>
          <w:szCs w:val="21"/>
          <w:b w:val="1"/>
          <w:bCs w:val="1"/>
          <w:color w:val="auto"/>
        </w:rPr>
        <w:t>Company Platform Technology Inventions</w:t>
      </w:r>
      <w:r>
        <w:rPr>
          <w:rFonts w:ascii="Times New Roman" w:cs="Times New Roman" w:eastAsia="Times New Roman" w:hAnsi="Times New Roman"/>
          <w:sz w:val="21"/>
          <w:szCs w:val="21"/>
          <w:color w:val="auto"/>
        </w:rPr>
        <w:t>” means any inventions arising out of the Parties’ activities under this Agreement that relate specifically to the Company Platform Technology, including those that constitute improvements to the Company Platform Technology.</w:t>
      </w:r>
    </w:p>
    <w:p>
      <w:pPr>
        <w:spacing w:after="0" w:line="59" w:lineRule="exact"/>
        <w:rPr>
          <w:sz w:val="20"/>
          <w:szCs w:val="20"/>
          <w:color w:val="auto"/>
        </w:rPr>
      </w:pPr>
    </w:p>
    <w:p>
      <w:pPr>
        <w:jc w:val="both"/>
        <w:ind w:firstLine="487"/>
        <w:spacing w:after="0" w:line="256" w:lineRule="auto"/>
        <w:rPr>
          <w:sz w:val="20"/>
          <w:szCs w:val="20"/>
          <w:color w:val="auto"/>
        </w:rPr>
      </w:pPr>
      <w:r>
        <w:rPr>
          <w:rFonts w:ascii="Times New Roman" w:cs="Times New Roman" w:eastAsia="Times New Roman" w:hAnsi="Times New Roman"/>
          <w:sz w:val="21"/>
          <w:szCs w:val="21"/>
          <w:color w:val="auto"/>
        </w:rPr>
        <w:t>1.31 “</w:t>
      </w:r>
      <w:r>
        <w:rPr>
          <w:rFonts w:ascii="Times New Roman" w:cs="Times New Roman" w:eastAsia="Times New Roman" w:hAnsi="Times New Roman"/>
          <w:sz w:val="21"/>
          <w:szCs w:val="21"/>
          <w:b w:val="1"/>
          <w:bCs w:val="1"/>
          <w:color w:val="auto"/>
        </w:rPr>
        <w:t>Company Product</w:t>
      </w:r>
      <w:r>
        <w:rPr>
          <w:rFonts w:ascii="Times New Roman" w:cs="Times New Roman" w:eastAsia="Times New Roman" w:hAnsi="Times New Roman"/>
          <w:sz w:val="21"/>
          <w:szCs w:val="21"/>
          <w:color w:val="auto"/>
        </w:rPr>
        <w:t>” means a Terminated Product to which Company has an exclusive license pursuant to Section 12.7.3.</w:t>
      </w:r>
    </w:p>
    <w:p>
      <w:pPr>
        <w:spacing w:after="0" w:line="348"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1.32 “</w:t>
      </w:r>
      <w:r>
        <w:rPr>
          <w:rFonts w:ascii="Times New Roman" w:cs="Times New Roman" w:eastAsia="Times New Roman" w:hAnsi="Times New Roman"/>
          <w:sz w:val="21"/>
          <w:szCs w:val="21"/>
          <w:b w:val="1"/>
          <w:bCs w:val="1"/>
          <w:color w:val="auto"/>
        </w:rPr>
        <w:t>Competing Product</w:t>
      </w:r>
      <w:r>
        <w:rPr>
          <w:rFonts w:ascii="Times New Roman" w:cs="Times New Roman" w:eastAsia="Times New Roman" w:hAnsi="Times New Roman"/>
          <w:sz w:val="21"/>
          <w:szCs w:val="21"/>
          <w:color w:val="auto"/>
        </w:rPr>
        <w:t>” means any compound, or any product containing any compound, that binds to or modulates, or is designed to bind to or modulate, a Collaboration Target or any Variant of a Collaboration Target.</w:t>
      </w:r>
    </w:p>
    <w:p>
      <w:pPr>
        <w:spacing w:after="0" w:line="44"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1.33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Competing Transaction</w:t>
      </w:r>
      <w:r>
        <w:rPr>
          <w:rFonts w:ascii="Times New Roman" w:cs="Times New Roman" w:eastAsia="Times New Roman" w:hAnsi="Times New Roman"/>
          <w:sz w:val="20"/>
          <w:szCs w:val="20"/>
          <w:color w:val="auto"/>
        </w:rPr>
        <w:t>” has the meaning set forth in Section 4.6.</w:t>
      </w:r>
    </w:p>
    <w:p>
      <w:pPr>
        <w:spacing w:after="0" w:line="107"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1.34 “</w:t>
      </w:r>
      <w:r>
        <w:rPr>
          <w:rFonts w:ascii="Times New Roman" w:cs="Times New Roman" w:eastAsia="Times New Roman" w:hAnsi="Times New Roman"/>
          <w:sz w:val="21"/>
          <w:szCs w:val="21"/>
          <w:b w:val="1"/>
          <w:bCs w:val="1"/>
          <w:color w:val="auto"/>
        </w:rPr>
        <w:t>Complete Invention Disclosure</w:t>
      </w:r>
      <w:r>
        <w:rPr>
          <w:rFonts w:ascii="Times New Roman" w:cs="Times New Roman" w:eastAsia="Times New Roman" w:hAnsi="Times New Roman"/>
          <w:sz w:val="21"/>
          <w:szCs w:val="21"/>
          <w:color w:val="auto"/>
        </w:rPr>
        <w:t>” means a disclosure of the invention which includes in reasonable detail a description of [***].</w:t>
      </w:r>
    </w:p>
    <w:p>
      <w:pPr>
        <w:spacing w:after="0" w:line="44" w:lineRule="exact"/>
        <w:rPr>
          <w:sz w:val="20"/>
          <w:szCs w:val="20"/>
          <w:color w:val="auto"/>
        </w:rPr>
      </w:pPr>
    </w:p>
    <w:p>
      <w:pPr>
        <w:jc w:val="both"/>
        <w:ind w:firstLine="487"/>
        <w:spacing w:after="0" w:line="257" w:lineRule="auto"/>
        <w:rPr>
          <w:sz w:val="20"/>
          <w:szCs w:val="20"/>
          <w:color w:val="auto"/>
        </w:rPr>
      </w:pPr>
      <w:r>
        <w:rPr>
          <w:rFonts w:ascii="Times New Roman" w:cs="Times New Roman" w:eastAsia="Times New Roman" w:hAnsi="Times New Roman"/>
          <w:sz w:val="21"/>
          <w:szCs w:val="21"/>
          <w:color w:val="auto"/>
        </w:rPr>
        <w:t>1.35 “</w:t>
      </w:r>
      <w:r>
        <w:rPr>
          <w:rFonts w:ascii="Times New Roman" w:cs="Times New Roman" w:eastAsia="Times New Roman" w:hAnsi="Times New Roman"/>
          <w:sz w:val="21"/>
          <w:szCs w:val="21"/>
          <w:b w:val="1"/>
          <w:bCs w:val="1"/>
          <w:color w:val="auto"/>
        </w:rPr>
        <w:t>Compulsory License</w:t>
      </w:r>
      <w:r>
        <w:rPr>
          <w:rFonts w:ascii="Times New Roman" w:cs="Times New Roman" w:eastAsia="Times New Roman" w:hAnsi="Times New Roman"/>
          <w:sz w:val="21"/>
          <w:szCs w:val="21"/>
          <w:color w:val="auto"/>
        </w:rPr>
        <w:t>” means a compulsory license under Background IP, Collaboration IP or Foreground IP obtained by a Third Party through the order, decree, or grant of a competent Governmental Body or court, authorizing such Third Party to develop, make, have made, use, sell, offer to sell or import a Competing Product or a Product in the Field in any country in the Territory.</w:t>
      </w:r>
    </w:p>
    <w:p>
      <w:pPr>
        <w:spacing w:after="0" w:line="61" w:lineRule="exact"/>
        <w:rPr>
          <w:sz w:val="20"/>
          <w:szCs w:val="20"/>
          <w:color w:val="auto"/>
        </w:rPr>
      </w:pPr>
    </w:p>
    <w:p>
      <w:pPr>
        <w:jc w:val="both"/>
        <w:ind w:firstLine="487"/>
        <w:spacing w:after="0" w:line="265" w:lineRule="auto"/>
        <w:rPr>
          <w:sz w:val="20"/>
          <w:szCs w:val="20"/>
          <w:color w:val="auto"/>
        </w:rPr>
      </w:pPr>
      <w:r>
        <w:rPr>
          <w:rFonts w:ascii="Times New Roman" w:cs="Times New Roman" w:eastAsia="Times New Roman" w:hAnsi="Times New Roman"/>
          <w:sz w:val="20"/>
          <w:szCs w:val="20"/>
          <w:color w:val="auto"/>
        </w:rPr>
        <w:t>1.36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any technical, business or other information, including Know-How, provided by or on behalf of one Party (including its Affiliates) to the other Party (including its Affiliates) in connection with this Agreement, whether prior to, on or after the Effective Date, including information relating to (i) the terms of this Agreement, information relating to any Product (including any related regulatory documentation), (ii) any Development, Manufacture or Commercialization of any Product, or</w:t>
      </w:r>
    </w:p>
    <w:p>
      <w:pPr>
        <w:spacing w:after="0" w:line="3" w:lineRule="exact"/>
        <w:rPr>
          <w:sz w:val="20"/>
          <w:szCs w:val="20"/>
          <w:color w:val="auto"/>
        </w:rPr>
      </w:pPr>
    </w:p>
    <w:p>
      <w:pPr>
        <w:jc w:val="both"/>
        <w:ind w:firstLine="3"/>
        <w:spacing w:after="0" w:line="247" w:lineRule="auto"/>
        <w:tabs>
          <w:tab w:leader="none" w:pos="367"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scientific, regulatory or business affairs or other activities of either Party, that such Party discloses to the other Party under this Agreement, or otherwise becomes known to the other Party by virtue of this Agreement. For clarity, Intellectual Property Rights of a Party shall not be considered Confidential Information of another Party, and any “Confidential Information” as defined in confidentiality agreement between Merck KGaA, Darmstadt, Germany and Company [***] (“the </w:t>
      </w:r>
      <w:r>
        <w:rPr>
          <w:rFonts w:ascii="Times New Roman" w:cs="Times New Roman" w:eastAsia="Times New Roman" w:hAnsi="Times New Roman"/>
          <w:sz w:val="21"/>
          <w:szCs w:val="21"/>
          <w:b w:val="1"/>
          <w:bCs w:val="1"/>
          <w:color w:val="auto"/>
        </w:rPr>
        <w:t>Confidentiality Agreement</w:t>
      </w:r>
      <w:r>
        <w:rPr>
          <w:rFonts w:ascii="Times New Roman" w:cs="Times New Roman" w:eastAsia="Times New Roman" w:hAnsi="Times New Roman"/>
          <w:sz w:val="21"/>
          <w:szCs w:val="21"/>
          <w:color w:val="auto"/>
        </w:rPr>
        <w:t>”) shall be considered Confidential Information of the relevant Party for the purposes of this Agreement.</w:t>
      </w:r>
    </w:p>
    <w:p>
      <w:pPr>
        <w:spacing w:after="0" w:line="72" w:lineRule="exact"/>
        <w:rPr>
          <w:sz w:val="20"/>
          <w:szCs w:val="20"/>
          <w:color w:val="auto"/>
        </w:rPr>
      </w:pPr>
    </w:p>
    <w:p>
      <w:pPr>
        <w:jc w:val="both"/>
        <w:ind w:firstLine="487"/>
        <w:spacing w:after="0" w:line="252" w:lineRule="auto"/>
        <w:rPr>
          <w:sz w:val="20"/>
          <w:szCs w:val="20"/>
          <w:color w:val="auto"/>
        </w:rPr>
      </w:pPr>
      <w:r>
        <w:rPr>
          <w:rFonts w:ascii="Times New Roman" w:cs="Times New Roman" w:eastAsia="Times New Roman" w:hAnsi="Times New Roman"/>
          <w:sz w:val="21"/>
          <w:szCs w:val="21"/>
          <w:color w:val="auto"/>
        </w:rPr>
        <w:t>1.37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means, with respect to (a) Patent Rights, (b) Know-How or (c) Materials, that a Party or one of its Affiliates owns or has a license or sublicense to such right, item, or material (or in the case of material, has the right to physical possession of such material) and has the ability to grant a license or sublicense to, or assign its right, title and interest in and to, such right, item or material as provided for in this Agreement without violating the terms of any agreement or other arrangement with any Third Party, in particular such Third Party that has assigned or licensed such Patent Rights, Know-How or material to such Party (or any Affiliate of such Party).</w:t>
      </w:r>
    </w:p>
    <w:p>
      <w:pPr>
        <w:spacing w:after="0" w:line="64" w:lineRule="exact"/>
        <w:rPr>
          <w:sz w:val="20"/>
          <w:szCs w:val="20"/>
          <w:color w:val="auto"/>
        </w:rPr>
      </w:pPr>
    </w:p>
    <w:p>
      <w:pPr>
        <w:jc w:val="both"/>
        <w:ind w:firstLine="487"/>
        <w:spacing w:after="0" w:line="258" w:lineRule="auto"/>
        <w:rPr>
          <w:sz w:val="20"/>
          <w:szCs w:val="20"/>
          <w:color w:val="auto"/>
        </w:rPr>
      </w:pPr>
      <w:r>
        <w:rPr>
          <w:rFonts w:ascii="Times New Roman" w:cs="Times New Roman" w:eastAsia="Times New Roman" w:hAnsi="Times New Roman"/>
          <w:sz w:val="21"/>
          <w:szCs w:val="21"/>
          <w:color w:val="auto"/>
        </w:rPr>
        <w:t>1.38 “</w:t>
      </w:r>
      <w:r>
        <w:rPr>
          <w:rFonts w:ascii="Times New Roman" w:cs="Times New Roman" w:eastAsia="Times New Roman" w:hAnsi="Times New Roman"/>
          <w:sz w:val="21"/>
          <w:szCs w:val="21"/>
          <w:b w:val="1"/>
          <w:bCs w:val="1"/>
          <w:color w:val="auto"/>
        </w:rPr>
        <w:t>Cover</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Covering</w:t>
      </w:r>
      <w:r>
        <w:rPr>
          <w:rFonts w:ascii="Times New Roman" w:cs="Times New Roman" w:eastAsia="Times New Roman" w:hAnsi="Times New Roman"/>
          <w:sz w:val="21"/>
          <w:szCs w:val="21"/>
          <w:color w:val="auto"/>
        </w:rPr>
        <w:t>” means, with reference to a claim in a Patent or to a Valid Claim, as applicable, and a Target Compound or Product (including a composition of matter), that the research, Development, Manufacture or Commercialisation of that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61" w:right="339" w:bottom="1440" w:gutter="0" w:footer="0" w:header="0"/>
        </w:sectPr>
      </w:pPr>
    </w:p>
    <w:bookmarkStart w:id="342" w:name="page343"/>
    <w:bookmarkEnd w:id="342"/>
    <w:p>
      <w:pPr>
        <w:jc w:val="both"/>
        <w:spacing w:after="0" w:line="269" w:lineRule="auto"/>
        <w:rPr>
          <w:sz w:val="20"/>
          <w:szCs w:val="20"/>
          <w:color w:val="auto"/>
        </w:rPr>
      </w:pPr>
      <w:r>
        <w:rPr>
          <w:rFonts w:ascii="Times New Roman" w:cs="Times New Roman" w:eastAsia="Times New Roman" w:hAnsi="Times New Roman"/>
          <w:sz w:val="21"/>
          <w:szCs w:val="21"/>
          <w:color w:val="auto"/>
        </w:rPr>
        <w:t>Compound or Product would infringe such claim or Valid Claim in the country in which such activity occurs without a license thereto (or ownership thereof).</w:t>
      </w:r>
    </w:p>
    <w:p>
      <w:pPr>
        <w:spacing w:after="0" w:line="48" w:lineRule="exact"/>
        <w:rPr>
          <w:sz w:val="20"/>
          <w:szCs w:val="20"/>
          <w:color w:val="auto"/>
        </w:rPr>
      </w:pPr>
    </w:p>
    <w:p>
      <w:pPr>
        <w:jc w:val="both"/>
        <w:ind w:firstLine="487"/>
        <w:spacing w:after="0" w:line="257" w:lineRule="auto"/>
        <w:rPr>
          <w:sz w:val="20"/>
          <w:szCs w:val="20"/>
          <w:color w:val="auto"/>
        </w:rPr>
      </w:pPr>
      <w:r>
        <w:rPr>
          <w:rFonts w:ascii="Times New Roman" w:cs="Times New Roman" w:eastAsia="Times New Roman" w:hAnsi="Times New Roman"/>
          <w:sz w:val="21"/>
          <w:szCs w:val="21"/>
          <w:color w:val="auto"/>
        </w:rPr>
        <w:t>1.39 “</w:t>
      </w:r>
      <w:r>
        <w:rPr>
          <w:rFonts w:ascii="Times New Roman" w:cs="Times New Roman" w:eastAsia="Times New Roman" w:hAnsi="Times New Roman"/>
          <w:sz w:val="21"/>
          <w:szCs w:val="21"/>
          <w:b w:val="1"/>
          <w:bCs w:val="1"/>
          <w:color w:val="auto"/>
        </w:rPr>
        <w:t>Data Protection Law</w:t>
      </w:r>
      <w:r>
        <w:rPr>
          <w:rFonts w:ascii="Times New Roman" w:cs="Times New Roman" w:eastAsia="Times New Roman" w:hAnsi="Times New Roman"/>
          <w:sz w:val="21"/>
          <w:szCs w:val="21"/>
          <w:color w:val="auto"/>
        </w:rPr>
        <w:t>” means the Regulation (EU) 2016/679 of the European Parliament and of the Council of 27 April 2016 on the protection of natural persons with regard to the processing of personal data and on the free movement of such data, and repealing Directive 95/46/EC (General Data Protection Regulation) as well as, if applicable, any other data protection laws of the country in which Company is established and any data protection laws applicable to Company in connection with this Agreement.</w:t>
      </w:r>
    </w:p>
    <w:p>
      <w:pPr>
        <w:spacing w:after="0" w:line="61"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1.40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Transaction</w:t>
      </w:r>
      <w:r>
        <w:rPr>
          <w:rFonts w:ascii="Times New Roman" w:cs="Times New Roman" w:eastAsia="Times New Roman" w:hAnsi="Times New Roman"/>
          <w:sz w:val="20"/>
          <w:szCs w:val="20"/>
          <w:color w:val="auto"/>
        </w:rPr>
        <w:t>” has the meaning set forth in Section 4.6.</w:t>
      </w:r>
    </w:p>
    <w:p>
      <w:pPr>
        <w:spacing w:after="0" w:line="107" w:lineRule="exact"/>
        <w:rPr>
          <w:sz w:val="20"/>
          <w:szCs w:val="20"/>
          <w:color w:val="auto"/>
        </w:rPr>
      </w:pPr>
    </w:p>
    <w:p>
      <w:pPr>
        <w:jc w:val="both"/>
        <w:ind w:firstLine="487"/>
        <w:spacing w:after="0" w:line="286" w:lineRule="auto"/>
        <w:rPr>
          <w:sz w:val="20"/>
          <w:szCs w:val="20"/>
          <w:color w:val="auto"/>
        </w:rPr>
      </w:pPr>
      <w:r>
        <w:rPr>
          <w:rFonts w:ascii="Times New Roman" w:cs="Times New Roman" w:eastAsia="Times New Roman" w:hAnsi="Times New Roman"/>
          <w:sz w:val="21"/>
          <w:szCs w:val="21"/>
          <w:color w:val="auto"/>
        </w:rPr>
        <w:t>1.41 “</w:t>
      </w:r>
      <w:r>
        <w:rPr>
          <w:rFonts w:ascii="Times New Roman" w:cs="Times New Roman" w:eastAsia="Times New Roman" w:hAnsi="Times New Roman"/>
          <w:sz w:val="21"/>
          <w:szCs w:val="21"/>
          <w:b w:val="1"/>
          <w:bCs w:val="1"/>
          <w:color w:val="auto"/>
        </w:rPr>
        <w:t>Decision Point Criteria</w:t>
      </w:r>
      <w:r>
        <w:rPr>
          <w:rFonts w:ascii="Times New Roman" w:cs="Times New Roman" w:eastAsia="Times New Roman" w:hAnsi="Times New Roman"/>
          <w:sz w:val="21"/>
          <w:szCs w:val="21"/>
          <w:color w:val="auto"/>
        </w:rPr>
        <w:t>” means, for each Collaboration Target, each of the DPHO Criteria, DPLO Criteria and DPED Criteria, in each case as set out in the Research Plan for that Collaboration Target.</w:t>
      </w:r>
    </w:p>
    <w:p>
      <w:pPr>
        <w:spacing w:after="0" w:line="30" w:lineRule="exact"/>
        <w:rPr>
          <w:sz w:val="20"/>
          <w:szCs w:val="20"/>
          <w:color w:val="auto"/>
        </w:rPr>
      </w:pPr>
    </w:p>
    <w:p>
      <w:pPr>
        <w:jc w:val="both"/>
        <w:ind w:firstLine="487"/>
        <w:spacing w:after="0" w:line="250" w:lineRule="auto"/>
        <w:rPr>
          <w:sz w:val="20"/>
          <w:szCs w:val="20"/>
          <w:color w:val="auto"/>
        </w:rPr>
      </w:pPr>
      <w:r>
        <w:rPr>
          <w:rFonts w:ascii="Times New Roman" w:cs="Times New Roman" w:eastAsia="Times New Roman" w:hAnsi="Times New Roman"/>
          <w:sz w:val="21"/>
          <w:szCs w:val="21"/>
          <w:color w:val="auto"/>
        </w:rPr>
        <w:t>1.42 “</w:t>
      </w: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Develop</w:t>
      </w:r>
      <w:r>
        <w:rPr>
          <w:rFonts w:ascii="Times New Roman" w:cs="Times New Roman" w:eastAsia="Times New Roman" w:hAnsi="Times New Roman"/>
          <w:sz w:val="21"/>
          <w:szCs w:val="21"/>
          <w:color w:val="auto"/>
        </w:rPr>
        <w:t>” means, with respect to a Product, the performance of all pre-clinical and clinical development, including toxicology, pharmacology, test method development and stability testing, process development, formulation development, quality control development, statistical analysis, Clinical Trials (excluding Clinical Trials conducted after Regulatory Approval of an MAA for such Product), manufacturing and regulatory activities that are required to obtain Regulatory Approval of Product in the Territory under this Agreement, and interacting with Regulatory Authorities regarding the foregoing.</w:t>
      </w:r>
    </w:p>
    <w:p>
      <w:pPr>
        <w:spacing w:after="0" w:line="83"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1.43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Development Milestones</w:t>
      </w:r>
      <w:r>
        <w:rPr>
          <w:rFonts w:ascii="Times New Roman" w:cs="Times New Roman" w:eastAsia="Times New Roman" w:hAnsi="Times New Roman"/>
          <w:sz w:val="20"/>
          <w:szCs w:val="20"/>
          <w:color w:val="auto"/>
        </w:rPr>
        <w:t>” means those milestones mentioned in No. B1 to B3 in Section 7.2.1.</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1.44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Discovery Milestones</w:t>
      </w:r>
      <w:r>
        <w:rPr>
          <w:rFonts w:ascii="Times New Roman" w:cs="Times New Roman" w:eastAsia="Times New Roman" w:hAnsi="Times New Roman"/>
          <w:sz w:val="20"/>
          <w:szCs w:val="20"/>
          <w:color w:val="auto"/>
        </w:rPr>
        <w:t>” means those milestones mentioned in No. A1 to A3 in Section 7.2.1.</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1.45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DPED Criteria</w:t>
      </w:r>
      <w:r>
        <w:rPr>
          <w:rFonts w:ascii="Times New Roman" w:cs="Times New Roman" w:eastAsia="Times New Roman" w:hAnsi="Times New Roman"/>
          <w:sz w:val="20"/>
          <w:szCs w:val="20"/>
          <w:color w:val="auto"/>
        </w:rPr>
        <w:t>” means, with respect to each Collaboration Target, the set of criteria for [***].</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1.46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DPED Data Package</w:t>
      </w:r>
      <w:r>
        <w:rPr>
          <w:rFonts w:ascii="Times New Roman" w:cs="Times New Roman" w:eastAsia="Times New Roman" w:hAnsi="Times New Roman"/>
          <w:sz w:val="20"/>
          <w:szCs w:val="20"/>
          <w:color w:val="auto"/>
        </w:rPr>
        <w:t>” has the meaning set forth in Section 3.4.3.</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1.47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DPHO Criteria</w:t>
      </w:r>
      <w:r>
        <w:rPr>
          <w:rFonts w:ascii="Times New Roman" w:cs="Times New Roman" w:eastAsia="Times New Roman" w:hAnsi="Times New Roman"/>
          <w:sz w:val="20"/>
          <w:szCs w:val="20"/>
          <w:color w:val="auto"/>
        </w:rPr>
        <w:t>” means, with respect to each Collaboration Target, the set of criteria for [***].</w:t>
      </w:r>
    </w:p>
    <w:p>
      <w:pPr>
        <w:spacing w:after="0" w:line="119"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1.48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DPHO Data Package</w:t>
      </w:r>
      <w:r>
        <w:rPr>
          <w:rFonts w:ascii="Times New Roman" w:cs="Times New Roman" w:eastAsia="Times New Roman" w:hAnsi="Times New Roman"/>
          <w:sz w:val="20"/>
          <w:szCs w:val="20"/>
          <w:color w:val="auto"/>
        </w:rPr>
        <w:t>” has the meaning set forth in Section 3.4.1.</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1.49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DPLO Criteria</w:t>
      </w:r>
      <w:r>
        <w:rPr>
          <w:rFonts w:ascii="Times New Roman" w:cs="Times New Roman" w:eastAsia="Times New Roman" w:hAnsi="Times New Roman"/>
          <w:sz w:val="20"/>
          <w:szCs w:val="20"/>
          <w:color w:val="auto"/>
        </w:rPr>
        <w:t>” means, with respect to each Collaboration Target, the set of criteria for [***].</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1.50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DPLO Data Package</w:t>
      </w:r>
      <w:r>
        <w:rPr>
          <w:rFonts w:ascii="Times New Roman" w:cs="Times New Roman" w:eastAsia="Times New Roman" w:hAnsi="Times New Roman"/>
          <w:sz w:val="20"/>
          <w:szCs w:val="20"/>
          <w:color w:val="auto"/>
        </w:rPr>
        <w:t>” has the meaning set forth in Section 3.4.2.</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1.51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has the meaning set forth in the preamble.</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1.52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means the European Medicines Agency or any successor agency thereto.</w:t>
      </w:r>
    </w:p>
    <w:p>
      <w:pPr>
        <w:spacing w:after="0" w:line="119"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1.53 “</w:t>
      </w:r>
      <w:r>
        <w:rPr>
          <w:rFonts w:ascii="Times New Roman" w:cs="Times New Roman" w:eastAsia="Times New Roman" w:hAnsi="Times New Roman"/>
          <w:sz w:val="21"/>
          <w:szCs w:val="21"/>
          <w:b w:val="1"/>
          <w:bCs w:val="1"/>
          <w:color w:val="auto"/>
        </w:rPr>
        <w:t>European Commission</w:t>
      </w:r>
      <w:r>
        <w:rPr>
          <w:rFonts w:ascii="Times New Roman" w:cs="Times New Roman" w:eastAsia="Times New Roman" w:hAnsi="Times New Roman"/>
          <w:sz w:val="21"/>
          <w:szCs w:val="21"/>
          <w:color w:val="auto"/>
        </w:rPr>
        <w:t>” means the authority within the European Union that has the legal authority to grant Regulatory Approvals in the European Union based on input received from the EMA or other competent Regulatory Authorities.</w:t>
      </w:r>
    </w:p>
    <w:p>
      <w:pPr>
        <w:spacing w:after="0" w:line="44"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1.54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European Union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means the European Union, as may be redefined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65" w:right="339" w:bottom="1440" w:gutter="0" w:footer="0" w:header="0"/>
        </w:sectPr>
      </w:pPr>
    </w:p>
    <w:bookmarkStart w:id="343" w:name="page344"/>
    <w:bookmarkEnd w:id="343"/>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1.55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Matter Specialists</w:t>
      </w:r>
      <w:r>
        <w:rPr>
          <w:rFonts w:ascii="Times New Roman" w:cs="Times New Roman" w:eastAsia="Times New Roman" w:hAnsi="Times New Roman"/>
          <w:sz w:val="20"/>
          <w:szCs w:val="20"/>
          <w:color w:val="auto"/>
        </w:rPr>
        <w:t>” has the meaning set forth in Section 2.4.</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1.56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means the United States Food and Drug Administration or any successor agency thereto.</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1.57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Field</w:t>
      </w:r>
      <w:r>
        <w:rPr>
          <w:rFonts w:ascii="Times New Roman" w:cs="Times New Roman" w:eastAsia="Times New Roman" w:hAnsi="Times New Roman"/>
          <w:sz w:val="20"/>
          <w:szCs w:val="20"/>
          <w:color w:val="auto"/>
        </w:rPr>
        <w:t>” means all uses.</w:t>
      </w:r>
    </w:p>
    <w:p>
      <w:pPr>
        <w:spacing w:after="0" w:line="119" w:lineRule="exact"/>
        <w:rPr>
          <w:sz w:val="20"/>
          <w:szCs w:val="20"/>
          <w:color w:val="auto"/>
        </w:rPr>
      </w:pPr>
    </w:p>
    <w:p>
      <w:pPr>
        <w:jc w:val="both"/>
        <w:ind w:firstLine="487"/>
        <w:spacing w:after="0" w:line="250" w:lineRule="auto"/>
        <w:rPr>
          <w:sz w:val="20"/>
          <w:szCs w:val="20"/>
          <w:color w:val="auto"/>
        </w:rPr>
      </w:pPr>
      <w:r>
        <w:rPr>
          <w:rFonts w:ascii="Times New Roman" w:cs="Times New Roman" w:eastAsia="Times New Roman" w:hAnsi="Times New Roman"/>
          <w:sz w:val="21"/>
          <w:szCs w:val="21"/>
          <w:color w:val="auto"/>
        </w:rPr>
        <w:t>1.58 “</w:t>
      </w:r>
      <w:r>
        <w:rPr>
          <w:rFonts w:ascii="Times New Roman" w:cs="Times New Roman" w:eastAsia="Times New Roman" w:hAnsi="Times New Roman"/>
          <w:sz w:val="21"/>
          <w:szCs w:val="21"/>
          <w:b w:val="1"/>
          <w:bCs w:val="1"/>
          <w:color w:val="auto"/>
        </w:rPr>
        <w:t>First Commercial Sale</w:t>
      </w:r>
      <w:r>
        <w:rPr>
          <w:rFonts w:ascii="Times New Roman" w:cs="Times New Roman" w:eastAsia="Times New Roman" w:hAnsi="Times New Roman"/>
          <w:sz w:val="21"/>
          <w:szCs w:val="21"/>
          <w:color w:val="auto"/>
        </w:rPr>
        <w:t>” means the first sale or commercial transfer or disposition for value of a Product (or Company Product) to a third party, following the receipt of regulatory approval by the proper Governmental Body for the Product (or Company Product) in an applicable country of the Territory. For clarification, (i) in the event that pricing and/or reimbursement approval and/or listing by a Governmental Body are a necessary condition for commercialization in public and private markets, of any Product (or Company Product) in a given country of the Territory, then pricing and/or reimbursement approval and/or listing will be considered part of regulatory approval conditions in those specific affected countries of the Territory; and (ii) sales for clinical study purposes or compassionate, named patient or similar use will not constitute a First Commercial Sale.</w:t>
      </w:r>
    </w:p>
    <w:p>
      <w:pPr>
        <w:spacing w:after="0" w:line="70" w:lineRule="exact"/>
        <w:rPr>
          <w:sz w:val="20"/>
          <w:szCs w:val="20"/>
          <w:color w:val="auto"/>
        </w:rPr>
      </w:pPr>
    </w:p>
    <w:p>
      <w:pPr>
        <w:jc w:val="both"/>
        <w:ind w:firstLine="487"/>
        <w:spacing w:after="0" w:line="253" w:lineRule="auto"/>
        <w:rPr>
          <w:sz w:val="20"/>
          <w:szCs w:val="20"/>
          <w:color w:val="auto"/>
        </w:rPr>
      </w:pPr>
      <w:r>
        <w:rPr>
          <w:rFonts w:ascii="Times New Roman" w:cs="Times New Roman" w:eastAsia="Times New Roman" w:hAnsi="Times New Roman"/>
          <w:sz w:val="21"/>
          <w:szCs w:val="21"/>
          <w:color w:val="auto"/>
        </w:rPr>
        <w:t>1.59 “</w:t>
      </w:r>
      <w:r>
        <w:rPr>
          <w:rFonts w:ascii="Times New Roman" w:cs="Times New Roman" w:eastAsia="Times New Roman" w:hAnsi="Times New Roman"/>
          <w:sz w:val="21"/>
          <w:szCs w:val="21"/>
          <w:b w:val="1"/>
          <w:bCs w:val="1"/>
          <w:color w:val="auto"/>
        </w:rPr>
        <w:t>Generic Version</w:t>
      </w:r>
      <w:r>
        <w:rPr>
          <w:rFonts w:ascii="Times New Roman" w:cs="Times New Roman" w:eastAsia="Times New Roman" w:hAnsi="Times New Roman"/>
          <w:sz w:val="21"/>
          <w:szCs w:val="21"/>
          <w:color w:val="auto"/>
        </w:rPr>
        <w:t>” means, with respect to a Product, a product that is determined by the applicable Regulatory Authority or by Applicable Laws in the relevant country in the Territory to be “generic”, “similar”, “comparable”, “interchangeable”, “bioequivalent”, or “biosimilar” to such Product, where the approval of such product is based in whole or in part on the data submitted in respect of an application filed by or on behalf of Merck for Regulatory Approval of a Product.</w:t>
      </w:r>
    </w:p>
    <w:p>
      <w:pPr>
        <w:spacing w:after="0" w:line="78" w:lineRule="exact"/>
        <w:rPr>
          <w:sz w:val="20"/>
          <w:szCs w:val="20"/>
          <w:color w:val="auto"/>
        </w:rPr>
      </w:pPr>
    </w:p>
    <w:p>
      <w:pPr>
        <w:jc w:val="both"/>
        <w:ind w:firstLine="487"/>
        <w:spacing w:after="0" w:line="250" w:lineRule="auto"/>
        <w:rPr>
          <w:sz w:val="20"/>
          <w:szCs w:val="20"/>
          <w:color w:val="auto"/>
        </w:rPr>
      </w:pPr>
      <w:r>
        <w:rPr>
          <w:rFonts w:ascii="Times New Roman" w:cs="Times New Roman" w:eastAsia="Times New Roman" w:hAnsi="Times New Roman"/>
          <w:sz w:val="21"/>
          <w:szCs w:val="21"/>
          <w:color w:val="auto"/>
        </w:rPr>
        <w:t>1.60 “</w:t>
      </w:r>
      <w:r>
        <w:rPr>
          <w:rFonts w:ascii="Times New Roman" w:cs="Times New Roman" w:eastAsia="Times New Roman" w:hAnsi="Times New Roman"/>
          <w:sz w:val="21"/>
          <w:szCs w:val="21"/>
          <w:b w:val="1"/>
          <w:bCs w:val="1"/>
          <w:color w:val="auto"/>
        </w:rPr>
        <w:t>Governmental Body</w:t>
      </w:r>
      <w:r>
        <w:rPr>
          <w:rFonts w:ascii="Times New Roman" w:cs="Times New Roman" w:eastAsia="Times New Roman" w:hAnsi="Times New Roman"/>
          <w:sz w:val="21"/>
          <w:szCs w:val="21"/>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70"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1.61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Rules</w:t>
      </w:r>
      <w:r>
        <w:rPr>
          <w:rFonts w:ascii="Times New Roman" w:cs="Times New Roman" w:eastAsia="Times New Roman" w:hAnsi="Times New Roman"/>
          <w:sz w:val="20"/>
          <w:szCs w:val="20"/>
          <w:color w:val="auto"/>
        </w:rPr>
        <w:t>” has the meaning set forth in Section 14.2.</w:t>
      </w:r>
    </w:p>
    <w:p>
      <w:pPr>
        <w:spacing w:after="0" w:line="107" w:lineRule="exact"/>
        <w:rPr>
          <w:sz w:val="20"/>
          <w:szCs w:val="20"/>
          <w:color w:val="auto"/>
        </w:rPr>
      </w:pPr>
    </w:p>
    <w:p>
      <w:pPr>
        <w:jc w:val="both"/>
        <w:ind w:firstLine="487"/>
        <w:spacing w:after="0" w:line="257" w:lineRule="auto"/>
        <w:rPr>
          <w:sz w:val="20"/>
          <w:szCs w:val="20"/>
          <w:color w:val="auto"/>
        </w:rPr>
      </w:pPr>
      <w:r>
        <w:rPr>
          <w:rFonts w:ascii="Times New Roman" w:cs="Times New Roman" w:eastAsia="Times New Roman" w:hAnsi="Times New Roman"/>
          <w:sz w:val="21"/>
          <w:szCs w:val="21"/>
          <w:color w:val="auto"/>
        </w:rPr>
        <w:t>1.62 “</w:t>
      </w:r>
      <w:r>
        <w:rPr>
          <w:rFonts w:ascii="Times New Roman" w:cs="Times New Roman" w:eastAsia="Times New Roman" w:hAnsi="Times New Roman"/>
          <w:sz w:val="21"/>
          <w:szCs w:val="21"/>
          <w:b w:val="1"/>
          <w:bCs w:val="1"/>
          <w:color w:val="auto"/>
        </w:rPr>
        <w:t>IFRS</w:t>
      </w:r>
      <w:r>
        <w:rPr>
          <w:rFonts w:ascii="Times New Roman" w:cs="Times New Roman" w:eastAsia="Times New Roman" w:hAnsi="Times New Roman"/>
          <w:sz w:val="21"/>
          <w:szCs w:val="21"/>
          <w:color w:val="auto"/>
        </w:rPr>
        <w:t>” means the International Financial Reporting Standards, the set of accounting standards and interpretations and the framework in force on the Effective Date and adopted by the European Union as issued by the International Accounting Standards Board (“</w:t>
      </w:r>
      <w:r>
        <w:rPr>
          <w:rFonts w:ascii="Times New Roman" w:cs="Times New Roman" w:eastAsia="Times New Roman" w:hAnsi="Times New Roman"/>
          <w:sz w:val="21"/>
          <w:szCs w:val="21"/>
          <w:b w:val="1"/>
          <w:bCs w:val="1"/>
          <w:color w:val="auto"/>
        </w:rPr>
        <w:t>IASB</w:t>
      </w:r>
      <w:r>
        <w:rPr>
          <w:rFonts w:ascii="Times New Roman" w:cs="Times New Roman" w:eastAsia="Times New Roman" w:hAnsi="Times New Roman"/>
          <w:sz w:val="21"/>
          <w:szCs w:val="21"/>
          <w:color w:val="auto"/>
        </w:rPr>
        <w:t>”) and the International Financial Reporting Interpretations Committee (“</w:t>
      </w:r>
      <w:r>
        <w:rPr>
          <w:rFonts w:ascii="Times New Roman" w:cs="Times New Roman" w:eastAsia="Times New Roman" w:hAnsi="Times New Roman"/>
          <w:sz w:val="21"/>
          <w:szCs w:val="21"/>
          <w:b w:val="1"/>
          <w:bCs w:val="1"/>
          <w:color w:val="auto"/>
        </w:rPr>
        <w:t>IFRIC</w:t>
      </w:r>
      <w:r>
        <w:rPr>
          <w:rFonts w:ascii="Times New Roman" w:cs="Times New Roman" w:eastAsia="Times New Roman" w:hAnsi="Times New Roman"/>
          <w:sz w:val="21"/>
          <w:szCs w:val="21"/>
          <w:color w:val="auto"/>
        </w:rPr>
        <w:t>”), as such accounting standards may be amended from time to time.</w:t>
      </w:r>
    </w:p>
    <w:p>
      <w:pPr>
        <w:spacing w:after="0" w:line="61"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1.63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Improper Conduct</w:t>
      </w:r>
      <w:r>
        <w:rPr>
          <w:rFonts w:ascii="Times New Roman" w:cs="Times New Roman" w:eastAsia="Times New Roman" w:hAnsi="Times New Roman"/>
          <w:sz w:val="20"/>
          <w:szCs w:val="20"/>
          <w:color w:val="auto"/>
        </w:rPr>
        <w:t>” has the meaning set forth in Section 13.2.3.</w:t>
      </w:r>
    </w:p>
    <w:p>
      <w:pPr>
        <w:spacing w:after="0" w:line="107" w:lineRule="exact"/>
        <w:rPr>
          <w:sz w:val="20"/>
          <w:szCs w:val="20"/>
          <w:color w:val="auto"/>
        </w:rPr>
      </w:pPr>
    </w:p>
    <w:p>
      <w:pPr>
        <w:jc w:val="both"/>
        <w:ind w:firstLine="487"/>
        <w:spacing w:after="0" w:line="257" w:lineRule="auto"/>
        <w:rPr>
          <w:sz w:val="20"/>
          <w:szCs w:val="20"/>
          <w:color w:val="auto"/>
        </w:rPr>
      </w:pPr>
      <w:r>
        <w:rPr>
          <w:rFonts w:ascii="Times New Roman" w:cs="Times New Roman" w:eastAsia="Times New Roman" w:hAnsi="Times New Roman"/>
          <w:sz w:val="21"/>
          <w:szCs w:val="21"/>
          <w:color w:val="auto"/>
        </w:rPr>
        <w:t>1.64 “</w:t>
      </w:r>
      <w:r>
        <w:rPr>
          <w:rFonts w:ascii="Times New Roman" w:cs="Times New Roman" w:eastAsia="Times New Roman" w:hAnsi="Times New Roman"/>
          <w:sz w:val="21"/>
          <w:szCs w:val="21"/>
          <w:b w:val="1"/>
          <w:bCs w:val="1"/>
          <w:color w:val="auto"/>
        </w:rPr>
        <w:t>IND</w:t>
      </w:r>
      <w:r>
        <w:rPr>
          <w:rFonts w:ascii="Times New Roman" w:cs="Times New Roman" w:eastAsia="Times New Roman" w:hAnsi="Times New Roman"/>
          <w:sz w:val="21"/>
          <w:szCs w:val="21"/>
          <w:color w:val="auto"/>
        </w:rPr>
        <w:t>” means an investigational new drug application filed with the FDA or the equivalent application or filing filed with any equivalent agency or Governmental Body outside the United States (including any supra-national entity such as in the European Union) for approval to commence Clinical Trials in such jurisdiction, and including all regulations at 21 U.S. CFR § 312 et seq. and equivalent foreign regulations.</w:t>
      </w:r>
    </w:p>
    <w:p>
      <w:pPr>
        <w:spacing w:after="0" w:line="61"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1.65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Infringement</w:t>
      </w:r>
      <w:r>
        <w:rPr>
          <w:rFonts w:ascii="Times New Roman" w:cs="Times New Roman" w:eastAsia="Times New Roman" w:hAnsi="Times New Roman"/>
          <w:sz w:val="20"/>
          <w:szCs w:val="20"/>
          <w:color w:val="auto"/>
        </w:rPr>
        <w:t>” has the meaning set forth in Section 8.8.1.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60" w:right="339" w:bottom="1440" w:gutter="0" w:footer="0" w:header="0"/>
        </w:sectPr>
      </w:pPr>
    </w:p>
    <w:bookmarkStart w:id="344" w:name="page345"/>
    <w:bookmarkEnd w:id="344"/>
    <w:p>
      <w:pPr>
        <w:jc w:val="both"/>
        <w:ind w:firstLine="487"/>
        <w:spacing w:after="0" w:line="252" w:lineRule="auto"/>
        <w:rPr>
          <w:sz w:val="20"/>
          <w:szCs w:val="20"/>
          <w:color w:val="auto"/>
        </w:rPr>
      </w:pPr>
      <w:r>
        <w:rPr>
          <w:rFonts w:ascii="Times New Roman" w:cs="Times New Roman" w:eastAsia="Times New Roman" w:hAnsi="Times New Roman"/>
          <w:sz w:val="21"/>
          <w:szCs w:val="21"/>
          <w:color w:val="auto"/>
        </w:rPr>
        <w:t>1.66 “</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 means Patent Rights, rights to inventions, Know-How, trade or business names and works of authorship, copyright, service marks, trademarks, domain names, rights in trade dress or get-up, rights in goodwill or to sue for passing off, unfair competition rights, rights in designs, rights in computer software, database rights, topography rights (all whether capable of being patented or registered or not), moral rights, rights in proprietary information and any other intellectual property rights, in each case, whether registered or unregistered and including all registrations of, applications for registration of and renewals of such rights, and all similar or equivalent rights or forms of protection in any part of the world.</w:t>
      </w:r>
    </w:p>
    <w:p>
      <w:pPr>
        <w:spacing w:after="0" w:line="64"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1.67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Joint Steering Committee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JSC</w:t>
      </w:r>
      <w:r>
        <w:rPr>
          <w:rFonts w:ascii="Times New Roman" w:cs="Times New Roman" w:eastAsia="Times New Roman" w:hAnsi="Times New Roman"/>
          <w:sz w:val="20"/>
          <w:szCs w:val="20"/>
          <w:color w:val="auto"/>
        </w:rPr>
        <w:t>” has the meaning set forth in Section 2.1.1.</w:t>
      </w:r>
    </w:p>
    <w:p>
      <w:pPr>
        <w:spacing w:after="0" w:line="107" w:lineRule="exact"/>
        <w:rPr>
          <w:sz w:val="20"/>
          <w:szCs w:val="20"/>
          <w:color w:val="auto"/>
        </w:rPr>
      </w:pPr>
    </w:p>
    <w:p>
      <w:pPr>
        <w:jc w:val="both"/>
        <w:ind w:firstLine="487"/>
        <w:spacing w:after="0" w:line="248" w:lineRule="auto"/>
        <w:rPr>
          <w:sz w:val="20"/>
          <w:szCs w:val="20"/>
          <w:color w:val="auto"/>
        </w:rPr>
      </w:pPr>
      <w:r>
        <w:rPr>
          <w:rFonts w:ascii="Times New Roman" w:cs="Times New Roman" w:eastAsia="Times New Roman" w:hAnsi="Times New Roman"/>
          <w:sz w:val="21"/>
          <w:szCs w:val="21"/>
          <w:color w:val="auto"/>
        </w:rPr>
        <w:t>1.68 “</w:t>
      </w:r>
      <w:r>
        <w:rPr>
          <w:rFonts w:ascii="Times New Roman" w:cs="Times New Roman" w:eastAsia="Times New Roman" w:hAnsi="Times New Roman"/>
          <w:sz w:val="21"/>
          <w:szCs w:val="21"/>
          <w:b w:val="1"/>
          <w:bCs w:val="1"/>
          <w:color w:val="auto"/>
        </w:rPr>
        <w:t>Know-How</w:t>
      </w:r>
      <w:r>
        <w:rPr>
          <w:rFonts w:ascii="Times New Roman" w:cs="Times New Roman" w:eastAsia="Times New Roman" w:hAnsi="Times New Roman"/>
          <w:sz w:val="21"/>
          <w:szCs w:val="21"/>
          <w:color w:val="auto"/>
        </w:rPr>
        <w:t>” means any (a) scientific or technical information, results and data of any type whatsoever, in any tangible or intangible form whatsoever, that is not in the public domain or otherwise publicly known, including discoveries, inventions, trade secrets, devices, databases, practices, protocols, regulatory filings, methods, processes (including manufacturing processes, specification and techniques), techniques, concepts, ideas, specifications, formulations, formulae, data (including pharmacological, biological, chemical, toxicological, clinical and analytical information, quality control, trial and stability data), case reports forms, medical records, data analyses, reports, studies and procedures, designs for experiments and tests and results of experimentation and testing (including results of research or development), summaries and information contained in submissions to and information from regulatory authorities, results and data, whether or not patentable, all to the extent not claimed or disclosed in a patent or patent application; and (b) compositions of matter, assays, animal models and physical, biological or chemical material. The fact that an item is known to the public shall not be taken to exclude the possibility that a compilation including the item, and/or a development relating to the item, is (and remains) not known to the public. Know-How includes any rights including copyright, database or design rights protecting such Know-How. Know-How excludes Patent Rights.</w:t>
      </w:r>
    </w:p>
    <w:p>
      <w:pPr>
        <w:spacing w:after="0" w:line="87"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1.69 “</w:t>
      </w:r>
      <w:r>
        <w:rPr>
          <w:rFonts w:ascii="Times New Roman" w:cs="Times New Roman" w:eastAsia="Times New Roman" w:hAnsi="Times New Roman"/>
          <w:sz w:val="21"/>
          <w:szCs w:val="21"/>
          <w:b w:val="1"/>
          <w:bCs w:val="1"/>
          <w:color w:val="auto"/>
        </w:rPr>
        <w:t>Knowledge</w:t>
      </w:r>
      <w:r>
        <w:rPr>
          <w:rFonts w:ascii="Times New Roman" w:cs="Times New Roman" w:eastAsia="Times New Roman" w:hAnsi="Times New Roman"/>
          <w:sz w:val="21"/>
          <w:szCs w:val="21"/>
          <w:color w:val="auto"/>
        </w:rPr>
        <w:t>” means, with respect to a matter that is the subject of a given representation, or warranty of Company, the knowledge, information or belief of [***]. “</w:t>
      </w:r>
      <w:r>
        <w:rPr>
          <w:rFonts w:ascii="Times New Roman" w:cs="Times New Roman" w:eastAsia="Times New Roman" w:hAnsi="Times New Roman"/>
          <w:sz w:val="21"/>
          <w:szCs w:val="21"/>
          <w:b w:val="1"/>
          <w:bCs w:val="1"/>
          <w:color w:val="auto"/>
        </w:rPr>
        <w:t>Knowingly</w:t>
      </w:r>
      <w:r>
        <w:rPr>
          <w:rFonts w:ascii="Times New Roman" w:cs="Times New Roman" w:eastAsia="Times New Roman" w:hAnsi="Times New Roman"/>
          <w:sz w:val="21"/>
          <w:szCs w:val="21"/>
          <w:color w:val="auto"/>
        </w:rPr>
        <w:t>” means with Knowledge.</w:t>
      </w:r>
    </w:p>
    <w:p>
      <w:pPr>
        <w:spacing w:after="0" w:line="44"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1.70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Company Background IP</w:t>
      </w:r>
      <w:r>
        <w:rPr>
          <w:rFonts w:ascii="Times New Roman" w:cs="Times New Roman" w:eastAsia="Times New Roman" w:hAnsi="Times New Roman"/>
          <w:sz w:val="20"/>
          <w:szCs w:val="20"/>
          <w:color w:val="auto"/>
        </w:rPr>
        <w:t>” has the meaning set forth in Section 4.1.</w:t>
      </w:r>
    </w:p>
    <w:p>
      <w:pPr>
        <w:spacing w:after="0" w:line="107" w:lineRule="exact"/>
        <w:rPr>
          <w:sz w:val="20"/>
          <w:szCs w:val="20"/>
          <w:color w:val="auto"/>
        </w:rPr>
      </w:pPr>
    </w:p>
    <w:p>
      <w:pPr>
        <w:jc w:val="both"/>
        <w:ind w:firstLine="487"/>
        <w:spacing w:after="0" w:line="257" w:lineRule="auto"/>
        <w:rPr>
          <w:sz w:val="20"/>
          <w:szCs w:val="20"/>
          <w:color w:val="auto"/>
        </w:rPr>
      </w:pPr>
      <w:r>
        <w:rPr>
          <w:rFonts w:ascii="Times New Roman" w:cs="Times New Roman" w:eastAsia="Times New Roman" w:hAnsi="Times New Roman"/>
          <w:sz w:val="21"/>
          <w:szCs w:val="21"/>
          <w:color w:val="auto"/>
        </w:rPr>
        <w:t>1.71 “</w:t>
      </w:r>
      <w:r>
        <w:rPr>
          <w:rFonts w:ascii="Times New Roman" w:cs="Times New Roman" w:eastAsia="Times New Roman" w:hAnsi="Times New Roman"/>
          <w:sz w:val="21"/>
          <w:szCs w:val="21"/>
          <w:b w:val="1"/>
          <w:bCs w:val="1"/>
          <w:color w:val="auto"/>
        </w:rPr>
        <w:t>MAA</w:t>
      </w:r>
      <w:r>
        <w:rPr>
          <w:rFonts w:ascii="Times New Roman" w:cs="Times New Roman" w:eastAsia="Times New Roman" w:hAnsi="Times New Roman"/>
          <w:sz w:val="21"/>
          <w:szCs w:val="21"/>
          <w:color w:val="auto"/>
        </w:rPr>
        <w:t>” means a Marketing Authorization Application submitted pursuant to the requirements of the FDA, as more fully defined in 21 U.S. CFR§ 314.3 et seq., a Biologics License Application submitted pursuant to the requirements of the FDA, as more fully defined in 21 U.S. CFR § 601, and any equivalent application submitted in any country in the Territory, including all additions, deletions or supplements thereto, and as any and all such requirements may be amended, or supplanted, at any time.</w:t>
      </w:r>
    </w:p>
    <w:p>
      <w:pPr>
        <w:spacing w:after="0" w:line="61" w:lineRule="exact"/>
        <w:rPr>
          <w:sz w:val="20"/>
          <w:szCs w:val="20"/>
          <w:color w:val="auto"/>
        </w:rPr>
      </w:pPr>
    </w:p>
    <w:p>
      <w:pPr>
        <w:jc w:val="both"/>
        <w:ind w:firstLine="487"/>
        <w:spacing w:after="0" w:line="258" w:lineRule="auto"/>
        <w:rPr>
          <w:sz w:val="20"/>
          <w:szCs w:val="20"/>
          <w:color w:val="auto"/>
        </w:rPr>
      </w:pPr>
      <w:r>
        <w:rPr>
          <w:rFonts w:ascii="Times New Roman" w:cs="Times New Roman" w:eastAsia="Times New Roman" w:hAnsi="Times New Roman"/>
          <w:sz w:val="21"/>
          <w:szCs w:val="21"/>
          <w:color w:val="auto"/>
        </w:rPr>
        <w:t>1.72 “</w:t>
      </w:r>
      <w:r>
        <w:rPr>
          <w:rFonts w:ascii="Times New Roman" w:cs="Times New Roman" w:eastAsia="Times New Roman" w:hAnsi="Times New Roman"/>
          <w:sz w:val="21"/>
          <w:szCs w:val="21"/>
          <w:b w:val="1"/>
          <w:bCs w:val="1"/>
          <w:color w:val="auto"/>
        </w:rPr>
        <w:t>Materials</w:t>
      </w:r>
      <w:r>
        <w:rPr>
          <w:rFonts w:ascii="Times New Roman" w:cs="Times New Roman" w:eastAsia="Times New Roman" w:hAnsi="Times New Roman"/>
          <w:sz w:val="21"/>
          <w:szCs w:val="21"/>
          <w:color w:val="auto"/>
        </w:rPr>
        <w:t>” means all chemical, biological or physical materials, compositions of matter and assays that are Controlled by Company or any of its Affiliates, as of the Effective Date or at any time thereafter during the Term, and that are necessary in the research, Development, manufacture, use or Commercialization of a Target Compound or a Product.</w:t>
      </w:r>
    </w:p>
    <w:p>
      <w:pPr>
        <w:spacing w:after="0" w:line="59"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1.73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Merck</w:t>
      </w:r>
      <w:r>
        <w:rPr>
          <w:rFonts w:ascii="Times New Roman" w:cs="Times New Roman" w:eastAsia="Times New Roman" w:hAnsi="Times New Roman"/>
          <w:sz w:val="20"/>
          <w:szCs w:val="20"/>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60" w:right="339" w:bottom="1440" w:gutter="0" w:footer="0" w:header="0"/>
        </w:sectPr>
      </w:pPr>
    </w:p>
    <w:bookmarkStart w:id="345" w:name="page346"/>
    <w:bookmarkEnd w:id="345"/>
    <w:p>
      <w:pPr>
        <w:jc w:val="both"/>
        <w:ind w:firstLine="487"/>
        <w:spacing w:after="0" w:line="258" w:lineRule="auto"/>
        <w:rPr>
          <w:sz w:val="20"/>
          <w:szCs w:val="20"/>
          <w:color w:val="auto"/>
        </w:rPr>
      </w:pPr>
      <w:r>
        <w:rPr>
          <w:rFonts w:ascii="Times New Roman" w:cs="Times New Roman" w:eastAsia="Times New Roman" w:hAnsi="Times New Roman"/>
          <w:sz w:val="21"/>
          <w:szCs w:val="21"/>
          <w:color w:val="auto"/>
        </w:rPr>
        <w:t>1.74 “</w:t>
      </w:r>
      <w:r>
        <w:rPr>
          <w:rFonts w:ascii="Times New Roman" w:cs="Times New Roman" w:eastAsia="Times New Roman" w:hAnsi="Times New Roman"/>
          <w:sz w:val="21"/>
          <w:szCs w:val="21"/>
          <w:b w:val="1"/>
          <w:bCs w:val="1"/>
          <w:color w:val="auto"/>
        </w:rPr>
        <w:t>Merck Background IP</w:t>
      </w:r>
      <w:r>
        <w:rPr>
          <w:rFonts w:ascii="Times New Roman" w:cs="Times New Roman" w:eastAsia="Times New Roman" w:hAnsi="Times New Roman"/>
          <w:sz w:val="21"/>
          <w:szCs w:val="21"/>
          <w:color w:val="auto"/>
        </w:rPr>
        <w:t>” means any and all Merck’s Intellectual Property Rights and Know How that Merck either: (i) owned, controlled, or had rights with respect to prior to the Effective Date necessary to, including discover, research, develop, make, have made, use, offer for sale, sell, have sold, commercialize, import and export Target Compounds.</w:t>
      </w:r>
    </w:p>
    <w:p>
      <w:pPr>
        <w:spacing w:after="0" w:line="72"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1.75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Merck Foreground IP</w:t>
      </w:r>
      <w:r>
        <w:rPr>
          <w:rFonts w:ascii="Times New Roman" w:cs="Times New Roman" w:eastAsia="Times New Roman" w:hAnsi="Times New Roman"/>
          <w:sz w:val="20"/>
          <w:szCs w:val="20"/>
          <w:color w:val="auto"/>
        </w:rPr>
        <w:t>” has the meaning set forth in Section 8.3.</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1.76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Merck Indemnitees</w:t>
      </w:r>
      <w:r>
        <w:rPr>
          <w:rFonts w:ascii="Times New Roman" w:cs="Times New Roman" w:eastAsia="Times New Roman" w:hAnsi="Times New Roman"/>
          <w:sz w:val="20"/>
          <w:szCs w:val="20"/>
          <w:color w:val="auto"/>
        </w:rPr>
        <w:t>” has the meaning set forth in Section 11.2.</w:t>
      </w:r>
    </w:p>
    <w:p>
      <w:pPr>
        <w:spacing w:after="0" w:line="107"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 xml:space="preserve">1.77 </w:t>
      </w:r>
      <w:r>
        <w:rPr>
          <w:rFonts w:ascii="Times New Roman" w:cs="Times New Roman" w:eastAsia="Times New Roman" w:hAnsi="Times New Roman"/>
          <w:sz w:val="21"/>
          <w:szCs w:val="21"/>
          <w:b w:val="1"/>
          <w:bCs w:val="1"/>
          <w:color w:val="auto"/>
        </w:rPr>
        <w:t>“Milestones</w:t>
      </w:r>
      <w:r>
        <w:rPr>
          <w:rFonts w:ascii="Times New Roman" w:cs="Times New Roman" w:eastAsia="Times New Roman" w:hAnsi="Times New Roman"/>
          <w:sz w:val="21"/>
          <w:szCs w:val="21"/>
          <w:color w:val="auto"/>
        </w:rPr>
        <w:t>” means, collectively, the Discovery Milestones, the Development Milestones, the Sales Milestones and the Commercial Milestones.</w:t>
      </w:r>
    </w:p>
    <w:p>
      <w:pPr>
        <w:spacing w:after="0" w:line="44" w:lineRule="exact"/>
        <w:rPr>
          <w:sz w:val="20"/>
          <w:szCs w:val="20"/>
          <w:color w:val="auto"/>
        </w:rPr>
      </w:pPr>
    </w:p>
    <w:p>
      <w:pPr>
        <w:jc w:val="both"/>
        <w:ind w:firstLine="487"/>
        <w:spacing w:after="0" w:line="254" w:lineRule="auto"/>
        <w:rPr>
          <w:sz w:val="20"/>
          <w:szCs w:val="20"/>
          <w:color w:val="auto"/>
        </w:rPr>
      </w:pPr>
      <w:r>
        <w:rPr>
          <w:rFonts w:ascii="Times New Roman" w:cs="Times New Roman" w:eastAsia="Times New Roman" w:hAnsi="Times New Roman"/>
          <w:sz w:val="21"/>
          <w:szCs w:val="21"/>
          <w:color w:val="auto"/>
        </w:rPr>
        <w:t>1.78 “</w:t>
      </w:r>
      <w:r>
        <w:rPr>
          <w:rFonts w:ascii="Times New Roman" w:cs="Times New Roman" w:eastAsia="Times New Roman" w:hAnsi="Times New Roman"/>
          <w:sz w:val="21"/>
          <w:szCs w:val="21"/>
          <w:b w:val="1"/>
          <w:bCs w:val="1"/>
          <w:color w:val="auto"/>
        </w:rPr>
        <w:t>Net Sales</w:t>
      </w:r>
      <w:r>
        <w:rPr>
          <w:rFonts w:ascii="Times New Roman" w:cs="Times New Roman" w:eastAsia="Times New Roman" w:hAnsi="Times New Roman"/>
          <w:sz w:val="21"/>
          <w:szCs w:val="21"/>
          <w:color w:val="auto"/>
        </w:rPr>
        <w:t>” means, with respect to any Product or Company Product, the gross amount invoiced by or on behalf of Merck (for a Product) or Company (for a Company Product), or any of its Affiliates, licensees or sublicensees, in all tiers, for the Product to independent or unaffiliated Third Party purchasers, less the following deductions with respect to the sale of such Product that are either included in the billing as a line item as part of the gross amount invoiced, or otherwise documented as a deduction in accordance with IFRS to be specifically attributable to actual sales of such Product:</w:t>
      </w:r>
    </w:p>
    <w:p>
      <w:pPr>
        <w:spacing w:after="0" w:line="67" w:lineRule="exact"/>
        <w:rPr>
          <w:sz w:val="20"/>
          <w:szCs w:val="20"/>
          <w:color w:val="auto"/>
        </w:rPr>
      </w:pPr>
    </w:p>
    <w:p>
      <w:pPr>
        <w:ind w:left="980" w:hanging="490"/>
        <w:spacing w:after="0"/>
        <w:tabs>
          <w:tab w:leader="none" w:pos="98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ind w:left="980" w:hanging="490"/>
        <w:spacing w:after="0"/>
        <w:tabs>
          <w:tab w:leader="none" w:pos="98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19" w:lineRule="exact"/>
        <w:rPr>
          <w:rFonts w:ascii="Times New Roman" w:cs="Times New Roman" w:eastAsia="Times New Roman" w:hAnsi="Times New Roman"/>
          <w:sz w:val="21"/>
          <w:szCs w:val="21"/>
          <w:color w:val="auto"/>
        </w:rPr>
      </w:pPr>
    </w:p>
    <w:p>
      <w:pPr>
        <w:ind w:left="980" w:hanging="490"/>
        <w:spacing w:after="0"/>
        <w:tabs>
          <w:tab w:leader="none" w:pos="98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ind w:left="980" w:hanging="490"/>
        <w:spacing w:after="0"/>
        <w:tabs>
          <w:tab w:leader="none" w:pos="98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ind w:left="980" w:hanging="490"/>
        <w:spacing w:after="0"/>
        <w:tabs>
          <w:tab w:leader="none" w:pos="98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ind w:left="960" w:hanging="470"/>
        <w:spacing w:after="0"/>
        <w:tabs>
          <w:tab w:leader="none" w:pos="96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ind w:left="980" w:hanging="490"/>
        <w:spacing w:after="0"/>
        <w:tabs>
          <w:tab w:leader="none" w:pos="98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19" w:lineRule="exact"/>
        <w:rPr>
          <w:sz w:val="20"/>
          <w:szCs w:val="20"/>
          <w:color w:val="auto"/>
        </w:rPr>
      </w:pPr>
    </w:p>
    <w:p>
      <w:pPr>
        <w:jc w:val="both"/>
        <w:ind w:firstLine="487"/>
        <w:spacing w:after="0" w:line="247" w:lineRule="auto"/>
        <w:rPr>
          <w:sz w:val="20"/>
          <w:szCs w:val="20"/>
          <w:color w:val="auto"/>
        </w:rPr>
      </w:pPr>
      <w:r>
        <w:rPr>
          <w:rFonts w:ascii="Times New Roman" w:cs="Times New Roman" w:eastAsia="Times New Roman" w:hAnsi="Times New Roman"/>
          <w:sz w:val="21"/>
          <w:szCs w:val="21"/>
          <w:color w:val="auto"/>
        </w:rPr>
        <w:t>In the event that the Product is sold as a Combination Product, the Net Sales will be calculated on a country-by-country basis by multiplying the Net Sales of the Combination Product by the fraction, A/(A+B) where A is the weighted (by sales volume) average sale price in the relevant country of the Product containing the Target Compound as the sole active ingredient in finished form, and B is the weighted average sale price (by sales volume) in that country of the product(s) containing the other component(s) as the sole active ingredient(s) in finished form. Regarding prices comprised in the weighted average price when sold separately referred to above, if these are available for different dosages from the dosages of Target Compound and other active ingredient components that are included in the Combination Product, then Merck (for a Product) or Company (for a Company Product) shall be entitled to make a proportional adjustment to such prices in calculating the Net Sales of the Combination Product. If the weighted average sale price cannot be determined for the Product or other product(s) containing the single Target Compound or component(s), the calculation of Net Sales for Combination Products will be [***].</w:t>
      </w:r>
    </w:p>
    <w:p>
      <w:pPr>
        <w:spacing w:after="0" w:line="76" w:lineRule="exact"/>
        <w:rPr>
          <w:sz w:val="20"/>
          <w:szCs w:val="20"/>
          <w:color w:val="auto"/>
        </w:rPr>
      </w:pPr>
    </w:p>
    <w:p>
      <w:pPr>
        <w:jc w:val="both"/>
        <w:ind w:firstLine="487"/>
        <w:spacing w:after="0" w:line="254" w:lineRule="auto"/>
        <w:rPr>
          <w:sz w:val="20"/>
          <w:szCs w:val="20"/>
          <w:color w:val="auto"/>
        </w:rPr>
      </w:pPr>
      <w:r>
        <w:rPr>
          <w:rFonts w:ascii="Times New Roman" w:cs="Times New Roman" w:eastAsia="Times New Roman" w:hAnsi="Times New Roman"/>
          <w:sz w:val="21"/>
          <w:szCs w:val="21"/>
          <w:color w:val="auto"/>
        </w:rPr>
        <w:t>In the event a Product is “bundled” for sale together with one or more other products in a country (a “</w:t>
      </w:r>
      <w:r>
        <w:rPr>
          <w:rFonts w:ascii="Times New Roman" w:cs="Times New Roman" w:eastAsia="Times New Roman" w:hAnsi="Times New Roman"/>
          <w:sz w:val="21"/>
          <w:szCs w:val="21"/>
          <w:b w:val="1"/>
          <w:bCs w:val="1"/>
          <w:color w:val="auto"/>
        </w:rPr>
        <w:t>Product Bundle</w:t>
      </w:r>
      <w:r>
        <w:rPr>
          <w:rFonts w:ascii="Times New Roman" w:cs="Times New Roman" w:eastAsia="Times New Roman" w:hAnsi="Times New Roman"/>
          <w:sz w:val="21"/>
          <w:szCs w:val="21"/>
          <w:color w:val="auto"/>
        </w:rPr>
        <w:t>”), then Net Sales for such Product shall be determined on a country-by-country basis by multiplying the Net Sales of the various products combined in the Product Bundle by the fraction, A/(A+B) where A is the weighted (by sales volume) average sale price in the relevant country of the Product if sold individually, and B is the weighted average sale price (by sales volume) in that country of the product(s) if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60" w:right="339" w:bottom="1440" w:gutter="0" w:footer="0" w:header="0"/>
        </w:sectPr>
      </w:pPr>
    </w:p>
    <w:bookmarkStart w:id="346" w:name="page347"/>
    <w:bookmarkEnd w:id="346"/>
    <w:p>
      <w:pPr>
        <w:jc w:val="both"/>
        <w:spacing w:after="0" w:line="269" w:lineRule="auto"/>
        <w:rPr>
          <w:sz w:val="20"/>
          <w:szCs w:val="20"/>
          <w:color w:val="auto"/>
        </w:rPr>
      </w:pPr>
      <w:r>
        <w:rPr>
          <w:rFonts w:ascii="Times New Roman" w:cs="Times New Roman" w:eastAsia="Times New Roman" w:hAnsi="Times New Roman"/>
          <w:sz w:val="21"/>
          <w:szCs w:val="21"/>
          <w:color w:val="auto"/>
        </w:rPr>
        <w:t>individually. If the weighted average sale price cannot be determined for the Product or other product(s) or component(s), the calculation of Net Sales for a Product being part of a Product Bundle will be [***].</w:t>
      </w:r>
    </w:p>
    <w:p>
      <w:pPr>
        <w:spacing w:after="0" w:line="52" w:lineRule="exact"/>
        <w:rPr>
          <w:sz w:val="20"/>
          <w:szCs w:val="20"/>
          <w:color w:val="auto"/>
        </w:rPr>
      </w:pPr>
    </w:p>
    <w:p>
      <w:pPr>
        <w:jc w:val="both"/>
        <w:ind w:firstLine="487"/>
        <w:spacing w:after="0" w:line="255" w:lineRule="auto"/>
        <w:rPr>
          <w:sz w:val="20"/>
          <w:szCs w:val="20"/>
          <w:color w:val="auto"/>
        </w:rPr>
      </w:pPr>
      <w:r>
        <w:rPr>
          <w:rFonts w:ascii="Times New Roman" w:cs="Times New Roman" w:eastAsia="Times New Roman" w:hAnsi="Times New Roman"/>
          <w:sz w:val="21"/>
          <w:szCs w:val="21"/>
          <w:color w:val="auto"/>
        </w:rPr>
        <w:t>For clarification, sale of Products or Company Products by a Party, its Affiliates, licensees or sublicensees to another of these entities for resale by such entity to a Third Party shall not be deemed a sale for purposes of this definition of “Net Sales”. Further, transfers or dispositions of the Products: [***]</w:t>
      </w:r>
    </w:p>
    <w:p>
      <w:pPr>
        <w:ind w:left="500"/>
        <w:spacing w:after="0"/>
        <w:rPr>
          <w:sz w:val="20"/>
          <w:szCs w:val="20"/>
          <w:color w:val="auto"/>
        </w:rPr>
      </w:pPr>
      <w:r>
        <w:rPr>
          <w:rFonts w:ascii="Times New Roman" w:cs="Times New Roman" w:eastAsia="Times New Roman" w:hAnsi="Times New Roman"/>
          <w:sz w:val="21"/>
          <w:szCs w:val="21"/>
          <w:color w:val="auto"/>
        </w:rPr>
        <w:t>shall not, in each case, be deemed sales of such Products for purposes of this definition of “Net Sales”.</w:t>
      </w:r>
    </w:p>
    <w:p>
      <w:pPr>
        <w:spacing w:after="0" w:line="81"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1.79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Sales Payment</w:t>
      </w:r>
      <w:r>
        <w:rPr>
          <w:rFonts w:ascii="Times New Roman" w:cs="Times New Roman" w:eastAsia="Times New Roman" w:hAnsi="Times New Roman"/>
          <w:sz w:val="20"/>
          <w:szCs w:val="20"/>
          <w:color w:val="auto"/>
        </w:rPr>
        <w:t>” has the meaning set forth in Section 7.4.</w:t>
      </w:r>
    </w:p>
    <w:p>
      <w:pPr>
        <w:spacing w:after="0" w:line="107" w:lineRule="exact"/>
        <w:rPr>
          <w:sz w:val="20"/>
          <w:szCs w:val="20"/>
          <w:color w:val="auto"/>
        </w:rPr>
      </w:pPr>
    </w:p>
    <w:p>
      <w:pPr>
        <w:jc w:val="both"/>
        <w:ind w:firstLine="487"/>
        <w:spacing w:after="0" w:line="257" w:lineRule="auto"/>
        <w:rPr>
          <w:sz w:val="20"/>
          <w:szCs w:val="20"/>
          <w:color w:val="auto"/>
        </w:rPr>
      </w:pPr>
      <w:r>
        <w:rPr>
          <w:rFonts w:ascii="Times New Roman" w:cs="Times New Roman" w:eastAsia="Times New Roman" w:hAnsi="Times New Roman"/>
          <w:sz w:val="21"/>
          <w:szCs w:val="21"/>
          <w:color w:val="auto"/>
        </w:rPr>
        <w:t>1.80 “</w:t>
      </w:r>
      <w:r>
        <w:rPr>
          <w:rFonts w:ascii="Times New Roman" w:cs="Times New Roman" w:eastAsia="Times New Roman" w:hAnsi="Times New Roman"/>
          <w:sz w:val="21"/>
          <w:szCs w:val="21"/>
          <w:b w:val="1"/>
          <w:bCs w:val="1"/>
          <w:color w:val="auto"/>
        </w:rPr>
        <w:t>Net Sales Payment Term</w:t>
      </w:r>
      <w:r>
        <w:rPr>
          <w:rFonts w:ascii="Times New Roman" w:cs="Times New Roman" w:eastAsia="Times New Roman" w:hAnsi="Times New Roman"/>
          <w:sz w:val="21"/>
          <w:szCs w:val="21"/>
          <w:color w:val="auto"/>
        </w:rPr>
        <w:t>” means, on a Product-by-Product (or Company Product-by-Company Product) and country-by-country basis, the period from the First Commercial Sale of such Product (or Company Product) in such country until the later of (a) the expiration of the last Valid Claim Covering such Product (or Company Product) in such country, or (b) ten (10) years after such First Commercial Sale of such Product (or Company Product) in such country.</w:t>
      </w:r>
    </w:p>
    <w:p>
      <w:pPr>
        <w:spacing w:after="0" w:line="61"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1.81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has the meaning set forth in the preamble.</w:t>
      </w:r>
    </w:p>
    <w:p>
      <w:pPr>
        <w:spacing w:after="0" w:line="107" w:lineRule="exact"/>
        <w:rPr>
          <w:sz w:val="20"/>
          <w:szCs w:val="20"/>
          <w:color w:val="auto"/>
        </w:rPr>
      </w:pPr>
    </w:p>
    <w:p>
      <w:pPr>
        <w:jc w:val="both"/>
        <w:ind w:firstLine="487"/>
        <w:spacing w:after="0" w:line="252" w:lineRule="auto"/>
        <w:rPr>
          <w:sz w:val="20"/>
          <w:szCs w:val="20"/>
          <w:color w:val="auto"/>
        </w:rPr>
      </w:pPr>
      <w:r>
        <w:rPr>
          <w:rFonts w:ascii="Times New Roman" w:cs="Times New Roman" w:eastAsia="Times New Roman" w:hAnsi="Times New Roman"/>
          <w:sz w:val="21"/>
          <w:szCs w:val="21"/>
          <w:color w:val="auto"/>
        </w:rPr>
        <w:t>1.82 “</w:t>
      </w:r>
      <w:r>
        <w:rPr>
          <w:rFonts w:ascii="Times New Roman" w:cs="Times New Roman" w:eastAsia="Times New Roman" w:hAnsi="Times New Roman"/>
          <w:sz w:val="21"/>
          <w:szCs w:val="21"/>
          <w:b w:val="1"/>
          <w:bCs w:val="1"/>
          <w:color w:val="auto"/>
        </w:rPr>
        <w:t>Patent Rights</w:t>
      </w:r>
      <w:r>
        <w:rPr>
          <w:rFonts w:ascii="Times New Roman" w:cs="Times New Roman" w:eastAsia="Times New Roman" w:hAnsi="Times New Roman"/>
          <w:sz w:val="21"/>
          <w:szCs w:val="21"/>
          <w:color w:val="auto"/>
        </w:rPr>
        <w:t>” means any (a) unexpired issued or granted patent or registration covering one or more inventions, including any correction, supplemental protection certificate, registration, confirmation, reissue, re-examination, extension or renewal thereof; (b) pending patent application, including any certificates of invention, applications for certificates of invention and priority rights, continuation, divisional, continuation-in-part, substitute or provisional application thereof; and (c) all counterparts or foreign equivalents of any of the foregoing issued by or filed in any country or other jurisdiction; and, in the case of (a), (b) and (c), all inventions disclosed or claimed therein, and all associated rights granted therein or thereby.</w:t>
      </w:r>
    </w:p>
    <w:p>
      <w:pPr>
        <w:spacing w:after="0" w:line="64"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1.83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Payee</w:t>
      </w:r>
      <w:r>
        <w:rPr>
          <w:rFonts w:ascii="Times New Roman" w:cs="Times New Roman" w:eastAsia="Times New Roman" w:hAnsi="Times New Roman"/>
          <w:sz w:val="20"/>
          <w:szCs w:val="20"/>
          <w:color w:val="auto"/>
        </w:rPr>
        <w:t>” has the meaning ser forth in Section 7.12.1.</w:t>
      </w:r>
    </w:p>
    <w:p>
      <w:pPr>
        <w:spacing w:after="0" w:line="119"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1.84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Payer</w:t>
      </w:r>
      <w:r>
        <w:rPr>
          <w:rFonts w:ascii="Times New Roman" w:cs="Times New Roman" w:eastAsia="Times New Roman" w:hAnsi="Times New Roman"/>
          <w:sz w:val="20"/>
          <w:szCs w:val="20"/>
          <w:color w:val="auto"/>
        </w:rPr>
        <w:t>” has the meaning set forth in Section 7.12.1.</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1.85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has the meaning set forth in Section 7.12.1.</w:t>
      </w:r>
    </w:p>
    <w:p>
      <w:pPr>
        <w:spacing w:after="0" w:line="107"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1.86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natural person, corporation, firm, business trust, joint venture, association, organization, company, partnership or other business entity, or any government or agency or political subdivision thereof.</w:t>
      </w:r>
    </w:p>
    <w:p>
      <w:pPr>
        <w:spacing w:after="0" w:line="44"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1.87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Personal Data</w:t>
      </w:r>
      <w:r>
        <w:rPr>
          <w:rFonts w:ascii="Times New Roman" w:cs="Times New Roman" w:eastAsia="Times New Roman" w:hAnsi="Times New Roman"/>
          <w:sz w:val="20"/>
          <w:szCs w:val="20"/>
          <w:color w:val="auto"/>
        </w:rPr>
        <w:t>” has the meaning set forth in Section 13.1.1.</w:t>
      </w:r>
    </w:p>
    <w:p>
      <w:pPr>
        <w:spacing w:after="0" w:line="119" w:lineRule="exact"/>
        <w:rPr>
          <w:sz w:val="20"/>
          <w:szCs w:val="20"/>
          <w:color w:val="auto"/>
        </w:rPr>
      </w:pPr>
    </w:p>
    <w:p>
      <w:pPr>
        <w:jc w:val="both"/>
        <w:ind w:firstLine="487"/>
        <w:spacing w:after="0" w:line="299" w:lineRule="auto"/>
        <w:rPr>
          <w:sz w:val="20"/>
          <w:szCs w:val="20"/>
          <w:color w:val="auto"/>
        </w:rPr>
      </w:pPr>
      <w:r>
        <w:rPr>
          <w:rFonts w:ascii="Times New Roman" w:cs="Times New Roman" w:eastAsia="Times New Roman" w:hAnsi="Times New Roman"/>
          <w:sz w:val="20"/>
          <w:szCs w:val="20"/>
          <w:color w:val="auto"/>
        </w:rPr>
        <w:t>1.88 “</w:t>
      </w:r>
      <w:r>
        <w:rPr>
          <w:rFonts w:ascii="Times New Roman" w:cs="Times New Roman" w:eastAsia="Times New Roman" w:hAnsi="Times New Roman"/>
          <w:sz w:val="20"/>
          <w:szCs w:val="20"/>
          <w:b w:val="1"/>
          <w:bCs w:val="1"/>
          <w:color w:val="auto"/>
        </w:rPr>
        <w:t>Phase I Clinical Trial</w:t>
      </w:r>
      <w:r>
        <w:rPr>
          <w:rFonts w:ascii="Times New Roman" w:cs="Times New Roman" w:eastAsia="Times New Roman" w:hAnsi="Times New Roman"/>
          <w:sz w:val="20"/>
          <w:szCs w:val="20"/>
          <w:color w:val="auto"/>
        </w:rPr>
        <w:t>” means a Clinical Trial of a pharmaceutical product that meets the definition of a Phase 1 study for the United States as described in 21 C.F.R. § 312.21(a), or its successor regulation, or the equivalent regulation in any other country.</w:t>
      </w:r>
    </w:p>
    <w:p>
      <w:pPr>
        <w:spacing w:after="0" w:line="20" w:lineRule="exact"/>
        <w:rPr>
          <w:sz w:val="20"/>
          <w:szCs w:val="20"/>
          <w:color w:val="auto"/>
        </w:rPr>
      </w:pPr>
    </w:p>
    <w:p>
      <w:pPr>
        <w:jc w:val="both"/>
        <w:ind w:firstLine="487"/>
        <w:spacing w:after="0" w:line="299" w:lineRule="auto"/>
        <w:rPr>
          <w:sz w:val="20"/>
          <w:szCs w:val="20"/>
          <w:color w:val="auto"/>
        </w:rPr>
      </w:pPr>
      <w:r>
        <w:rPr>
          <w:rFonts w:ascii="Times New Roman" w:cs="Times New Roman" w:eastAsia="Times New Roman" w:hAnsi="Times New Roman"/>
          <w:sz w:val="20"/>
          <w:szCs w:val="20"/>
          <w:color w:val="auto"/>
        </w:rPr>
        <w:t>1.89 “</w:t>
      </w:r>
      <w:r>
        <w:rPr>
          <w:rFonts w:ascii="Times New Roman" w:cs="Times New Roman" w:eastAsia="Times New Roman" w:hAnsi="Times New Roman"/>
          <w:sz w:val="20"/>
          <w:szCs w:val="20"/>
          <w:b w:val="1"/>
          <w:bCs w:val="1"/>
          <w:color w:val="auto"/>
        </w:rPr>
        <w:t>Phase II Clinical Trial</w:t>
      </w:r>
      <w:r>
        <w:rPr>
          <w:rFonts w:ascii="Times New Roman" w:cs="Times New Roman" w:eastAsia="Times New Roman" w:hAnsi="Times New Roman"/>
          <w:sz w:val="20"/>
          <w:szCs w:val="20"/>
          <w:color w:val="auto"/>
        </w:rPr>
        <w:t>” means a Clinical Trial of a pharmaceutical product that meets the definition of a Phase 2 study for the United States as described in 21 C.F.R. § 312.21(b), or its successor regulation, or the equivalent regulation in any other country.</w:t>
      </w:r>
    </w:p>
    <w:p>
      <w:pPr>
        <w:spacing w:after="0" w:line="20"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1.90 “</w:t>
      </w:r>
      <w:r>
        <w:rPr>
          <w:rFonts w:ascii="Times New Roman" w:cs="Times New Roman" w:eastAsia="Times New Roman" w:hAnsi="Times New Roman"/>
          <w:sz w:val="21"/>
          <w:szCs w:val="21"/>
          <w:b w:val="1"/>
          <w:bCs w:val="1"/>
          <w:color w:val="auto"/>
        </w:rPr>
        <w:t>Phase III Clinical Trial</w:t>
      </w:r>
      <w:r>
        <w:rPr>
          <w:rFonts w:ascii="Times New Roman" w:cs="Times New Roman" w:eastAsia="Times New Roman" w:hAnsi="Times New Roman"/>
          <w:sz w:val="21"/>
          <w:szCs w:val="21"/>
          <w:color w:val="auto"/>
        </w:rPr>
        <w:t>” means a pivotal Clinical Trial with a defined dose or a set of defined doses of a pharmaceutical product in patients designed to ascertain the efficacy and safety of such product for the purpose of enabling the preparation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64" w:right="339" w:bottom="1440" w:gutter="0" w:footer="0" w:header="0"/>
        </w:sectPr>
      </w:pPr>
    </w:p>
    <w:bookmarkStart w:id="347" w:name="page348"/>
    <w:bookmarkEnd w:id="347"/>
    <w:p>
      <w:pPr>
        <w:jc w:val="both"/>
        <w:spacing w:after="0" w:line="269" w:lineRule="auto"/>
        <w:rPr>
          <w:sz w:val="20"/>
          <w:szCs w:val="20"/>
          <w:color w:val="auto"/>
        </w:rPr>
      </w:pPr>
      <w:r>
        <w:rPr>
          <w:rFonts w:ascii="Times New Roman" w:cs="Times New Roman" w:eastAsia="Times New Roman" w:hAnsi="Times New Roman"/>
          <w:sz w:val="21"/>
          <w:szCs w:val="21"/>
          <w:color w:val="auto"/>
        </w:rPr>
        <w:t>submission of applications for Regulatory Approval as described in 21 C.F.R. § 312.21(c), or its successor regulation, or the equivalent regulation in any other country.</w:t>
      </w:r>
    </w:p>
    <w:p>
      <w:pPr>
        <w:spacing w:after="0" w:line="48" w:lineRule="exact"/>
        <w:rPr>
          <w:sz w:val="20"/>
          <w:szCs w:val="20"/>
          <w:color w:val="auto"/>
        </w:rPr>
      </w:pPr>
    </w:p>
    <w:p>
      <w:pPr>
        <w:jc w:val="both"/>
        <w:ind w:firstLine="487"/>
        <w:spacing w:after="0" w:line="257" w:lineRule="auto"/>
        <w:rPr>
          <w:sz w:val="20"/>
          <w:szCs w:val="20"/>
          <w:color w:val="auto"/>
        </w:rPr>
      </w:pPr>
      <w:r>
        <w:rPr>
          <w:rFonts w:ascii="Times New Roman" w:cs="Times New Roman" w:eastAsia="Times New Roman" w:hAnsi="Times New Roman"/>
          <w:sz w:val="21"/>
          <w:szCs w:val="21"/>
          <w:color w:val="auto"/>
        </w:rPr>
        <w:t>1.91 “</w:t>
      </w:r>
      <w:r>
        <w:rPr>
          <w:rFonts w:ascii="Times New Roman" w:cs="Times New Roman" w:eastAsia="Times New Roman" w:hAnsi="Times New Roman"/>
          <w:sz w:val="21"/>
          <w:szCs w:val="21"/>
          <w:b w:val="1"/>
          <w:bCs w:val="1"/>
          <w:color w:val="auto"/>
        </w:rPr>
        <w:t>Price and Reimbursement Approval</w:t>
      </w:r>
      <w:r>
        <w:rPr>
          <w:rFonts w:ascii="Times New Roman" w:cs="Times New Roman" w:eastAsia="Times New Roman" w:hAnsi="Times New Roman"/>
          <w:sz w:val="21"/>
          <w:szCs w:val="21"/>
          <w:color w:val="auto"/>
        </w:rPr>
        <w:t>” means the approval, agreement, determination or decision from a Regulatory Authority establishing price or reimbursement for the Product for sale in a given country or regulatory jurisdiction, as required by Applicable Law in such country or other regulatory jurisdiction prior to or subsequent to the marketing and sale of the Product in such country or regulatory jurisdiction.</w:t>
      </w:r>
    </w:p>
    <w:p>
      <w:pPr>
        <w:spacing w:after="0" w:line="61" w:lineRule="exact"/>
        <w:rPr>
          <w:sz w:val="20"/>
          <w:szCs w:val="20"/>
          <w:color w:val="auto"/>
        </w:rPr>
      </w:pPr>
    </w:p>
    <w:p>
      <w:pPr>
        <w:jc w:val="both"/>
        <w:ind w:firstLine="487"/>
        <w:spacing w:after="0" w:line="257" w:lineRule="auto"/>
        <w:rPr>
          <w:sz w:val="20"/>
          <w:szCs w:val="20"/>
          <w:color w:val="auto"/>
        </w:rPr>
      </w:pPr>
      <w:r>
        <w:rPr>
          <w:rFonts w:ascii="Times New Roman" w:cs="Times New Roman" w:eastAsia="Times New Roman" w:hAnsi="Times New Roman"/>
          <w:sz w:val="21"/>
          <w:szCs w:val="21"/>
          <w:color w:val="auto"/>
        </w:rPr>
        <w:t>1.92 “</w:t>
      </w:r>
      <w:r>
        <w:rPr>
          <w:rFonts w:ascii="Times New Roman" w:cs="Times New Roman" w:eastAsia="Times New Roman" w:hAnsi="Times New Roman"/>
          <w:sz w:val="21"/>
          <w:szCs w:val="21"/>
          <w:b w:val="1"/>
          <w:bCs w:val="1"/>
          <w:color w:val="auto"/>
        </w:rPr>
        <w:t>Product</w:t>
      </w:r>
      <w:r>
        <w:rPr>
          <w:rFonts w:ascii="Times New Roman" w:cs="Times New Roman" w:eastAsia="Times New Roman" w:hAnsi="Times New Roman"/>
          <w:sz w:val="21"/>
          <w:szCs w:val="21"/>
          <w:color w:val="auto"/>
        </w:rPr>
        <w:t>” means any pharmaceutical product that contains a Target Compound, in all forms, presentations, methods of administration, dosage strengths and formulations. For clarity: (a) different forms, presentations, methods of administration, formulations or dosage strengths of a given Product containing the same Target Compound shall be considered the same Product for purposes of this Agreement; and (b) Product includes any Combination Product.</w:t>
      </w:r>
    </w:p>
    <w:p>
      <w:pPr>
        <w:spacing w:after="0" w:line="61"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1.93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Product Bundle</w:t>
      </w:r>
      <w:r>
        <w:rPr>
          <w:rFonts w:ascii="Times New Roman" w:cs="Times New Roman" w:eastAsia="Times New Roman" w:hAnsi="Times New Roman"/>
          <w:sz w:val="20"/>
          <w:szCs w:val="20"/>
          <w:color w:val="auto"/>
        </w:rPr>
        <w:t>” has the meaning set forth in Section 1.78.</w:t>
      </w:r>
    </w:p>
    <w:p>
      <w:pPr>
        <w:spacing w:after="0" w:line="107" w:lineRule="exact"/>
        <w:rPr>
          <w:sz w:val="20"/>
          <w:szCs w:val="20"/>
          <w:color w:val="auto"/>
        </w:rPr>
      </w:pPr>
    </w:p>
    <w:p>
      <w:pPr>
        <w:jc w:val="both"/>
        <w:ind w:firstLine="487"/>
        <w:spacing w:after="0" w:line="258" w:lineRule="auto"/>
        <w:rPr>
          <w:sz w:val="20"/>
          <w:szCs w:val="20"/>
          <w:color w:val="auto"/>
        </w:rPr>
      </w:pPr>
      <w:r>
        <w:rPr>
          <w:rFonts w:ascii="Times New Roman" w:cs="Times New Roman" w:eastAsia="Times New Roman" w:hAnsi="Times New Roman"/>
          <w:sz w:val="21"/>
          <w:szCs w:val="21"/>
          <w:color w:val="auto"/>
        </w:rPr>
        <w:t>1.94 “</w:t>
      </w:r>
      <w:r>
        <w:rPr>
          <w:rFonts w:ascii="Times New Roman" w:cs="Times New Roman" w:eastAsia="Times New Roman" w:hAnsi="Times New Roman"/>
          <w:sz w:val="21"/>
          <w:szCs w:val="21"/>
          <w:b w:val="1"/>
          <w:bCs w:val="1"/>
          <w:color w:val="auto"/>
        </w:rPr>
        <w:t>Regulatory Authority</w:t>
      </w:r>
      <w:r>
        <w:rPr>
          <w:rFonts w:ascii="Times New Roman" w:cs="Times New Roman" w:eastAsia="Times New Roman" w:hAnsi="Times New Roman"/>
          <w:sz w:val="21"/>
          <w:szCs w:val="21"/>
          <w:color w:val="auto"/>
        </w:rPr>
        <w:t>” means (a) in the US, the FDA; (b) in the EU, the EMA or the European Commission; or (c) any Governmental Body with similar regulatory authority over pharmaceutical or biotechnology products in any other jurisdiction anywhere in the world.</w:t>
      </w:r>
    </w:p>
    <w:p>
      <w:pPr>
        <w:spacing w:after="0" w:line="72" w:lineRule="exact"/>
        <w:rPr>
          <w:sz w:val="20"/>
          <w:szCs w:val="20"/>
          <w:color w:val="auto"/>
        </w:rPr>
      </w:pPr>
    </w:p>
    <w:p>
      <w:pPr>
        <w:jc w:val="both"/>
        <w:ind w:firstLine="487"/>
        <w:spacing w:after="0" w:line="253" w:lineRule="auto"/>
        <w:rPr>
          <w:sz w:val="20"/>
          <w:szCs w:val="20"/>
          <w:color w:val="auto"/>
        </w:rPr>
      </w:pPr>
      <w:r>
        <w:rPr>
          <w:rFonts w:ascii="Times New Roman" w:cs="Times New Roman" w:eastAsia="Times New Roman" w:hAnsi="Times New Roman"/>
          <w:sz w:val="21"/>
          <w:szCs w:val="21"/>
          <w:color w:val="auto"/>
        </w:rPr>
        <w:t>1.95 “</w:t>
      </w:r>
      <w:r>
        <w:rPr>
          <w:rFonts w:ascii="Times New Roman" w:cs="Times New Roman" w:eastAsia="Times New Roman" w:hAnsi="Times New Roman"/>
          <w:sz w:val="21"/>
          <w:szCs w:val="21"/>
          <w:b w:val="1"/>
          <w:bCs w:val="1"/>
          <w:color w:val="auto"/>
        </w:rPr>
        <w:t>Regulatory Approval</w:t>
      </w:r>
      <w:r>
        <w:rPr>
          <w:rFonts w:ascii="Times New Roman" w:cs="Times New Roman" w:eastAsia="Times New Roman" w:hAnsi="Times New Roman"/>
          <w:sz w:val="21"/>
          <w:szCs w:val="21"/>
          <w:color w:val="auto"/>
        </w:rPr>
        <w:t>” means any and all approvals, licenses, registrations, or authorizations of the relevant Regulatory Authority, including Price and Reimbursement Approval, necessary for the Development, manufacture, use, storage, import, transport or Commercialization of a Product in a particular country or jurisdiction. For the avoidance of doubt, Regulatory Approval to Commercialize a Product shall include Price and Reimbursement Approval.</w:t>
      </w:r>
    </w:p>
    <w:p>
      <w:pPr>
        <w:spacing w:after="0" w:line="65" w:lineRule="exact"/>
        <w:rPr>
          <w:sz w:val="20"/>
          <w:szCs w:val="20"/>
          <w:color w:val="auto"/>
        </w:rPr>
      </w:pPr>
    </w:p>
    <w:p>
      <w:pPr>
        <w:jc w:val="both"/>
        <w:ind w:firstLine="487"/>
        <w:spacing w:after="0" w:line="286" w:lineRule="auto"/>
        <w:rPr>
          <w:sz w:val="20"/>
          <w:szCs w:val="20"/>
          <w:color w:val="auto"/>
        </w:rPr>
      </w:pPr>
      <w:r>
        <w:rPr>
          <w:rFonts w:ascii="Times New Roman" w:cs="Times New Roman" w:eastAsia="Times New Roman" w:hAnsi="Times New Roman"/>
          <w:sz w:val="21"/>
          <w:szCs w:val="21"/>
          <w:color w:val="auto"/>
        </w:rPr>
        <w:t>1.96 “</w:t>
      </w:r>
      <w:r>
        <w:rPr>
          <w:rFonts w:ascii="Times New Roman" w:cs="Times New Roman" w:eastAsia="Times New Roman" w:hAnsi="Times New Roman"/>
          <w:sz w:val="21"/>
          <w:szCs w:val="21"/>
          <w:b w:val="1"/>
          <w:bCs w:val="1"/>
          <w:color w:val="auto"/>
        </w:rPr>
        <w:t>Research Program</w:t>
      </w:r>
      <w:r>
        <w:rPr>
          <w:rFonts w:ascii="Times New Roman" w:cs="Times New Roman" w:eastAsia="Times New Roman" w:hAnsi="Times New Roman"/>
          <w:sz w:val="21"/>
          <w:szCs w:val="21"/>
          <w:color w:val="auto"/>
        </w:rPr>
        <w:t>” means all research activities to be performed by the Company at its sole cost and expense (and, if agreed by the Parties, by Merck) for each Collaboration Target as outlined in each Research Plan.</w:t>
      </w:r>
    </w:p>
    <w:p>
      <w:pPr>
        <w:spacing w:after="0" w:line="30"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1.97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Research Plan</w:t>
      </w:r>
      <w:r>
        <w:rPr>
          <w:rFonts w:ascii="Times New Roman" w:cs="Times New Roman" w:eastAsia="Times New Roman" w:hAnsi="Times New Roman"/>
          <w:sz w:val="20"/>
          <w:szCs w:val="20"/>
          <w:color w:val="auto"/>
        </w:rPr>
        <w:t>” has the meaning set forth in Section 3.1.1.</w:t>
      </w:r>
    </w:p>
    <w:p>
      <w:pPr>
        <w:spacing w:after="0" w:line="107"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1.98 “</w:t>
      </w:r>
      <w:r>
        <w:rPr>
          <w:rFonts w:ascii="Times New Roman" w:cs="Times New Roman" w:eastAsia="Times New Roman" w:hAnsi="Times New Roman"/>
          <w:sz w:val="21"/>
          <w:szCs w:val="21"/>
          <w:b w:val="1"/>
          <w:bCs w:val="1"/>
          <w:color w:val="auto"/>
        </w:rPr>
        <w:t>Research Unit Leadership Team</w:t>
      </w:r>
      <w:r>
        <w:rPr>
          <w:rFonts w:ascii="Times New Roman" w:cs="Times New Roman" w:eastAsia="Times New Roman" w:hAnsi="Times New Roman"/>
          <w:sz w:val="21"/>
          <w:szCs w:val="21"/>
          <w:color w:val="auto"/>
        </w:rPr>
        <w:t>” means Merck’s governance body or any successor thereto deciding on stage-gate transitions for drug discovery projects.</w:t>
      </w:r>
    </w:p>
    <w:p>
      <w:pPr>
        <w:spacing w:after="0" w:line="48"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1.99</w:t>
      </w:r>
      <w:r>
        <w:rPr>
          <w:sz w:val="20"/>
          <w:szCs w:val="20"/>
          <w:color w:val="auto"/>
        </w:rPr>
        <w:tab/>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1.100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Sales Milestone</w:t>
      </w:r>
      <w:r>
        <w:rPr>
          <w:rFonts w:ascii="Times New Roman" w:cs="Times New Roman" w:eastAsia="Times New Roman" w:hAnsi="Times New Roman"/>
          <w:sz w:val="20"/>
          <w:szCs w:val="20"/>
          <w:color w:val="auto"/>
        </w:rPr>
        <w:t>” means those milestones mentioned in No. C1 to C4 in Section 7.2.1.</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1.101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Audit</w:t>
      </w:r>
      <w:r>
        <w:rPr>
          <w:rFonts w:ascii="Times New Roman" w:cs="Times New Roman" w:eastAsia="Times New Roman" w:hAnsi="Times New Roman"/>
          <w:sz w:val="20"/>
          <w:szCs w:val="20"/>
          <w:color w:val="auto"/>
        </w:rPr>
        <w:t>” has the meaning set forth in Section 7.11.</w:t>
      </w:r>
    </w:p>
    <w:p>
      <w:pPr>
        <w:spacing w:after="0" w:line="107"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1.102 “</w:t>
      </w:r>
      <w:r>
        <w:rPr>
          <w:rFonts w:ascii="Times New Roman" w:cs="Times New Roman" w:eastAsia="Times New Roman" w:hAnsi="Times New Roman"/>
          <w:sz w:val="21"/>
          <w:szCs w:val="21"/>
          <w:b w:val="1"/>
          <w:bCs w:val="1"/>
          <w:color w:val="auto"/>
        </w:rPr>
        <w:t>Senior Executive</w:t>
      </w:r>
      <w:r>
        <w:rPr>
          <w:rFonts w:ascii="Times New Roman" w:cs="Times New Roman" w:eastAsia="Times New Roman" w:hAnsi="Times New Roman"/>
          <w:sz w:val="21"/>
          <w:szCs w:val="21"/>
          <w:color w:val="auto"/>
        </w:rPr>
        <w:t>” means a member of senior management of a Party who is designated by such Party to resolve disputes under this Agreement.</w:t>
      </w:r>
    </w:p>
    <w:p>
      <w:pPr>
        <w:spacing w:after="0" w:line="44"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1.103 “</w:t>
      </w:r>
      <w:r>
        <w:rPr>
          <w:rFonts w:ascii="Times New Roman" w:cs="Times New Roman" w:eastAsia="Times New Roman" w:hAnsi="Times New Roman"/>
          <w:sz w:val="21"/>
          <w:szCs w:val="21"/>
          <w:b w:val="1"/>
          <w:bCs w:val="1"/>
          <w:color w:val="auto"/>
        </w:rPr>
        <w:t>Stage Gate Decision Point</w:t>
      </w:r>
      <w:r>
        <w:rPr>
          <w:rFonts w:ascii="Times New Roman" w:cs="Times New Roman" w:eastAsia="Times New Roman" w:hAnsi="Times New Roman"/>
          <w:sz w:val="21"/>
          <w:szCs w:val="21"/>
          <w:color w:val="auto"/>
        </w:rPr>
        <w:t>” means, with respect to each Collaboration Target, each of the Stage Gate DPHO, the Stage Gate DPLO and the Stage Gate DPED.</w:t>
      </w:r>
    </w:p>
    <w:p>
      <w:pPr>
        <w:spacing w:after="0" w:line="5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1.104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Stage Gate DPED</w:t>
      </w:r>
      <w:r>
        <w:rPr>
          <w:rFonts w:ascii="Times New Roman" w:cs="Times New Roman" w:eastAsia="Times New Roman" w:hAnsi="Times New Roman"/>
          <w:sz w:val="20"/>
          <w:szCs w:val="20"/>
          <w:color w:val="auto"/>
        </w:rPr>
        <w:t>” means, with respect to each Collaboration Target, the decision point at which [***].</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1.105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Stage Gate DPHO</w:t>
      </w:r>
      <w:r>
        <w:rPr>
          <w:rFonts w:ascii="Times New Roman" w:cs="Times New Roman" w:eastAsia="Times New Roman" w:hAnsi="Times New Roman"/>
          <w:sz w:val="20"/>
          <w:szCs w:val="20"/>
          <w:color w:val="auto"/>
        </w:rPr>
        <w:t>” means, with respect to each Collaboration Target, the decision point at which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65" w:right="339" w:bottom="1440" w:gutter="0" w:footer="0" w:header="0"/>
        </w:sectPr>
      </w:pPr>
    </w:p>
    <w:bookmarkStart w:id="348" w:name="page349"/>
    <w:bookmarkEnd w:id="348"/>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1.106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Stage Gate DPLO</w:t>
      </w:r>
      <w:r>
        <w:rPr>
          <w:rFonts w:ascii="Times New Roman" w:cs="Times New Roman" w:eastAsia="Times New Roman" w:hAnsi="Times New Roman"/>
          <w:sz w:val="20"/>
          <w:szCs w:val="20"/>
          <w:color w:val="auto"/>
        </w:rPr>
        <w:t>” means, with respect to each Collaboration Target, the decision point at which [***].</w:t>
      </w:r>
    </w:p>
    <w:p>
      <w:pPr>
        <w:spacing w:after="0" w:line="107" w:lineRule="exact"/>
        <w:rPr>
          <w:sz w:val="20"/>
          <w:szCs w:val="20"/>
          <w:color w:val="auto"/>
        </w:rPr>
      </w:pPr>
    </w:p>
    <w:p>
      <w:pPr>
        <w:jc w:val="both"/>
        <w:ind w:firstLine="487"/>
        <w:spacing w:after="0" w:line="264" w:lineRule="auto"/>
        <w:rPr>
          <w:sz w:val="20"/>
          <w:szCs w:val="20"/>
          <w:color w:val="auto"/>
        </w:rPr>
      </w:pPr>
      <w:r>
        <w:rPr>
          <w:rFonts w:ascii="Times New Roman" w:cs="Times New Roman" w:eastAsia="Times New Roman" w:hAnsi="Times New Roman"/>
          <w:sz w:val="21"/>
          <w:szCs w:val="21"/>
          <w:color w:val="auto"/>
        </w:rPr>
        <w:t>1.107 “</w:t>
      </w:r>
      <w:r>
        <w:rPr>
          <w:rFonts w:ascii="Times New Roman" w:cs="Times New Roman" w:eastAsia="Times New Roman" w:hAnsi="Times New Roman"/>
          <w:sz w:val="21"/>
          <w:szCs w:val="21"/>
          <w:b w:val="1"/>
          <w:bCs w:val="1"/>
          <w:color w:val="auto"/>
        </w:rPr>
        <w:t>Start Date</w:t>
      </w:r>
      <w:r>
        <w:rPr>
          <w:rFonts w:ascii="Times New Roman" w:cs="Times New Roman" w:eastAsia="Times New Roman" w:hAnsi="Times New Roman"/>
          <w:sz w:val="21"/>
          <w:szCs w:val="21"/>
          <w:color w:val="auto"/>
        </w:rPr>
        <w:t>” means, (i) with respect to each Initial Collaboration Target, the date on which the Research Plan is finalized in accordance with Section 3.1.1, and (ii) with respect to any Target that is elected according to Section 3.2.1 or 3.2.2, the date on which a Research Plan for such Collaboration Target is agreed for the first time between the Parties.</w:t>
      </w:r>
    </w:p>
    <w:p>
      <w:pPr>
        <w:spacing w:after="0" w:line="54" w:lineRule="exact"/>
        <w:rPr>
          <w:sz w:val="20"/>
          <w:szCs w:val="20"/>
          <w:color w:val="auto"/>
        </w:rPr>
      </w:pPr>
    </w:p>
    <w:p>
      <w:pPr>
        <w:jc w:val="both"/>
        <w:ind w:firstLine="487"/>
        <w:spacing w:after="0" w:line="254" w:lineRule="auto"/>
        <w:rPr>
          <w:sz w:val="20"/>
          <w:szCs w:val="20"/>
          <w:color w:val="auto"/>
        </w:rPr>
      </w:pPr>
      <w:r>
        <w:rPr>
          <w:rFonts w:ascii="Times New Roman" w:cs="Times New Roman" w:eastAsia="Times New Roman" w:hAnsi="Times New Roman"/>
          <w:sz w:val="21"/>
          <w:szCs w:val="21"/>
          <w:color w:val="auto"/>
        </w:rPr>
        <w:t>1.108 “</w:t>
      </w:r>
      <w:r>
        <w:rPr>
          <w:rFonts w:ascii="Times New Roman" w:cs="Times New Roman" w:eastAsia="Times New Roman" w:hAnsi="Times New Roman"/>
          <w:sz w:val="21"/>
          <w:szCs w:val="21"/>
          <w:b w:val="1"/>
          <w:bCs w:val="1"/>
          <w:color w:val="auto"/>
        </w:rPr>
        <w:t>Sublicensee</w:t>
      </w:r>
      <w:r>
        <w:rPr>
          <w:rFonts w:ascii="Times New Roman" w:cs="Times New Roman" w:eastAsia="Times New Roman" w:hAnsi="Times New Roman"/>
          <w:sz w:val="21"/>
          <w:szCs w:val="21"/>
          <w:color w:val="auto"/>
        </w:rPr>
        <w:t>” means a Person other than an Affiliate of Merck to which Merck (or its Affiliate), has, pursuant to Section 4.3, as applicable, granted sublicense rights under any of the license rights granted under Section 4.1. If Merck, or any of Merck’s Affiliates, works with a Third Party in fulfilling certain (but not all) of Merck’s obligations hereunder, and such Third Party requires a technical sublicense, distributors for example, the grant of such technical sublicense shall not qualify such Third Party as a Sublicensee.</w:t>
      </w:r>
    </w:p>
    <w:p>
      <w:pPr>
        <w:spacing w:after="0" w:line="63" w:lineRule="exact"/>
        <w:rPr>
          <w:sz w:val="20"/>
          <w:szCs w:val="20"/>
          <w:color w:val="auto"/>
        </w:rPr>
      </w:pPr>
    </w:p>
    <w:p>
      <w:pPr>
        <w:jc w:val="both"/>
        <w:ind w:firstLine="487"/>
        <w:spacing w:after="0" w:line="253" w:lineRule="auto"/>
        <w:rPr>
          <w:sz w:val="20"/>
          <w:szCs w:val="20"/>
          <w:color w:val="auto"/>
        </w:rPr>
      </w:pPr>
      <w:r>
        <w:rPr>
          <w:rFonts w:ascii="Times New Roman" w:cs="Times New Roman" w:eastAsia="Times New Roman" w:hAnsi="Times New Roman"/>
          <w:sz w:val="21"/>
          <w:szCs w:val="21"/>
          <w:color w:val="auto"/>
        </w:rPr>
        <w:t>1.109 “</w:t>
      </w:r>
      <w:r>
        <w:rPr>
          <w:rFonts w:ascii="Times New Roman" w:cs="Times New Roman" w:eastAsia="Times New Roman" w:hAnsi="Times New Roman"/>
          <w:sz w:val="21"/>
          <w:szCs w:val="21"/>
          <w:b w:val="1"/>
          <w:bCs w:val="1"/>
          <w:color w:val="auto"/>
        </w:rPr>
        <w:t>Target</w:t>
      </w:r>
      <w:r>
        <w:rPr>
          <w:rFonts w:ascii="Times New Roman" w:cs="Times New Roman" w:eastAsia="Times New Roman" w:hAnsi="Times New Roman"/>
          <w:sz w:val="21"/>
          <w:szCs w:val="21"/>
          <w:color w:val="auto"/>
        </w:rPr>
        <w:t>” means including, but not limited to, a protein or polypeptide, including all variants thereof, any nucleic acid sequence (DNA or RNA) corresponding with such protein or polypeptide and any specific protein that is identified by a GenBank protein accession number or by its amino acid sequence and coded by a genetic locus. A Target may be a non-coding RNA, a specific RNA precursor or potentially an alternative biologically relevant molecule.</w:t>
      </w:r>
    </w:p>
    <w:p>
      <w:pPr>
        <w:spacing w:after="0" w:line="65" w:lineRule="exact"/>
        <w:rPr>
          <w:sz w:val="20"/>
          <w:szCs w:val="20"/>
          <w:color w:val="auto"/>
        </w:rPr>
      </w:pPr>
    </w:p>
    <w:p>
      <w:pPr>
        <w:jc w:val="both"/>
        <w:ind w:firstLine="487"/>
        <w:spacing w:after="0" w:line="264" w:lineRule="auto"/>
        <w:rPr>
          <w:sz w:val="20"/>
          <w:szCs w:val="20"/>
          <w:color w:val="auto"/>
        </w:rPr>
      </w:pPr>
      <w:r>
        <w:rPr>
          <w:rFonts w:ascii="Times New Roman" w:cs="Times New Roman" w:eastAsia="Times New Roman" w:hAnsi="Times New Roman"/>
          <w:sz w:val="21"/>
          <w:szCs w:val="21"/>
          <w:color w:val="auto"/>
        </w:rPr>
        <w:t>1.110 “</w:t>
      </w:r>
      <w:r>
        <w:rPr>
          <w:rFonts w:ascii="Times New Roman" w:cs="Times New Roman" w:eastAsia="Times New Roman" w:hAnsi="Times New Roman"/>
          <w:sz w:val="21"/>
          <w:szCs w:val="21"/>
          <w:b w:val="1"/>
          <w:bCs w:val="1"/>
          <w:color w:val="auto"/>
        </w:rPr>
        <w:t>Target Compound</w:t>
      </w:r>
      <w:r>
        <w:rPr>
          <w:rFonts w:ascii="Times New Roman" w:cs="Times New Roman" w:eastAsia="Times New Roman" w:hAnsi="Times New Roman"/>
          <w:sz w:val="21"/>
          <w:szCs w:val="21"/>
          <w:color w:val="auto"/>
        </w:rPr>
        <w:t>” means any compound, inhibiting, blocking or modulating the activities of a Collaboration Target [***], including but not limited to salts, hydrates, solvates, intermediates and stereoisomers thereof, which are conceived, discovered, developed or otherwise made by or on behalf of Company during the course of the Research Program.</w:t>
      </w:r>
    </w:p>
    <w:p>
      <w:pPr>
        <w:spacing w:after="0" w:line="54" w:lineRule="exact"/>
        <w:rPr>
          <w:sz w:val="20"/>
          <w:szCs w:val="20"/>
          <w:color w:val="auto"/>
        </w:rPr>
      </w:pPr>
    </w:p>
    <w:p>
      <w:pPr>
        <w:jc w:val="both"/>
        <w:ind w:firstLine="487"/>
        <w:spacing w:after="0" w:line="254" w:lineRule="auto"/>
        <w:rPr>
          <w:sz w:val="20"/>
          <w:szCs w:val="20"/>
          <w:color w:val="auto"/>
        </w:rPr>
      </w:pPr>
      <w:r>
        <w:rPr>
          <w:rFonts w:ascii="Times New Roman" w:cs="Times New Roman" w:eastAsia="Times New Roman" w:hAnsi="Times New Roman"/>
          <w:sz w:val="21"/>
          <w:szCs w:val="21"/>
          <w:color w:val="auto"/>
        </w:rPr>
        <w:t>1.111 “</w:t>
      </w:r>
      <w:r>
        <w:rPr>
          <w:rFonts w:ascii="Times New Roman" w:cs="Times New Roman" w:eastAsia="Times New Roman" w:hAnsi="Times New Roman"/>
          <w:sz w:val="21"/>
          <w:szCs w:val="21"/>
          <w:b w:val="1"/>
          <w:bCs w:val="1"/>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means any federal, state, local or foreign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63"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has the meaning set forth in Section 12.1.</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Terminated Compound</w:t>
      </w:r>
      <w:r>
        <w:rPr>
          <w:rFonts w:ascii="Times New Roman" w:cs="Times New Roman" w:eastAsia="Times New Roman" w:hAnsi="Times New Roman"/>
          <w:sz w:val="20"/>
          <w:szCs w:val="20"/>
          <w:color w:val="auto"/>
        </w:rPr>
        <w:t>” means, in respect of a Terminated Target, [***]</w:t>
      </w:r>
    </w:p>
    <w:p>
      <w:pPr>
        <w:spacing w:after="0" w:line="107" w:lineRule="exact"/>
        <w:rPr>
          <w:sz w:val="20"/>
          <w:szCs w:val="20"/>
          <w:color w:val="auto"/>
        </w:rPr>
      </w:pPr>
    </w:p>
    <w:p>
      <w:pPr>
        <w:jc w:val="both"/>
        <w:ind w:firstLine="487"/>
        <w:spacing w:after="0" w:line="286" w:lineRule="auto"/>
        <w:rPr>
          <w:sz w:val="20"/>
          <w:szCs w:val="20"/>
          <w:color w:val="auto"/>
        </w:rPr>
      </w:pPr>
      <w:r>
        <w:rPr>
          <w:rFonts w:ascii="Times New Roman" w:cs="Times New Roman" w:eastAsia="Times New Roman" w:hAnsi="Times New Roman"/>
          <w:sz w:val="21"/>
          <w:szCs w:val="21"/>
          <w:color w:val="auto"/>
        </w:rPr>
        <w:t>1.114 “</w:t>
      </w:r>
      <w:r>
        <w:rPr>
          <w:rFonts w:ascii="Times New Roman" w:cs="Times New Roman" w:eastAsia="Times New Roman" w:hAnsi="Times New Roman"/>
          <w:sz w:val="21"/>
          <w:szCs w:val="21"/>
          <w:b w:val="1"/>
          <w:bCs w:val="1"/>
          <w:color w:val="auto"/>
        </w:rPr>
        <w:t>Terminated Product</w:t>
      </w:r>
      <w:r>
        <w:rPr>
          <w:rFonts w:ascii="Times New Roman" w:cs="Times New Roman" w:eastAsia="Times New Roman" w:hAnsi="Times New Roman"/>
          <w:sz w:val="21"/>
          <w:szCs w:val="21"/>
          <w:color w:val="auto"/>
        </w:rPr>
        <w:t>” means any pharmaceutical product that contains a Terminated Compound, in all forms, presentations, methods of administration, dosage strengths and formulations.</w:t>
      </w:r>
    </w:p>
    <w:p>
      <w:pPr>
        <w:spacing w:after="0" w:line="30"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1.115 “</w:t>
      </w:r>
      <w:r>
        <w:rPr>
          <w:rFonts w:ascii="Times New Roman" w:cs="Times New Roman" w:eastAsia="Times New Roman" w:hAnsi="Times New Roman"/>
          <w:sz w:val="21"/>
          <w:szCs w:val="21"/>
          <w:b w:val="1"/>
          <w:bCs w:val="1"/>
          <w:color w:val="auto"/>
        </w:rPr>
        <w:t>Terminated Target</w:t>
      </w:r>
      <w:r>
        <w:rPr>
          <w:rFonts w:ascii="Times New Roman" w:cs="Times New Roman" w:eastAsia="Times New Roman" w:hAnsi="Times New Roman"/>
          <w:sz w:val="21"/>
          <w:szCs w:val="21"/>
          <w:color w:val="auto"/>
        </w:rPr>
        <w:t>” means a previous Collaboration Target which has been terminated pursuant to Section 3.2.3 or in respect of which this Agreement has been terminated prior to the end of the Term in accordance with ARTICLE 10.</w:t>
      </w:r>
    </w:p>
    <w:p>
      <w:pPr>
        <w:spacing w:after="0" w:line="44"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Territory</w:t>
      </w:r>
      <w:r>
        <w:rPr>
          <w:rFonts w:ascii="Times New Roman" w:cs="Times New Roman" w:eastAsia="Times New Roman" w:hAnsi="Times New Roman"/>
          <w:sz w:val="20"/>
          <w:szCs w:val="20"/>
          <w:color w:val="auto"/>
        </w:rPr>
        <w:t>” means all countries of the world.</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w:t>
      </w:r>
      <w:r>
        <w:rPr>
          <w:rFonts w:ascii="Times New Roman" w:cs="Times New Roman" w:eastAsia="Times New Roman" w:hAnsi="Times New Roman"/>
          <w:sz w:val="20"/>
          <w:szCs w:val="20"/>
          <w:color w:val="auto"/>
        </w:rPr>
        <w:t>” means any Person other than Company, Merck or any of their respective Affiliates.</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1.118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Third-Party Infringement Claim</w:t>
      </w:r>
      <w:r>
        <w:rPr>
          <w:rFonts w:ascii="Times New Roman" w:cs="Times New Roman" w:eastAsia="Times New Roman" w:hAnsi="Times New Roman"/>
          <w:sz w:val="20"/>
          <w:szCs w:val="20"/>
          <w:color w:val="auto"/>
        </w:rPr>
        <w:t>” has the meaning set forth in Section 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61" w:right="339" w:bottom="1440" w:gutter="0" w:footer="0" w:header="0"/>
        </w:sectPr>
      </w:pPr>
    </w:p>
    <w:bookmarkStart w:id="349" w:name="page350"/>
    <w:bookmarkEnd w:id="349"/>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1.119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United States of America, its territories and possessions.</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1.120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United States dollars.</w:t>
      </w:r>
    </w:p>
    <w:p>
      <w:pPr>
        <w:spacing w:after="0" w:line="10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Upfront Fee</w:t>
      </w:r>
      <w:r>
        <w:rPr>
          <w:rFonts w:ascii="Times New Roman" w:cs="Times New Roman" w:eastAsia="Times New Roman" w:hAnsi="Times New Roman"/>
          <w:sz w:val="20"/>
          <w:szCs w:val="20"/>
          <w:color w:val="auto"/>
        </w:rPr>
        <w:t>” has the meaning set forth in Section 7.1.</w:t>
      </w:r>
    </w:p>
    <w:p>
      <w:pPr>
        <w:spacing w:after="0" w:line="119" w:lineRule="exact"/>
        <w:rPr>
          <w:sz w:val="20"/>
          <w:szCs w:val="20"/>
          <w:color w:val="auto"/>
        </w:rPr>
      </w:pPr>
    </w:p>
    <w:p>
      <w:pPr>
        <w:jc w:val="both"/>
        <w:ind w:firstLine="487"/>
        <w:spacing w:after="0" w:line="262" w:lineRule="auto"/>
        <w:rPr>
          <w:sz w:val="20"/>
          <w:szCs w:val="20"/>
          <w:color w:val="auto"/>
        </w:rPr>
      </w:pPr>
      <w:r>
        <w:rPr>
          <w:rFonts w:ascii="Times New Roman" w:cs="Times New Roman" w:eastAsia="Times New Roman" w:hAnsi="Times New Roman"/>
          <w:sz w:val="20"/>
          <w:szCs w:val="20"/>
          <w:color w:val="auto"/>
        </w:rPr>
        <w:t>1.122 “</w:t>
      </w:r>
      <w:r>
        <w:rPr>
          <w:rFonts w:ascii="Times New Roman" w:cs="Times New Roman" w:eastAsia="Times New Roman" w:hAnsi="Times New Roman"/>
          <w:sz w:val="20"/>
          <w:szCs w:val="20"/>
          <w:b w:val="1"/>
          <w:bCs w:val="1"/>
          <w:color w:val="auto"/>
        </w:rPr>
        <w:t>Valid Claim</w:t>
      </w:r>
      <w:r>
        <w:rPr>
          <w:rFonts w:ascii="Times New Roman" w:cs="Times New Roman" w:eastAsia="Times New Roman" w:hAnsi="Times New Roman"/>
          <w:sz w:val="20"/>
          <w:szCs w:val="20"/>
          <w:color w:val="auto"/>
        </w:rPr>
        <w:t>” means a [***] that (A) has not been abandoned in a country or been held permanently revoked, unenforceable, or invalid by a decision of a patent office or a court of competent jurisdiction, unappealable or unappealed within the time allowed for appeal, and which has not been admitted to be invalid or unenforceable through reissue, re-examination, disclaimer or otherwise, and (B) claims (i) Collaboration IP, (ii) derivatives, modifications, improvements or enhancements to any Collaboration IP or (iii) embodiments describing Target Compounds identified in the relevant Research Program, regardless of the point in time of filing the relevant patent application (for clarity, this subsection (B) shall not include claimed embodiments of Target Compounds describing</w:t>
      </w:r>
    </w:p>
    <w:p>
      <w:pPr>
        <w:spacing w:after="0" w:line="2" w:lineRule="exact"/>
        <w:rPr>
          <w:sz w:val="20"/>
          <w:szCs w:val="20"/>
          <w:color w:val="auto"/>
        </w:rPr>
      </w:pPr>
    </w:p>
    <w:p>
      <w:pPr>
        <w:ind w:firstLine="3"/>
        <w:spacing w:after="0" w:line="272" w:lineRule="auto"/>
        <w:tabs>
          <w:tab w:leader="none" w:pos="286"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formulations such as, without limitation, oral drugs, parental formulations, physiologically compatible liquids, topical formulations, modified release formulations, and lyophilized preparations, (b) methods of use, (c) methods of treatment, and (d) drug combinations).</w:t>
      </w:r>
    </w:p>
    <w:p>
      <w:pPr>
        <w:spacing w:after="0" w:line="149"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21"/>
          <w:szCs w:val="21"/>
          <w:color w:val="auto"/>
        </w:rPr>
        <w:t>1.123 “</w:t>
      </w:r>
      <w:r>
        <w:rPr>
          <w:rFonts w:ascii="Times New Roman" w:cs="Times New Roman" w:eastAsia="Times New Roman" w:hAnsi="Times New Roman"/>
          <w:sz w:val="21"/>
          <w:szCs w:val="21"/>
          <w:b w:val="1"/>
          <w:bCs w:val="1"/>
          <w:color w:val="auto"/>
        </w:rPr>
        <w:t>Variant</w:t>
      </w:r>
      <w:r>
        <w:rPr>
          <w:rFonts w:ascii="Times New Roman" w:cs="Times New Roman" w:eastAsia="Times New Roman" w:hAnsi="Times New Roman"/>
          <w:sz w:val="21"/>
          <w:szCs w:val="21"/>
          <w:color w:val="auto"/>
        </w:rPr>
        <w:t>” means with respect to a Collaboration Target, any and all naturally occurring mutations, isoforms, complements, alternative sequences thereof, and fragments or peptides thereof, including post-translational modifications thereof.</w:t>
      </w:r>
    </w:p>
    <w:p>
      <w:pPr>
        <w:spacing w:after="0" w:line="147"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21"/>
          <w:szCs w:val="21"/>
          <w:color w:val="auto"/>
        </w:rPr>
        <w:t>1.124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has the meaning set forth in Section 7.12.2.</w:t>
      </w:r>
    </w:p>
    <w:p>
      <w:pPr>
        <w:spacing w:after="0" w:line="2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2</w:t>
      </w:r>
    </w:p>
    <w:p>
      <w:pPr>
        <w:spacing w:after="0" w:line="1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COLLABORATION MANAGEMENT</w:t>
      </w:r>
    </w:p>
    <w:p>
      <w:pPr>
        <w:spacing w:after="0" w:line="107"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20"/>
          <w:szCs w:val="20"/>
          <w:b w:val="1"/>
          <w:bCs w:val="1"/>
          <w:color w:val="auto"/>
        </w:rPr>
        <w:t>Joint Steering Committee</w:t>
      </w:r>
      <w:r>
        <w:rPr>
          <w:rFonts w:ascii="Times New Roman" w:cs="Times New Roman" w:eastAsia="Times New Roman" w:hAnsi="Times New Roman"/>
          <w:sz w:val="20"/>
          <w:szCs w:val="20"/>
          <w:color w:val="auto"/>
        </w:rPr>
        <w:t>.</w:t>
      </w:r>
    </w:p>
    <w:p>
      <w:pPr>
        <w:spacing w:after="0" w:line="131" w:lineRule="exact"/>
        <w:rPr>
          <w:sz w:val="20"/>
          <w:szCs w:val="20"/>
          <w:color w:val="auto"/>
        </w:rPr>
      </w:pPr>
    </w:p>
    <w:p>
      <w:pPr>
        <w:jc w:val="both"/>
        <w:ind w:firstLine="1209"/>
        <w:spacing w:after="0" w:line="265" w:lineRule="auto"/>
        <w:rPr>
          <w:sz w:val="20"/>
          <w:szCs w:val="20"/>
          <w:color w:val="auto"/>
        </w:rPr>
      </w:pPr>
      <w:r>
        <w:rPr>
          <w:rFonts w:ascii="Times New Roman" w:cs="Times New Roman" w:eastAsia="Times New Roman" w:hAnsi="Times New Roman"/>
          <w:sz w:val="19"/>
          <w:szCs w:val="19"/>
          <w:color w:val="auto"/>
        </w:rPr>
        <w:t xml:space="preserve">2.1.1 </w:t>
      </w:r>
      <w:r>
        <w:rPr>
          <w:rFonts w:ascii="Times New Roman" w:cs="Times New Roman" w:eastAsia="Times New Roman" w:hAnsi="Times New Roman"/>
          <w:sz w:val="20"/>
          <w:szCs w:val="20"/>
          <w:b w:val="1"/>
          <w:bCs w:val="1"/>
          <w:color w:val="auto"/>
        </w:rPr>
        <w:t>Establishment</w:t>
      </w:r>
      <w:r>
        <w:rPr>
          <w:rFonts w:ascii="Times New Roman" w:cs="Times New Roman" w:eastAsia="Times New Roman" w:hAnsi="Times New Roman"/>
          <w:sz w:val="20"/>
          <w:szCs w:val="20"/>
          <w:color w:val="auto"/>
        </w:rPr>
        <w:t>. Within [***] calendar days after the Effective Date, Company and Merck shall establish a joint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steering committee (the “</w:t>
      </w:r>
      <w:r>
        <w:rPr>
          <w:rFonts w:ascii="Times New Roman" w:cs="Times New Roman" w:eastAsia="Times New Roman" w:hAnsi="Times New Roman"/>
          <w:sz w:val="20"/>
          <w:szCs w:val="20"/>
          <w:b w:val="1"/>
          <w:bCs w:val="1"/>
          <w:color w:val="auto"/>
        </w:rPr>
        <w:t>Joint Steering Committee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JSC</w:t>
      </w:r>
      <w:r>
        <w:rPr>
          <w:rFonts w:ascii="Times New Roman" w:cs="Times New Roman" w:eastAsia="Times New Roman" w:hAnsi="Times New Roman"/>
          <w:sz w:val="20"/>
          <w:szCs w:val="20"/>
          <w:color w:val="auto"/>
        </w:rPr>
        <w:t>”), which shall oversee the activities being conducted under this Agreement and serve as a forum to discuss scientific matters relating to any Research Program. The JSC shall be composed of [***] members consisting of an equal number of representatives from each Party, each with the requisite experience and seniority (in the sole opinion of the appointing Party) to enable such person to make decisions on behalf of the relevant Party with respect to the issues falling within the jurisdiction of the JSC. Other members may join on an as needed basis. Each Party shall have the possibility to replace a JSC member permanently or for a given JSC meeting, by informing the other party in writing.</w:t>
      </w:r>
    </w:p>
    <w:p>
      <w:pPr>
        <w:spacing w:after="0" w:line="53" w:lineRule="exact"/>
        <w:rPr>
          <w:sz w:val="20"/>
          <w:szCs w:val="20"/>
          <w:color w:val="auto"/>
        </w:rPr>
      </w:pPr>
    </w:p>
    <w:p>
      <w:pPr>
        <w:jc w:val="both"/>
        <w:ind w:firstLine="1219"/>
        <w:spacing w:after="0" w:line="269" w:lineRule="auto"/>
        <w:rPr>
          <w:sz w:val="20"/>
          <w:szCs w:val="20"/>
          <w:color w:val="auto"/>
        </w:rPr>
      </w:pPr>
      <w:r>
        <w:rPr>
          <w:rFonts w:ascii="Times New Roman" w:cs="Times New Roman" w:eastAsia="Times New Roman" w:hAnsi="Times New Roman"/>
          <w:sz w:val="19"/>
          <w:szCs w:val="19"/>
          <w:color w:val="auto"/>
        </w:rPr>
        <w:t xml:space="preserve">2.1.2 </w:t>
      </w:r>
      <w:r>
        <w:rPr>
          <w:rFonts w:ascii="Times New Roman" w:cs="Times New Roman" w:eastAsia="Times New Roman" w:hAnsi="Times New Roman"/>
          <w:sz w:val="20"/>
          <w:szCs w:val="20"/>
          <w:b w:val="1"/>
          <w:bCs w:val="1"/>
          <w:color w:val="auto"/>
        </w:rPr>
        <w:t>Meetings of the JSC</w:t>
      </w:r>
      <w:r>
        <w:rPr>
          <w:rFonts w:ascii="Times New Roman" w:cs="Times New Roman" w:eastAsia="Times New Roman" w:hAnsi="Times New Roman"/>
          <w:sz w:val="20"/>
          <w:szCs w:val="20"/>
          <w:color w:val="auto"/>
        </w:rPr>
        <w:t>. The JSC shall hold meetings up to [***] times in each Calendar Year by videoconference,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telephone, web conference, or face to face meetings. The Alliance Managers shall agree on meeting frequency and form of meetings to facilitate discussions among the JSC members, aiming for [***] meetings per Calendar Year whilst any Research Plan is active. At least</w:t>
      </w:r>
    </w:p>
    <w:p>
      <w:pPr>
        <w:jc w:val="both"/>
        <w:ind w:firstLine="3"/>
        <w:spacing w:after="0" w:line="249" w:lineRule="auto"/>
        <w:tabs>
          <w:tab w:leader="none" w:pos="515"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members of the JSC will constitute a quorum for any meeting, provided that at least [***] representatives from each Party are present. The Parties will alternately be responsible for organizing the meetings of the JSC and for distributing the agenda of the meetings but will have no additional powers or rights beyond those held by the other representatives to the JSC. A Party may invite other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60" w:right="339" w:bottom="1440" w:gutter="0" w:footer="0" w:header="0"/>
        </w:sectPr>
      </w:pPr>
    </w:p>
    <w:bookmarkStart w:id="350" w:name="page351"/>
    <w:bookmarkEnd w:id="350"/>
    <w:p>
      <w:pPr>
        <w:jc w:val="both"/>
        <w:spacing w:after="0" w:line="269" w:lineRule="auto"/>
        <w:rPr>
          <w:sz w:val="20"/>
          <w:szCs w:val="20"/>
          <w:color w:val="auto"/>
        </w:rPr>
      </w:pPr>
      <w:r>
        <w:rPr>
          <w:rFonts w:ascii="Times New Roman" w:cs="Times New Roman" w:eastAsia="Times New Roman" w:hAnsi="Times New Roman"/>
          <w:sz w:val="21"/>
          <w:szCs w:val="21"/>
          <w:color w:val="auto"/>
        </w:rPr>
        <w:t>personnel of their organization to attend meetings of the JSC, as appropriate, provided, however, that such other senior personnel shall not have any duties of a JSC member.</w:t>
      </w:r>
    </w:p>
    <w:p>
      <w:pPr>
        <w:spacing w:after="0" w:line="48" w:lineRule="exact"/>
        <w:rPr>
          <w:sz w:val="20"/>
          <w:szCs w:val="20"/>
          <w:color w:val="auto"/>
        </w:rPr>
      </w:pPr>
    </w:p>
    <w:p>
      <w:pPr>
        <w:jc w:val="both"/>
        <w:ind w:firstLine="1219"/>
        <w:spacing w:after="0" w:line="273" w:lineRule="auto"/>
        <w:rPr>
          <w:sz w:val="20"/>
          <w:szCs w:val="20"/>
          <w:color w:val="auto"/>
        </w:rPr>
      </w:pPr>
      <w:r>
        <w:rPr>
          <w:rFonts w:ascii="Times New Roman" w:cs="Times New Roman" w:eastAsia="Times New Roman" w:hAnsi="Times New Roman"/>
          <w:sz w:val="19"/>
          <w:szCs w:val="19"/>
          <w:color w:val="auto"/>
        </w:rPr>
        <w:t xml:space="preserve">2.1.3 </w:t>
      </w:r>
      <w:r>
        <w:rPr>
          <w:rFonts w:ascii="Times New Roman" w:cs="Times New Roman" w:eastAsia="Times New Roman" w:hAnsi="Times New Roman"/>
          <w:sz w:val="20"/>
          <w:szCs w:val="20"/>
          <w:b w:val="1"/>
          <w:bCs w:val="1"/>
          <w:color w:val="auto"/>
        </w:rPr>
        <w:t>Meeting Minutes</w:t>
      </w:r>
      <w:r>
        <w:rPr>
          <w:rFonts w:ascii="Times New Roman" w:cs="Times New Roman" w:eastAsia="Times New Roman" w:hAnsi="Times New Roman"/>
          <w:sz w:val="20"/>
          <w:szCs w:val="20"/>
          <w:color w:val="auto"/>
        </w:rPr>
        <w:t>. Minutes will be kept of all JSC meetings by an appointed representative and sent to 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members of the JSC for review and approval within [***] Business Days from the last day of each meeting. Minutes will be deemed approved unless any member of the JSC objects to the accuracy of such minutes by providing written notice to the other members of the JSC within [***] Business Days of receipt of the minutes. In the event of any such objection that is not resolved by mutual agreement of the Parties, such minutes will be amended to reflect such unresolved dispute.</w:t>
      </w:r>
    </w:p>
    <w:p>
      <w:pPr>
        <w:spacing w:after="0" w:line="46" w:lineRule="exact"/>
        <w:rPr>
          <w:sz w:val="20"/>
          <w:szCs w:val="20"/>
          <w:color w:val="auto"/>
        </w:rPr>
      </w:pPr>
    </w:p>
    <w:p>
      <w:pPr>
        <w:jc w:val="both"/>
        <w:ind w:firstLine="1219"/>
        <w:spacing w:after="0" w:line="274" w:lineRule="auto"/>
        <w:rPr>
          <w:sz w:val="20"/>
          <w:szCs w:val="20"/>
          <w:color w:val="auto"/>
        </w:rPr>
      </w:pPr>
      <w:r>
        <w:rPr>
          <w:rFonts w:ascii="Times New Roman" w:cs="Times New Roman" w:eastAsia="Times New Roman" w:hAnsi="Times New Roman"/>
          <w:sz w:val="19"/>
          <w:szCs w:val="19"/>
          <w:color w:val="auto"/>
        </w:rPr>
        <w:t xml:space="preserve">2.1.4 </w:t>
      </w:r>
      <w:r>
        <w:rPr>
          <w:rFonts w:ascii="Times New Roman" w:cs="Times New Roman" w:eastAsia="Times New Roman" w:hAnsi="Times New Roman"/>
          <w:sz w:val="20"/>
          <w:szCs w:val="20"/>
          <w:b w:val="1"/>
          <w:bCs w:val="1"/>
          <w:color w:val="auto"/>
        </w:rPr>
        <w:t>Urgent Matters</w:t>
      </w:r>
      <w:r>
        <w:rPr>
          <w:rFonts w:ascii="Times New Roman" w:cs="Times New Roman" w:eastAsia="Times New Roman" w:hAnsi="Times New Roman"/>
          <w:sz w:val="20"/>
          <w:szCs w:val="20"/>
          <w:color w:val="auto"/>
        </w:rPr>
        <w:t>. Notwithstanding anything in this Section 2.1 expressed or implied to the contrary, in the event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that an urgent issue or matter arises, that requires prompt action by the JSC, the JSC shall meet for the purpose of resolving the issue or matter. Such JSC meeting shall take place as promptly as possible, with the immediacy of the issue or matter requiring JSC action determining the time, place and manner of the conduct of the meeting.</w:t>
      </w:r>
    </w:p>
    <w:p>
      <w:pPr>
        <w:spacing w:after="0" w:line="46" w:lineRule="exact"/>
        <w:rPr>
          <w:sz w:val="20"/>
          <w:szCs w:val="20"/>
          <w:color w:val="auto"/>
        </w:rPr>
      </w:pPr>
    </w:p>
    <w:p>
      <w:pPr>
        <w:ind w:left="1220"/>
        <w:spacing w:after="0"/>
        <w:tabs>
          <w:tab w:leader="none" w:pos="1840" w:val="left"/>
        </w:tabs>
        <w:rPr>
          <w:sz w:val="20"/>
          <w:szCs w:val="20"/>
          <w:color w:val="auto"/>
        </w:rPr>
      </w:pPr>
      <w:r>
        <w:rPr>
          <w:rFonts w:ascii="Times New Roman" w:cs="Times New Roman" w:eastAsia="Times New Roman" w:hAnsi="Times New Roman"/>
          <w:sz w:val="19"/>
          <w:szCs w:val="19"/>
          <w:color w:val="auto"/>
        </w:rPr>
        <w:t>2.1.5</w:t>
      </w:r>
      <w:r>
        <w:rPr>
          <w:sz w:val="20"/>
          <w:szCs w:val="20"/>
          <w:color w:val="auto"/>
        </w:rPr>
        <w:tab/>
      </w:r>
      <w:r>
        <w:rPr>
          <w:rFonts w:ascii="Times New Roman" w:cs="Times New Roman" w:eastAsia="Times New Roman" w:hAnsi="Times New Roman"/>
          <w:sz w:val="20"/>
          <w:szCs w:val="20"/>
          <w:b w:val="1"/>
          <w:bCs w:val="1"/>
          <w:color w:val="auto"/>
        </w:rPr>
        <w:t>Responsibilities of JSC</w:t>
      </w:r>
      <w:r>
        <w:rPr>
          <w:rFonts w:ascii="Times New Roman" w:cs="Times New Roman" w:eastAsia="Times New Roman" w:hAnsi="Times New Roman"/>
          <w:sz w:val="20"/>
          <w:szCs w:val="20"/>
          <w:color w:val="auto"/>
        </w:rPr>
        <w:t>. The JSC shall, inter alia:</w:t>
      </w:r>
    </w:p>
    <w:p>
      <w:pPr>
        <w:spacing w:after="0" w:line="122" w:lineRule="exact"/>
        <w:rPr>
          <w:sz w:val="20"/>
          <w:szCs w:val="20"/>
          <w:color w:val="auto"/>
        </w:rPr>
      </w:pPr>
    </w:p>
    <w:p>
      <w:pPr>
        <w:ind w:left="2460" w:hanging="629"/>
        <w:spacing w:after="0"/>
        <w:tabs>
          <w:tab w:leader="none" w:pos="2460"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oversee the progress of the Research Plans;</w:t>
      </w:r>
    </w:p>
    <w:p>
      <w:pPr>
        <w:spacing w:after="0" w:line="119" w:lineRule="exact"/>
        <w:rPr>
          <w:rFonts w:ascii="Times New Roman" w:cs="Times New Roman" w:eastAsia="Times New Roman" w:hAnsi="Times New Roman"/>
          <w:sz w:val="19"/>
          <w:szCs w:val="19"/>
          <w:color w:val="auto"/>
        </w:rPr>
      </w:pPr>
    </w:p>
    <w:p>
      <w:pPr>
        <w:ind w:firstLine="1831"/>
        <w:spacing w:after="0" w:line="282" w:lineRule="auto"/>
        <w:tabs>
          <w:tab w:leader="none" w:pos="2474"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discuss and agree (each Party acting reasonably and in good faith) on each update of the respective research activities or Candidate Target Profile under the Research Plans;</w:t>
      </w:r>
    </w:p>
    <w:p>
      <w:pPr>
        <w:spacing w:after="0" w:line="38" w:lineRule="exact"/>
        <w:rPr>
          <w:rFonts w:ascii="Times New Roman" w:cs="Times New Roman" w:eastAsia="Times New Roman" w:hAnsi="Times New Roman"/>
          <w:sz w:val="19"/>
          <w:szCs w:val="19"/>
          <w:color w:val="auto"/>
        </w:rPr>
      </w:pPr>
    </w:p>
    <w:p>
      <w:pPr>
        <w:ind w:left="2460" w:hanging="629"/>
        <w:spacing w:after="0"/>
        <w:tabs>
          <w:tab w:leader="none" w:pos="2460"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discuss updates to Decision Point Criteria;</w:t>
      </w:r>
    </w:p>
    <w:p>
      <w:pPr>
        <w:spacing w:after="0" w:line="106" w:lineRule="exact"/>
        <w:rPr>
          <w:rFonts w:ascii="Times New Roman" w:cs="Times New Roman" w:eastAsia="Times New Roman" w:hAnsi="Times New Roman"/>
          <w:sz w:val="19"/>
          <w:szCs w:val="19"/>
          <w:color w:val="auto"/>
        </w:rPr>
      </w:pPr>
    </w:p>
    <w:p>
      <w:pPr>
        <w:ind w:left="2480" w:hanging="649"/>
        <w:spacing w:after="0"/>
        <w:tabs>
          <w:tab w:leader="none" w:pos="2480"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discuss [***];</w:t>
      </w:r>
    </w:p>
    <w:p>
      <w:pPr>
        <w:spacing w:after="0" w:line="119" w:lineRule="exact"/>
        <w:rPr>
          <w:rFonts w:ascii="Times New Roman" w:cs="Times New Roman" w:eastAsia="Times New Roman" w:hAnsi="Times New Roman"/>
          <w:sz w:val="19"/>
          <w:szCs w:val="19"/>
          <w:color w:val="auto"/>
        </w:rPr>
      </w:pPr>
    </w:p>
    <w:p>
      <w:pPr>
        <w:ind w:firstLine="1831"/>
        <w:spacing w:after="0" w:line="282" w:lineRule="auto"/>
        <w:tabs>
          <w:tab w:leader="none" w:pos="2463"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discuss proposed Targets for election pursuant to Section 3.2, subject to written agreement between the Parties (without being subject to Merck’s final decision-making authority under Section 2.1.6);</w:t>
      </w:r>
    </w:p>
    <w:p>
      <w:pPr>
        <w:spacing w:after="0" w:line="38" w:lineRule="exact"/>
        <w:rPr>
          <w:rFonts w:ascii="Times New Roman" w:cs="Times New Roman" w:eastAsia="Times New Roman" w:hAnsi="Times New Roman"/>
          <w:sz w:val="19"/>
          <w:szCs w:val="19"/>
          <w:color w:val="auto"/>
        </w:rPr>
      </w:pPr>
    </w:p>
    <w:p>
      <w:pPr>
        <w:ind w:firstLine="1831"/>
        <w:spacing w:after="0" w:line="269" w:lineRule="auto"/>
        <w:tabs>
          <w:tab w:leader="none" w:pos="2553"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review and discuss any DPHO Data Package, DPLO Data Package or DPED Data Package prior to submission to Research Unit Leadership Team;</w:t>
      </w:r>
    </w:p>
    <w:p>
      <w:pPr>
        <w:spacing w:after="0" w:line="64" w:lineRule="exact"/>
        <w:rPr>
          <w:rFonts w:ascii="Times New Roman" w:cs="Times New Roman" w:eastAsia="Times New Roman" w:hAnsi="Times New Roman"/>
          <w:sz w:val="19"/>
          <w:szCs w:val="19"/>
          <w:color w:val="auto"/>
        </w:rPr>
      </w:pPr>
    </w:p>
    <w:p>
      <w:pPr>
        <w:ind w:left="2480" w:hanging="649"/>
        <w:spacing w:after="0"/>
        <w:tabs>
          <w:tab w:leader="none" w:pos="2480"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discuss scientific feedback following Merck’s review of any DPHO Data Package, DPLO Data Package</w:t>
      </w:r>
    </w:p>
    <w:p>
      <w:pPr>
        <w:spacing w:after="0" w:line="2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or DPED Data Package; and</w:t>
      </w:r>
    </w:p>
    <w:p>
      <w:pPr>
        <w:spacing w:after="0" w:line="84" w:lineRule="exact"/>
        <w:rPr>
          <w:rFonts w:ascii="Times New Roman" w:cs="Times New Roman" w:eastAsia="Times New Roman" w:hAnsi="Times New Roman"/>
          <w:sz w:val="19"/>
          <w:szCs w:val="19"/>
          <w:color w:val="auto"/>
        </w:rPr>
      </w:pPr>
    </w:p>
    <w:p>
      <w:pPr>
        <w:ind w:left="2480" w:hanging="649"/>
        <w:spacing w:after="0"/>
        <w:tabs>
          <w:tab w:leader="none" w:pos="2480"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consider and act upon such other research related matters as specified in this Agreement.</w:t>
      </w:r>
    </w:p>
    <w:p>
      <w:pPr>
        <w:spacing w:after="0" w:line="115" w:lineRule="exact"/>
        <w:rPr>
          <w:sz w:val="20"/>
          <w:szCs w:val="20"/>
          <w:color w:val="auto"/>
        </w:rPr>
      </w:pPr>
    </w:p>
    <w:p>
      <w:pPr>
        <w:jc w:val="both"/>
        <w:ind w:firstLine="1219"/>
        <w:spacing w:after="0" w:line="267" w:lineRule="auto"/>
        <w:rPr>
          <w:sz w:val="20"/>
          <w:szCs w:val="20"/>
          <w:color w:val="auto"/>
        </w:rPr>
      </w:pPr>
      <w:r>
        <w:rPr>
          <w:rFonts w:ascii="Times New Roman" w:cs="Times New Roman" w:eastAsia="Times New Roman" w:hAnsi="Times New Roman"/>
          <w:sz w:val="19"/>
          <w:szCs w:val="19"/>
          <w:color w:val="auto"/>
        </w:rPr>
        <w:t xml:space="preserve">2.1.6 </w:t>
      </w:r>
      <w:r>
        <w:rPr>
          <w:rFonts w:ascii="Times New Roman" w:cs="Times New Roman" w:eastAsia="Times New Roman" w:hAnsi="Times New Roman"/>
          <w:sz w:val="20"/>
          <w:szCs w:val="20"/>
          <w:b w:val="1"/>
          <w:bCs w:val="1"/>
          <w:color w:val="auto"/>
        </w:rPr>
        <w:t>Determinations</w:t>
      </w:r>
      <w:r>
        <w:rPr>
          <w:rFonts w:ascii="Times New Roman" w:cs="Times New Roman" w:eastAsia="Times New Roman" w:hAnsi="Times New Roman"/>
          <w:sz w:val="20"/>
          <w:szCs w:val="20"/>
          <w:color w:val="auto"/>
        </w:rPr>
        <w:t>. The Parties shall conduct the discussions in the JSC in good faith and amicably with the aim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reach consensus, with each Party having a single vote, irrespective of the number of representatives actually in attendance at a meeting, or by a written resolution signed by the designated representatives of each of the Parties. In the event the JSC is unable to secure unanimous consent on a matter within [***] days from the date on which such matter has been referred to the JSC, (a) the discussion shall be escalated to the Senior Executives of both Parties for resolution; and (b) if the Senior Executives are unable to reach a final agreement on the matter, Merck will have final decision-making authority with respect to [***].</w:t>
      </w:r>
    </w:p>
    <w:p>
      <w:pPr>
        <w:spacing w:after="0" w:line="63" w:lineRule="exact"/>
        <w:rPr>
          <w:sz w:val="20"/>
          <w:szCs w:val="20"/>
          <w:color w:val="auto"/>
        </w:rPr>
      </w:pPr>
    </w:p>
    <w:p>
      <w:pPr>
        <w:jc w:val="both"/>
        <w:ind w:firstLine="1219"/>
        <w:spacing w:after="0" w:line="299" w:lineRule="auto"/>
        <w:rPr>
          <w:sz w:val="20"/>
          <w:szCs w:val="20"/>
          <w:color w:val="auto"/>
        </w:rPr>
      </w:pPr>
      <w:r>
        <w:rPr>
          <w:rFonts w:ascii="Times New Roman" w:cs="Times New Roman" w:eastAsia="Times New Roman" w:hAnsi="Times New Roman"/>
          <w:sz w:val="19"/>
          <w:szCs w:val="19"/>
          <w:color w:val="auto"/>
        </w:rPr>
        <w:t xml:space="preserve">2.1.7 </w:t>
      </w:r>
      <w:r>
        <w:rPr>
          <w:rFonts w:ascii="Times New Roman" w:cs="Times New Roman" w:eastAsia="Times New Roman" w:hAnsi="Times New Roman"/>
          <w:sz w:val="20"/>
          <w:szCs w:val="20"/>
          <w:b w:val="1"/>
          <w:bCs w:val="1"/>
          <w:color w:val="auto"/>
        </w:rPr>
        <w:t>Limitation of Powers</w:t>
      </w:r>
      <w:r>
        <w:rPr>
          <w:rFonts w:ascii="Times New Roman" w:cs="Times New Roman" w:eastAsia="Times New Roman" w:hAnsi="Times New Roman"/>
          <w:sz w:val="20"/>
          <w:szCs w:val="20"/>
          <w:color w:val="auto"/>
        </w:rPr>
        <w:t>. The JSC shall only have such powers as are specifically delegated to it hereunder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shall not have any power to amend or modify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64" w:right="339" w:bottom="1440" w:gutter="0" w:footer="0" w:header="0"/>
        </w:sectPr>
      </w:pPr>
    </w:p>
    <w:bookmarkStart w:id="351" w:name="page352"/>
    <w:bookmarkEnd w:id="351"/>
    <w:p>
      <w:pPr>
        <w:jc w:val="both"/>
        <w:spacing w:after="0" w:line="269" w:lineRule="auto"/>
        <w:rPr>
          <w:sz w:val="20"/>
          <w:szCs w:val="20"/>
          <w:color w:val="auto"/>
        </w:rPr>
      </w:pPr>
      <w:r>
        <w:rPr>
          <w:rFonts w:ascii="Times New Roman" w:cs="Times New Roman" w:eastAsia="Times New Roman" w:hAnsi="Times New Roman"/>
          <w:sz w:val="21"/>
          <w:szCs w:val="21"/>
          <w:color w:val="auto"/>
        </w:rPr>
        <w:t>terms of this Agreement. Specifically, the JSC shall not have the power to amend the Decision Point Criteria for any Collaboration Target.</w:t>
      </w:r>
    </w:p>
    <w:p>
      <w:pPr>
        <w:spacing w:after="0" w:line="48" w:lineRule="exact"/>
        <w:rPr>
          <w:sz w:val="20"/>
          <w:szCs w:val="20"/>
          <w:color w:val="auto"/>
        </w:rPr>
      </w:pPr>
    </w:p>
    <w:p>
      <w:pPr>
        <w:jc w:val="both"/>
        <w:ind w:firstLine="609"/>
        <w:spacing w:after="0" w:line="263"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20"/>
          <w:szCs w:val="20"/>
          <w:b w:val="1"/>
          <w:bCs w:val="1"/>
          <w:color w:val="auto"/>
        </w:rPr>
        <w:t>Alliance Managers</w:t>
      </w:r>
      <w:r>
        <w:rPr>
          <w:rFonts w:ascii="Times New Roman" w:cs="Times New Roman" w:eastAsia="Times New Roman" w:hAnsi="Times New Roman"/>
          <w:sz w:val="20"/>
          <w:szCs w:val="20"/>
          <w:color w:val="auto"/>
        </w:rPr>
        <w:t>. Each of the Parties will appoint one representative who possesses a general understanding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Development issues to act as its alliance manager (each, an “</w:t>
      </w:r>
      <w:r>
        <w:rPr>
          <w:rFonts w:ascii="Times New Roman" w:cs="Times New Roman" w:eastAsia="Times New Roman" w:hAnsi="Times New Roman"/>
          <w:sz w:val="20"/>
          <w:szCs w:val="20"/>
          <w:b w:val="1"/>
          <w:bCs w:val="1"/>
          <w:color w:val="auto"/>
        </w:rPr>
        <w:t>Alliance Manager</w:t>
      </w:r>
      <w:r>
        <w:rPr>
          <w:rFonts w:ascii="Times New Roman" w:cs="Times New Roman" w:eastAsia="Times New Roman" w:hAnsi="Times New Roman"/>
          <w:sz w:val="20"/>
          <w:szCs w:val="20"/>
          <w:color w:val="auto"/>
        </w:rPr>
        <w:t>”). The Alliance Managers will serve as non-voting representatives on the JSC. The primary role of the Alliance Manager is to manage and progress the Research Program. The Alliance Managers will be responsible for preparing and circulating an agenda in advance of each JSC meeting, conducting the JSC meeting and promptly preparing meeting minutes to be approved of by both Parties. An Alliance Manager may bring any matter to the attention of the JSC if such Alliance Manager reasonably believes that such matter warrants such attention. Each Party may change its designated Alliance Manager from time to time upon written notice to the other Party. Any Alliance Manager may designate a substitute to temporarily perform the functions of such Alliance Manager upon written notice to the other Party’s Alliance Manager. Each Alliance Manager will be charged with creating and maintaining a collaborative work environment within the JSC. Each Party shall have the possibility to replace an Alliance Manager, such substitution to be informed in writing. The initial Alliance Managers will be:</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For Company: [***]</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For Merck: [***]</w:t>
      </w:r>
    </w:p>
    <w:p>
      <w:pPr>
        <w:spacing w:after="0" w:line="103" w:lineRule="exact"/>
        <w:rPr>
          <w:sz w:val="20"/>
          <w:szCs w:val="20"/>
          <w:color w:val="auto"/>
        </w:rPr>
      </w:pPr>
    </w:p>
    <w:p>
      <w:pPr>
        <w:jc w:val="both"/>
        <w:ind w:firstLine="487"/>
        <w:spacing w:after="0" w:line="268" w:lineRule="auto"/>
        <w:rPr>
          <w:sz w:val="20"/>
          <w:szCs w:val="20"/>
          <w:color w:val="auto"/>
        </w:rPr>
      </w:pPr>
      <w:r>
        <w:rPr>
          <w:rFonts w:ascii="Times New Roman" w:cs="Times New Roman" w:eastAsia="Times New Roman" w:hAnsi="Times New Roman"/>
          <w:sz w:val="19"/>
          <w:szCs w:val="19"/>
          <w:color w:val="auto"/>
        </w:rPr>
        <w:t xml:space="preserve">2.3 </w:t>
      </w:r>
      <w:r>
        <w:rPr>
          <w:rFonts w:ascii="Times New Roman" w:cs="Times New Roman" w:eastAsia="Times New Roman" w:hAnsi="Times New Roman"/>
          <w:sz w:val="20"/>
          <w:szCs w:val="20"/>
          <w:b w:val="1"/>
          <w:bCs w:val="1"/>
          <w:color w:val="auto"/>
        </w:rPr>
        <w:t>IP Sub-Committee</w:t>
      </w:r>
      <w:r>
        <w:rPr>
          <w:rFonts w:ascii="Times New Roman" w:cs="Times New Roman" w:eastAsia="Times New Roman" w:hAnsi="Times New Roman"/>
          <w:sz w:val="20"/>
          <w:szCs w:val="20"/>
          <w:color w:val="auto"/>
        </w:rPr>
        <w:t>. Within [***] calendar days after the Effective Date, Company and Merck shall establish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committee comprising up to [***] patent attorneys or lawyers of each Party (the “</w:t>
      </w:r>
      <w:r>
        <w:rPr>
          <w:rFonts w:ascii="Times New Roman" w:cs="Times New Roman" w:eastAsia="Times New Roman" w:hAnsi="Times New Roman"/>
          <w:sz w:val="20"/>
          <w:szCs w:val="20"/>
          <w:b w:val="1"/>
          <w:bCs w:val="1"/>
          <w:color w:val="auto"/>
        </w:rPr>
        <w:t>IP Sub-Committee</w:t>
      </w:r>
      <w:r>
        <w:rPr>
          <w:rFonts w:ascii="Times New Roman" w:cs="Times New Roman" w:eastAsia="Times New Roman" w:hAnsi="Times New Roman"/>
          <w:sz w:val="20"/>
          <w:szCs w:val="20"/>
          <w:color w:val="auto"/>
        </w:rPr>
        <w:t>”), which shall be the forum for discussion and liaison between the Parties relating to the matters set out in ARTICLE 8. The IP Sub-Committee shall also serve as a forum for discussion and alignment between the Parties with respect to [***], which [***] typically requires approximately [***] days prior to the submission of [***]. The IP Sub-Committee shall not have the power to make final determinations or amend the terms of this Agreement.</w:t>
      </w:r>
    </w:p>
    <w:p>
      <w:pPr>
        <w:spacing w:after="0" w:line="315" w:lineRule="exact"/>
        <w:rPr>
          <w:sz w:val="20"/>
          <w:szCs w:val="20"/>
          <w:color w:val="auto"/>
        </w:rPr>
      </w:pPr>
    </w:p>
    <w:p>
      <w:pPr>
        <w:jc w:val="both"/>
        <w:ind w:firstLine="487"/>
        <w:spacing w:after="0" w:line="269" w:lineRule="auto"/>
        <w:rPr>
          <w:sz w:val="20"/>
          <w:szCs w:val="20"/>
          <w:color w:val="auto"/>
        </w:rPr>
      </w:pPr>
      <w:r>
        <w:rPr>
          <w:rFonts w:ascii="Times New Roman" w:cs="Times New Roman" w:eastAsia="Times New Roman" w:hAnsi="Times New Roman"/>
          <w:sz w:val="19"/>
          <w:szCs w:val="19"/>
          <w:color w:val="auto"/>
        </w:rPr>
        <w:t xml:space="preserve">2.4 </w:t>
      </w:r>
      <w:r>
        <w:rPr>
          <w:rFonts w:ascii="Times New Roman" w:cs="Times New Roman" w:eastAsia="Times New Roman" w:hAnsi="Times New Roman"/>
          <w:sz w:val="20"/>
          <w:szCs w:val="20"/>
          <w:b w:val="1"/>
          <w:bCs w:val="1"/>
          <w:color w:val="auto"/>
        </w:rPr>
        <w:t>Subject Matter Specialist</w:t>
      </w:r>
      <w:r>
        <w:rPr>
          <w:rFonts w:ascii="Times New Roman" w:cs="Times New Roman" w:eastAsia="Times New Roman" w:hAnsi="Times New Roman"/>
          <w:sz w:val="20"/>
          <w:szCs w:val="20"/>
          <w:color w:val="auto"/>
        </w:rPr>
        <w:t>. Merck shall nominate up to [***] individuals, and Company shall nominate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individuals as needed, having the appropriate expertise, who shall meet on an as-needed basis and shall be responsible for providing guidance and advice during the progress of the activities described in each Research Plan (the “</w:t>
      </w:r>
      <w:r>
        <w:rPr>
          <w:rFonts w:ascii="Times New Roman" w:cs="Times New Roman" w:eastAsia="Times New Roman" w:hAnsi="Times New Roman"/>
          <w:sz w:val="20"/>
          <w:szCs w:val="20"/>
          <w:b w:val="1"/>
          <w:bCs w:val="1"/>
          <w:color w:val="auto"/>
        </w:rPr>
        <w:t>Subject Matter Specialist</w:t>
      </w:r>
      <w:r>
        <w:rPr>
          <w:rFonts w:ascii="Times New Roman" w:cs="Times New Roman" w:eastAsia="Times New Roman" w:hAnsi="Times New Roman"/>
          <w:sz w:val="20"/>
          <w:szCs w:val="20"/>
          <w:color w:val="auto"/>
        </w:rPr>
        <w:t>”). Each Party shall ensure that their appointed representatives are of a level of expertise and seniority to deal with the issues that may arise for consideration by the Subject Matter Specialists.</w:t>
      </w:r>
    </w:p>
    <w:p>
      <w:pPr>
        <w:spacing w:after="0" w:line="52" w:lineRule="exact"/>
        <w:rPr>
          <w:sz w:val="20"/>
          <w:szCs w:val="20"/>
          <w:color w:val="auto"/>
        </w:rPr>
      </w:pPr>
    </w:p>
    <w:p>
      <w:pPr>
        <w:jc w:val="both"/>
        <w:ind w:firstLine="487"/>
        <w:spacing w:after="0" w:line="312"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As between the Parties, each Party shall be responsible for all travel and related costs and expenses for its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Alliance Manager, its JSC members and other representatives to attend meetings of, and otherwise participate on, the JSC.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3</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RESEARCH PROGRAM</w:t>
      </w:r>
    </w:p>
    <w:p>
      <w:pPr>
        <w:spacing w:after="0" w:line="107"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20"/>
          <w:szCs w:val="20"/>
          <w:b w:val="1"/>
          <w:bCs w:val="1"/>
          <w:color w:val="auto"/>
        </w:rPr>
        <w:t>Research Program.</w:t>
      </w:r>
    </w:p>
    <w:p>
      <w:pPr>
        <w:spacing w:after="0" w:line="135" w:lineRule="exact"/>
        <w:rPr>
          <w:sz w:val="20"/>
          <w:szCs w:val="20"/>
          <w:color w:val="auto"/>
        </w:rPr>
      </w:pPr>
    </w:p>
    <w:p>
      <w:pPr>
        <w:jc w:val="both"/>
        <w:ind w:left="1000"/>
        <w:spacing w:after="0" w:line="275" w:lineRule="auto"/>
        <w:rPr>
          <w:sz w:val="20"/>
          <w:szCs w:val="20"/>
          <w:color w:val="auto"/>
        </w:rPr>
      </w:pPr>
      <w:r>
        <w:rPr>
          <w:rFonts w:ascii="Times New Roman" w:cs="Times New Roman" w:eastAsia="Times New Roman" w:hAnsi="Times New Roman"/>
          <w:sz w:val="19"/>
          <w:szCs w:val="19"/>
          <w:color w:val="auto"/>
        </w:rPr>
        <w:t xml:space="preserve">3.1.1 </w:t>
      </w:r>
      <w:r>
        <w:rPr>
          <w:rFonts w:ascii="Times New Roman" w:cs="Times New Roman" w:eastAsia="Times New Roman" w:hAnsi="Times New Roman"/>
          <w:sz w:val="20"/>
          <w:szCs w:val="20"/>
          <w:u w:val="single" w:color="auto"/>
          <w:color w:val="auto"/>
        </w:rPr>
        <w:t>Research Plans</w:t>
      </w:r>
      <w:r>
        <w:rPr>
          <w:rFonts w:ascii="Times New Roman" w:cs="Times New Roman" w:eastAsia="Times New Roman" w:hAnsi="Times New Roman"/>
          <w:sz w:val="20"/>
          <w:szCs w:val="20"/>
          <w:color w:val="auto"/>
        </w:rPr>
        <w:t>. There shall be a mutually agreed research plan for each Collaboration Target, setting forth (i)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research activities to be conducted, (ii) the Candidate Development Target Profile, and (iii) the Decision Point Criteria (each such plan, a “</w:t>
      </w:r>
      <w:r>
        <w:rPr>
          <w:rFonts w:ascii="Times New Roman" w:cs="Times New Roman" w:eastAsia="Times New Roman" w:hAnsi="Times New Roman"/>
          <w:sz w:val="20"/>
          <w:szCs w:val="20"/>
          <w:b w:val="1"/>
          <w:bCs w:val="1"/>
          <w:color w:val="auto"/>
        </w:rPr>
        <w:t>Research Plan</w:t>
      </w:r>
      <w:r>
        <w:rPr>
          <w:rFonts w:ascii="Times New Roman" w:cs="Times New Roman" w:eastAsia="Times New Roman" w:hAnsi="Times New Roman"/>
          <w:sz w:val="20"/>
          <w:szCs w:val="20"/>
          <w:color w:val="auto"/>
        </w:rPr>
        <w:t>”). A high-level outline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365" w:right="339" w:bottom="1440" w:gutter="0" w:footer="0" w:header="0"/>
        </w:sectPr>
      </w:pPr>
    </w:p>
    <w:bookmarkStart w:id="352" w:name="page353"/>
    <w:bookmarkEnd w:id="352"/>
    <w:p>
      <w:pPr>
        <w:jc w:val="both"/>
        <w:ind w:left="500"/>
        <w:spacing w:after="0" w:line="252" w:lineRule="auto"/>
        <w:rPr>
          <w:sz w:val="20"/>
          <w:szCs w:val="20"/>
          <w:color w:val="auto"/>
        </w:rPr>
      </w:pPr>
      <w:r>
        <w:rPr>
          <w:rFonts w:ascii="Times New Roman" w:cs="Times New Roman" w:eastAsia="Times New Roman" w:hAnsi="Times New Roman"/>
          <w:sz w:val="21"/>
          <w:szCs w:val="21"/>
          <w:color w:val="auto"/>
        </w:rPr>
        <w:t xml:space="preserve">Research Plans for [***] of the Initial Collaboration Targets is set forth in </w:t>
      </w:r>
      <w:r>
        <w:rPr>
          <w:rFonts w:ascii="Times New Roman" w:cs="Times New Roman" w:eastAsia="Times New Roman" w:hAnsi="Times New Roman"/>
          <w:sz w:val="21"/>
          <w:szCs w:val="21"/>
          <w:b w:val="1"/>
          <w:bCs w:val="1"/>
          <w:u w:val="single" w:color="auto"/>
          <w:color w:val="auto"/>
        </w:rPr>
        <w:t>Schedules 3.1.1-A and 3.1.1-B</w:t>
      </w:r>
      <w:r>
        <w:rPr>
          <w:rFonts w:ascii="Times New Roman" w:cs="Times New Roman" w:eastAsia="Times New Roman" w:hAnsi="Times New Roman"/>
          <w:sz w:val="21"/>
          <w:szCs w:val="21"/>
          <w:color w:val="auto"/>
        </w:rPr>
        <w:t>. On the basis of this high-level outline, the Parties shall finalize the detailed Research Plans for the Initial Collaboration Targets (and, in respect of the third Initial Collaboration Target, the Parties shall agree the detailed Research Plan) by no later than the date that is [***] weeks from the Effective Date. The Parties shall record the date when such finalized Research Plans are agreed. Research Plans for future Collaboration Targets that may be elected in accordance with Section 3.2 will be mutually agreed in writing by the Parties in accordance with Section 3.2.3.</w:t>
      </w:r>
    </w:p>
    <w:p>
      <w:pPr>
        <w:spacing w:after="0" w:line="68" w:lineRule="exact"/>
        <w:rPr>
          <w:sz w:val="20"/>
          <w:szCs w:val="20"/>
          <w:color w:val="auto"/>
        </w:rPr>
      </w:pPr>
    </w:p>
    <w:p>
      <w:pPr>
        <w:jc w:val="both"/>
        <w:ind w:left="500"/>
        <w:spacing w:after="0" w:line="268"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20"/>
          <w:szCs w:val="20"/>
          <w:u w:val="single" w:color="auto"/>
          <w:color w:val="auto"/>
        </w:rPr>
        <w:t>Diligence</w:t>
      </w:r>
      <w:r>
        <w:rPr>
          <w:rFonts w:ascii="Times New Roman" w:cs="Times New Roman" w:eastAsia="Times New Roman" w:hAnsi="Times New Roman"/>
          <w:sz w:val="20"/>
          <w:szCs w:val="20"/>
          <w:color w:val="auto"/>
        </w:rPr>
        <w:t>. Company shall carry out the Research Program in accordance with each Research Plan and 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Commercially Reasonable Efforts to deliver to Merck [***] Target Compounds that meet the Decision Point Criteria for each Collaboration Target as further defined in this ARTICLE 3. Company shall have available, and dedicate to each of the Research Programs, resources (including an instance of the Company Platform Technology) and qualified and knowledgeable personnel to ensure timely and professional conduct of the respective Research Program.</w:t>
      </w:r>
    </w:p>
    <w:p>
      <w:pPr>
        <w:spacing w:after="0" w:line="5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9"/>
          <w:szCs w:val="19"/>
          <w:color w:val="auto"/>
        </w:rPr>
        <w:t xml:space="preserve">3.1.3 </w:t>
      </w:r>
      <w:r>
        <w:rPr>
          <w:rFonts w:ascii="Times New Roman" w:cs="Times New Roman" w:eastAsia="Times New Roman" w:hAnsi="Times New Roman"/>
          <w:sz w:val="20"/>
          <w:szCs w:val="20"/>
          <w:u w:val="single" w:color="auto"/>
          <w:color w:val="auto"/>
        </w:rPr>
        <w:t>Decision Point Criteria Update</w:t>
      </w:r>
      <w:r>
        <w:rPr>
          <w:rFonts w:ascii="Times New Roman" w:cs="Times New Roman" w:eastAsia="Times New Roman" w:hAnsi="Times New Roman"/>
          <w:sz w:val="20"/>
          <w:szCs w:val="20"/>
          <w:color w:val="auto"/>
        </w:rPr>
        <w:t>. Merck, acting reasonably and in good faith, may update Decision Point Criteria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by written notice to Company, provided that (i) such update shall have been discussed in the JSC and Merck shall act reasonably and take into account Company’s comments in good faith, and (ii) Merck shall not be permitted to update Decision Point Criteria relating to a specific Stage Gate Decision Point after Company has submitted the corresponding data package to Merck pursuant to Section 3.4, and (iii) the Parties shall have discussed in good faith and agreed financial consequences, if a Decision Point Criteria update would cause Company to incur higher cost in conducting the Research Plan for the relevant Collaboration Target.</w:t>
      </w:r>
    </w:p>
    <w:p>
      <w:pPr>
        <w:spacing w:after="0" w:line="59" w:lineRule="exact"/>
        <w:rPr>
          <w:sz w:val="20"/>
          <w:szCs w:val="20"/>
          <w:color w:val="auto"/>
        </w:rPr>
      </w:pPr>
    </w:p>
    <w:p>
      <w:pPr>
        <w:jc w:val="both"/>
        <w:ind w:left="500"/>
        <w:spacing w:after="0" w:line="273" w:lineRule="auto"/>
        <w:rPr>
          <w:sz w:val="20"/>
          <w:szCs w:val="20"/>
          <w:color w:val="auto"/>
        </w:rPr>
      </w:pPr>
      <w:r>
        <w:rPr>
          <w:rFonts w:ascii="Times New Roman" w:cs="Times New Roman" w:eastAsia="Times New Roman" w:hAnsi="Times New Roman"/>
          <w:sz w:val="19"/>
          <w:szCs w:val="19"/>
          <w:color w:val="auto"/>
        </w:rPr>
        <w:t xml:space="preserve">3.1.4 </w:t>
      </w:r>
      <w:r>
        <w:rPr>
          <w:rFonts w:ascii="Times New Roman" w:cs="Times New Roman" w:eastAsia="Times New Roman" w:hAnsi="Times New Roman"/>
          <w:sz w:val="20"/>
          <w:szCs w:val="20"/>
          <w:u w:val="single" w:color="auto"/>
          <w:color w:val="auto"/>
        </w:rPr>
        <w:t>Optional Studies by Merck</w:t>
      </w:r>
      <w:r>
        <w:rPr>
          <w:rFonts w:ascii="Times New Roman" w:cs="Times New Roman" w:eastAsia="Times New Roman" w:hAnsi="Times New Roman"/>
          <w:sz w:val="20"/>
          <w:szCs w:val="20"/>
          <w:color w:val="auto"/>
        </w:rPr>
        <w:t>. Merck shall have a right to run additional research studies on Target Compounds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itself. Upon Merck’s request, the Parties will update the relevant Research Plan to specify such studies in that Research Plan, and Company will provide to Merck any research Material and Target Compounds required for such studies as agreed by the Parties and set out in that Research Plan.</w:t>
      </w:r>
    </w:p>
    <w:p>
      <w:pPr>
        <w:spacing w:after="0" w:line="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20"/>
          <w:szCs w:val="20"/>
          <w:b w:val="1"/>
          <w:bCs w:val="1"/>
          <w:color w:val="auto"/>
        </w:rPr>
        <w:t>Collaboration Targets.</w:t>
      </w:r>
    </w:p>
    <w:p>
      <w:pPr>
        <w:spacing w:after="0" w:line="135" w:lineRule="exact"/>
        <w:rPr>
          <w:sz w:val="20"/>
          <w:szCs w:val="20"/>
          <w:color w:val="auto"/>
        </w:rPr>
      </w:pPr>
    </w:p>
    <w:p>
      <w:pPr>
        <w:jc w:val="both"/>
        <w:ind w:left="500"/>
        <w:spacing w:after="0" w:line="274" w:lineRule="auto"/>
        <w:rPr>
          <w:sz w:val="20"/>
          <w:szCs w:val="20"/>
          <w:color w:val="auto"/>
        </w:rPr>
      </w:pPr>
      <w:r>
        <w:rPr>
          <w:rFonts w:ascii="Times New Roman" w:cs="Times New Roman" w:eastAsia="Times New Roman" w:hAnsi="Times New Roman"/>
          <w:sz w:val="19"/>
          <w:szCs w:val="19"/>
          <w:color w:val="auto"/>
        </w:rPr>
        <w:t xml:space="preserve">3.2.1 </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 for each Collaboration Target, after [***], such Collaboration Target may be [***], 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follows:</w:t>
      </w:r>
    </w:p>
    <w:p>
      <w:pPr>
        <w:spacing w:after="0" w:line="343" w:lineRule="exact"/>
        <w:rPr>
          <w:sz w:val="20"/>
          <w:szCs w:val="20"/>
          <w:color w:val="auto"/>
        </w:rPr>
      </w:pPr>
    </w:p>
    <w:p>
      <w:pPr>
        <w:ind w:left="1360"/>
        <w:spacing w:after="0" w:line="269" w:lineRule="auto"/>
        <w:tabs>
          <w:tab w:leader="none" w:pos="1969" w:val="left"/>
        </w:tabs>
        <w:numPr>
          <w:ilvl w:val="0"/>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Merck may [***] Collaboration Target [***], by giving written notice to Company (upon which such [***] shall be deemed [***]); or</w:t>
      </w:r>
    </w:p>
    <w:p>
      <w:pPr>
        <w:spacing w:after="0" w:line="64" w:lineRule="exact"/>
        <w:rPr>
          <w:rFonts w:ascii="Times New Roman" w:cs="Times New Roman" w:eastAsia="Times New Roman" w:hAnsi="Times New Roman"/>
          <w:sz w:val="19"/>
          <w:szCs w:val="19"/>
          <w:color w:val="auto"/>
        </w:rPr>
      </w:pPr>
    </w:p>
    <w:p>
      <w:pPr>
        <w:ind w:left="1360"/>
        <w:spacing w:after="0" w:line="269" w:lineRule="auto"/>
        <w:tabs>
          <w:tab w:leader="none" w:pos="1967" w:val="left"/>
        </w:tabs>
        <w:numPr>
          <w:ilvl w:val="0"/>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upon Merck’s request (including following Company’s initial proposal in accordance with Section 7.3 or otherwise), the Parties, acting reasonably and in good faith, may discuss and agree in writing on the [***].</w:t>
      </w:r>
    </w:p>
    <w:p>
      <w:pPr>
        <w:spacing w:after="0" w:line="52"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1"/>
          <w:szCs w:val="21"/>
          <w:color w:val="auto"/>
        </w:rPr>
        <w:t>It is understood that Merck shall not unreasonably delay exercising its rights for [***] as set forth herein. As soon as reasonably practicable after the date that is [***] months after the Start Date, the Parties shall jointly review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740"/>
          </w:cols>
          <w:pgMar w:left="820" w:top="1360" w:right="339" w:bottom="1440" w:gutter="0" w:footer="0" w:header="0"/>
        </w:sectPr>
      </w:pPr>
    </w:p>
    <w:bookmarkStart w:id="353" w:name="page354"/>
    <w:bookmarkEnd w:id="353"/>
    <w:p>
      <w:pPr>
        <w:jc w:val="both"/>
        <w:ind w:left="1240" w:firstLine="1"/>
        <w:spacing w:after="0" w:line="256" w:lineRule="auto"/>
        <w:tabs>
          <w:tab w:leader="none" w:pos="1762"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the Parties acknowledge and agree that, if at such review the Parties (acting reasonably and in good faith) determine that, with respect to any Collaboration Target, it is either [***] should occur as soon as reasonably practicable thereafter. For the avoidance of doubt, [***].</w:t>
      </w:r>
    </w:p>
    <w:p>
      <w:pPr>
        <w:spacing w:after="0" w:line="78" w:lineRule="exact"/>
        <w:rPr>
          <w:sz w:val="20"/>
          <w:szCs w:val="20"/>
          <w:color w:val="auto"/>
        </w:rPr>
      </w:pPr>
    </w:p>
    <w:p>
      <w:pPr>
        <w:jc w:val="both"/>
        <w:ind w:left="1000"/>
        <w:spacing w:after="0" w:line="268" w:lineRule="auto"/>
        <w:rPr>
          <w:sz w:val="20"/>
          <w:szCs w:val="20"/>
          <w:color w:val="auto"/>
        </w:rPr>
      </w:pPr>
      <w:r>
        <w:rPr>
          <w:rFonts w:ascii="Times New Roman" w:cs="Times New Roman" w:eastAsia="Times New Roman" w:hAnsi="Times New Roman"/>
          <w:sz w:val="19"/>
          <w:szCs w:val="19"/>
          <w:color w:val="auto"/>
        </w:rPr>
        <w:t xml:space="preserve">3.2.2 </w:t>
      </w:r>
      <w:r>
        <w:rPr>
          <w:rFonts w:ascii="Times New Roman" w:cs="Times New Roman" w:eastAsia="Times New Roman" w:hAnsi="Times New Roman"/>
          <w:sz w:val="20"/>
          <w:szCs w:val="20"/>
          <w:u w:val="single" w:color="auto"/>
          <w:color w:val="auto"/>
        </w:rPr>
        <w:t>New Collaboration Targets</w:t>
      </w:r>
      <w:r>
        <w:rPr>
          <w:rFonts w:ascii="Times New Roman" w:cs="Times New Roman" w:eastAsia="Times New Roman" w:hAnsi="Times New Roman"/>
          <w:sz w:val="20"/>
          <w:szCs w:val="20"/>
          <w:color w:val="auto"/>
        </w:rPr>
        <w:t>. Upon mutual agreement between the Parties in writing at any time during the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(including following Company’s initial proposal in accordance with Section 7.3 or otherwise), new Targets may be elected as new Collaboration Targets ([***]), it being understood that such new Collaboration Targets may only be Targets other than (A) a Target that the Company has an internal program covering such Target, or (B) a Target for which the Company [***]. In addition, the Parties may mutually agree in writing [***].</w:t>
      </w:r>
    </w:p>
    <w:p>
      <w:pPr>
        <w:spacing w:after="0" w:line="57" w:lineRule="exact"/>
        <w:rPr>
          <w:sz w:val="20"/>
          <w:szCs w:val="20"/>
          <w:color w:val="auto"/>
        </w:rPr>
      </w:pPr>
    </w:p>
    <w:p>
      <w:pPr>
        <w:jc w:val="both"/>
        <w:ind w:left="1000"/>
        <w:spacing w:after="0" w:line="273" w:lineRule="auto"/>
        <w:rPr>
          <w:sz w:val="20"/>
          <w:szCs w:val="20"/>
          <w:color w:val="auto"/>
        </w:rPr>
      </w:pPr>
      <w:r>
        <w:rPr>
          <w:rFonts w:ascii="Times New Roman" w:cs="Times New Roman" w:eastAsia="Times New Roman" w:hAnsi="Times New Roman"/>
          <w:sz w:val="19"/>
          <w:szCs w:val="19"/>
          <w:color w:val="auto"/>
        </w:rPr>
        <w:t xml:space="preserve">3.2.3 </w:t>
      </w:r>
      <w:r>
        <w:rPr>
          <w:rFonts w:ascii="Times New Roman" w:cs="Times New Roman" w:eastAsia="Times New Roman" w:hAnsi="Times New Roman"/>
          <w:sz w:val="20"/>
          <w:szCs w:val="20"/>
          <w:u w:val="single" w:color="auto"/>
          <w:color w:val="auto"/>
        </w:rPr>
        <w:t>Research Plan 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u w:val="single" w:color="auto"/>
          <w:color w:val="auto"/>
        </w:rPr>
        <w:t>Collaboration Targets</w:t>
      </w:r>
      <w:r>
        <w:rPr>
          <w:rFonts w:ascii="Times New Roman" w:cs="Times New Roman" w:eastAsia="Times New Roman" w:hAnsi="Times New Roman"/>
          <w:sz w:val="20"/>
          <w:szCs w:val="20"/>
          <w:color w:val="auto"/>
        </w:rPr>
        <w:t>. A corresponding new Research Plan shall be agreed between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Parties [***] following election of a Target [***]. The Parties shall record whether such Target was elected pursuant to [***], and shall record the date of agreement of such Research Plan, and as of such date [***] and the Target elected pursuant to [***] shall become a Collaboration Target for all purposes under this Agreement.</w:t>
      </w:r>
    </w:p>
    <w:p>
      <w:pPr>
        <w:spacing w:after="0" w:line="49" w:lineRule="exact"/>
        <w:rPr>
          <w:sz w:val="20"/>
          <w:szCs w:val="20"/>
          <w:color w:val="auto"/>
        </w:rPr>
      </w:pPr>
    </w:p>
    <w:p>
      <w:pPr>
        <w:jc w:val="both"/>
        <w:ind w:left="1000"/>
        <w:spacing w:after="0" w:line="282" w:lineRule="auto"/>
        <w:rPr>
          <w:sz w:val="20"/>
          <w:szCs w:val="20"/>
          <w:color w:val="auto"/>
        </w:rPr>
      </w:pPr>
      <w:r>
        <w:rPr>
          <w:rFonts w:ascii="Times New Roman" w:cs="Times New Roman" w:eastAsia="Times New Roman" w:hAnsi="Times New Roman"/>
          <w:sz w:val="19"/>
          <w:szCs w:val="19"/>
          <w:color w:val="auto"/>
        </w:rPr>
        <w:t xml:space="preserve">3.2.4 </w:t>
      </w:r>
      <w:r>
        <w:rPr>
          <w:rFonts w:ascii="Times New Roman" w:cs="Times New Roman" w:eastAsia="Times New Roman" w:hAnsi="Times New Roman"/>
          <w:sz w:val="20"/>
          <w:szCs w:val="20"/>
          <w:u w:val="single" w:color="auto"/>
          <w:color w:val="auto"/>
        </w:rPr>
        <w:t>Applicability of Financial Terms</w:t>
      </w:r>
      <w:r>
        <w:rPr>
          <w:rFonts w:ascii="Times New Roman" w:cs="Times New Roman" w:eastAsia="Times New Roman" w:hAnsi="Times New Roman"/>
          <w:sz w:val="20"/>
          <w:szCs w:val="20"/>
          <w:color w:val="auto"/>
        </w:rPr>
        <w:t>. The [***] will not be subject to any Upfront Fee pursuant to Section 7.1 (but,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for clarity, [***]). New Collaboration Targets elected pursuant to Section 3.2.2 will be subject to all financial terms set forth in ARTICLE 7.</w:t>
      </w:r>
    </w:p>
    <w:p>
      <w:pPr>
        <w:spacing w:after="0" w:line="36"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20"/>
          <w:szCs w:val="20"/>
          <w:b w:val="1"/>
          <w:bCs w:val="1"/>
          <w:color w:val="auto"/>
        </w:rPr>
        <w:t>Costs</w:t>
      </w:r>
      <w:r>
        <w:rPr>
          <w:rFonts w:ascii="Times New Roman" w:cs="Times New Roman" w:eastAsia="Times New Roman" w:hAnsi="Times New Roman"/>
          <w:sz w:val="20"/>
          <w:szCs w:val="20"/>
          <w:color w:val="auto"/>
        </w:rPr>
        <w:t>. Company shall be solely responsible for [***].</w:t>
      </w:r>
    </w:p>
    <w:p>
      <w:pPr>
        <w:spacing w:after="0" w:line="131" w:lineRule="exact"/>
        <w:rPr>
          <w:sz w:val="20"/>
          <w:szCs w:val="20"/>
          <w:color w:val="auto"/>
        </w:rPr>
      </w:pPr>
    </w:p>
    <w:p>
      <w:pPr>
        <w:jc w:val="both"/>
        <w:ind w:firstLine="487"/>
        <w:spacing w:after="0" w:line="269"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20"/>
          <w:szCs w:val="20"/>
          <w:b w:val="1"/>
          <w:bCs w:val="1"/>
          <w:color w:val="auto"/>
        </w:rPr>
        <w:t>Submission of Data Packages to Merck.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If and when Company reasonably believes (including upon consultation with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Merck’s Subject Matter Specialists) that a Research Program has advanced to a stage where one or more Target Compounds for the respective Collaboration Target meet the Decision Point Criteria for the next Stage Gate Decision Point, Company will bring this to the attention of the JSC and, following review and discussion in the JSC, Company shall provide to Merck a data package relating to the relevant Target Compounds, as follows:</w:t>
      </w:r>
    </w:p>
    <w:p>
      <w:pPr>
        <w:spacing w:after="0" w:line="56" w:lineRule="exact"/>
        <w:rPr>
          <w:sz w:val="20"/>
          <w:szCs w:val="20"/>
          <w:color w:val="auto"/>
        </w:rPr>
      </w:pPr>
    </w:p>
    <w:p>
      <w:pPr>
        <w:jc w:val="both"/>
        <w:ind w:left="1000"/>
        <w:spacing w:after="0" w:line="270" w:lineRule="auto"/>
        <w:rPr>
          <w:sz w:val="20"/>
          <w:szCs w:val="20"/>
          <w:color w:val="auto"/>
        </w:rPr>
      </w:pPr>
      <w:r>
        <w:rPr>
          <w:rFonts w:ascii="Times New Roman" w:cs="Times New Roman" w:eastAsia="Times New Roman" w:hAnsi="Times New Roman"/>
          <w:sz w:val="19"/>
          <w:szCs w:val="19"/>
          <w:color w:val="auto"/>
        </w:rPr>
        <w:t xml:space="preserve">3.4.1 </w:t>
      </w:r>
      <w:r>
        <w:rPr>
          <w:rFonts w:ascii="Times New Roman" w:cs="Times New Roman" w:eastAsia="Times New Roman" w:hAnsi="Times New Roman"/>
          <w:sz w:val="20"/>
          <w:szCs w:val="20"/>
          <w:u w:val="single" w:color="auto"/>
          <w:color w:val="auto"/>
        </w:rPr>
        <w:t>DPHO Data Package</w:t>
      </w:r>
      <w:r>
        <w:rPr>
          <w:rFonts w:ascii="Times New Roman" w:cs="Times New Roman" w:eastAsia="Times New Roman" w:hAnsi="Times New Roman"/>
          <w:sz w:val="20"/>
          <w:szCs w:val="20"/>
          <w:color w:val="auto"/>
        </w:rPr>
        <w:t>. With respect to each Collaboration Target, Company shall (a) promptly provide a written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report to Merck when Company believes that any Target Compound for that Collaboration Target has achieved the applicable DPHO Criteria, and (b) provide to Merck all data and information in support thereof [***] that is reasonably necessary for Merck to determine that such Target Compound has achieved the applicable DPHO Criteria (“</w:t>
      </w:r>
      <w:r>
        <w:rPr>
          <w:rFonts w:ascii="Times New Roman" w:cs="Times New Roman" w:eastAsia="Times New Roman" w:hAnsi="Times New Roman"/>
          <w:sz w:val="20"/>
          <w:szCs w:val="20"/>
          <w:b w:val="1"/>
          <w:bCs w:val="1"/>
          <w:color w:val="auto"/>
        </w:rPr>
        <w:t>DPHO Data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Package</w:t>
      </w:r>
      <w:r>
        <w:rPr>
          <w:rFonts w:ascii="Times New Roman" w:cs="Times New Roman" w:eastAsia="Times New Roman" w:hAnsi="Times New Roman"/>
          <w:sz w:val="20"/>
          <w:szCs w:val="20"/>
          <w:color w:val="auto"/>
        </w:rPr>
        <w:t>”).</w:t>
      </w:r>
    </w:p>
    <w:p>
      <w:pPr>
        <w:spacing w:after="0" w:line="306" w:lineRule="exact"/>
        <w:rPr>
          <w:sz w:val="20"/>
          <w:szCs w:val="20"/>
          <w:color w:val="auto"/>
        </w:rPr>
      </w:pPr>
    </w:p>
    <w:p>
      <w:pPr>
        <w:jc w:val="both"/>
        <w:ind w:left="1000"/>
        <w:spacing w:after="0" w:line="270" w:lineRule="auto"/>
        <w:rPr>
          <w:sz w:val="20"/>
          <w:szCs w:val="20"/>
          <w:color w:val="auto"/>
        </w:rPr>
      </w:pPr>
      <w:r>
        <w:rPr>
          <w:rFonts w:ascii="Times New Roman" w:cs="Times New Roman" w:eastAsia="Times New Roman" w:hAnsi="Times New Roman"/>
          <w:sz w:val="19"/>
          <w:szCs w:val="19"/>
          <w:color w:val="auto"/>
        </w:rPr>
        <w:t xml:space="preserve">3.4.2 </w:t>
      </w:r>
      <w:r>
        <w:rPr>
          <w:rFonts w:ascii="Times New Roman" w:cs="Times New Roman" w:eastAsia="Times New Roman" w:hAnsi="Times New Roman"/>
          <w:sz w:val="20"/>
          <w:szCs w:val="20"/>
          <w:u w:val="single" w:color="auto"/>
          <w:color w:val="auto"/>
        </w:rPr>
        <w:t>DPLO Data Package</w:t>
      </w:r>
      <w:r>
        <w:rPr>
          <w:rFonts w:ascii="Times New Roman" w:cs="Times New Roman" w:eastAsia="Times New Roman" w:hAnsi="Times New Roman"/>
          <w:sz w:val="20"/>
          <w:szCs w:val="20"/>
          <w:color w:val="auto"/>
        </w:rPr>
        <w:t>. With respect to each Collaboration Target, Company shall (a) promptly provide a written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report to Merck when Company believes that any Target Compound for that Collaboration Target has achieved the applicable DPLO Criteria, and (b) provide to Merck all data and information in support thereof [***] that is reasonably necessary for Merck to determine that such Target Compound has achieved the applicable DPLO Criteria (“</w:t>
      </w:r>
      <w:r>
        <w:rPr>
          <w:rFonts w:ascii="Times New Roman" w:cs="Times New Roman" w:eastAsia="Times New Roman" w:hAnsi="Times New Roman"/>
          <w:sz w:val="20"/>
          <w:szCs w:val="20"/>
          <w:b w:val="1"/>
          <w:bCs w:val="1"/>
          <w:color w:val="auto"/>
        </w:rPr>
        <w:t>DPLO Data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Package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64" w:right="339" w:bottom="1440" w:gutter="0" w:footer="0" w:header="0"/>
        </w:sectPr>
      </w:pPr>
    </w:p>
    <w:bookmarkStart w:id="354" w:name="page355"/>
    <w:bookmarkEnd w:id="354"/>
    <w:p>
      <w:pPr>
        <w:jc w:val="both"/>
        <w:ind w:left="500"/>
        <w:spacing w:after="0" w:line="270" w:lineRule="auto"/>
        <w:rPr>
          <w:sz w:val="20"/>
          <w:szCs w:val="20"/>
          <w:color w:val="auto"/>
        </w:rPr>
      </w:pPr>
      <w:r>
        <w:rPr>
          <w:rFonts w:ascii="Times New Roman" w:cs="Times New Roman" w:eastAsia="Times New Roman" w:hAnsi="Times New Roman"/>
          <w:sz w:val="19"/>
          <w:szCs w:val="19"/>
          <w:color w:val="auto"/>
        </w:rPr>
        <w:t xml:space="preserve">3.4.3 </w:t>
      </w:r>
      <w:r>
        <w:rPr>
          <w:rFonts w:ascii="Times New Roman" w:cs="Times New Roman" w:eastAsia="Times New Roman" w:hAnsi="Times New Roman"/>
          <w:sz w:val="20"/>
          <w:szCs w:val="20"/>
          <w:u w:val="single" w:color="auto"/>
          <w:color w:val="auto"/>
        </w:rPr>
        <w:t>DPED Data Package</w:t>
      </w:r>
      <w:r>
        <w:rPr>
          <w:rFonts w:ascii="Times New Roman" w:cs="Times New Roman" w:eastAsia="Times New Roman" w:hAnsi="Times New Roman"/>
          <w:sz w:val="20"/>
          <w:szCs w:val="20"/>
          <w:color w:val="auto"/>
        </w:rPr>
        <w:t>. With respect to each Collaboration Target, Company shall (a) promptly provide a written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report to Merck when Company believes that any Target Compound for that Collaboration Target has achieved the applicable DPED Criteria, and (b) provide to Merck all data and information in support thereof [***] that is reasonably necessary for Merck to determine that such Target Compound has achieved the applicable DPED Criteria (“</w:t>
      </w:r>
      <w:r>
        <w:rPr>
          <w:rFonts w:ascii="Times New Roman" w:cs="Times New Roman" w:eastAsia="Times New Roman" w:hAnsi="Times New Roman"/>
          <w:sz w:val="20"/>
          <w:szCs w:val="20"/>
          <w:b w:val="1"/>
          <w:bCs w:val="1"/>
          <w:color w:val="auto"/>
        </w:rPr>
        <w:t>DPED Data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Package</w:t>
      </w:r>
      <w:r>
        <w:rPr>
          <w:rFonts w:ascii="Times New Roman" w:cs="Times New Roman" w:eastAsia="Times New Roman" w:hAnsi="Times New Roman"/>
          <w:sz w:val="20"/>
          <w:szCs w:val="20"/>
          <w:color w:val="auto"/>
        </w:rPr>
        <w:t>”).</w:t>
      </w:r>
    </w:p>
    <w:p>
      <w:pPr>
        <w:spacing w:after="0" w:line="30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9"/>
          <w:szCs w:val="19"/>
          <w:color w:val="auto"/>
        </w:rPr>
        <w:t>3.5</w:t>
      </w:r>
      <w:r>
        <w:rPr>
          <w:sz w:val="20"/>
          <w:szCs w:val="20"/>
          <w:color w:val="auto"/>
        </w:rPr>
        <w:tab/>
      </w:r>
      <w:r>
        <w:rPr>
          <w:rFonts w:ascii="Times New Roman" w:cs="Times New Roman" w:eastAsia="Times New Roman" w:hAnsi="Times New Roman"/>
          <w:sz w:val="20"/>
          <w:szCs w:val="20"/>
          <w:b w:val="1"/>
          <w:bCs w:val="1"/>
          <w:color w:val="auto"/>
        </w:rPr>
        <w:t>Merck's Determination on Stage Gate Decision Points.</w:t>
      </w:r>
    </w:p>
    <w:p>
      <w:pPr>
        <w:spacing w:after="0" w:line="135" w:lineRule="exact"/>
        <w:rPr>
          <w:sz w:val="20"/>
          <w:szCs w:val="20"/>
          <w:color w:val="auto"/>
        </w:rPr>
      </w:pPr>
    </w:p>
    <w:p>
      <w:pPr>
        <w:jc w:val="both"/>
        <w:ind w:left="500"/>
        <w:spacing w:after="0" w:line="265" w:lineRule="auto"/>
        <w:rPr>
          <w:sz w:val="20"/>
          <w:szCs w:val="20"/>
          <w:color w:val="auto"/>
        </w:rPr>
      </w:pPr>
      <w:r>
        <w:rPr>
          <w:rFonts w:ascii="Times New Roman" w:cs="Times New Roman" w:eastAsia="Times New Roman" w:hAnsi="Times New Roman"/>
          <w:sz w:val="19"/>
          <w:szCs w:val="19"/>
          <w:color w:val="auto"/>
        </w:rPr>
        <w:t xml:space="preserve">3.5.1 </w:t>
      </w:r>
      <w:r>
        <w:rPr>
          <w:rFonts w:ascii="Times New Roman" w:cs="Times New Roman" w:eastAsia="Times New Roman" w:hAnsi="Times New Roman"/>
          <w:sz w:val="20"/>
          <w:szCs w:val="20"/>
          <w:u w:val="single" w:color="auto"/>
          <w:color w:val="auto"/>
        </w:rPr>
        <w:t>Merck Approves</w:t>
      </w:r>
      <w:r>
        <w:rPr>
          <w:rFonts w:ascii="Times New Roman" w:cs="Times New Roman" w:eastAsia="Times New Roman" w:hAnsi="Times New Roman"/>
          <w:sz w:val="20"/>
          <w:szCs w:val="20"/>
          <w:color w:val="auto"/>
        </w:rPr>
        <w:t>. If Merck, after receipt of a DPHO Data Package, DPLO Data Package or DPED Data Package,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considers, in Merck’s sole discretion, that the proposed Target Compounds for such Collaboration Target sufficiently comply with the applicable Decision Point Criteria and the Research Unit Leadership Team determines that the corresponding Stage Gate Decision Point is approved (or, regardless of the Decision Point Criteria, the Research Unit Leadership Team approves the corresponding Stage Gate Decision Point), Merck shall notify Company thereof in writing within [***] days from Merck’s receipt of the DPHO Data Package, DPLO Data Package or DPED Data Package, as applicable. Following such approval,</w:t>
      </w:r>
    </w:p>
    <w:p>
      <w:pPr>
        <w:spacing w:after="0" w:line="320" w:lineRule="exact"/>
        <w:rPr>
          <w:sz w:val="20"/>
          <w:szCs w:val="20"/>
          <w:color w:val="auto"/>
        </w:rPr>
      </w:pPr>
    </w:p>
    <w:p>
      <w:pPr>
        <w:ind w:left="1980" w:hanging="395"/>
        <w:spacing w:after="0"/>
        <w:tabs>
          <w:tab w:leader="none" w:pos="1980"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Merck shall pay the applicable Milestone payment to Company as set forth in Section 7.2; and</w:t>
      </w:r>
    </w:p>
    <w:p>
      <w:pPr>
        <w:spacing w:after="0" w:line="106" w:lineRule="exact"/>
        <w:rPr>
          <w:rFonts w:ascii="Times New Roman" w:cs="Times New Roman" w:eastAsia="Times New Roman" w:hAnsi="Times New Roman"/>
          <w:sz w:val="19"/>
          <w:szCs w:val="19"/>
          <w:color w:val="auto"/>
        </w:rPr>
      </w:pPr>
    </w:p>
    <w:p>
      <w:pPr>
        <w:ind w:left="1580" w:firstLine="5"/>
        <w:spacing w:after="0" w:line="282" w:lineRule="auto"/>
        <w:tabs>
          <w:tab w:leader="none" w:pos="1968"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Stage Gate DPHO or Stage Gate DPLO, Company shall continue with the activities under the applicable Research Plan; or</w:t>
      </w:r>
    </w:p>
    <w:p>
      <w:pPr>
        <w:spacing w:after="0" w:line="38" w:lineRule="exact"/>
        <w:rPr>
          <w:rFonts w:ascii="Times New Roman" w:cs="Times New Roman" w:eastAsia="Times New Roman" w:hAnsi="Times New Roman"/>
          <w:sz w:val="19"/>
          <w:szCs w:val="19"/>
          <w:color w:val="auto"/>
        </w:rPr>
      </w:pPr>
    </w:p>
    <w:p>
      <w:pPr>
        <w:jc w:val="both"/>
        <w:ind w:left="1580" w:firstLine="5"/>
        <w:spacing w:after="0" w:line="262" w:lineRule="auto"/>
        <w:tabs>
          <w:tab w:leader="none" w:pos="1970"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Stage Gate DPED, (i) Merck may elect to conduct the further research and Development of such Target Compounds itself, or (ii) the Parties may agree that Company conducts the IND Readiness Activities as set forth in Section 3.6.</w:t>
      </w:r>
    </w:p>
    <w:p>
      <w:pPr>
        <w:spacing w:after="0" w:line="60" w:lineRule="exact"/>
        <w:rPr>
          <w:sz w:val="20"/>
          <w:szCs w:val="20"/>
          <w:color w:val="auto"/>
        </w:rPr>
      </w:pPr>
    </w:p>
    <w:p>
      <w:pPr>
        <w:jc w:val="both"/>
        <w:ind w:left="500"/>
        <w:spacing w:after="0" w:line="273" w:lineRule="auto"/>
        <w:rPr>
          <w:sz w:val="20"/>
          <w:szCs w:val="20"/>
          <w:color w:val="auto"/>
        </w:rPr>
      </w:pPr>
      <w:r>
        <w:rPr>
          <w:rFonts w:ascii="Times New Roman" w:cs="Times New Roman" w:eastAsia="Times New Roman" w:hAnsi="Times New Roman"/>
          <w:sz w:val="19"/>
          <w:szCs w:val="19"/>
          <w:color w:val="auto"/>
        </w:rPr>
        <w:t xml:space="preserve">3.5.2 </w:t>
      </w:r>
      <w:r>
        <w:rPr>
          <w:rFonts w:ascii="Times New Roman" w:cs="Times New Roman" w:eastAsia="Times New Roman" w:hAnsi="Times New Roman"/>
          <w:sz w:val="20"/>
          <w:szCs w:val="20"/>
          <w:u w:val="single" w:color="auto"/>
          <w:color w:val="auto"/>
        </w:rPr>
        <w:t>Merck does not Approve</w:t>
      </w:r>
      <w:r>
        <w:rPr>
          <w:rFonts w:ascii="Times New Roman" w:cs="Times New Roman" w:eastAsia="Times New Roman" w:hAnsi="Times New Roman"/>
          <w:sz w:val="20"/>
          <w:szCs w:val="20"/>
          <w:color w:val="auto"/>
        </w:rPr>
        <w:t>. If, after receipt of a DPHO Data Package, DPLO Data Package or DPED Data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Package, the Research Unit Leadership Team does not approve the corresponding Stage Gate Decision Point, Merck shall notify Company thereof in writing within [***] days from Merck’s receipt of the DPHO Data Package, DPLO Data Package or DPED Data Package, as applicable. In such case, the Parties shall discuss and agree, through the JSC, whether:</w:t>
      </w:r>
    </w:p>
    <w:p>
      <w:pPr>
        <w:spacing w:after="0" w:line="49" w:lineRule="exact"/>
        <w:rPr>
          <w:sz w:val="20"/>
          <w:szCs w:val="20"/>
          <w:color w:val="auto"/>
        </w:rPr>
      </w:pPr>
    </w:p>
    <w:p>
      <w:pPr>
        <w:jc w:val="both"/>
        <w:ind w:left="1580" w:firstLine="5"/>
        <w:spacing w:after="0" w:line="256" w:lineRule="auto"/>
        <w:tabs>
          <w:tab w:leader="none" w:pos="1970" w:val="left"/>
        </w:tabs>
        <w:numPr>
          <w:ilvl w:val="0"/>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it can reasonably be expected that the applicable Decision Point Criteria will be achieved following reasonable additional research activities, and if so, the JSC shall (i) update the relevant Research Plan accordingly in accordance with Section 2.1.6 and (ii) agree how any additional costs incurred in the performance of such additional research activities should be borne; or</w:t>
      </w:r>
    </w:p>
    <w:p>
      <w:pPr>
        <w:spacing w:after="0" w:line="65" w:lineRule="exact"/>
        <w:rPr>
          <w:rFonts w:ascii="Times New Roman" w:cs="Times New Roman" w:eastAsia="Times New Roman" w:hAnsi="Times New Roman"/>
          <w:sz w:val="19"/>
          <w:szCs w:val="19"/>
          <w:color w:val="auto"/>
        </w:rPr>
      </w:pPr>
    </w:p>
    <w:p>
      <w:pPr>
        <w:jc w:val="both"/>
        <w:ind w:left="1580" w:firstLine="5"/>
        <w:spacing w:after="0" w:line="262" w:lineRule="auto"/>
        <w:tabs>
          <w:tab w:leader="none" w:pos="1968" w:val="left"/>
        </w:tabs>
        <w:numPr>
          <w:ilvl w:val="0"/>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Research Program for this Collaboration Target should be terminated by mutual agreement (without being subject to Merck’s final decision-making authority under Section 2.1.6) due to technical failure as set forth in Section 12.3;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740"/>
          </w:cols>
          <w:pgMar w:left="820" w:top="1365" w:right="339" w:bottom="1440" w:gutter="0" w:footer="0" w:header="0"/>
        </w:sectPr>
      </w:pPr>
    </w:p>
    <w:bookmarkStart w:id="355" w:name="page356"/>
    <w:bookmarkEnd w:id="355"/>
    <w:p>
      <w:pPr>
        <w:ind w:left="2080" w:firstLine="5"/>
        <w:spacing w:after="0" w:line="282" w:lineRule="auto"/>
        <w:tabs>
          <w:tab w:leader="none" w:pos="2470"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Research Program for this Collaboration Target should be terminated for convenience as set forth in Section 12.4.</w:t>
      </w:r>
    </w:p>
    <w:p>
      <w:pPr>
        <w:spacing w:after="0" w:line="34" w:lineRule="exact"/>
        <w:rPr>
          <w:sz w:val="20"/>
          <w:szCs w:val="20"/>
          <w:color w:val="auto"/>
        </w:rPr>
      </w:pPr>
    </w:p>
    <w:p>
      <w:pPr>
        <w:jc w:val="both"/>
        <w:ind w:firstLine="487"/>
        <w:spacing w:after="0" w:line="264"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20"/>
          <w:szCs w:val="20"/>
          <w:b w:val="1"/>
          <w:bCs w:val="1"/>
          <w:color w:val="auto"/>
        </w:rPr>
        <w:t>Optional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Activities</w:t>
      </w:r>
      <w:r>
        <w:rPr>
          <w:rFonts w:ascii="Times New Roman" w:cs="Times New Roman" w:eastAsia="Times New Roman" w:hAnsi="Times New Roman"/>
          <w:sz w:val="20"/>
          <w:szCs w:val="20"/>
          <w:color w:val="auto"/>
        </w:rPr>
        <w:t>. The Parties may agree in writing that Company continues with the pre-clinical Development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of the Target Compound for a Collaboration Target for which the Stage Gate DPED has been approved, to achieve [***]. In such case, the Parties shall agree on an update of the Research Plan for such Collaboration Target, such that the Research Plan sets forth the [***] criteria and the data package to be provided by Company to Merck for the Research Unit Leadership Teams’ approval on such Target Compound being moved into clinical Development. Sections 3.1, 3.3, 3.4, and 3.5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with respect to such additional activities by Company, and the Research Unit Leadership Teams’ approval on such Target Compound being moved into clinical Development. If Company conducts such [***] activities, submits the agreed data package to Merck, and the Research Unit Leadership Team approves that such Target Compound be moved into clinical Development, Merck shall pay to Company an additional milestone payment of [***], such payment to be made in accordance with Section 7.2.4.</w:t>
      </w:r>
    </w:p>
    <w:p>
      <w:pPr>
        <w:spacing w:after="0" w:line="57"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3.7 </w:t>
      </w:r>
      <w:r>
        <w:rPr>
          <w:rFonts w:ascii="Times New Roman" w:cs="Times New Roman" w:eastAsia="Times New Roman" w:hAnsi="Times New Roman"/>
          <w:sz w:val="20"/>
          <w:szCs w:val="20"/>
          <w:b w:val="1"/>
          <w:bCs w:val="1"/>
          <w:color w:val="auto"/>
        </w:rPr>
        <w:t>Records</w:t>
      </w:r>
      <w:r>
        <w:rPr>
          <w:rFonts w:ascii="Times New Roman" w:cs="Times New Roman" w:eastAsia="Times New Roman" w:hAnsi="Times New Roman"/>
          <w:sz w:val="20"/>
          <w:szCs w:val="20"/>
          <w:color w:val="auto"/>
        </w:rPr>
        <w:t>. Company shall maintain complete and accurate written records, accounts, notes, reports and data with respect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to all laboratory work performed in the conduct of each Research Program, with respect to its work packages, in conformity with standard industry practice and Applicable Law, and, upon request, will send legible copies of any of the aforesaid to Merck.</w:t>
      </w:r>
    </w:p>
    <w:p>
      <w:pPr>
        <w:spacing w:after="0" w:line="34" w:lineRule="exact"/>
        <w:rPr>
          <w:sz w:val="20"/>
          <w:szCs w:val="20"/>
          <w:color w:val="auto"/>
        </w:rPr>
      </w:pPr>
    </w:p>
    <w:p>
      <w:pPr>
        <w:jc w:val="both"/>
        <w:ind w:firstLine="487"/>
        <w:spacing w:after="0" w:line="269" w:lineRule="auto"/>
        <w:rPr>
          <w:sz w:val="20"/>
          <w:szCs w:val="20"/>
          <w:color w:val="auto"/>
        </w:rPr>
      </w:pPr>
      <w:r>
        <w:rPr>
          <w:rFonts w:ascii="Times New Roman" w:cs="Times New Roman" w:eastAsia="Times New Roman" w:hAnsi="Times New Roman"/>
          <w:sz w:val="19"/>
          <w:szCs w:val="19"/>
          <w:color w:val="auto"/>
        </w:rPr>
        <w:t xml:space="preserve">3.8 </w:t>
      </w:r>
      <w:r>
        <w:rPr>
          <w:rFonts w:ascii="Times New Roman" w:cs="Times New Roman" w:eastAsia="Times New Roman" w:hAnsi="Times New Roman"/>
          <w:sz w:val="20"/>
          <w:szCs w:val="20"/>
          <w:b w:val="1"/>
          <w:bCs w:val="1"/>
          <w:color w:val="auto"/>
        </w:rPr>
        <w:t>Reports</w:t>
      </w:r>
      <w:r>
        <w:rPr>
          <w:rFonts w:ascii="Times New Roman" w:cs="Times New Roman" w:eastAsia="Times New Roman" w:hAnsi="Times New Roman"/>
          <w:sz w:val="20"/>
          <w:szCs w:val="20"/>
          <w:color w:val="auto"/>
        </w:rPr>
        <w:t>. During the performance of each Research Plan, Company will prepare and submit [***] written reports (each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Report</w:t>
      </w:r>
      <w:r>
        <w:rPr>
          <w:rFonts w:ascii="Times New Roman" w:cs="Times New Roman" w:eastAsia="Times New Roman" w:hAnsi="Times New Roman"/>
          <w:sz w:val="20"/>
          <w:szCs w:val="20"/>
          <w:color w:val="auto"/>
        </w:rPr>
        <w:t>”) in a form to be agreed between the Parties (each Party acting reasonably), describing activities performed during the covered [***] under the Research Plan unless another cadence is agreed by the Parties. Merck shall review the [***] Report within</w:t>
      </w:r>
    </w:p>
    <w:p>
      <w:pPr>
        <w:jc w:val="both"/>
        <w:ind w:firstLine="3"/>
        <w:spacing w:after="0" w:line="243" w:lineRule="auto"/>
        <w:tabs>
          <w:tab w:leader="none" w:pos="500"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following the receipt of the [***] Report and shall either confirm to Company that the [***] Report is complete or promptly communicate Company the requested modifications or clarifications. Where applicable, Company shall send Merck the revised [***] Report within [***] Business Days and Merck shall communicate whether the revised [***] Report is complete within</w:t>
      </w:r>
    </w:p>
    <w:p>
      <w:pPr>
        <w:spacing w:after="0" w:line="1" w:lineRule="exact"/>
        <w:rPr>
          <w:rFonts w:ascii="Times New Roman" w:cs="Times New Roman" w:eastAsia="Times New Roman" w:hAnsi="Times New Roman"/>
          <w:sz w:val="21"/>
          <w:szCs w:val="21"/>
          <w:color w:val="auto"/>
        </w:rPr>
      </w:pPr>
    </w:p>
    <w:p>
      <w:pPr>
        <w:ind w:firstLine="3"/>
        <w:spacing w:after="0" w:line="260" w:lineRule="auto"/>
        <w:tabs>
          <w:tab w:leader="none" w:pos="498"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In any case, each Party shall coordinate the Quarterly Report review process and acceptance in a maximum period of [***] Business Days.</w:t>
      </w:r>
    </w:p>
    <w:p>
      <w:pPr>
        <w:spacing w:after="0" w:line="57" w:lineRule="exact"/>
        <w:rPr>
          <w:sz w:val="20"/>
          <w:szCs w:val="20"/>
          <w:color w:val="auto"/>
        </w:rPr>
      </w:pPr>
    </w:p>
    <w:p>
      <w:pPr>
        <w:jc w:val="both"/>
        <w:ind w:firstLine="487"/>
        <w:spacing w:after="0" w:line="269"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20"/>
          <w:szCs w:val="20"/>
          <w:b w:val="1"/>
          <w:bCs w:val="1"/>
          <w:color w:val="auto"/>
        </w:rPr>
        <w:t>Subcontracting</w:t>
      </w:r>
      <w:r>
        <w:rPr>
          <w:rFonts w:ascii="Times New Roman" w:cs="Times New Roman" w:eastAsia="Times New Roman" w:hAnsi="Times New Roman"/>
          <w:sz w:val="20"/>
          <w:szCs w:val="20"/>
          <w:color w:val="auto"/>
        </w:rPr>
        <w:t>. Company shall not subcontract any of its obligations under a Research Plan without the prior written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consent of Merck (not to be unreasonably withheld, conditioned or delayed), unless such subcontracting is to (a) any of its Affiliates,</w:t>
      </w:r>
    </w:p>
    <w:p>
      <w:pPr>
        <w:spacing w:after="0" w:line="1" w:lineRule="exact"/>
        <w:rPr>
          <w:sz w:val="20"/>
          <w:szCs w:val="20"/>
          <w:color w:val="auto"/>
        </w:rPr>
      </w:pPr>
    </w:p>
    <w:p>
      <w:pPr>
        <w:ind w:firstLine="3"/>
        <w:spacing w:after="0" w:line="259" w:lineRule="auto"/>
        <w:tabs>
          <w:tab w:leader="none" w:pos="298"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contract research organizations listed in </w:t>
      </w:r>
      <w:r>
        <w:rPr>
          <w:rFonts w:ascii="Times New Roman" w:cs="Times New Roman" w:eastAsia="Times New Roman" w:hAnsi="Times New Roman"/>
          <w:sz w:val="21"/>
          <w:szCs w:val="21"/>
          <w:b w:val="1"/>
          <w:bCs w:val="1"/>
          <w:u w:val="single" w:color="auto"/>
          <w:color w:val="auto"/>
        </w:rPr>
        <w:t>Schedule 3.9</w:t>
      </w:r>
      <w:r>
        <w:rPr>
          <w:rFonts w:ascii="Times New Roman" w:cs="Times New Roman" w:eastAsia="Times New Roman" w:hAnsi="Times New Roman"/>
          <w:sz w:val="21"/>
          <w:szCs w:val="21"/>
          <w:color w:val="auto"/>
        </w:rPr>
        <w:t>, or (c) any Third Party as agreed between the Parties and identified in the relevant Research Plan.</w:t>
      </w:r>
    </w:p>
    <w:p>
      <w:pPr>
        <w:spacing w:after="0" w:line="58"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3.10 </w:t>
      </w:r>
      <w:r>
        <w:rPr>
          <w:rFonts w:ascii="Times New Roman" w:cs="Times New Roman" w:eastAsia="Times New Roman" w:hAnsi="Times New Roman"/>
          <w:sz w:val="20"/>
          <w:szCs w:val="20"/>
          <w:b w:val="1"/>
          <w:bCs w:val="1"/>
          <w:color w:val="auto"/>
        </w:rPr>
        <w:t>Audit</w:t>
      </w:r>
      <w:r>
        <w:rPr>
          <w:rFonts w:ascii="Times New Roman" w:cs="Times New Roman" w:eastAsia="Times New Roman" w:hAnsi="Times New Roman"/>
          <w:sz w:val="20"/>
          <w:szCs w:val="20"/>
          <w:color w:val="auto"/>
        </w:rPr>
        <w:t>. Company shall notify Merck of any request by a Regulatory Authority for an audit at Company’s or Third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Parties’ (contracted by Company in connection to this Agreement) facilities or records pertaining to a Research Plan and shall allow a Merck’s representative to be present during such audit. If any Regulatory Authority issues a report following any such audit, the Company shall provide Merck with a copy of any part of such report pertaining to the inspected facilities or the Research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364" w:right="339" w:bottom="1440" w:gutter="0" w:footer="0" w:header="0"/>
        </w:sectPr>
      </w:pPr>
    </w:p>
    <w:bookmarkStart w:id="356" w:name="page357"/>
    <w:bookmarkEnd w:id="356"/>
    <w:p>
      <w:pPr>
        <w:jc w:val="center"/>
        <w:spacing w:after="0"/>
        <w:rPr>
          <w:sz w:val="20"/>
          <w:szCs w:val="20"/>
          <w:color w:val="auto"/>
        </w:rPr>
      </w:pPr>
      <w:r>
        <w:rPr>
          <w:rFonts w:ascii="Times New Roman" w:cs="Times New Roman" w:eastAsia="Times New Roman" w:hAnsi="Times New Roman"/>
          <w:sz w:val="21"/>
          <w:szCs w:val="21"/>
          <w:b w:val="1"/>
          <w:bCs w:val="1"/>
          <w:color w:val="auto"/>
        </w:rPr>
        <w:t>ARTICLE 4</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LICENSE, TECHNOLOGY TRANSFER AND EXCLUSIVITY</w:t>
      </w:r>
    </w:p>
    <w:p>
      <w:pPr>
        <w:spacing w:after="0" w:line="107"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20"/>
          <w:szCs w:val="20"/>
          <w:b w:val="1"/>
          <w:bCs w:val="1"/>
          <w:color w:val="auto"/>
        </w:rPr>
        <w:t>Grant of Unblocking License to Merck</w:t>
      </w:r>
      <w:r>
        <w:rPr>
          <w:rFonts w:ascii="Times New Roman" w:cs="Times New Roman" w:eastAsia="Times New Roman" w:hAnsi="Times New Roman"/>
          <w:sz w:val="20"/>
          <w:szCs w:val="20"/>
          <w:color w:val="auto"/>
        </w:rPr>
        <w:t>. Company hereby grants to Merck and its Affiliates, who accept the same, 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exclusive, worldwide, sublicensable (through multiple tiers), transferable right and license under any Company Background IP that is necessary or reasonably useful for Development or Commercialization of Target Compounds and Products (“</w:t>
      </w:r>
      <w:r>
        <w:rPr>
          <w:rFonts w:ascii="Times New Roman" w:cs="Times New Roman" w:eastAsia="Times New Roman" w:hAnsi="Times New Roman"/>
          <w:sz w:val="20"/>
          <w:szCs w:val="20"/>
          <w:b w:val="1"/>
          <w:bCs w:val="1"/>
          <w:color w:val="auto"/>
        </w:rPr>
        <w:t>Licensed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Background IP</w:t>
      </w:r>
      <w:r>
        <w:rPr>
          <w:rFonts w:ascii="Times New Roman" w:cs="Times New Roman" w:eastAsia="Times New Roman" w:hAnsi="Times New Roman"/>
          <w:sz w:val="20"/>
          <w:szCs w:val="20"/>
          <w:color w:val="auto"/>
        </w:rPr>
        <w:t>”) to research, Develop, have Developed, make, have made, use, sell, offer for sale, export and import (including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exclusive right to Develop and Commercialize) Target Compounds and Products in the Territory in the Field.</w:t>
      </w:r>
    </w:p>
    <w:p>
      <w:pPr>
        <w:spacing w:after="0" w:line="46" w:lineRule="exact"/>
        <w:rPr>
          <w:sz w:val="20"/>
          <w:szCs w:val="20"/>
          <w:color w:val="auto"/>
        </w:rPr>
      </w:pPr>
    </w:p>
    <w:p>
      <w:pPr>
        <w:jc w:val="both"/>
        <w:ind w:firstLine="487"/>
        <w:spacing w:after="0" w:line="269"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20"/>
          <w:szCs w:val="20"/>
          <w:b w:val="1"/>
          <w:bCs w:val="1"/>
          <w:color w:val="auto"/>
        </w:rPr>
        <w:t>Grant of License to Company</w:t>
      </w:r>
      <w:r>
        <w:rPr>
          <w:rFonts w:ascii="Times New Roman" w:cs="Times New Roman" w:eastAsia="Times New Roman" w:hAnsi="Times New Roman"/>
          <w:sz w:val="20"/>
          <w:szCs w:val="20"/>
          <w:color w:val="auto"/>
        </w:rPr>
        <w:t>. Merck hereby grants to Company, who accept the same, a non-exclusive, sublicensable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to subcontractors permitted under Section 3.9, non-transferable license to the (i) Merck Background IP and (ii) Collaboration IP to use, keep, research and develop Collaboration Targets and Target Compounds in the course of each Research Plan and otherwise in accordance with this Agreement. It is understood that the research license granted by Merck to Company pursuant to this Section 4.2 shall terminate at the end of the last activity of the last Research Plan.</w:t>
      </w:r>
    </w:p>
    <w:p>
      <w:pPr>
        <w:spacing w:after="0" w:line="52"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20"/>
          <w:szCs w:val="20"/>
          <w:b w:val="1"/>
          <w:bCs w:val="1"/>
          <w:color w:val="auto"/>
        </w:rPr>
        <w:t>Grant of Licenses and Sublicenses by Merck</w:t>
      </w:r>
      <w:r>
        <w:rPr>
          <w:rFonts w:ascii="Times New Roman" w:cs="Times New Roman" w:eastAsia="Times New Roman" w:hAnsi="Times New Roman"/>
          <w:sz w:val="20"/>
          <w:szCs w:val="20"/>
          <w:color w:val="auto"/>
        </w:rPr>
        <w:t>. Merck shall have the right, in its sole discretion, to grant licenses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sublicenses, in whole or in part, under the rights and licenses granted in Section 4.1; provided, however, that the granting by Merck of a license or sublicense shall not relieve Merck of any of its obligations hereunder and Merck shall be responsible for all acts and omissions of any such licensees or sublicensees as fully as if they were the acts and omissions of Merck.</w:t>
      </w:r>
    </w:p>
    <w:p>
      <w:pPr>
        <w:spacing w:after="0" w:line="46" w:lineRule="exact"/>
        <w:rPr>
          <w:sz w:val="20"/>
          <w:szCs w:val="20"/>
          <w:color w:val="auto"/>
        </w:rPr>
      </w:pPr>
    </w:p>
    <w:p>
      <w:pPr>
        <w:jc w:val="both"/>
        <w:ind w:firstLine="487"/>
        <w:spacing w:after="0" w:line="264"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20"/>
          <w:szCs w:val="20"/>
          <w:b w:val="1"/>
          <w:bCs w:val="1"/>
          <w:color w:val="auto"/>
        </w:rPr>
        <w:t>Technology Transfer</w:t>
      </w:r>
      <w:r>
        <w:rPr>
          <w:rFonts w:ascii="Times New Roman" w:cs="Times New Roman" w:eastAsia="Times New Roman" w:hAnsi="Times New Roman"/>
          <w:sz w:val="20"/>
          <w:szCs w:val="20"/>
          <w:color w:val="auto"/>
        </w:rPr>
        <w:t>. As soon as reasonably practicable after Merck elects to continue the Development of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Collaboration Target itself in accordance with Section 3.5.1, but in no event later than [***] days thereafter, the Company will transfer, or cause to be transferred to Merck, [***], all (a) tangible embodiments of the Collaboration IP, (b) Target Compounds, and (c) Know-How comprised in Collaboration IP necessary or reasonably useful for the Development and Commercialization of the relevant Target Compounds, including the Know-How listed high-level in </w:t>
      </w:r>
      <w:r>
        <w:rPr>
          <w:rFonts w:ascii="Times New Roman" w:cs="Times New Roman" w:eastAsia="Times New Roman" w:hAnsi="Times New Roman"/>
          <w:sz w:val="20"/>
          <w:szCs w:val="20"/>
          <w:b w:val="1"/>
          <w:bCs w:val="1"/>
          <w:u w:val="single" w:color="auto"/>
          <w:color w:val="auto"/>
        </w:rPr>
        <w:t>Schedule 4.4</w:t>
      </w:r>
      <w:r>
        <w:rPr>
          <w:rFonts w:ascii="Times New Roman" w:cs="Times New Roman" w:eastAsia="Times New Roman" w:hAnsi="Times New Roman"/>
          <w:sz w:val="20"/>
          <w:szCs w:val="20"/>
          <w:color w:val="auto"/>
        </w:rPr>
        <w:t>, in each case, exclusively related to that Collaboration Target. The technology transfers set forth in this Section 4.4 shall occur in an orderly fashion and in a manner such that the value, usefulness and confidentiality of the transferred Collaboration IP and Target Compounds are preserved in all material respects. The Parties will work together to ensure Merck receives access to Know-How comprised in Collaboration IP that is located at Company’s subcontractors permitted under Section 3.9, and upon Merck’s request, Company will facilitate discussions between Merck and such subcontractors regarding establishing an agreement between Merck and such Third Party going forward (including, for example, with respect to continued archiving of data).</w:t>
      </w:r>
    </w:p>
    <w:p>
      <w:pPr>
        <w:spacing w:after="0" w:line="306"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20"/>
          <w:szCs w:val="20"/>
          <w:b w:val="1"/>
          <w:bCs w:val="1"/>
          <w:color w:val="auto"/>
        </w:rPr>
        <w:t>Exclusivity</w:t>
      </w:r>
      <w:r>
        <w:rPr>
          <w:rFonts w:ascii="Times New Roman" w:cs="Times New Roman" w:eastAsia="Times New Roman" w:hAnsi="Times New Roman"/>
          <w:sz w:val="20"/>
          <w:szCs w:val="20"/>
          <w:color w:val="auto"/>
        </w:rPr>
        <w:t>. During the Term, Company will not, whether alone or in conjunction with one of its Affiliates or Third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parties, engage directly or indirectly in the research, discovery, Development, exploitation or Commercialization anywhere in the Territory of any compound, or any product containing any compound, that [***]. For clarity, the exclusivity provisions contained in this Section 4.5 do not apply to: [***].</w:t>
      </w:r>
    </w:p>
    <w:p>
      <w:pPr>
        <w:spacing w:after="0" w:line="46"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4.6</w:t>
      </w:r>
      <w:r>
        <w:rPr>
          <w:sz w:val="20"/>
          <w:szCs w:val="20"/>
          <w:color w:val="auto"/>
        </w:rPr>
        <w:tab/>
      </w:r>
      <w:r>
        <w:rPr>
          <w:rFonts w:ascii="Times New Roman" w:cs="Times New Roman" w:eastAsia="Times New Roman" w:hAnsi="Times New Roman"/>
          <w:sz w:val="20"/>
          <w:szCs w:val="20"/>
          <w:b w:val="1"/>
          <w:bCs w:val="1"/>
          <w:color w:val="auto"/>
        </w:rPr>
        <w:t>Competing Transaction</w:t>
      </w:r>
      <w:r>
        <w:rPr>
          <w:rFonts w:ascii="Times New Roman" w:cs="Times New Roman" w:eastAsia="Times New Roman" w:hAnsi="Times New Roman"/>
          <w:sz w:val="20"/>
          <w:szCs w:val="20"/>
          <w:color w:val="auto"/>
        </w:rPr>
        <w:t>. Notwithstanding Section 4.5, if Company or any of its Affiliates (the “</w:t>
      </w:r>
      <w:r>
        <w:rPr>
          <w:rFonts w:ascii="Times New Roman" w:cs="Times New Roman" w:eastAsia="Times New Roman" w:hAnsi="Times New Roman"/>
          <w:sz w:val="20"/>
          <w:szCs w:val="20"/>
          <w:b w:val="1"/>
          <w:bCs w:val="1"/>
          <w:color w:val="auto"/>
        </w:rPr>
        <w:t>Transaction Party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360" w:right="339" w:bottom="1440" w:gutter="0" w:footer="0" w:header="0"/>
        </w:sectPr>
      </w:pPr>
    </w:p>
    <w:bookmarkStart w:id="357" w:name="page358"/>
    <w:bookmarkEnd w:id="357"/>
    <w:p>
      <w:pPr>
        <w:jc w:val="both"/>
        <w:ind w:left="1860" w:hanging="850"/>
        <w:spacing w:after="0" w:line="262" w:lineRule="auto"/>
        <w:tabs>
          <w:tab w:leader="none" w:pos="1840" w:val="left"/>
        </w:tabs>
        <w:rPr>
          <w:sz w:val="20"/>
          <w:szCs w:val="20"/>
          <w:color w:val="auto"/>
        </w:rPr>
      </w:pPr>
      <w:r>
        <w:rPr>
          <w:rFonts w:ascii="Times New Roman" w:cs="Times New Roman" w:eastAsia="Times New Roman" w:hAnsi="Times New Roman"/>
          <w:sz w:val="19"/>
          <w:szCs w:val="19"/>
          <w:color w:val="auto"/>
        </w:rPr>
        <w:t>4.6.1</w:t>
      </w:r>
      <w:r>
        <w:rPr>
          <w:sz w:val="20"/>
          <w:szCs w:val="20"/>
          <w:color w:val="auto"/>
        </w:rPr>
        <w:tab/>
      </w:r>
      <w:r>
        <w:rPr>
          <w:rFonts w:ascii="Times New Roman" w:cs="Times New Roman" w:eastAsia="Times New Roman" w:hAnsi="Times New Roman"/>
          <w:sz w:val="21"/>
          <w:szCs w:val="21"/>
          <w:color w:val="auto"/>
        </w:rPr>
        <w:t>acquires a Third Party or all or substantially all of the assets of a Third Party and, as of the date of that acquisition, that Third Party has, or the acquired assets contain, a program or product that would violate Section 4.5; or</w:t>
      </w:r>
    </w:p>
    <w:p>
      <w:pPr>
        <w:spacing w:after="0" w:line="60" w:lineRule="exact"/>
        <w:rPr>
          <w:sz w:val="20"/>
          <w:szCs w:val="20"/>
          <w:color w:val="auto"/>
        </w:rPr>
      </w:pPr>
    </w:p>
    <w:p>
      <w:pPr>
        <w:jc w:val="both"/>
        <w:ind w:left="1860" w:hanging="850"/>
        <w:spacing w:after="0" w:line="282" w:lineRule="auto"/>
        <w:tabs>
          <w:tab w:leader="none" w:pos="1840" w:val="left"/>
        </w:tabs>
        <w:rPr>
          <w:sz w:val="20"/>
          <w:szCs w:val="20"/>
          <w:color w:val="auto"/>
        </w:rPr>
      </w:pPr>
      <w:r>
        <w:rPr>
          <w:rFonts w:ascii="Times New Roman" w:cs="Times New Roman" w:eastAsia="Times New Roman" w:hAnsi="Times New Roman"/>
          <w:sz w:val="19"/>
          <w:szCs w:val="19"/>
          <w:color w:val="auto"/>
        </w:rPr>
        <w:t>4.6.2</w:t>
      </w:r>
      <w:r>
        <w:rPr>
          <w:sz w:val="20"/>
          <w:szCs w:val="20"/>
          <w:color w:val="auto"/>
        </w:rPr>
        <w:tab/>
      </w:r>
      <w:r>
        <w:rPr>
          <w:rFonts w:ascii="Times New Roman" w:cs="Times New Roman" w:eastAsia="Times New Roman" w:hAnsi="Times New Roman"/>
          <w:sz w:val="21"/>
          <w:szCs w:val="21"/>
          <w:color w:val="auto"/>
        </w:rPr>
        <w:t>is acquired by a Third Party and, as of the date of that acquisition, that Third Party has a program or product that would violate Section 4.5,</w:t>
      </w:r>
    </w:p>
    <w:p>
      <w:pPr>
        <w:spacing w:after="0" w:line="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Competing Transaction</w:t>
      </w:r>
      <w:r>
        <w:rPr>
          <w:rFonts w:ascii="Times New Roman" w:cs="Times New Roman" w:eastAsia="Times New Roman" w:hAnsi="Times New Roman"/>
          <w:sz w:val="21"/>
          <w:szCs w:val="21"/>
          <w:color w:val="auto"/>
        </w:rPr>
        <w:t>”),</w:t>
      </w:r>
    </w:p>
    <w:p>
      <w:pPr>
        <w:spacing w:after="0" w:line="111" w:lineRule="exact"/>
        <w:rPr>
          <w:sz w:val="20"/>
          <w:szCs w:val="20"/>
          <w:color w:val="auto"/>
        </w:rPr>
      </w:pPr>
    </w:p>
    <w:p>
      <w:pPr>
        <w:jc w:val="both"/>
        <w:ind w:left="500"/>
        <w:spacing w:after="0" w:line="260" w:lineRule="auto"/>
        <w:rPr>
          <w:sz w:val="20"/>
          <w:szCs w:val="20"/>
          <w:color w:val="auto"/>
        </w:rPr>
      </w:pPr>
      <w:r>
        <w:rPr>
          <w:rFonts w:ascii="Times New Roman" w:cs="Times New Roman" w:eastAsia="Times New Roman" w:hAnsi="Times New Roman"/>
          <w:sz w:val="20"/>
          <w:szCs w:val="20"/>
          <w:color w:val="auto"/>
        </w:rPr>
        <w:t>then, the Transaction Party shall not be in breach of Section 4.5 provided that: (i) Company promptly notifies Merck of the Competing Transaction and the existing program or product (to the extent possible in accordance with Applicable Law) in writing; (ii) no Collaboration IP, or Intellectual Property Rights or Confidential Information of Merck is accessed or used in relation to the existing program or product (or, in the case of Section 4.6.2, by scientific or technical personnel directly involved in the existing program or product); (iii) in the case of Section 4.6.2, no scientific or technical personnel of the Transaction Party, including any scientific or technical employee, contractor or consultant, directly involved in the activities conducted under this Agreement may work on, or be involved in, the existing program or product, and no scientific or technical personnel directly involved in the existing program or product may work on, or be involved in, the activities conducted under this Agreement; and</w:t>
      </w:r>
    </w:p>
    <w:p>
      <w:pPr>
        <w:spacing w:after="0" w:line="1" w:lineRule="exact"/>
        <w:rPr>
          <w:sz w:val="20"/>
          <w:szCs w:val="20"/>
          <w:color w:val="auto"/>
        </w:rPr>
      </w:pPr>
    </w:p>
    <w:p>
      <w:pPr>
        <w:jc w:val="both"/>
        <w:ind w:left="500" w:hanging="10"/>
        <w:spacing w:after="0" w:line="259" w:lineRule="auto"/>
        <w:tabs>
          <w:tab w:leader="none" w:pos="862"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program is conducted separately from the activities conducted under this Agreement and protections (including firewalls) reasonably acceptable to Merck are put in place. If Company or any of its Affiliates is acquired by a Third Party and, as of the date of that acquisition, that Third Party has a program or product that is a [***] program ("[***]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Company shall take the steps set out in (ii) to (iv) above in respect of such existing [***] program. If the Competing Transaction or [***] Transaction occurs while the Research Program for the relevant Collaboration Target is ongoing, Merck may elect to continue research, Development and Commercialization of the relevant Collaboration Target itself, in which case financial terms pursuant to ARTICLE 7 shall be adjusted as follows in respect of that Collaboration Target only: Merck shall pay to Company [***] of the amount provided in ARTICLE 7 for the next Discovery Milestone, if achieved by Merck, but no further Discovery Milestone payments will be paid; Development Milestones, Sales Milestones and Commercial Milestones (if achieved) will be paid in full, and Net Sales Payments will be reduced by [***]. If the Competing Transaction or [***] Transaction occurs after completion of the Research Program for the relevant Collaboration Target, this Agreement shall continue to apply in accordance with its terms.</w:t>
      </w:r>
    </w:p>
    <w:p>
      <w:pPr>
        <w:spacing w:after="0" w:line="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ARTICLE 5</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DEVELOPMENT, MANUFACTURE AND COMMERCIALIZATION OF TARGET COMPOUND OR PRODUCT</w:t>
      </w:r>
    </w:p>
    <w:p>
      <w:pPr>
        <w:spacing w:after="0" w:line="107" w:lineRule="exact"/>
        <w:rPr>
          <w:sz w:val="20"/>
          <w:szCs w:val="20"/>
          <w:color w:val="auto"/>
        </w:rPr>
      </w:pPr>
    </w:p>
    <w:p>
      <w:pPr>
        <w:jc w:val="both"/>
        <w:ind w:firstLine="487"/>
        <w:spacing w:after="0" w:line="269"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20"/>
          <w:szCs w:val="20"/>
          <w:b w:val="1"/>
          <w:bCs w:val="1"/>
          <w:color w:val="auto"/>
        </w:rPr>
        <w:t>Development of a Target Compound or Product by Merck</w:t>
      </w:r>
      <w:r>
        <w:rPr>
          <w:rFonts w:ascii="Times New Roman" w:cs="Times New Roman" w:eastAsia="Times New Roman" w:hAnsi="Times New Roman"/>
          <w:sz w:val="20"/>
          <w:szCs w:val="20"/>
          <w:color w:val="auto"/>
        </w:rPr>
        <w:t>. Merck shall have the exclusive right, subject to the terms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and conditions of this Agreement, to research, Develop and use Target Compounds and Products and to conduct (either itself or through its Affiliates and/or Sublicensees) all non-clinical studies and all Clinical Trials Merck believes appropriate to obtain Regulatory Approval for such Products in the Field in the Territory. For each Collaboration Target that Merck elects to continue Development itself pursuant to Section 3.5.1, Merck shall use Commercially Reasonable Efforts to obtain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365" w:right="339" w:bottom="1440" w:gutter="0" w:footer="0" w:header="0"/>
        </w:sectPr>
      </w:pPr>
    </w:p>
    <w:bookmarkStart w:id="358" w:name="page359"/>
    <w:bookmarkEnd w:id="358"/>
    <w:p>
      <w:pPr>
        <w:jc w:val="both"/>
        <w:spacing w:after="0" w:line="256" w:lineRule="auto"/>
        <w:rPr>
          <w:sz w:val="20"/>
          <w:szCs w:val="20"/>
          <w:color w:val="auto"/>
        </w:rPr>
      </w:pPr>
      <w:r>
        <w:rPr>
          <w:rFonts w:ascii="Times New Roman" w:cs="Times New Roman" w:eastAsia="Times New Roman" w:hAnsi="Times New Roman"/>
          <w:sz w:val="21"/>
          <w:szCs w:val="21"/>
          <w:color w:val="auto"/>
        </w:rPr>
        <w:t>Approval to Commercialize at least one (1) Product in the Field in at least [***] of the [***]. Activities by Merck’s Affiliates, licensees, Sublicensees and Third Parties engaged by Merck, its Affiliates, licensees or Sublicensees will be considered as Merck’s activities under this Agreement, including for purposes of determining whether Merck has complied with its obligation to use Commercially Reasonably Efforts.</w:t>
      </w:r>
    </w:p>
    <w:p>
      <w:pPr>
        <w:spacing w:after="0" w:line="61" w:lineRule="exact"/>
        <w:rPr>
          <w:sz w:val="20"/>
          <w:szCs w:val="20"/>
          <w:color w:val="auto"/>
        </w:rPr>
      </w:pPr>
    </w:p>
    <w:p>
      <w:pPr>
        <w:jc w:val="both"/>
        <w:ind w:firstLine="487"/>
        <w:spacing w:after="0" w:line="299"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20"/>
          <w:szCs w:val="20"/>
          <w:b w:val="1"/>
          <w:bCs w:val="1"/>
          <w:color w:val="auto"/>
        </w:rPr>
        <w:t>Clinical and Commercial Manufacturing</w:t>
      </w:r>
      <w:r>
        <w:rPr>
          <w:rFonts w:ascii="Times New Roman" w:cs="Times New Roman" w:eastAsia="Times New Roman" w:hAnsi="Times New Roman"/>
          <w:sz w:val="20"/>
          <w:szCs w:val="20"/>
          <w:color w:val="auto"/>
        </w:rPr>
        <w:t>. Merck shall have the exclusive right to manufacture the Target Compound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and Product itself or through one or more Affiliates or Sublicensees or other Third Parties selected by Merck.</w:t>
      </w:r>
    </w:p>
    <w:p>
      <w:pPr>
        <w:spacing w:after="0" w:line="33" w:lineRule="exact"/>
        <w:rPr>
          <w:sz w:val="20"/>
          <w:szCs w:val="20"/>
          <w:color w:val="auto"/>
        </w:rPr>
      </w:pPr>
    </w:p>
    <w:p>
      <w:pPr>
        <w:jc w:val="both"/>
        <w:ind w:firstLine="487"/>
        <w:spacing w:after="0" w:line="263"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20"/>
          <w:szCs w:val="20"/>
          <w:b w:val="1"/>
          <w:bCs w:val="1"/>
          <w:color w:val="auto"/>
        </w:rPr>
        <w:t>Commercialization</w:t>
      </w:r>
      <w:r>
        <w:rPr>
          <w:rFonts w:ascii="Times New Roman" w:cs="Times New Roman" w:eastAsia="Times New Roman" w:hAnsi="Times New Roman"/>
          <w:sz w:val="20"/>
          <w:szCs w:val="20"/>
          <w:color w:val="auto"/>
        </w:rPr>
        <w:t>. Merck shall have the exclusive right, and sole responsibility and decision-making authority,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Commercialize Product itself or through one or more Affiliates or Sublicensees or other Third Parties selected by Merck and shall have the sole decision-making authority and responsibility in all matters relating to the Commercialization of the Product. For each Collaboration Target that Merck elects to continue to Develop itself pursuant to Section 3.5.1, Merck shall use Commercially Reasonable Efforts to Commercialize at least one (1) Product in the Field in at least [***] of the [***], after having received Regulatory Approval to Commercialize such Product in such country. Activities by Merck’s Affiliates, licensees, Sublicensees and Third Parties engaged by Merck, its Affiliates, licensees or Sublicensees will be considered as Merck’s activities under this Agreement, including for purposes of determining whether Merck has complied with its obligation to use Commercially Reasonably Efforts.</w:t>
      </w:r>
    </w:p>
    <w:p>
      <w:pPr>
        <w:spacing w:after="0" w:line="59" w:lineRule="exact"/>
        <w:rPr>
          <w:sz w:val="20"/>
          <w:szCs w:val="20"/>
          <w:color w:val="auto"/>
        </w:rPr>
      </w:pPr>
    </w:p>
    <w:p>
      <w:pPr>
        <w:jc w:val="both"/>
        <w:ind w:firstLine="487"/>
        <w:spacing w:after="0" w:line="273"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20"/>
          <w:szCs w:val="20"/>
          <w:b w:val="1"/>
          <w:bCs w:val="1"/>
          <w:color w:val="auto"/>
        </w:rPr>
        <w:t>Right to Subcontract</w:t>
      </w:r>
      <w:r>
        <w:rPr>
          <w:rFonts w:ascii="Times New Roman" w:cs="Times New Roman" w:eastAsia="Times New Roman" w:hAnsi="Times New Roman"/>
          <w:sz w:val="20"/>
          <w:szCs w:val="20"/>
          <w:color w:val="auto"/>
        </w:rPr>
        <w:t>. Merck may exercise any of its rights, or perform any of its obligations, under this Agreement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(including any of the rights licensed in Section 4.1) by subcontracting the exercise or performance of all or any portion of such rights and obligations on Merck’s behalf to Affiliates or Third Parties. Any subcontract granted or entered into by Merck as contemplated by this Section 5.4 of the exercise or performance of all or any portion of the rights or obligations that Merck may have under this Agreement shall not relieve Merck from any of its obligations under this Agreement.</w:t>
      </w:r>
    </w:p>
    <w:p>
      <w:pPr>
        <w:spacing w:after="0" w:line="46"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5.5</w:t>
      </w:r>
      <w:r>
        <w:rPr>
          <w:sz w:val="20"/>
          <w:szCs w:val="20"/>
          <w:color w:val="auto"/>
        </w:rPr>
        <w:tab/>
      </w:r>
      <w:r>
        <w:rPr>
          <w:rFonts w:ascii="Times New Roman" w:cs="Times New Roman" w:eastAsia="Times New Roman" w:hAnsi="Times New Roman"/>
          <w:sz w:val="20"/>
          <w:szCs w:val="20"/>
          <w:b w:val="1"/>
          <w:bCs w:val="1"/>
          <w:color w:val="auto"/>
        </w:rPr>
        <w:t>Trademarks</w:t>
      </w:r>
      <w:r>
        <w:rPr>
          <w:rFonts w:ascii="Times New Roman" w:cs="Times New Roman" w:eastAsia="Times New Roman" w:hAnsi="Times New Roman"/>
          <w:sz w:val="20"/>
          <w:szCs w:val="20"/>
          <w:color w:val="auto"/>
        </w:rPr>
        <w:t>. Merck shall have the sole authority to select trademarks for a Product and shall own all such trademarks.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6</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REGULATORY MATTERS</w:t>
      </w:r>
    </w:p>
    <w:p>
      <w:pPr>
        <w:spacing w:after="0" w:line="107" w:lineRule="exact"/>
        <w:rPr>
          <w:sz w:val="20"/>
          <w:szCs w:val="20"/>
          <w:color w:val="auto"/>
        </w:rPr>
      </w:pPr>
    </w:p>
    <w:p>
      <w:pPr>
        <w:jc w:val="both"/>
        <w:ind w:firstLine="487"/>
        <w:spacing w:after="0" w:line="299"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20"/>
          <w:szCs w:val="20"/>
          <w:b w:val="1"/>
          <w:bCs w:val="1"/>
          <w:color w:val="auto"/>
        </w:rPr>
        <w:t>Regulatory Filings</w:t>
      </w:r>
      <w:r>
        <w:rPr>
          <w:rFonts w:ascii="Times New Roman" w:cs="Times New Roman" w:eastAsia="Times New Roman" w:hAnsi="Times New Roman"/>
          <w:sz w:val="20"/>
          <w:szCs w:val="20"/>
          <w:color w:val="auto"/>
        </w:rPr>
        <w:t>. Merck shall own and use Commercially Reasonable Efforts to maintain all regulatory filings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Regulatory Approvals for each Product, including all INDs and MAAs.</w:t>
      </w:r>
    </w:p>
    <w:p>
      <w:pPr>
        <w:spacing w:after="0" w:line="33" w:lineRule="exact"/>
        <w:rPr>
          <w:sz w:val="20"/>
          <w:szCs w:val="20"/>
          <w:color w:val="auto"/>
        </w:rPr>
      </w:pPr>
    </w:p>
    <w:p>
      <w:pPr>
        <w:jc w:val="both"/>
        <w:ind w:firstLine="487"/>
        <w:spacing w:after="0" w:line="263"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20"/>
          <w:szCs w:val="20"/>
          <w:b w:val="1"/>
          <w:bCs w:val="1"/>
          <w:color w:val="auto"/>
        </w:rPr>
        <w:t>Communications with Authorities</w:t>
      </w:r>
      <w:r>
        <w:rPr>
          <w:rFonts w:ascii="Times New Roman" w:cs="Times New Roman" w:eastAsia="Times New Roman" w:hAnsi="Times New Roman"/>
          <w:sz w:val="20"/>
          <w:szCs w:val="20"/>
          <w:color w:val="auto"/>
        </w:rPr>
        <w:t>. Merck (or one of its Affiliates or Sublicensees) shall be responsible, and act as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sole point of contact, for communications with Regulatory Authorities in connection with the research, Development, use, manufacturing and Commercialization of a Product. Following the Effective Date, Company shall not initiate, with respect to a Product, any meetings or contact with Regulatory Authorities without Merck’s prior written consent. To the extent Company receives any written or oral communication from any Regulatory Authority relating to a Product, Company shall (a) refer such Regulatory Authority to Merck, and (b) as soon as reasonably practicable (but in any event within [***]), notify Merck and provide Merck with a copy of any written communication received by Company or, if applicable, complete and accurate minutes of such oral communication. At the request of Merck, Company shall make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365" w:right="339" w:bottom="1440" w:gutter="0" w:footer="0" w:header="0"/>
        </w:sectPr>
      </w:pPr>
    </w:p>
    <w:bookmarkStart w:id="359" w:name="page360"/>
    <w:bookmarkEnd w:id="359"/>
    <w:p>
      <w:pPr>
        <w:jc w:val="both"/>
        <w:spacing w:after="0" w:line="256" w:lineRule="auto"/>
        <w:rPr>
          <w:sz w:val="20"/>
          <w:szCs w:val="20"/>
          <w:color w:val="auto"/>
        </w:rPr>
      </w:pPr>
      <w:r>
        <w:rPr>
          <w:rFonts w:ascii="Times New Roman" w:cs="Times New Roman" w:eastAsia="Times New Roman" w:hAnsi="Times New Roman"/>
          <w:sz w:val="21"/>
          <w:szCs w:val="21"/>
          <w:color w:val="auto"/>
        </w:rPr>
        <w:t>to Merck, [***], a qualified representative who shall, together with the representatives of Merck, participate in and contribute to meetings with the Regulatory Authorities with respect to regulatory matters relating to the Company Background IP and Target Compounds.</w:t>
      </w:r>
    </w:p>
    <w:p>
      <w:pPr>
        <w:spacing w:after="0" w:line="74"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20"/>
          <w:szCs w:val="20"/>
          <w:b w:val="1"/>
          <w:bCs w:val="1"/>
          <w:color w:val="auto"/>
        </w:rPr>
        <w:t>Regulatory Cooperation</w:t>
      </w:r>
      <w:r>
        <w:rPr>
          <w:rFonts w:ascii="Times New Roman" w:cs="Times New Roman" w:eastAsia="Times New Roman" w:hAnsi="Times New Roman"/>
          <w:sz w:val="20"/>
          <w:szCs w:val="20"/>
          <w:color w:val="auto"/>
        </w:rPr>
        <w:t>. Company shall make available to Merck any documents and data related to the activities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Company under a Research Program and required for the filing or maintenance of any Regulatory Approval or requested during Regulatory Authorities’ inspections, and Company shall make reasonably available to Merck qualified representatives of Company for any necessary discussion with Merck regarding regulatory matters relating to Company’s activities under a Research Program, [***].</w:t>
      </w:r>
    </w:p>
    <w:p>
      <w:pPr>
        <w:spacing w:after="0" w:line="46" w:lineRule="exact"/>
        <w:rPr>
          <w:sz w:val="20"/>
          <w:szCs w:val="20"/>
          <w:color w:val="auto"/>
        </w:rPr>
      </w:pPr>
    </w:p>
    <w:p>
      <w:pPr>
        <w:jc w:val="both"/>
        <w:ind w:firstLine="487"/>
        <w:spacing w:after="0" w:line="299" w:lineRule="auto"/>
        <w:rPr>
          <w:sz w:val="20"/>
          <w:szCs w:val="20"/>
          <w:color w:val="auto"/>
        </w:rPr>
      </w:pPr>
      <w:r>
        <w:rPr>
          <w:rFonts w:ascii="Times New Roman" w:cs="Times New Roman" w:eastAsia="Times New Roman" w:hAnsi="Times New Roman"/>
          <w:sz w:val="19"/>
          <w:szCs w:val="19"/>
          <w:color w:val="auto"/>
        </w:rPr>
        <w:t xml:space="preserve">6.4 </w:t>
      </w:r>
      <w:r>
        <w:rPr>
          <w:rFonts w:ascii="Times New Roman" w:cs="Times New Roman" w:eastAsia="Times New Roman" w:hAnsi="Times New Roman"/>
          <w:sz w:val="20"/>
          <w:szCs w:val="20"/>
          <w:b w:val="1"/>
          <w:bCs w:val="1"/>
          <w:color w:val="auto"/>
        </w:rPr>
        <w:t>Recalls</w:t>
      </w:r>
      <w:r>
        <w:rPr>
          <w:rFonts w:ascii="Times New Roman" w:cs="Times New Roman" w:eastAsia="Times New Roman" w:hAnsi="Times New Roman"/>
          <w:sz w:val="20"/>
          <w:szCs w:val="20"/>
          <w:color w:val="auto"/>
        </w:rPr>
        <w:t>. Merck shall have the sole right to determine whether and how to implement a recall or other market withdrawal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of the Product.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7</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FINANCIAL TERMS</w:t>
      </w:r>
    </w:p>
    <w:p>
      <w:pPr>
        <w:spacing w:after="0" w:line="107" w:lineRule="exact"/>
        <w:rPr>
          <w:sz w:val="20"/>
          <w:szCs w:val="20"/>
          <w:color w:val="auto"/>
        </w:rPr>
      </w:pPr>
    </w:p>
    <w:p>
      <w:pPr>
        <w:jc w:val="both"/>
        <w:ind w:firstLine="487"/>
        <w:spacing w:after="0" w:line="268"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20"/>
          <w:szCs w:val="20"/>
          <w:b w:val="1"/>
          <w:bCs w:val="1"/>
          <w:color w:val="auto"/>
        </w:rPr>
        <w:t>Upfront Fee.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Merck shall pay to Company a one-time fee of [***] per Collaboration Target (“</w:t>
      </w:r>
      <w:r>
        <w:rPr>
          <w:rFonts w:ascii="Times New Roman" w:cs="Times New Roman" w:eastAsia="Times New Roman" w:hAnsi="Times New Roman"/>
          <w:sz w:val="20"/>
          <w:szCs w:val="20"/>
          <w:b w:val="1"/>
          <w:bCs w:val="1"/>
          <w:color w:val="auto"/>
        </w:rPr>
        <w:t>Upfront Fee</w:t>
      </w:r>
      <w:r>
        <w:rPr>
          <w:rFonts w:ascii="Times New Roman" w:cs="Times New Roman" w:eastAsia="Times New Roman" w:hAnsi="Times New Roman"/>
          <w:sz w:val="20"/>
          <w:szCs w:val="20"/>
          <w:color w:val="auto"/>
        </w:rPr>
        <w:t>”) (for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avoidance of doubt, a total of [***] for the Initial Collaboration Targets), within (a) [***] days of the Effective Date for the Initial Collaboration Targets; or (b) [***] days following Merck’s receipt of the corresponding invoice from Company for any new Collaboration Target elected pursuant to Section 3.2.2. Company shall issue an invoice on or before the Effective Date for the Initial Collaboration Targets and promptly after the Start Date for any new Collaboration Target elected pursuant to Section 3.2.2. For clarity, [***].</w:t>
      </w:r>
    </w:p>
    <w:p>
      <w:pPr>
        <w:spacing w:after="0" w:line="302"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20"/>
          <w:szCs w:val="20"/>
          <w:b w:val="1"/>
          <w:bCs w:val="1"/>
          <w:color w:val="auto"/>
        </w:rPr>
        <w:t>Milestone Payments</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1860" w:hanging="850"/>
        <w:spacing w:after="0" w:line="282" w:lineRule="auto"/>
        <w:tabs>
          <w:tab w:leader="none" w:pos="1840" w:val="left"/>
        </w:tabs>
        <w:rPr>
          <w:sz w:val="20"/>
          <w:szCs w:val="20"/>
          <w:color w:val="auto"/>
        </w:rPr>
      </w:pPr>
      <w:r>
        <w:rPr>
          <w:rFonts w:ascii="Times New Roman" w:cs="Times New Roman" w:eastAsia="Times New Roman" w:hAnsi="Times New Roman"/>
          <w:sz w:val="19"/>
          <w:szCs w:val="19"/>
          <w:color w:val="auto"/>
        </w:rPr>
        <w:t>7.2.1</w:t>
      </w:r>
      <w:r>
        <w:rPr>
          <w:sz w:val="20"/>
          <w:szCs w:val="20"/>
          <w:color w:val="auto"/>
        </w:rPr>
        <w:tab/>
      </w:r>
      <w:r>
        <w:rPr>
          <w:rFonts w:ascii="Times New Roman" w:cs="Times New Roman" w:eastAsia="Times New Roman" w:hAnsi="Times New Roman"/>
          <w:sz w:val="21"/>
          <w:szCs w:val="21"/>
          <w:u w:val="single" w:color="auto"/>
          <w:color w:val="auto"/>
        </w:rPr>
        <w:t>Milestones</w:t>
      </w:r>
      <w:r>
        <w:rPr>
          <w:rFonts w:ascii="Times New Roman" w:cs="Times New Roman" w:eastAsia="Times New Roman" w:hAnsi="Times New Roman"/>
          <w:sz w:val="21"/>
          <w:szCs w:val="21"/>
          <w:color w:val="auto"/>
        </w:rPr>
        <w:t>. As further consideration for the grant of the rights hereunder, Merck shall pay to Company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following non-refundable Milestones on a [***] or [***]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364" w:right="339" w:bottom="1440" w:gutter="0" w:footer="0" w:header="0"/>
        </w:sectPr>
      </w:pPr>
    </w:p>
    <w:bookmarkStart w:id="360" w:name="page361"/>
    <w:bookmarkEnd w:id="360"/>
    <w:tbl>
      <w:tblPr>
        <w:tblLayout w:type="fixed"/>
        <w:tblInd w:w="10" w:type="dxa"/>
        <w:tblCellMar>
          <w:top w:w="0" w:type="dxa"/>
          <w:left w:w="0" w:type="dxa"/>
          <w:bottom w:w="0" w:type="dxa"/>
          <w:right w:w="0" w:type="dxa"/>
        </w:tblCellMar>
      </w:tblPr>
      <w:tr>
        <w:trPr>
          <w:trHeight w:val="267"/>
        </w:trPr>
        <w:tc>
          <w:tcPr>
            <w:tcW w:w="680" w:type="dxa"/>
            <w:vAlign w:val="bottom"/>
            <w:tcBorders>
              <w:top w:val="single" w:sz="8" w:color="auto"/>
              <w:left w:val="single" w:sz="8" w:color="auto"/>
              <w:right w:val="single" w:sz="8" w:color="auto"/>
            </w:tcBorders>
            <w:shd w:val="clear" w:color="auto" w:fill="BFBFBF"/>
          </w:tcPr>
          <w:p>
            <w:pPr>
              <w:ind w:left="200"/>
              <w:spacing w:after="0"/>
              <w:rPr>
                <w:sz w:val="20"/>
                <w:szCs w:val="20"/>
                <w:color w:val="auto"/>
              </w:rPr>
            </w:pPr>
            <w:r>
              <w:rPr>
                <w:rFonts w:ascii="Times New Roman" w:cs="Times New Roman" w:eastAsia="Times New Roman" w:hAnsi="Times New Roman"/>
                <w:sz w:val="21"/>
                <w:szCs w:val="21"/>
                <w:b w:val="1"/>
                <w:bCs w:val="1"/>
                <w:color w:val="auto"/>
              </w:rPr>
              <w:t>No.</w:t>
            </w:r>
          </w:p>
        </w:tc>
        <w:tc>
          <w:tcPr>
            <w:tcW w:w="6940" w:type="dxa"/>
            <w:vAlign w:val="bottom"/>
            <w:tcBorders>
              <w:top w:val="single" w:sz="8" w:color="auto"/>
              <w:right w:val="single" w:sz="8" w:color="auto"/>
            </w:tcBorders>
            <w:shd w:val="clear" w:color="auto" w:fill="BFBFBF"/>
          </w:tcPr>
          <w:p>
            <w:pPr>
              <w:spacing w:after="0"/>
              <w:rPr>
                <w:sz w:val="23"/>
                <w:szCs w:val="23"/>
                <w:color w:val="auto"/>
              </w:rPr>
            </w:pPr>
          </w:p>
        </w:tc>
        <w:tc>
          <w:tcPr>
            <w:tcW w:w="35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Milestone Payment</w:t>
            </w:r>
          </w:p>
        </w:tc>
      </w:tr>
      <w:tr>
        <w:trPr>
          <w:trHeight w:val="286"/>
        </w:trPr>
        <w:tc>
          <w:tcPr>
            <w:tcW w:w="680" w:type="dxa"/>
            <w:vAlign w:val="bottom"/>
            <w:tcBorders>
              <w:left w:val="single" w:sz="8" w:color="auto"/>
              <w:bottom w:val="single" w:sz="8" w:color="auto"/>
              <w:right w:val="single" w:sz="8" w:color="auto"/>
            </w:tcBorders>
            <w:shd w:val="clear" w:color="auto" w:fill="BFBFBF"/>
          </w:tcPr>
          <w:p>
            <w:pPr>
              <w:spacing w:after="0"/>
              <w:rPr>
                <w:sz w:val="24"/>
                <w:szCs w:val="24"/>
                <w:color w:val="auto"/>
              </w:rPr>
            </w:pPr>
          </w:p>
        </w:tc>
        <w:tc>
          <w:tcPr>
            <w:tcW w:w="6940" w:type="dxa"/>
            <w:vAlign w:val="bottom"/>
            <w:tcBorders>
              <w:bottom w:val="single" w:sz="8" w:color="auto"/>
              <w:right w:val="single" w:sz="8" w:color="auto"/>
            </w:tcBorders>
            <w:shd w:val="clear" w:color="auto" w:fill="BFBFBF"/>
          </w:tcPr>
          <w:p>
            <w:pPr>
              <w:ind w:left="2760"/>
              <w:spacing w:after="0"/>
              <w:rPr>
                <w:sz w:val="20"/>
                <w:szCs w:val="20"/>
                <w:color w:val="auto"/>
              </w:rPr>
            </w:pPr>
            <w:r>
              <w:rPr>
                <w:rFonts w:ascii="Times New Roman" w:cs="Times New Roman" w:eastAsia="Times New Roman" w:hAnsi="Times New Roman"/>
                <w:sz w:val="21"/>
                <w:szCs w:val="21"/>
                <w:b w:val="1"/>
                <w:bCs w:val="1"/>
                <w:color w:val="auto"/>
              </w:rPr>
              <w:t>Milestone Event</w:t>
            </w:r>
          </w:p>
        </w:tc>
        <w:tc>
          <w:tcPr>
            <w:tcW w:w="35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(in USD)</w:t>
            </w:r>
          </w:p>
        </w:tc>
      </w:tr>
      <w:tr>
        <w:trPr>
          <w:trHeight w:val="289"/>
        </w:trPr>
        <w:tc>
          <w:tcPr>
            <w:tcW w:w="680" w:type="dxa"/>
            <w:vAlign w:val="bottom"/>
            <w:tcBorders>
              <w:left w:val="single" w:sz="8" w:color="auto"/>
              <w:bottom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1"/>
                <w:szCs w:val="21"/>
                <w:b w:val="1"/>
                <w:bCs w:val="1"/>
                <w:color w:val="auto"/>
              </w:rPr>
              <w:t>A.</w:t>
            </w:r>
          </w:p>
        </w:tc>
        <w:tc>
          <w:tcPr>
            <w:tcW w:w="6940" w:type="dxa"/>
            <w:vAlign w:val="bottom"/>
            <w:tcBorders>
              <w:bottom w:val="single" w:sz="8" w:color="auto"/>
              <w:right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21"/>
                <w:szCs w:val="21"/>
                <w:b w:val="1"/>
                <w:bCs w:val="1"/>
                <w:color w:val="auto"/>
              </w:rPr>
              <w:t>Discovery Milestone</w:t>
            </w:r>
          </w:p>
        </w:tc>
        <w:tc>
          <w:tcPr>
            <w:tcW w:w="35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p>
        </w:tc>
      </w:tr>
      <w:tr>
        <w:trPr>
          <w:trHeight w:val="284"/>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1.</w:t>
            </w:r>
          </w:p>
        </w:tc>
        <w:tc>
          <w:tcPr>
            <w:tcW w:w="6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89"/>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2.</w:t>
            </w:r>
          </w:p>
        </w:tc>
        <w:tc>
          <w:tcPr>
            <w:tcW w:w="6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89"/>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3.</w:t>
            </w:r>
          </w:p>
        </w:tc>
        <w:tc>
          <w:tcPr>
            <w:tcW w:w="6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95"/>
        </w:trPr>
        <w:tc>
          <w:tcPr>
            <w:tcW w:w="680" w:type="dxa"/>
            <w:vAlign w:val="bottom"/>
            <w:tcBorders>
              <w:left w:val="single" w:sz="8" w:color="auto"/>
              <w:bottom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1"/>
                <w:szCs w:val="21"/>
                <w:b w:val="1"/>
                <w:bCs w:val="1"/>
                <w:color w:val="auto"/>
              </w:rPr>
              <w:t>B.</w:t>
            </w:r>
          </w:p>
        </w:tc>
        <w:tc>
          <w:tcPr>
            <w:tcW w:w="694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21"/>
                <w:szCs w:val="21"/>
                <w:b w:val="1"/>
                <w:bCs w:val="1"/>
                <w:color w:val="auto"/>
              </w:rPr>
              <w:t>Development Milestone</w:t>
            </w:r>
          </w:p>
        </w:tc>
        <w:tc>
          <w:tcPr>
            <w:tcW w:w="35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p>
        </w:tc>
      </w:tr>
      <w:tr>
        <w:trPr>
          <w:trHeight w:val="284"/>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1.</w:t>
            </w:r>
          </w:p>
        </w:tc>
        <w:tc>
          <w:tcPr>
            <w:tcW w:w="6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89"/>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2.</w:t>
            </w:r>
          </w:p>
        </w:tc>
        <w:tc>
          <w:tcPr>
            <w:tcW w:w="6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89"/>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3.</w:t>
            </w:r>
          </w:p>
        </w:tc>
        <w:tc>
          <w:tcPr>
            <w:tcW w:w="6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95"/>
        </w:trPr>
        <w:tc>
          <w:tcPr>
            <w:tcW w:w="680" w:type="dxa"/>
            <w:vAlign w:val="bottom"/>
            <w:tcBorders>
              <w:left w:val="single" w:sz="8" w:color="auto"/>
              <w:bottom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1"/>
                <w:szCs w:val="21"/>
                <w:b w:val="1"/>
                <w:bCs w:val="1"/>
                <w:color w:val="auto"/>
              </w:rPr>
              <w:t>C.</w:t>
            </w:r>
          </w:p>
        </w:tc>
        <w:tc>
          <w:tcPr>
            <w:tcW w:w="694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21"/>
                <w:szCs w:val="21"/>
                <w:b w:val="1"/>
                <w:bCs w:val="1"/>
                <w:color w:val="auto"/>
              </w:rPr>
              <w:t>Sales Milestone</w:t>
            </w:r>
          </w:p>
        </w:tc>
        <w:tc>
          <w:tcPr>
            <w:tcW w:w="35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p>
        </w:tc>
      </w:tr>
      <w:tr>
        <w:trPr>
          <w:trHeight w:val="289"/>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1.</w:t>
            </w:r>
          </w:p>
        </w:tc>
        <w:tc>
          <w:tcPr>
            <w:tcW w:w="6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84"/>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2.</w:t>
            </w:r>
          </w:p>
        </w:tc>
        <w:tc>
          <w:tcPr>
            <w:tcW w:w="6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95"/>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3.</w:t>
            </w:r>
          </w:p>
        </w:tc>
        <w:tc>
          <w:tcPr>
            <w:tcW w:w="6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89"/>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4.</w:t>
            </w:r>
          </w:p>
        </w:tc>
        <w:tc>
          <w:tcPr>
            <w:tcW w:w="6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89"/>
        </w:trPr>
        <w:tc>
          <w:tcPr>
            <w:tcW w:w="680" w:type="dxa"/>
            <w:vAlign w:val="bottom"/>
            <w:tcBorders>
              <w:left w:val="single" w:sz="8" w:color="auto"/>
              <w:bottom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1"/>
                <w:szCs w:val="21"/>
                <w:b w:val="1"/>
                <w:bCs w:val="1"/>
                <w:color w:val="auto"/>
              </w:rPr>
              <w:t>D.</w:t>
            </w:r>
          </w:p>
        </w:tc>
        <w:tc>
          <w:tcPr>
            <w:tcW w:w="694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21"/>
                <w:szCs w:val="21"/>
                <w:b w:val="1"/>
                <w:bCs w:val="1"/>
                <w:color w:val="auto"/>
              </w:rPr>
              <w:t>Commercial Milestone (in USD)</w:t>
            </w:r>
          </w:p>
        </w:tc>
        <w:tc>
          <w:tcPr>
            <w:tcW w:w="35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p>
        </w:tc>
      </w:tr>
      <w:tr>
        <w:trPr>
          <w:trHeight w:val="252"/>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1.</w:t>
            </w:r>
          </w:p>
        </w:tc>
        <w:tc>
          <w:tcPr>
            <w:tcW w:w="6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51"/>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2.</w:t>
            </w:r>
          </w:p>
        </w:tc>
        <w:tc>
          <w:tcPr>
            <w:tcW w:w="6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r>
        <w:trPr>
          <w:trHeight w:val="251"/>
        </w:trPr>
        <w:tc>
          <w:tcPr>
            <w:tcW w:w="6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3.</w:t>
            </w:r>
          </w:p>
        </w:tc>
        <w:tc>
          <w:tcPr>
            <w:tcW w:w="6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w:t>
            </w:r>
          </w:p>
        </w:tc>
      </w:tr>
    </w:tbl>
    <w:p>
      <w:pPr>
        <w:spacing w:after="0" w:line="78" w:lineRule="exact"/>
        <w:rPr>
          <w:sz w:val="20"/>
          <w:szCs w:val="20"/>
          <w:color w:val="auto"/>
        </w:rPr>
      </w:pPr>
    </w:p>
    <w:p>
      <w:pPr>
        <w:jc w:val="both"/>
        <w:ind w:left="1740" w:hanging="850"/>
        <w:spacing w:after="0" w:line="251" w:lineRule="auto"/>
        <w:tabs>
          <w:tab w:leader="none" w:pos="1720" w:val="left"/>
        </w:tabs>
        <w:rPr>
          <w:sz w:val="20"/>
          <w:szCs w:val="20"/>
          <w:color w:val="auto"/>
        </w:rPr>
      </w:pPr>
      <w:r>
        <w:rPr>
          <w:rFonts w:ascii="Times New Roman" w:cs="Times New Roman" w:eastAsia="Times New Roman" w:hAnsi="Times New Roman"/>
          <w:sz w:val="19"/>
          <w:szCs w:val="19"/>
          <w:color w:val="auto"/>
        </w:rPr>
        <w:t>7.2.2</w:t>
      </w:r>
      <w:r>
        <w:rPr>
          <w:sz w:val="20"/>
          <w:szCs w:val="20"/>
          <w:color w:val="auto"/>
        </w:rPr>
        <w:tab/>
      </w:r>
      <w:r>
        <w:rPr>
          <w:rFonts w:ascii="Times New Roman" w:cs="Times New Roman" w:eastAsia="Times New Roman" w:hAnsi="Times New Roman"/>
          <w:sz w:val="21"/>
          <w:szCs w:val="21"/>
          <w:u w:val="single" w:color="auto"/>
          <w:color w:val="auto"/>
        </w:rPr>
        <w:t>Timely Performance Bonus</w:t>
      </w:r>
      <w:r>
        <w:rPr>
          <w:rFonts w:ascii="Times New Roman" w:cs="Times New Roman" w:eastAsia="Times New Roman" w:hAnsi="Times New Roman"/>
          <w:sz w:val="21"/>
          <w:szCs w:val="21"/>
          <w:color w:val="auto"/>
        </w:rPr>
        <w:t>. In recognition of the benefits to both Parties resulting from the successful and timely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completion of the Research Program, Merck shall make an additional payment, in the amount of [***] to Company per Collaboration Target so long, and only if, Milestone Event [***] occurs in accordance with Section 3.5.1 based on a [***] which has been provided by Company to Merck within [***] months from [***], or within such other time period [***] (for clarity, such timely performance bonus shall apply regardless of whether the Collaboration Target is [***]).</w:t>
      </w:r>
    </w:p>
    <w:p>
      <w:pPr>
        <w:spacing w:after="0" w:line="70" w:lineRule="exact"/>
        <w:rPr>
          <w:sz w:val="20"/>
          <w:szCs w:val="20"/>
          <w:color w:val="auto"/>
        </w:rPr>
      </w:pPr>
    </w:p>
    <w:p>
      <w:pPr>
        <w:jc w:val="both"/>
        <w:ind w:left="1740" w:hanging="850"/>
        <w:spacing w:after="0" w:line="253" w:lineRule="auto"/>
        <w:tabs>
          <w:tab w:leader="none" w:pos="1720" w:val="left"/>
        </w:tabs>
        <w:rPr>
          <w:sz w:val="20"/>
          <w:szCs w:val="20"/>
          <w:color w:val="auto"/>
        </w:rPr>
      </w:pPr>
      <w:r>
        <w:rPr>
          <w:rFonts w:ascii="Times New Roman" w:cs="Times New Roman" w:eastAsia="Times New Roman" w:hAnsi="Times New Roman"/>
          <w:sz w:val="19"/>
          <w:szCs w:val="19"/>
          <w:color w:val="auto"/>
        </w:rPr>
        <w:t>7.2.3</w:t>
      </w:r>
      <w:r>
        <w:rPr>
          <w:sz w:val="20"/>
          <w:szCs w:val="20"/>
          <w:color w:val="auto"/>
        </w:rPr>
        <w:tab/>
      </w:r>
      <w:r>
        <w:rPr>
          <w:rFonts w:ascii="Times New Roman" w:cs="Times New Roman" w:eastAsia="Times New Roman" w:hAnsi="Times New Roman"/>
          <w:sz w:val="21"/>
          <w:szCs w:val="21"/>
          <w:u w:val="single" w:color="auto"/>
          <w:color w:val="auto"/>
        </w:rPr>
        <w:t>Development Milestones. Sales Milestones. Commercial Milestones</w:t>
      </w:r>
      <w:r>
        <w:rPr>
          <w:rFonts w:ascii="Times New Roman" w:cs="Times New Roman" w:eastAsia="Times New Roman" w:hAnsi="Times New Roman"/>
          <w:sz w:val="21"/>
          <w:szCs w:val="21"/>
          <w:color w:val="auto"/>
        </w:rPr>
        <w:t>. Merck shall deliver written notice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Company upon achievement of each Development, Sales and Commercial Milestone Event, which notice shall be delivered (a) with respect to a Development Milestone and Sales Milestone within [***] days of such achievement, and (b) with respect to Commercial Milestone [***] for the Calendar Quarter in which such Milestone Event is first achieved. Following receipt of such written notice, Company shall promptly invoice Merck for the applicable Milestone payment.</w:t>
      </w:r>
    </w:p>
    <w:p>
      <w:pPr>
        <w:spacing w:after="0" w:line="71" w:lineRule="exact"/>
        <w:rPr>
          <w:sz w:val="20"/>
          <w:szCs w:val="20"/>
          <w:color w:val="auto"/>
        </w:rPr>
      </w:pPr>
    </w:p>
    <w:p>
      <w:pPr>
        <w:ind w:left="880"/>
        <w:spacing w:after="0"/>
        <w:tabs>
          <w:tab w:leader="none" w:pos="1720" w:val="left"/>
        </w:tabs>
        <w:rPr>
          <w:sz w:val="20"/>
          <w:szCs w:val="20"/>
          <w:color w:val="auto"/>
        </w:rPr>
      </w:pPr>
      <w:r>
        <w:rPr>
          <w:rFonts w:ascii="Times New Roman" w:cs="Times New Roman" w:eastAsia="Times New Roman" w:hAnsi="Times New Roman"/>
          <w:sz w:val="19"/>
          <w:szCs w:val="19"/>
          <w:color w:val="auto"/>
        </w:rPr>
        <w:t>7.2.4</w:t>
      </w:r>
      <w:r>
        <w:rPr>
          <w:sz w:val="20"/>
          <w:szCs w:val="20"/>
          <w:color w:val="auto"/>
        </w:rPr>
        <w:tab/>
      </w:r>
      <w:r>
        <w:rPr>
          <w:rFonts w:ascii="Times New Roman" w:cs="Times New Roman" w:eastAsia="Times New Roman" w:hAnsi="Times New Roman"/>
          <w:sz w:val="20"/>
          <w:szCs w:val="20"/>
          <w:u w:val="single" w:color="auto"/>
          <w:color w:val="auto"/>
        </w:rPr>
        <w:t>Milestones in General</w:t>
      </w:r>
      <w:r>
        <w:rPr>
          <w:rFonts w:ascii="Times New Roman" w:cs="Times New Roman" w:eastAsia="Times New Roman" w:hAnsi="Times New Roman"/>
          <w:sz w:val="20"/>
          <w:szCs w:val="20"/>
          <w:color w:val="auto"/>
        </w:rPr>
        <w:t>.</w:t>
      </w:r>
    </w:p>
    <w:p>
      <w:pPr>
        <w:spacing w:after="0" w:line="114" w:lineRule="exact"/>
        <w:rPr>
          <w:sz w:val="20"/>
          <w:szCs w:val="20"/>
          <w:color w:val="auto"/>
        </w:rPr>
      </w:pPr>
    </w:p>
    <w:p>
      <w:pPr>
        <w:jc w:val="both"/>
        <w:ind w:left="1960" w:firstLine="5"/>
        <w:spacing w:after="0" w:line="257" w:lineRule="auto"/>
        <w:tabs>
          <w:tab w:leader="none" w:pos="2350"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 xml:space="preserve">One-time only. </w:t>
      </w:r>
      <w:r>
        <w:rPr>
          <w:rFonts w:ascii="Times New Roman" w:cs="Times New Roman" w:eastAsia="Times New Roman" w:hAnsi="Times New Roman"/>
          <w:sz w:val="21"/>
          <w:szCs w:val="21"/>
          <w:color w:val="auto"/>
        </w:rPr>
        <w:t>A Milestone shall be payable only once upon first occurrence [***]. For the avoidance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doubt, the total maximum amount in Discovery Milestones, Development Milestones and Sales Milestones payable under this Section 7.2 with respect to a Collaboration Target (exclusive of the bonus payment set forth in Section 7.2.2) shall not exceed [***],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120"/>
          </w:cols>
          <w:pgMar w:left="440" w:top="1383" w:right="339" w:bottom="1440" w:gutter="0" w:footer="0" w:header="0"/>
        </w:sectPr>
      </w:pPr>
    </w:p>
    <w:bookmarkStart w:id="361" w:name="page362"/>
    <w:bookmarkEnd w:id="361"/>
    <w:p>
      <w:pPr>
        <w:ind w:left="2080"/>
        <w:spacing w:after="0" w:line="269" w:lineRule="auto"/>
        <w:rPr>
          <w:sz w:val="20"/>
          <w:szCs w:val="20"/>
          <w:color w:val="auto"/>
        </w:rPr>
      </w:pPr>
      <w:r>
        <w:rPr>
          <w:rFonts w:ascii="Times New Roman" w:cs="Times New Roman" w:eastAsia="Times New Roman" w:hAnsi="Times New Roman"/>
          <w:sz w:val="21"/>
          <w:szCs w:val="21"/>
          <w:color w:val="auto"/>
        </w:rPr>
        <w:t>total maximum Commercial Milestones payable under this Section 7.2 with respect to a Product shall not exceed [***].</w:t>
      </w:r>
    </w:p>
    <w:p>
      <w:pPr>
        <w:spacing w:after="0" w:line="48" w:lineRule="exact"/>
        <w:rPr>
          <w:sz w:val="20"/>
          <w:szCs w:val="20"/>
          <w:color w:val="auto"/>
        </w:rPr>
      </w:pPr>
    </w:p>
    <w:p>
      <w:pPr>
        <w:jc w:val="both"/>
        <w:ind w:left="2080" w:firstLine="5"/>
        <w:spacing w:after="0" w:line="312" w:lineRule="auto"/>
        <w:tabs>
          <w:tab w:leader="none" w:pos="246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Invoicing and Payment</w:t>
      </w:r>
      <w:r>
        <w:rPr>
          <w:rFonts w:ascii="Times New Roman" w:cs="Times New Roman" w:eastAsia="Times New Roman" w:hAnsi="Times New Roman"/>
          <w:sz w:val="20"/>
          <w:szCs w:val="20"/>
          <w:color w:val="auto"/>
        </w:rPr>
        <w:t>. Following receipt of the proper invoice issued by Company for the applicable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Milestone payment, Merck will make such Milestone payment within [***] days after receipt of such invoice.</w:t>
      </w:r>
    </w:p>
    <w:p>
      <w:pPr>
        <w:spacing w:after="0" w:line="8"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7.3 </w:t>
      </w:r>
      <w:r>
        <w:rPr>
          <w:rFonts w:ascii="Times New Roman" w:cs="Times New Roman" w:eastAsia="Times New Roman" w:hAnsi="Times New Roman"/>
          <w:sz w:val="20"/>
          <w:szCs w:val="20"/>
          <w:b w:val="1"/>
          <w:bCs w:val="1"/>
          <w:color w:val="auto"/>
        </w:rPr>
        <w:t>Early Target Validation Payment</w:t>
      </w:r>
      <w:r>
        <w:rPr>
          <w:rFonts w:ascii="Times New Roman" w:cs="Times New Roman" w:eastAsia="Times New Roman" w:hAnsi="Times New Roman"/>
          <w:sz w:val="20"/>
          <w:szCs w:val="20"/>
          <w:color w:val="auto"/>
        </w:rPr>
        <w:t>. If a certain Target is (i) proposed by Company in writing during the Term, (ii) based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on Target validation data of Company, and (iii) [***]; Merck shall pay to Company an additional fee of [***] per Collaboration Target meeting the requirements of this Section 7.3, within [***] days following Merck’s receipt of the corresponding invoice from Company.</w:t>
      </w:r>
    </w:p>
    <w:p>
      <w:pPr>
        <w:spacing w:after="0" w:line="34"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7.4</w:t>
      </w:r>
      <w:r>
        <w:rPr>
          <w:sz w:val="20"/>
          <w:szCs w:val="20"/>
          <w:color w:val="auto"/>
        </w:rPr>
        <w:tab/>
      </w:r>
      <w:r>
        <w:rPr>
          <w:rFonts w:ascii="Times New Roman" w:cs="Times New Roman" w:eastAsia="Times New Roman" w:hAnsi="Times New Roman"/>
          <w:sz w:val="20"/>
          <w:szCs w:val="20"/>
          <w:b w:val="1"/>
          <w:bCs w:val="1"/>
          <w:color w:val="auto"/>
        </w:rPr>
        <w:t>Net Sales Payments</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left="1860" w:hanging="850"/>
        <w:spacing w:after="0" w:line="262" w:lineRule="auto"/>
        <w:tabs>
          <w:tab w:leader="none" w:pos="1840" w:val="left"/>
        </w:tabs>
        <w:rPr>
          <w:sz w:val="20"/>
          <w:szCs w:val="20"/>
          <w:color w:val="auto"/>
        </w:rPr>
      </w:pPr>
      <w:r>
        <w:rPr>
          <w:rFonts w:ascii="Times New Roman" w:cs="Times New Roman" w:eastAsia="Times New Roman" w:hAnsi="Times New Roman"/>
          <w:sz w:val="19"/>
          <w:szCs w:val="19"/>
          <w:color w:val="auto"/>
        </w:rPr>
        <w:t>7.4.1</w:t>
      </w:r>
      <w:r>
        <w:rPr>
          <w:sz w:val="20"/>
          <w:szCs w:val="20"/>
          <w:color w:val="auto"/>
        </w:rPr>
        <w:tab/>
      </w:r>
      <w:r>
        <w:rPr>
          <w:rFonts w:ascii="Times New Roman" w:cs="Times New Roman" w:eastAsia="Times New Roman" w:hAnsi="Times New Roman"/>
          <w:sz w:val="21"/>
          <w:szCs w:val="21"/>
          <w:u w:val="single" w:color="auto"/>
          <w:color w:val="auto"/>
        </w:rPr>
        <w:t>Net Sales Payments Rate</w:t>
      </w:r>
      <w:r>
        <w:rPr>
          <w:rFonts w:ascii="Times New Roman" w:cs="Times New Roman" w:eastAsia="Times New Roman" w:hAnsi="Times New Roman"/>
          <w:sz w:val="21"/>
          <w:szCs w:val="21"/>
          <w:color w:val="auto"/>
        </w:rPr>
        <w:t>. Merck shall, during the Net Sales Payment Term, pay to Company a portion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worldwide, aggregate Net Sales of each Product (“</w:t>
      </w:r>
      <w:r>
        <w:rPr>
          <w:rFonts w:ascii="Times New Roman" w:cs="Times New Roman" w:eastAsia="Times New Roman" w:hAnsi="Times New Roman"/>
          <w:sz w:val="21"/>
          <w:szCs w:val="21"/>
          <w:b w:val="1"/>
          <w:bCs w:val="1"/>
          <w:color w:val="auto"/>
        </w:rPr>
        <w:t>Net Sales Payment</w:t>
      </w:r>
      <w:r>
        <w:rPr>
          <w:rFonts w:ascii="Times New Roman" w:cs="Times New Roman" w:eastAsia="Times New Roman" w:hAnsi="Times New Roman"/>
          <w:sz w:val="21"/>
          <w:szCs w:val="21"/>
          <w:color w:val="auto"/>
        </w:rPr>
        <w:t>”) for each Calendar Year, on a Product-by-Product basis at the percentage rates set forth below (subject to Sections 7.5 and 7.6 below):</w:t>
      </w:r>
    </w:p>
    <w:p>
      <w:pPr>
        <w:spacing w:after="0" w:line="78" w:lineRule="exact"/>
        <w:rPr>
          <w:sz w:val="20"/>
          <w:szCs w:val="20"/>
          <w:color w:val="auto"/>
        </w:rPr>
      </w:pPr>
    </w:p>
    <w:tbl>
      <w:tblPr>
        <w:tblLayout w:type="fixed"/>
        <w:tblInd w:w="1010" w:type="dxa"/>
        <w:tblCellMar>
          <w:top w:w="0" w:type="dxa"/>
          <w:left w:w="0" w:type="dxa"/>
          <w:bottom w:w="0" w:type="dxa"/>
          <w:right w:w="0" w:type="dxa"/>
        </w:tblCellMar>
      </w:tblPr>
      <w:tr>
        <w:trPr>
          <w:trHeight w:val="206"/>
        </w:trPr>
        <w:tc>
          <w:tcPr>
            <w:tcW w:w="7680" w:type="dxa"/>
            <w:vAlign w:val="bottom"/>
            <w:tcBorders>
              <w:top w:val="single" w:sz="8" w:color="auto"/>
              <w:left w:val="single" w:sz="8" w:color="auto"/>
              <w:right w:val="single" w:sz="8" w:color="auto"/>
            </w:tcBorders>
            <w:shd w:val="clear" w:color="auto" w:fill="D9D9D9"/>
          </w:tcPr>
          <w:p>
            <w:pPr>
              <w:ind w:left="40"/>
              <w:spacing w:after="0" w:line="207" w:lineRule="exact"/>
              <w:rPr>
                <w:sz w:val="20"/>
                <w:szCs w:val="20"/>
                <w:color w:val="auto"/>
              </w:rPr>
            </w:pPr>
            <w:r>
              <w:rPr>
                <w:rFonts w:ascii="Times New Roman" w:cs="Times New Roman" w:eastAsia="Times New Roman" w:hAnsi="Times New Roman"/>
                <w:sz w:val="21"/>
                <w:szCs w:val="21"/>
                <w:b w:val="1"/>
                <w:bCs w:val="1"/>
                <w:color w:val="auto"/>
              </w:rPr>
              <w:t>Worldwide, aggregate Net Sales per Product per Calendar Year (in USD)</w:t>
            </w:r>
          </w:p>
        </w:tc>
        <w:tc>
          <w:tcPr>
            <w:tcW w:w="400" w:type="dxa"/>
            <w:vAlign w:val="bottom"/>
            <w:tcBorders>
              <w:top w:val="single" w:sz="8" w:color="auto"/>
            </w:tcBorders>
            <w:shd w:val="clear" w:color="auto" w:fill="D9D9D9"/>
          </w:tcPr>
          <w:p>
            <w:pPr>
              <w:spacing w:after="0" w:line="207" w:lineRule="exact"/>
              <w:rPr>
                <w:sz w:val="20"/>
                <w:szCs w:val="20"/>
                <w:color w:val="auto"/>
              </w:rPr>
            </w:pPr>
            <w:r>
              <w:rPr>
                <w:rFonts w:ascii="Times New Roman" w:cs="Times New Roman" w:eastAsia="Times New Roman" w:hAnsi="Times New Roman"/>
                <w:sz w:val="21"/>
                <w:szCs w:val="21"/>
                <w:b w:val="1"/>
                <w:bCs w:val="1"/>
                <w:color w:val="auto"/>
              </w:rPr>
              <w:t>Net</w:t>
            </w:r>
          </w:p>
        </w:tc>
        <w:tc>
          <w:tcPr>
            <w:tcW w:w="1240" w:type="dxa"/>
            <w:vAlign w:val="bottom"/>
            <w:tcBorders>
              <w:top w:val="single" w:sz="8" w:color="auto"/>
              <w:right w:val="single" w:sz="8" w:color="auto"/>
            </w:tcBorders>
            <w:shd w:val="clear" w:color="auto" w:fill="D9D9D9"/>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Sales</w:t>
            </w:r>
          </w:p>
        </w:tc>
      </w:tr>
      <w:tr>
        <w:trPr>
          <w:trHeight w:val="271"/>
        </w:trPr>
        <w:tc>
          <w:tcPr>
            <w:tcW w:w="7680" w:type="dxa"/>
            <w:vAlign w:val="bottom"/>
            <w:tcBorders>
              <w:left w:val="single" w:sz="8" w:color="auto"/>
              <w:bottom w:val="single" w:sz="8" w:color="auto"/>
              <w:right w:val="single" w:sz="8" w:color="auto"/>
            </w:tcBorders>
            <w:shd w:val="clear" w:color="auto" w:fill="D9D9D9"/>
          </w:tcPr>
          <w:p>
            <w:pPr>
              <w:spacing w:after="0"/>
              <w:rPr>
                <w:sz w:val="23"/>
                <w:szCs w:val="23"/>
                <w:color w:val="auto"/>
              </w:rPr>
            </w:pPr>
          </w:p>
        </w:tc>
        <w:tc>
          <w:tcPr>
            <w:tcW w:w="1640" w:type="dxa"/>
            <w:vAlign w:val="bottom"/>
            <w:tcBorders>
              <w:bottom w:val="single" w:sz="8" w:color="auto"/>
              <w:right w:val="single" w:sz="8" w:color="auto"/>
            </w:tcBorders>
            <w:gridSpan w:val="2"/>
            <w:shd w:val="clear" w:color="auto" w:fill="D9D9D9"/>
          </w:tcPr>
          <w:p>
            <w:pPr>
              <w:spacing w:after="0"/>
              <w:rPr>
                <w:sz w:val="20"/>
                <w:szCs w:val="20"/>
                <w:color w:val="auto"/>
              </w:rPr>
            </w:pPr>
            <w:r>
              <w:rPr>
                <w:rFonts w:ascii="Times New Roman" w:cs="Times New Roman" w:eastAsia="Times New Roman" w:hAnsi="Times New Roman"/>
                <w:sz w:val="21"/>
                <w:szCs w:val="21"/>
                <w:b w:val="1"/>
                <w:bCs w:val="1"/>
                <w:color w:val="auto"/>
              </w:rPr>
              <w:t>Payment rate</w:t>
            </w:r>
          </w:p>
        </w:tc>
      </w:tr>
      <w:tr>
        <w:trPr>
          <w:trHeight w:val="251"/>
        </w:trPr>
        <w:tc>
          <w:tcPr>
            <w:tcW w:w="7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For Net Sales of Product from USD [***] up to and including USD [***]</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21"/>
                <w:szCs w:val="21"/>
                <w:color w:val="auto"/>
              </w:rPr>
              <w:t>[***]%</w:t>
            </w:r>
          </w:p>
        </w:tc>
      </w:tr>
      <w:tr>
        <w:trPr>
          <w:trHeight w:val="187"/>
        </w:trPr>
        <w:tc>
          <w:tcPr>
            <w:tcW w:w="7680" w:type="dxa"/>
            <w:vAlign w:val="bottom"/>
            <w:tcBorders>
              <w:left w:val="single" w:sz="8" w:color="auto"/>
              <w:right w:val="single" w:sz="8" w:color="auto"/>
            </w:tcBorders>
          </w:tcPr>
          <w:p>
            <w:pPr>
              <w:ind w:left="40"/>
              <w:spacing w:after="0" w:line="187" w:lineRule="exact"/>
              <w:rPr>
                <w:sz w:val="20"/>
                <w:szCs w:val="20"/>
                <w:color w:val="auto"/>
              </w:rPr>
            </w:pPr>
            <w:r>
              <w:rPr>
                <w:rFonts w:ascii="Times New Roman" w:cs="Times New Roman" w:eastAsia="Times New Roman" w:hAnsi="Times New Roman"/>
                <w:sz w:val="21"/>
                <w:szCs w:val="21"/>
                <w:color w:val="auto"/>
              </w:rPr>
              <w:t>For that portion of Net Sales of Product that is greater than USD [***] and less than or</w:t>
            </w:r>
          </w:p>
        </w:tc>
        <w:tc>
          <w:tcPr>
            <w:tcW w:w="400" w:type="dxa"/>
            <w:vAlign w:val="bottom"/>
          </w:tcPr>
          <w:p>
            <w:pPr>
              <w:spacing w:after="0"/>
              <w:rPr>
                <w:sz w:val="16"/>
                <w:szCs w:val="16"/>
                <w:color w:val="auto"/>
              </w:rPr>
            </w:pPr>
          </w:p>
        </w:tc>
        <w:tc>
          <w:tcPr>
            <w:tcW w:w="1240" w:type="dxa"/>
            <w:vAlign w:val="bottom"/>
            <w:tcBorders>
              <w:right w:val="single" w:sz="8" w:color="auto"/>
            </w:tcBorders>
          </w:tcPr>
          <w:p>
            <w:pPr>
              <w:jc w:val="right"/>
              <w:ind w:right="437"/>
              <w:spacing w:after="0" w:line="187" w:lineRule="exact"/>
              <w:rPr>
                <w:sz w:val="20"/>
                <w:szCs w:val="20"/>
                <w:color w:val="auto"/>
              </w:rPr>
            </w:pPr>
            <w:r>
              <w:rPr>
                <w:rFonts w:ascii="Times New Roman" w:cs="Times New Roman" w:eastAsia="Times New Roman" w:hAnsi="Times New Roman"/>
                <w:sz w:val="21"/>
                <w:szCs w:val="21"/>
                <w:color w:val="auto"/>
              </w:rPr>
              <w:t>[***]%</w:t>
            </w:r>
          </w:p>
        </w:tc>
      </w:tr>
      <w:tr>
        <w:trPr>
          <w:trHeight w:val="269"/>
        </w:trPr>
        <w:tc>
          <w:tcPr>
            <w:tcW w:w="7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equal to USD [***]</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r>
      <w:tr>
        <w:trPr>
          <w:trHeight w:val="188"/>
        </w:trPr>
        <w:tc>
          <w:tcPr>
            <w:tcW w:w="7680" w:type="dxa"/>
            <w:vAlign w:val="bottom"/>
            <w:tcBorders>
              <w:left w:val="single" w:sz="8" w:color="auto"/>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21"/>
                <w:szCs w:val="21"/>
                <w:color w:val="auto"/>
              </w:rPr>
              <w:t>For that portion of Net Sales of Product that is greater than USD [***] and less than or</w:t>
            </w:r>
          </w:p>
        </w:tc>
        <w:tc>
          <w:tcPr>
            <w:tcW w:w="400" w:type="dxa"/>
            <w:vAlign w:val="bottom"/>
          </w:tcPr>
          <w:p>
            <w:pPr>
              <w:spacing w:after="0"/>
              <w:rPr>
                <w:sz w:val="16"/>
                <w:szCs w:val="16"/>
                <w:color w:val="auto"/>
              </w:rPr>
            </w:pPr>
          </w:p>
        </w:tc>
        <w:tc>
          <w:tcPr>
            <w:tcW w:w="1240" w:type="dxa"/>
            <w:vAlign w:val="bottom"/>
            <w:tcBorders>
              <w:right w:val="single" w:sz="8" w:color="auto"/>
            </w:tcBorders>
          </w:tcPr>
          <w:p>
            <w:pPr>
              <w:jc w:val="right"/>
              <w:ind w:right="437"/>
              <w:spacing w:after="0" w:line="188" w:lineRule="exact"/>
              <w:rPr>
                <w:sz w:val="20"/>
                <w:szCs w:val="20"/>
                <w:color w:val="auto"/>
              </w:rPr>
            </w:pPr>
            <w:r>
              <w:rPr>
                <w:rFonts w:ascii="Times New Roman" w:cs="Times New Roman" w:eastAsia="Times New Roman" w:hAnsi="Times New Roman"/>
                <w:sz w:val="21"/>
                <w:szCs w:val="21"/>
                <w:color w:val="auto"/>
              </w:rPr>
              <w:t>[***]%</w:t>
            </w:r>
          </w:p>
        </w:tc>
      </w:tr>
      <w:tr>
        <w:trPr>
          <w:trHeight w:val="269"/>
        </w:trPr>
        <w:tc>
          <w:tcPr>
            <w:tcW w:w="7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equal to USD [***]</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r>
      <w:tr>
        <w:trPr>
          <w:trHeight w:val="188"/>
        </w:trPr>
        <w:tc>
          <w:tcPr>
            <w:tcW w:w="7680" w:type="dxa"/>
            <w:vAlign w:val="bottom"/>
            <w:tcBorders>
              <w:left w:val="single" w:sz="8" w:color="auto"/>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21"/>
                <w:szCs w:val="21"/>
                <w:color w:val="auto"/>
              </w:rPr>
              <w:t>For that portion of Net Sales of Product that is greater than USD [***] and less than or</w:t>
            </w:r>
          </w:p>
        </w:tc>
        <w:tc>
          <w:tcPr>
            <w:tcW w:w="400" w:type="dxa"/>
            <w:vAlign w:val="bottom"/>
          </w:tcPr>
          <w:p>
            <w:pPr>
              <w:spacing w:after="0"/>
              <w:rPr>
                <w:sz w:val="16"/>
                <w:szCs w:val="16"/>
                <w:color w:val="auto"/>
              </w:rPr>
            </w:pPr>
          </w:p>
        </w:tc>
        <w:tc>
          <w:tcPr>
            <w:tcW w:w="1240" w:type="dxa"/>
            <w:vAlign w:val="bottom"/>
            <w:tcBorders>
              <w:right w:val="single" w:sz="8" w:color="auto"/>
            </w:tcBorders>
          </w:tcPr>
          <w:p>
            <w:pPr>
              <w:jc w:val="right"/>
              <w:ind w:right="437"/>
              <w:spacing w:after="0" w:line="188" w:lineRule="exact"/>
              <w:rPr>
                <w:sz w:val="20"/>
                <w:szCs w:val="20"/>
                <w:color w:val="auto"/>
              </w:rPr>
            </w:pPr>
            <w:r>
              <w:rPr>
                <w:rFonts w:ascii="Times New Roman" w:cs="Times New Roman" w:eastAsia="Times New Roman" w:hAnsi="Times New Roman"/>
                <w:sz w:val="21"/>
                <w:szCs w:val="21"/>
                <w:color w:val="auto"/>
              </w:rPr>
              <w:t>[***]%</w:t>
            </w:r>
          </w:p>
        </w:tc>
      </w:tr>
      <w:tr>
        <w:trPr>
          <w:trHeight w:val="269"/>
        </w:trPr>
        <w:tc>
          <w:tcPr>
            <w:tcW w:w="7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equal to USD [***]</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r>
      <w:tr>
        <w:trPr>
          <w:trHeight w:val="252"/>
        </w:trPr>
        <w:tc>
          <w:tcPr>
            <w:tcW w:w="7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For that portion of Net Sales of Product that is greater than USD [***]</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21"/>
                <w:szCs w:val="21"/>
                <w:color w:val="auto"/>
              </w:rPr>
              <w:t>[***]%</w:t>
            </w:r>
          </w:p>
        </w:tc>
      </w:tr>
    </w:tbl>
    <w:p>
      <w:pPr>
        <w:spacing w:after="0" w:line="168" w:lineRule="exact"/>
        <w:rPr>
          <w:sz w:val="20"/>
          <w:szCs w:val="20"/>
          <w:color w:val="auto"/>
        </w:rPr>
      </w:pPr>
    </w:p>
    <w:p>
      <w:pPr>
        <w:jc w:val="both"/>
        <w:ind w:left="1840" w:hanging="853"/>
        <w:spacing w:after="0" w:line="252" w:lineRule="auto"/>
        <w:tabs>
          <w:tab w:leader="none" w:pos="1820" w:val="left"/>
        </w:tabs>
        <w:rPr>
          <w:sz w:val="20"/>
          <w:szCs w:val="20"/>
          <w:color w:val="auto"/>
        </w:rPr>
      </w:pPr>
      <w:r>
        <w:rPr>
          <w:rFonts w:ascii="Times New Roman" w:cs="Times New Roman" w:eastAsia="Times New Roman" w:hAnsi="Times New Roman"/>
          <w:sz w:val="19"/>
          <w:szCs w:val="19"/>
          <w:color w:val="auto"/>
        </w:rPr>
        <w:t>7.4.2</w:t>
      </w:r>
      <w:r>
        <w:rPr>
          <w:sz w:val="20"/>
          <w:szCs w:val="20"/>
          <w:color w:val="auto"/>
        </w:rPr>
        <w:tab/>
      </w:r>
      <w:r>
        <w:rPr>
          <w:rFonts w:ascii="Times New Roman" w:cs="Times New Roman" w:eastAsia="Times New Roman" w:hAnsi="Times New Roman"/>
          <w:sz w:val="21"/>
          <w:szCs w:val="21"/>
          <w:u w:val="single" w:color="auto"/>
          <w:color w:val="auto"/>
        </w:rPr>
        <w:t>Net Sales Subject to Net Sales Payments</w:t>
      </w:r>
      <w:r>
        <w:rPr>
          <w:rFonts w:ascii="Times New Roman" w:cs="Times New Roman" w:eastAsia="Times New Roman" w:hAnsi="Times New Roman"/>
          <w:sz w:val="21"/>
          <w:szCs w:val="21"/>
          <w:color w:val="auto"/>
        </w:rPr>
        <w:t>. For purposes of determining whether a Net Sales Payment rate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threshold or a Commercial Milestone has been attained, only Net Sales that are subject to a Net Sales Payment shall be included in the total amount of Net Sales and any net sales that are not subject to a Net Sales Payment shall be excluded. In addition, in no event shall the manufacture of a Product give rise to a Net Sales Payment obligation. For clarity, Merck’s obligation to pay Net Sales Payments to Company under this ARTICLE 7 is imposed only once with respect to the same unit of Product regardless of the number of Patent Rights pertaining thereto.</w:t>
      </w:r>
    </w:p>
    <w:p>
      <w:pPr>
        <w:spacing w:after="0" w:line="65" w:lineRule="exact"/>
        <w:rPr>
          <w:sz w:val="20"/>
          <w:szCs w:val="20"/>
          <w:color w:val="auto"/>
        </w:rPr>
      </w:pPr>
    </w:p>
    <w:p>
      <w:pPr>
        <w:ind w:firstLine="487"/>
        <w:spacing w:after="0" w:line="312" w:lineRule="auto"/>
        <w:rPr>
          <w:sz w:val="20"/>
          <w:szCs w:val="20"/>
          <w:color w:val="auto"/>
        </w:rPr>
      </w:pPr>
      <w:r>
        <w:rPr>
          <w:rFonts w:ascii="Times New Roman" w:cs="Times New Roman" w:eastAsia="Times New Roman" w:hAnsi="Times New Roman"/>
          <w:sz w:val="19"/>
          <w:szCs w:val="19"/>
          <w:color w:val="auto"/>
        </w:rPr>
        <w:t xml:space="preserve">7.5 </w:t>
      </w:r>
      <w:r>
        <w:rPr>
          <w:rFonts w:ascii="Times New Roman" w:cs="Times New Roman" w:eastAsia="Times New Roman" w:hAnsi="Times New Roman"/>
          <w:sz w:val="20"/>
          <w:szCs w:val="20"/>
          <w:b w:val="1"/>
          <w:bCs w:val="1"/>
          <w:color w:val="auto"/>
        </w:rPr>
        <w:t>Compulsory License</w:t>
      </w:r>
      <w:r>
        <w:rPr>
          <w:rFonts w:ascii="Times New Roman" w:cs="Times New Roman" w:eastAsia="Times New Roman" w:hAnsi="Times New Roman"/>
          <w:sz w:val="20"/>
          <w:szCs w:val="20"/>
          <w:color w:val="auto"/>
        </w:rPr>
        <w:t>. In the event that Company or Merck receives a request for a Compulsory License anywhere in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world, it shall promptly notify the other Party. If any Third Party obtains a Compulsory License in any country, then Company or Merck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364" w:right="339" w:bottom="1440" w:gutter="0" w:footer="0" w:header="0"/>
        </w:sectPr>
      </w:pPr>
    </w:p>
    <w:bookmarkStart w:id="362" w:name="page363"/>
    <w:bookmarkEnd w:id="362"/>
    <w:p>
      <w:pPr>
        <w:jc w:val="both"/>
        <w:spacing w:after="0" w:line="256" w:lineRule="auto"/>
        <w:rPr>
          <w:sz w:val="20"/>
          <w:szCs w:val="20"/>
          <w:color w:val="auto"/>
        </w:rPr>
      </w:pPr>
      <w:r>
        <w:rPr>
          <w:rFonts w:ascii="Times New Roman" w:cs="Times New Roman" w:eastAsia="Times New Roman" w:hAnsi="Times New Roman"/>
          <w:sz w:val="21"/>
          <w:szCs w:val="21"/>
          <w:color w:val="auto"/>
        </w:rPr>
        <w:t>(whoever has first notice) shall promptly notify the other Party. Thereafter, as of the date the Third Party obtained such Compulsory License in such country, any Net Sales Payment rate payable under this Agreement to Company for Net Sales in such country cannot exceed [***] of any royalty rate paid by such Third Party. This shall apply mutatis mutandis if Merck grants a Sublicense to a Third Party in any country to avoid the imposition of such a Compulsory License.</w:t>
      </w:r>
    </w:p>
    <w:p>
      <w:pPr>
        <w:spacing w:after="0" w:line="61"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7.6</w:t>
      </w:r>
      <w:r>
        <w:rPr>
          <w:sz w:val="20"/>
          <w:szCs w:val="20"/>
          <w:color w:val="auto"/>
        </w:rPr>
        <w:tab/>
      </w:r>
      <w:r>
        <w:rPr>
          <w:rFonts w:ascii="Times New Roman" w:cs="Times New Roman" w:eastAsia="Times New Roman" w:hAnsi="Times New Roman"/>
          <w:sz w:val="20"/>
          <w:szCs w:val="20"/>
          <w:b w:val="1"/>
          <w:bCs w:val="1"/>
          <w:color w:val="auto"/>
        </w:rPr>
        <w:t>Reductions, Deductions and Reimbursements</w:t>
      </w:r>
      <w:r>
        <w:rPr>
          <w:rFonts w:ascii="Times New Roman" w:cs="Times New Roman" w:eastAsia="Times New Roman" w:hAnsi="Times New Roman"/>
          <w:sz w:val="20"/>
          <w:szCs w:val="20"/>
          <w:color w:val="auto"/>
        </w:rPr>
        <w:t>.</w:t>
      </w:r>
    </w:p>
    <w:p>
      <w:pPr>
        <w:spacing w:after="0" w:line="122" w:lineRule="exact"/>
        <w:rPr>
          <w:sz w:val="20"/>
          <w:szCs w:val="20"/>
          <w:color w:val="auto"/>
        </w:rPr>
      </w:pPr>
    </w:p>
    <w:p>
      <w:pPr>
        <w:jc w:val="both"/>
        <w:ind w:left="1860" w:hanging="850"/>
        <w:spacing w:after="0" w:line="256" w:lineRule="auto"/>
        <w:tabs>
          <w:tab w:leader="none" w:pos="1840" w:val="left"/>
        </w:tabs>
        <w:rPr>
          <w:sz w:val="20"/>
          <w:szCs w:val="20"/>
          <w:color w:val="auto"/>
        </w:rPr>
      </w:pPr>
      <w:r>
        <w:rPr>
          <w:rFonts w:ascii="Times New Roman" w:cs="Times New Roman" w:eastAsia="Times New Roman" w:hAnsi="Times New Roman"/>
          <w:sz w:val="19"/>
          <w:szCs w:val="19"/>
          <w:color w:val="auto"/>
        </w:rPr>
        <w:t>7.6.1</w:t>
      </w:r>
      <w:r>
        <w:rPr>
          <w:sz w:val="20"/>
          <w:szCs w:val="20"/>
          <w:color w:val="auto"/>
        </w:rPr>
        <w:tab/>
      </w:r>
      <w:r>
        <w:rPr>
          <w:rFonts w:ascii="Times New Roman" w:cs="Times New Roman" w:eastAsia="Times New Roman" w:hAnsi="Times New Roman"/>
          <w:sz w:val="21"/>
          <w:szCs w:val="21"/>
          <w:u w:val="single" w:color="auto"/>
          <w:color w:val="auto"/>
        </w:rPr>
        <w:t>Net Sales Payment on Know-How</w:t>
      </w:r>
      <w:r>
        <w:rPr>
          <w:rFonts w:ascii="Times New Roman" w:cs="Times New Roman" w:eastAsia="Times New Roman" w:hAnsi="Times New Roman"/>
          <w:sz w:val="21"/>
          <w:szCs w:val="21"/>
          <w:color w:val="auto"/>
        </w:rPr>
        <w:t>. Any Net Sales Payment rates under this Agreement applicable to the Net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Sales of a Product in a country will be reduced by [***] during any period within the Net Sales Payment Term in which there is: (a) no Valid Claim in such country that Covers such Product in such country; and (b) no continuing regulatory, pediatric, orphan drug or data exclusivity.</w:t>
      </w:r>
    </w:p>
    <w:p>
      <w:pPr>
        <w:spacing w:after="0" w:line="78" w:lineRule="exact"/>
        <w:rPr>
          <w:sz w:val="20"/>
          <w:szCs w:val="20"/>
          <w:color w:val="auto"/>
        </w:rPr>
      </w:pPr>
    </w:p>
    <w:p>
      <w:pPr>
        <w:jc w:val="both"/>
        <w:ind w:left="1860" w:hanging="850"/>
        <w:spacing w:after="0" w:line="256" w:lineRule="auto"/>
        <w:tabs>
          <w:tab w:leader="none" w:pos="1840" w:val="left"/>
        </w:tabs>
        <w:rPr>
          <w:sz w:val="20"/>
          <w:szCs w:val="20"/>
          <w:color w:val="auto"/>
        </w:rPr>
      </w:pPr>
      <w:r>
        <w:rPr>
          <w:rFonts w:ascii="Times New Roman" w:cs="Times New Roman" w:eastAsia="Times New Roman" w:hAnsi="Times New Roman"/>
          <w:sz w:val="19"/>
          <w:szCs w:val="19"/>
          <w:color w:val="auto"/>
        </w:rPr>
        <w:t>7.6.2</w:t>
      </w:r>
      <w:r>
        <w:rPr>
          <w:sz w:val="20"/>
          <w:szCs w:val="20"/>
          <w:color w:val="auto"/>
        </w:rPr>
        <w:tab/>
      </w:r>
      <w:r>
        <w:rPr>
          <w:rFonts w:ascii="Times New Roman" w:cs="Times New Roman" w:eastAsia="Times New Roman" w:hAnsi="Times New Roman"/>
          <w:sz w:val="21"/>
          <w:szCs w:val="21"/>
          <w:u w:val="single" w:color="auto"/>
          <w:color w:val="auto"/>
        </w:rPr>
        <w:t>Generic Competition</w:t>
      </w:r>
      <w:r>
        <w:rPr>
          <w:rFonts w:ascii="Times New Roman" w:cs="Times New Roman" w:eastAsia="Times New Roman" w:hAnsi="Times New Roman"/>
          <w:sz w:val="21"/>
          <w:szCs w:val="21"/>
          <w:color w:val="auto"/>
        </w:rPr>
        <w:t>. In the event that in any country in the Territory during the Net Sales Payment Term for a</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Product, there are one (1) or more Generic Versions of such Product on the market in such country, then any Net Sales Payment rate for the applicable Product in the applicable country will be reduced by [***].</w:t>
      </w:r>
    </w:p>
    <w:p>
      <w:pPr>
        <w:spacing w:after="0" w:line="65" w:lineRule="exact"/>
        <w:rPr>
          <w:sz w:val="20"/>
          <w:szCs w:val="20"/>
          <w:color w:val="auto"/>
        </w:rPr>
      </w:pPr>
    </w:p>
    <w:p>
      <w:pPr>
        <w:jc w:val="both"/>
        <w:ind w:left="1860" w:hanging="850"/>
        <w:spacing w:after="0" w:line="268" w:lineRule="auto"/>
        <w:tabs>
          <w:tab w:leader="none" w:pos="1840" w:val="left"/>
        </w:tabs>
        <w:rPr>
          <w:sz w:val="20"/>
          <w:szCs w:val="20"/>
          <w:color w:val="auto"/>
        </w:rPr>
      </w:pPr>
      <w:r>
        <w:rPr>
          <w:rFonts w:ascii="Times New Roman" w:cs="Times New Roman" w:eastAsia="Times New Roman" w:hAnsi="Times New Roman"/>
          <w:sz w:val="19"/>
          <w:szCs w:val="19"/>
          <w:color w:val="auto"/>
        </w:rPr>
        <w:t>7.6.3</w:t>
      </w:r>
      <w:r>
        <w:rPr>
          <w:sz w:val="20"/>
          <w:szCs w:val="20"/>
          <w:color w:val="auto"/>
        </w:rPr>
        <w:tab/>
      </w:r>
      <w:r>
        <w:rPr>
          <w:rFonts w:ascii="Times New Roman" w:cs="Times New Roman" w:eastAsia="Times New Roman" w:hAnsi="Times New Roman"/>
          <w:sz w:val="20"/>
          <w:szCs w:val="20"/>
          <w:u w:val="single" w:color="auto"/>
          <w:color w:val="auto"/>
        </w:rPr>
        <w:t>Maximum Reduction</w:t>
      </w:r>
      <w:r>
        <w:rPr>
          <w:rFonts w:ascii="Times New Roman" w:cs="Times New Roman" w:eastAsia="Times New Roman" w:hAnsi="Times New Roman"/>
          <w:sz w:val="20"/>
          <w:szCs w:val="20"/>
          <w:color w:val="auto"/>
        </w:rPr>
        <w:t>. In no event shall the cumulative reduction of Net Sales Payment rates under Sections 7.6.1</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7.6.2 reduce the Net Sales Payment payable to Company under Section 7.4 for any Product in any country during any Calendar Quarter below [***]. In the event that Merck is not able to deduct the full amount of the permitted deduction from the Net Sales Payment amounts due to Company due to the [***] maximum reduction, Company shall be entitled to deduct any undeducted excess amount from subsequent Net Sales Payment amounts owed to Company (subject always to Company receiving a minimum of [***] of the amount owed).</w:t>
      </w:r>
    </w:p>
    <w:p>
      <w:pPr>
        <w:spacing w:after="0" w:line="54" w:lineRule="exact"/>
        <w:rPr>
          <w:sz w:val="20"/>
          <w:szCs w:val="20"/>
          <w:color w:val="auto"/>
        </w:rPr>
      </w:pPr>
    </w:p>
    <w:p>
      <w:pPr>
        <w:ind w:firstLine="487"/>
        <w:spacing w:after="0" w:line="275" w:lineRule="auto"/>
        <w:rPr>
          <w:sz w:val="20"/>
          <w:szCs w:val="20"/>
          <w:color w:val="auto"/>
        </w:rPr>
      </w:pPr>
      <w:r>
        <w:rPr>
          <w:rFonts w:ascii="Times New Roman" w:cs="Times New Roman" w:eastAsia="Times New Roman" w:hAnsi="Times New Roman"/>
          <w:sz w:val="19"/>
          <w:szCs w:val="19"/>
          <w:color w:val="auto"/>
        </w:rPr>
        <w:t xml:space="preserve">7.7 </w:t>
      </w:r>
      <w:r>
        <w:rPr>
          <w:rFonts w:ascii="Times New Roman" w:cs="Times New Roman" w:eastAsia="Times New Roman" w:hAnsi="Times New Roman"/>
          <w:sz w:val="20"/>
          <w:szCs w:val="20"/>
          <w:b w:val="1"/>
          <w:bCs w:val="1"/>
          <w:color w:val="auto"/>
        </w:rPr>
        <w:t>Timing of Payment</w:t>
      </w:r>
      <w:r>
        <w:rPr>
          <w:rFonts w:ascii="Times New Roman" w:cs="Times New Roman" w:eastAsia="Times New Roman" w:hAnsi="Times New Roman"/>
          <w:sz w:val="20"/>
          <w:szCs w:val="20"/>
          <w:color w:val="auto"/>
        </w:rPr>
        <w:t>. Net Sales Payments payable under Section 7.4 shall be payable on actual Net Sales and shall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accrue at the time the Product is delivered. Net Sales Payment obligations that have accrued during a particular [***] shall be paid, on a</w:t>
      </w:r>
    </w:p>
    <w:p>
      <w:pPr>
        <w:spacing w:after="0" w:line="2" w:lineRule="exact"/>
        <w:rPr>
          <w:sz w:val="20"/>
          <w:szCs w:val="20"/>
          <w:color w:val="auto"/>
        </w:rPr>
      </w:pPr>
    </w:p>
    <w:p>
      <w:pPr>
        <w:ind w:left="500" w:hanging="497"/>
        <w:spacing w:after="0"/>
        <w:tabs>
          <w:tab w:leader="none" w:pos="50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basis, within [***] days after the end of each [***] during which the Net Sales Payment obligation accrued.</w:t>
      </w:r>
    </w:p>
    <w:p>
      <w:pPr>
        <w:spacing w:after="0" w:line="80" w:lineRule="exact"/>
        <w:rPr>
          <w:rFonts w:ascii="Times New Roman" w:cs="Times New Roman" w:eastAsia="Times New Roman" w:hAnsi="Times New Roman"/>
          <w:sz w:val="21"/>
          <w:szCs w:val="21"/>
          <w:color w:val="auto"/>
        </w:rPr>
      </w:pPr>
    </w:p>
    <w:p>
      <w:pPr>
        <w:ind w:left="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7.8</w:t>
      </w:r>
      <w:r>
        <w:rPr>
          <w:rFonts w:ascii="Times New Roman" w:cs="Times New Roman" w:eastAsia="Times New Roman" w:hAnsi="Times New Roman"/>
          <w:sz w:val="20"/>
          <w:szCs w:val="20"/>
          <w:b w:val="1"/>
          <w:bCs w:val="1"/>
          <w:color w:val="auto"/>
        </w:rPr>
        <w:t>Mode of Payment and Currency; Invoices</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firstLine="974"/>
        <w:spacing w:after="0" w:line="251" w:lineRule="auto"/>
        <w:rPr>
          <w:sz w:val="20"/>
          <w:szCs w:val="20"/>
          <w:color w:val="auto"/>
        </w:rPr>
      </w:pPr>
      <w:r>
        <w:rPr>
          <w:rFonts w:ascii="Times New Roman" w:cs="Times New Roman" w:eastAsia="Times New Roman" w:hAnsi="Times New Roman"/>
          <w:sz w:val="21"/>
          <w:szCs w:val="21"/>
          <w:color w:val="auto"/>
        </w:rPr>
        <w:t xml:space="preserve">7.7.1 </w:t>
      </w:r>
      <w:r>
        <w:rPr>
          <w:rFonts w:ascii="Times New Roman" w:cs="Times New Roman" w:eastAsia="Times New Roman" w:hAnsi="Times New Roman"/>
          <w:sz w:val="21"/>
          <w:szCs w:val="21"/>
          <w:u w:val="single" w:color="auto"/>
          <w:color w:val="auto"/>
        </w:rPr>
        <w:t>Currency</w:t>
      </w:r>
      <w:r>
        <w:rPr>
          <w:rFonts w:ascii="Times New Roman" w:cs="Times New Roman" w:eastAsia="Times New Roman" w:hAnsi="Times New Roman"/>
          <w:sz w:val="21"/>
          <w:szCs w:val="21"/>
          <w:color w:val="auto"/>
        </w:rPr>
        <w:t>. All payments to Company hereunder shall be made by deposit of USD in the requisite amount to such bank account as Company may from time to time designate by written notice to Merck. With respect to sales not denominated in USD, Merck shall convert applicable sales in foreign currency into USD by using the then current and reasonable standard exchange rate methodology applied to its external reporting. Based on the resulting sales in USD, the then applicable Net Sales Payment amount shall be calculated. The Parties may vary the method of payment set forth herein at any time upon mutual written agreement, and any change shall be consistent with the local Applicable Law at the place of payment or remittance.</w:t>
      </w:r>
    </w:p>
    <w:p>
      <w:pPr>
        <w:spacing w:after="0" w:line="70" w:lineRule="exact"/>
        <w:rPr>
          <w:sz w:val="20"/>
          <w:szCs w:val="20"/>
          <w:color w:val="auto"/>
        </w:rPr>
      </w:pPr>
    </w:p>
    <w:p>
      <w:pPr>
        <w:jc w:val="both"/>
        <w:ind w:firstLine="974"/>
        <w:spacing w:after="0" w:line="269" w:lineRule="auto"/>
        <w:rPr>
          <w:sz w:val="20"/>
          <w:szCs w:val="20"/>
          <w:color w:val="auto"/>
        </w:rPr>
      </w:pPr>
      <w:r>
        <w:rPr>
          <w:rFonts w:ascii="Times New Roman" w:cs="Times New Roman" w:eastAsia="Times New Roman" w:hAnsi="Times New Roman"/>
          <w:sz w:val="21"/>
          <w:szCs w:val="21"/>
          <w:color w:val="auto"/>
        </w:rPr>
        <w:t xml:space="preserve">7.7.2. </w:t>
      </w:r>
      <w:r>
        <w:rPr>
          <w:rFonts w:ascii="Times New Roman" w:cs="Times New Roman" w:eastAsia="Times New Roman" w:hAnsi="Times New Roman"/>
          <w:sz w:val="21"/>
          <w:szCs w:val="21"/>
          <w:u w:val="single" w:color="auto"/>
          <w:color w:val="auto"/>
        </w:rPr>
        <w:t>Invoices</w:t>
      </w:r>
      <w:r>
        <w:rPr>
          <w:rFonts w:ascii="Times New Roman" w:cs="Times New Roman" w:eastAsia="Times New Roman" w:hAnsi="Times New Roman"/>
          <w:sz w:val="21"/>
          <w:szCs w:val="21"/>
          <w:color w:val="auto"/>
        </w:rPr>
        <w:t>. Invoices sent by Company to Merck shall include the purchase order number provided by Merck to Company. If Merck fails to provide such purchase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365" w:right="339" w:bottom="1440" w:gutter="0" w:footer="0" w:header="0"/>
        </w:sectPr>
      </w:pPr>
    </w:p>
    <w:bookmarkStart w:id="363" w:name="page364"/>
    <w:bookmarkEnd w:id="363"/>
    <w:p>
      <w:pPr>
        <w:jc w:val="both"/>
        <w:spacing w:after="0" w:line="269" w:lineRule="auto"/>
        <w:rPr>
          <w:sz w:val="20"/>
          <w:szCs w:val="20"/>
          <w:color w:val="auto"/>
        </w:rPr>
      </w:pPr>
      <w:r>
        <w:rPr>
          <w:rFonts w:ascii="Times New Roman" w:cs="Times New Roman" w:eastAsia="Times New Roman" w:hAnsi="Times New Roman"/>
          <w:sz w:val="21"/>
          <w:szCs w:val="21"/>
          <w:color w:val="auto"/>
        </w:rPr>
        <w:t>number to Company until the time of invoicing, Merck shall upon written request from Company provide such purchase order number without undue delay. Company shall address its invoices to:</w:t>
      </w:r>
    </w:p>
    <w:p>
      <w:pPr>
        <w:spacing w:after="0" w:line="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w:t>
      </w:r>
    </w:p>
    <w:p>
      <w:pPr>
        <w:spacing w:after="0" w:line="348" w:lineRule="exact"/>
        <w:rPr>
          <w:sz w:val="20"/>
          <w:szCs w:val="20"/>
          <w:color w:val="auto"/>
        </w:rPr>
      </w:pPr>
    </w:p>
    <w:p>
      <w:pPr>
        <w:jc w:val="both"/>
        <w:ind w:firstLine="487"/>
        <w:spacing w:after="0" w:line="267" w:lineRule="auto"/>
        <w:rPr>
          <w:sz w:val="20"/>
          <w:szCs w:val="20"/>
          <w:color w:val="auto"/>
        </w:rPr>
      </w:pPr>
      <w:r>
        <w:rPr>
          <w:rFonts w:ascii="Times New Roman" w:cs="Times New Roman" w:eastAsia="Times New Roman" w:hAnsi="Times New Roman"/>
          <w:sz w:val="19"/>
          <w:szCs w:val="19"/>
          <w:color w:val="auto"/>
        </w:rPr>
        <w:t xml:space="preserve">7.9 </w:t>
      </w:r>
      <w:r>
        <w:rPr>
          <w:rFonts w:ascii="Times New Roman" w:cs="Times New Roman" w:eastAsia="Times New Roman" w:hAnsi="Times New Roman"/>
          <w:sz w:val="20"/>
          <w:szCs w:val="20"/>
          <w:b w:val="1"/>
          <w:bCs w:val="1"/>
          <w:color w:val="auto"/>
        </w:rPr>
        <w:t>Net Sales Payment Reports and Records Retention</w:t>
      </w:r>
      <w:r>
        <w:rPr>
          <w:rFonts w:ascii="Times New Roman" w:cs="Times New Roman" w:eastAsia="Times New Roman" w:hAnsi="Times New Roman"/>
          <w:sz w:val="20"/>
          <w:szCs w:val="20"/>
          <w:color w:val="auto"/>
        </w:rPr>
        <w:t>. Within [***] days after the end of each [***] during which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Product has been sold, Merck shall deliver to Company, together with the applicable Net Sales Payment due for such [***], a written report, on a Product-by-Product and a country-by-country basis, of Net Sales for such Calendar Quarter. Such report shall be deemed “Confidential Information” of Merck subject to the obligations of ARTICLE 9 of this Agreement. For [***] years after each sale of Product occurs, Merck shall, and shall ensure that its Affiliates and Sublicensees, keep complete and accurate records of such sale in sufficient detail to confirm the accuracy of the Net Sales Payment calculations hereunder.</w:t>
      </w:r>
    </w:p>
    <w:p>
      <w:pPr>
        <w:spacing w:after="0" w:line="51"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7.10 </w:t>
      </w:r>
      <w:r>
        <w:rPr>
          <w:rFonts w:ascii="Times New Roman" w:cs="Times New Roman" w:eastAsia="Times New Roman" w:hAnsi="Times New Roman"/>
          <w:sz w:val="20"/>
          <w:szCs w:val="20"/>
          <w:b w:val="1"/>
          <w:bCs w:val="1"/>
          <w:color w:val="auto"/>
        </w:rPr>
        <w:t>Legal Restrictions</w:t>
      </w:r>
      <w:r>
        <w:rPr>
          <w:rFonts w:ascii="Times New Roman" w:cs="Times New Roman" w:eastAsia="Times New Roman" w:hAnsi="Times New Roman"/>
          <w:sz w:val="20"/>
          <w:szCs w:val="20"/>
          <w:color w:val="auto"/>
        </w:rPr>
        <w:t>. If at any time legal restrictions prevent the remittance by Merck of all or any part of Net Sales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Payments in any country, Merck shall have the right and option to make such payment by depositing the amount thereof in local currency to an account in the name of Company in a bank or other depository selected by Company in such country.</w:t>
      </w:r>
    </w:p>
    <w:p>
      <w:pPr>
        <w:spacing w:after="0" w:line="34"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7.11</w:t>
      </w:r>
      <w:r>
        <w:rPr>
          <w:sz w:val="20"/>
          <w:szCs w:val="20"/>
          <w:color w:val="auto"/>
        </w:rPr>
        <w:tab/>
      </w:r>
      <w:r>
        <w:rPr>
          <w:rFonts w:ascii="Times New Roman" w:cs="Times New Roman" w:eastAsia="Times New Roman" w:hAnsi="Times New Roman"/>
          <w:sz w:val="20"/>
          <w:szCs w:val="20"/>
          <w:b w:val="1"/>
          <w:bCs w:val="1"/>
          <w:color w:val="auto"/>
        </w:rPr>
        <w:t>Audits</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firstLine="974"/>
        <w:spacing w:after="0" w:line="249" w:lineRule="auto"/>
        <w:rPr>
          <w:sz w:val="20"/>
          <w:szCs w:val="20"/>
          <w:color w:val="auto"/>
        </w:rPr>
      </w:pPr>
      <w:r>
        <w:rPr>
          <w:rFonts w:ascii="Times New Roman" w:cs="Times New Roman" w:eastAsia="Times New Roman" w:hAnsi="Times New Roman"/>
          <w:sz w:val="21"/>
          <w:szCs w:val="21"/>
          <w:color w:val="auto"/>
        </w:rPr>
        <w:t xml:space="preserve">7.11.1 </w:t>
      </w:r>
      <w:r>
        <w:rPr>
          <w:rFonts w:ascii="Times New Roman" w:cs="Times New Roman" w:eastAsia="Times New Roman" w:hAnsi="Times New Roman"/>
          <w:sz w:val="21"/>
          <w:szCs w:val="21"/>
          <w:u w:val="single" w:color="auto"/>
          <w:color w:val="auto"/>
        </w:rPr>
        <w:t>Audits Generally</w:t>
      </w:r>
      <w:r>
        <w:rPr>
          <w:rFonts w:ascii="Times New Roman" w:cs="Times New Roman" w:eastAsia="Times New Roman" w:hAnsi="Times New Roman"/>
          <w:sz w:val="21"/>
          <w:szCs w:val="21"/>
          <w:color w:val="auto"/>
        </w:rPr>
        <w:t>. During the Net Sales Payment Term and for [***] thereafter, and not more than [***], Merck shall permit, and shall cause its Affiliates or Sublicensees to permit, an independent certified public accounting firm of nationally recognized standing selected by Company, and reasonably acceptable to Merck or such Affiliate or Sublicensee, to have access to and to review, during normal business hours upon reasonable prior written notice, the applicable records of Merck and its Affiliates or Sublicensees to verify the accuracy of the Net Sales Payment reports and payments under this ARTICLE 7. Such review may cover those records for sales which Merck is required to maintain pursuant to Section 7.9. The accounting firm shall disclose to Company and Merck only whether the Net Sales Payment reports are correct or incorrect and the specific details concerning any discrepancies. No other information shall be provided to Company.</w:t>
      </w:r>
    </w:p>
    <w:p>
      <w:pPr>
        <w:spacing w:after="0" w:line="71" w:lineRule="exact"/>
        <w:rPr>
          <w:sz w:val="20"/>
          <w:szCs w:val="20"/>
          <w:color w:val="auto"/>
        </w:rPr>
      </w:pPr>
    </w:p>
    <w:p>
      <w:pPr>
        <w:jc w:val="both"/>
        <w:ind w:firstLine="974"/>
        <w:spacing w:after="0" w:line="248" w:lineRule="auto"/>
        <w:rPr>
          <w:sz w:val="20"/>
          <w:szCs w:val="20"/>
          <w:color w:val="auto"/>
        </w:rPr>
      </w:pPr>
      <w:r>
        <w:rPr>
          <w:rFonts w:ascii="Times New Roman" w:cs="Times New Roman" w:eastAsia="Times New Roman" w:hAnsi="Times New Roman"/>
          <w:sz w:val="21"/>
          <w:szCs w:val="21"/>
          <w:color w:val="auto"/>
        </w:rPr>
        <w:t xml:space="preserve">7.11.2 </w:t>
      </w:r>
      <w:r>
        <w:rPr>
          <w:rFonts w:ascii="Times New Roman" w:cs="Times New Roman" w:eastAsia="Times New Roman" w:hAnsi="Times New Roman"/>
          <w:sz w:val="21"/>
          <w:szCs w:val="21"/>
          <w:u w:val="single" w:color="auto"/>
          <w:color w:val="auto"/>
        </w:rPr>
        <w:t>Audit-Based Reconciliation</w:t>
      </w:r>
      <w:r>
        <w:rPr>
          <w:rFonts w:ascii="Times New Roman" w:cs="Times New Roman" w:eastAsia="Times New Roman" w:hAnsi="Times New Roman"/>
          <w:sz w:val="21"/>
          <w:szCs w:val="21"/>
          <w:color w:val="auto"/>
        </w:rPr>
        <w:t>. If such accounting firm concludes that additional Net Sales Payment amounts were owed during such period, and Merck agrees with such calculation, Merck shall pay the additional undisputed Net Sales Payment amounts within [***] days after the date on which Company delivers to Merck such accounting firm’s written report. If such accounting firm concludes that an overpayment was made, such overpayment shall be fully creditable against amounts payable in subsequent payment periods or, at Merck’s request, shall be promptly reimbursed to Merck. If Merck disagrees with such calculation, it may retain its own independent certified public accounting firm of recognized standing and reasonably acceptable to Company, to conduct a review (“</w:t>
      </w:r>
      <w:r>
        <w:rPr>
          <w:rFonts w:ascii="Times New Roman" w:cs="Times New Roman" w:eastAsia="Times New Roman" w:hAnsi="Times New Roman"/>
          <w:sz w:val="21"/>
          <w:szCs w:val="21"/>
          <w:b w:val="1"/>
          <w:bCs w:val="1"/>
          <w:color w:val="auto"/>
        </w:rPr>
        <w:t>Second Audit</w:t>
      </w:r>
      <w:r>
        <w:rPr>
          <w:rFonts w:ascii="Times New Roman" w:cs="Times New Roman" w:eastAsia="Times New Roman" w:hAnsi="Times New Roman"/>
          <w:sz w:val="21"/>
          <w:szCs w:val="21"/>
          <w:color w:val="auto"/>
        </w:rPr>
        <w:t>”), and if such firm concurs with the other accounting firm, Merck shall make the required payment within [***] days after the date Merck receives the report of its accounting firm. If Merck’s accounting firm does not concur, Merck and Company shall meet and negotiate in good faith a resolution of the discrepancies between the two firms. Company shall pay for the cost of any audit, unless such audit is a Second Audit or Merck has underpaid Company by [***] or more, in which case Merck shall pay for the costs of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1365" w:right="339" w:bottom="1440" w:gutter="0" w:footer="0" w:header="0"/>
        </w:sectPr>
      </w:pPr>
    </w:p>
    <w:bookmarkStart w:id="364" w:name="page365"/>
    <w:bookmarkEnd w:id="364"/>
    <w:p>
      <w:pPr>
        <w:jc w:val="both"/>
        <w:ind w:firstLine="974"/>
        <w:spacing w:after="0" w:line="256" w:lineRule="auto"/>
        <w:rPr>
          <w:sz w:val="20"/>
          <w:szCs w:val="20"/>
          <w:color w:val="auto"/>
        </w:rPr>
      </w:pPr>
      <w:r>
        <w:rPr>
          <w:rFonts w:ascii="Times New Roman" w:cs="Times New Roman" w:eastAsia="Times New Roman" w:hAnsi="Times New Roman"/>
          <w:sz w:val="21"/>
          <w:szCs w:val="21"/>
          <w:color w:val="auto"/>
        </w:rPr>
        <w:t xml:space="preserve">7.11.3 </w:t>
      </w:r>
      <w:r>
        <w:rPr>
          <w:rFonts w:ascii="Times New Roman" w:cs="Times New Roman" w:eastAsia="Times New Roman" w:hAnsi="Times New Roman"/>
          <w:sz w:val="21"/>
          <w:szCs w:val="21"/>
          <w:u w:val="single" w:color="auto"/>
          <w:color w:val="auto"/>
        </w:rPr>
        <w:t>Audit Confidentiality</w:t>
      </w:r>
      <w:r>
        <w:rPr>
          <w:rFonts w:ascii="Times New Roman" w:cs="Times New Roman" w:eastAsia="Times New Roman" w:hAnsi="Times New Roman"/>
          <w:sz w:val="21"/>
          <w:szCs w:val="21"/>
          <w:color w:val="auto"/>
        </w:rPr>
        <w:t>. Each Party shall treat all information that it receives under this Section 7.11 in accordance with the confidentiality provisions of ARTICLE 9, and shall cause its accounting firm to enter into an acceptable confidentiality agreement with the other Party obligating such firm to retain all such financial information in confidence pursuant to such confidentiality agreement, except to the extent necessary for such Party to enforce its rights under this Agreement.</w:t>
      </w:r>
    </w:p>
    <w:p>
      <w:pPr>
        <w:spacing w:after="0" w:line="61"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19"/>
          <w:szCs w:val="19"/>
          <w:color w:val="auto"/>
        </w:rPr>
        <w:t>7.12</w:t>
      </w:r>
      <w:r>
        <w:rPr>
          <w:sz w:val="20"/>
          <w:szCs w:val="20"/>
          <w:color w:val="auto"/>
        </w:rPr>
        <w:tab/>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w:t>
      </w:r>
    </w:p>
    <w:p>
      <w:pPr>
        <w:spacing w:after="0" w:line="130" w:lineRule="exact"/>
        <w:rPr>
          <w:sz w:val="20"/>
          <w:szCs w:val="20"/>
          <w:color w:val="auto"/>
        </w:rPr>
      </w:pPr>
    </w:p>
    <w:p>
      <w:pPr>
        <w:jc w:val="both"/>
        <w:ind w:firstLine="974"/>
        <w:spacing w:after="0" w:line="262" w:lineRule="auto"/>
        <w:rPr>
          <w:sz w:val="20"/>
          <w:szCs w:val="20"/>
          <w:color w:val="auto"/>
        </w:rPr>
      </w:pPr>
      <w:r>
        <w:rPr>
          <w:rFonts w:ascii="Times New Roman" w:cs="Times New Roman" w:eastAsia="Times New Roman" w:hAnsi="Times New Roman"/>
          <w:sz w:val="19"/>
          <w:szCs w:val="19"/>
          <w:color w:val="auto"/>
        </w:rPr>
        <w:t xml:space="preserve">7.12.1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amounts payable by one Party (the “</w:t>
      </w:r>
      <w:r>
        <w:rPr>
          <w:rFonts w:ascii="Times New Roman" w:cs="Times New Roman" w:eastAsia="Times New Roman" w:hAnsi="Times New Roman"/>
          <w:sz w:val="20"/>
          <w:szCs w:val="20"/>
          <w:b w:val="1"/>
          <w:bCs w:val="1"/>
          <w:color w:val="auto"/>
        </w:rPr>
        <w:t>Payer</w:t>
      </w:r>
      <w:r>
        <w:rPr>
          <w:rFonts w:ascii="Times New Roman" w:cs="Times New Roman" w:eastAsia="Times New Roman" w:hAnsi="Times New Roman"/>
          <w:sz w:val="20"/>
          <w:szCs w:val="20"/>
          <w:color w:val="auto"/>
        </w:rPr>
        <w:t>”) to the other Party (the “</w:t>
      </w:r>
      <w:r>
        <w:rPr>
          <w:rFonts w:ascii="Times New Roman" w:cs="Times New Roman" w:eastAsia="Times New Roman" w:hAnsi="Times New Roman"/>
          <w:sz w:val="20"/>
          <w:szCs w:val="20"/>
          <w:b w:val="1"/>
          <w:bCs w:val="1"/>
          <w:color w:val="auto"/>
        </w:rPr>
        <w:t>Payee</w:t>
      </w:r>
      <w:r>
        <w:rPr>
          <w:rFonts w:ascii="Times New Roman" w:cs="Times New Roman" w:eastAsia="Times New Roman" w:hAnsi="Times New Roman"/>
          <w:sz w:val="20"/>
          <w:szCs w:val="20"/>
          <w:color w:val="auto"/>
        </w:rPr>
        <w:t>”) pursuant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this Agreement (“</w:t>
      </w:r>
      <w:r>
        <w:rPr>
          <w:rFonts w:ascii="Times New Roman" w:cs="Times New Roman" w:eastAsia="Times New Roman" w:hAnsi="Times New Roman"/>
          <w:sz w:val="20"/>
          <w:szCs w:val="20"/>
          <w:b w:val="1"/>
          <w:bCs w:val="1"/>
          <w:color w:val="auto"/>
        </w:rPr>
        <w:t>Payments</w:t>
      </w:r>
      <w:r>
        <w:rPr>
          <w:rFonts w:ascii="Times New Roman" w:cs="Times New Roman" w:eastAsia="Times New Roman" w:hAnsi="Times New Roman"/>
          <w:sz w:val="20"/>
          <w:szCs w:val="20"/>
          <w:color w:val="auto"/>
        </w:rPr>
        <w:t>”) shall not be reduced on account of any Taxes unless required by Applicable Law. The Payee alone shall be responsible for paying any and all Taxes levied on account of, or measured in whole or in part by reference to, any Payments it receives. The Payer shall deduct or withhold from the Payments any Taxes that it is required by Applicable Law to deduct or withhold. Notwithstanding the foregoing, if the Payee is entitled under any applicable Tax treaty to a reduction of rate of, or the elimination of, or recovery of, applicable withholding Tax, it shall promptly deliver to the Payer or the appropriate Governmental Body the prescribed forms necessary to reduce the applicable rate of withholding or to relieve the Payer of its obligation to withhold Tax, and the Payer shall apply the reduced rate of withholding, or dispense with the withholding, as the case may be. If, in accordance with the foregoing, the Payer withholds any amount, it shall make timely payment to the proper Taxing authority of the withheld amount and send to the Payee reasonable proof of such payment within [***] days following that payment. For the avoidance of doubt, Payee shall on request of Payer refund to Payer any amounts received from Payer or its Affiliates under this Agreement, which should have been deducted or withheld under Applicable Law, but which were not deducted or withheld in full or at all; and Payor shall - following receipt of such refund - carry out, unless already completed, the payment of the Taxes to the proper Governmental Body.</w:t>
      </w:r>
    </w:p>
    <w:p>
      <w:pPr>
        <w:spacing w:after="0" w:line="62" w:lineRule="exact"/>
        <w:rPr>
          <w:sz w:val="20"/>
          <w:szCs w:val="20"/>
          <w:color w:val="auto"/>
        </w:rPr>
      </w:pPr>
    </w:p>
    <w:p>
      <w:pPr>
        <w:jc w:val="both"/>
        <w:ind w:firstLine="974"/>
        <w:spacing w:after="0" w:line="263" w:lineRule="auto"/>
        <w:rPr>
          <w:sz w:val="20"/>
          <w:szCs w:val="20"/>
          <w:color w:val="auto"/>
        </w:rPr>
      </w:pPr>
      <w:r>
        <w:rPr>
          <w:rFonts w:ascii="Times New Roman" w:cs="Times New Roman" w:eastAsia="Times New Roman" w:hAnsi="Times New Roman"/>
          <w:sz w:val="19"/>
          <w:szCs w:val="19"/>
          <w:color w:val="auto"/>
        </w:rPr>
        <w:t xml:space="preserve">7.12.2 </w:t>
      </w:r>
      <w:r>
        <w:rPr>
          <w:rFonts w:ascii="Times New Roman" w:cs="Times New Roman" w:eastAsia="Times New Roman" w:hAnsi="Times New Roman"/>
          <w:sz w:val="20"/>
          <w:szCs w:val="20"/>
          <w:u w:val="single" w:color="auto"/>
          <w:color w:val="auto"/>
        </w:rPr>
        <w:t>Value Added Tax</w:t>
      </w:r>
      <w:r>
        <w:rPr>
          <w:rFonts w:ascii="Times New Roman" w:cs="Times New Roman" w:eastAsia="Times New Roman" w:hAnsi="Times New Roman"/>
          <w:sz w:val="20"/>
          <w:szCs w:val="20"/>
          <w:color w:val="auto"/>
        </w:rPr>
        <w:t>. For indirect Tax (VAT, GST, sales tax and similar, collectively referred to as “</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purposes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aforesaid fees and expenses shall be understood as net amounts, i.e. statutory VAT is to be added, if applicable, either additionally invoiced or self-accounted by recipient of supply according to applicable VAT law. The invoicing party is obliged to issue an invoice for all payable amounts under this Agreement in accordance with applicable VAT law and irrespective of whether the sums may be netted for settlement purposes. The invoicing party shall comply with any additional reasonable requests of invoiced party in relation to such invoices. The Parties shall cooperate in any way reasonably requested, to obtain available reductions, credits or refunds of any VAT amount attributable to the supply under this Agreement, if applicable. The Parties shall cooperate in any way reasonably requested to enable VAT compliant behavior including providing evidence for VAT purposes in accordance with applicable VAT law. The Parties shall use Commercially Reasonable Efforts, where required, to avoid Company or its Affiliates being subject to any VAT obligations outside its residence. Merck will not reimburse any refunded, refundable or culpably unrefunded (foreign) VAT amounts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1365" w:right="339" w:bottom="1440" w:gutter="0" w:footer="0" w:header="0"/>
        </w:sectPr>
      </w:pPr>
    </w:p>
    <w:bookmarkStart w:id="365" w:name="page366"/>
    <w:bookmarkEnd w:id="365"/>
    <w:p>
      <w:pPr>
        <w:jc w:val="center"/>
        <w:spacing w:after="0"/>
        <w:rPr>
          <w:sz w:val="20"/>
          <w:szCs w:val="20"/>
          <w:color w:val="auto"/>
        </w:rPr>
      </w:pPr>
      <w:r>
        <w:rPr>
          <w:rFonts w:ascii="Times New Roman" w:cs="Times New Roman" w:eastAsia="Times New Roman" w:hAnsi="Times New Roman"/>
          <w:sz w:val="21"/>
          <w:szCs w:val="21"/>
          <w:b w:val="1"/>
          <w:bCs w:val="1"/>
          <w:color w:val="auto"/>
        </w:rPr>
        <w:t>ARTICLE 8</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IP OWNERSHIP, INVENTIONS AND PATENT RIGHTS</w:t>
      </w:r>
    </w:p>
    <w:p>
      <w:pPr>
        <w:spacing w:after="0" w:line="107"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8.1</w:t>
      </w:r>
      <w:r>
        <w:rPr>
          <w:sz w:val="20"/>
          <w:szCs w:val="20"/>
          <w:color w:val="auto"/>
        </w:rPr>
        <w:tab/>
      </w:r>
      <w:r>
        <w:rPr>
          <w:rFonts w:ascii="Times New Roman" w:cs="Times New Roman" w:eastAsia="Times New Roman" w:hAnsi="Times New Roman"/>
          <w:sz w:val="20"/>
          <w:szCs w:val="20"/>
          <w:b w:val="1"/>
          <w:bCs w:val="1"/>
          <w:color w:val="auto"/>
        </w:rPr>
        <w:t>Collaboration IP</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left="1920" w:hanging="695"/>
        <w:spacing w:after="0" w:line="250" w:lineRule="auto"/>
        <w:tabs>
          <w:tab w:leader="none" w:pos="1900" w:val="left"/>
        </w:tabs>
        <w:rPr>
          <w:sz w:val="20"/>
          <w:szCs w:val="20"/>
          <w:color w:val="auto"/>
        </w:rPr>
      </w:pPr>
      <w:r>
        <w:rPr>
          <w:rFonts w:ascii="Times New Roman" w:cs="Times New Roman" w:eastAsia="Times New Roman" w:hAnsi="Times New Roman"/>
          <w:sz w:val="19"/>
          <w:szCs w:val="19"/>
          <w:color w:val="auto"/>
        </w:rPr>
        <w:t>8.1.1</w:t>
      </w:r>
      <w:r>
        <w:rPr>
          <w:sz w:val="20"/>
          <w:szCs w:val="20"/>
          <w:color w:val="auto"/>
        </w:rPr>
        <w:tab/>
      </w: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 Except to the extent expressly agreed otherwise in writing, the Parties agree that all Collaboration IP</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shall vest in, and be solely owned by, Merck unconditionally and immediately on the creation of the Collaboration IP. Subject to the following sentence, Company shall assign and hereby assigns to Merck all right, title and interest in the Collaboration IP that, but for this Section 8.1, would vest in Company, and Merck accepts such assignment. With regard to any Collaboration IP that is not legally assignable to Merck according to Applicable Law, Company shall grant, and hereby grants, to Merck an exclusive, perpetual, fully paid-up, royalty-free, worldwide license under that Collaboration IP for unlimited use of the relevant Collaboration IP and Collaboration Material, with the right to grant sublicenses.</w:t>
      </w:r>
    </w:p>
    <w:p>
      <w:pPr>
        <w:spacing w:after="0" w:line="76" w:lineRule="exact"/>
        <w:rPr>
          <w:sz w:val="20"/>
          <w:szCs w:val="20"/>
          <w:color w:val="auto"/>
        </w:rPr>
      </w:pPr>
    </w:p>
    <w:p>
      <w:pPr>
        <w:jc w:val="both"/>
        <w:ind w:left="1920" w:hanging="695"/>
        <w:spacing w:after="0" w:line="262" w:lineRule="auto"/>
        <w:tabs>
          <w:tab w:leader="none" w:pos="1900" w:val="left"/>
        </w:tabs>
        <w:rPr>
          <w:sz w:val="20"/>
          <w:szCs w:val="20"/>
          <w:color w:val="auto"/>
        </w:rPr>
      </w:pPr>
      <w:r>
        <w:rPr>
          <w:rFonts w:ascii="Times New Roman" w:cs="Times New Roman" w:eastAsia="Times New Roman" w:hAnsi="Times New Roman"/>
          <w:sz w:val="19"/>
          <w:szCs w:val="19"/>
          <w:color w:val="auto"/>
        </w:rPr>
        <w:t>8.1.2</w:t>
      </w:r>
      <w:r>
        <w:rPr>
          <w:sz w:val="20"/>
          <w:szCs w:val="20"/>
          <w:color w:val="auto"/>
        </w:rPr>
        <w:tab/>
      </w:r>
      <w:r>
        <w:rPr>
          <w:rFonts w:ascii="Times New Roman" w:cs="Times New Roman" w:eastAsia="Times New Roman" w:hAnsi="Times New Roman"/>
          <w:sz w:val="21"/>
          <w:szCs w:val="21"/>
          <w:u w:val="single" w:color="auto"/>
          <w:color w:val="auto"/>
        </w:rPr>
        <w:t>Invention Notification</w:t>
      </w:r>
      <w:r>
        <w:rPr>
          <w:rFonts w:ascii="Times New Roman" w:cs="Times New Roman" w:eastAsia="Times New Roman" w:hAnsi="Times New Roman"/>
          <w:sz w:val="21"/>
          <w:szCs w:val="21"/>
          <w:color w:val="auto"/>
        </w:rPr>
        <w:t>. Company will notify Merck promptly in writing of any invention or potential invention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made by Company in the performance of its responsibilities under the relevant Research Plan, except for any Company Platform Technology Invention.</w:t>
      </w:r>
    </w:p>
    <w:p>
      <w:pPr>
        <w:spacing w:after="0" w:line="60" w:lineRule="exact"/>
        <w:rPr>
          <w:sz w:val="20"/>
          <w:szCs w:val="20"/>
          <w:color w:val="auto"/>
        </w:rPr>
      </w:pPr>
    </w:p>
    <w:p>
      <w:pPr>
        <w:jc w:val="both"/>
        <w:ind w:left="1920" w:hanging="695"/>
        <w:spacing w:after="0" w:line="262" w:lineRule="auto"/>
        <w:tabs>
          <w:tab w:leader="none" w:pos="1900" w:val="left"/>
        </w:tabs>
        <w:rPr>
          <w:sz w:val="20"/>
          <w:szCs w:val="20"/>
          <w:color w:val="auto"/>
        </w:rPr>
      </w:pPr>
      <w:r>
        <w:rPr>
          <w:rFonts w:ascii="Times New Roman" w:cs="Times New Roman" w:eastAsia="Times New Roman" w:hAnsi="Times New Roman"/>
          <w:sz w:val="19"/>
          <w:szCs w:val="19"/>
          <w:color w:val="auto"/>
        </w:rPr>
        <w:t>8.1.3</w:t>
      </w:r>
      <w:r>
        <w:rPr>
          <w:sz w:val="20"/>
          <w:szCs w:val="20"/>
          <w:color w:val="auto"/>
        </w:rPr>
        <w:tab/>
      </w:r>
      <w:r>
        <w:rPr>
          <w:rFonts w:ascii="Times New Roman" w:cs="Times New Roman" w:eastAsia="Times New Roman" w:hAnsi="Times New Roman"/>
          <w:sz w:val="21"/>
          <w:szCs w:val="21"/>
          <w:u w:val="single" w:color="auto"/>
          <w:color w:val="auto"/>
        </w:rPr>
        <w:t>Inventors</w:t>
      </w:r>
      <w:r>
        <w:rPr>
          <w:rFonts w:ascii="Times New Roman" w:cs="Times New Roman" w:eastAsia="Times New Roman" w:hAnsi="Times New Roman"/>
          <w:sz w:val="21"/>
          <w:szCs w:val="21"/>
          <w:color w:val="auto"/>
        </w:rPr>
        <w:t>. Upon Merck’s request, Company and Merck shall cooperate in determining who should be named as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an inventor associated with a given invention disclosure in accordance with the standards set out in relevant U.S. Federal Statutes and common law.</w:t>
      </w:r>
    </w:p>
    <w:p>
      <w:pPr>
        <w:spacing w:after="0" w:line="56" w:lineRule="exact"/>
        <w:rPr>
          <w:sz w:val="20"/>
          <w:szCs w:val="20"/>
          <w:color w:val="auto"/>
        </w:rPr>
      </w:pPr>
    </w:p>
    <w:p>
      <w:pPr>
        <w:jc w:val="both"/>
        <w:ind w:firstLine="487"/>
        <w:spacing w:after="0" w:line="265"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20"/>
          <w:szCs w:val="20"/>
          <w:b w:val="1"/>
          <w:bCs w:val="1"/>
          <w:color w:val="auto"/>
        </w:rPr>
        <w:t>Company Foreground IP</w:t>
      </w:r>
      <w:r>
        <w:rPr>
          <w:rFonts w:ascii="Times New Roman" w:cs="Times New Roman" w:eastAsia="Times New Roman" w:hAnsi="Times New Roman"/>
          <w:sz w:val="20"/>
          <w:szCs w:val="20"/>
          <w:color w:val="auto"/>
        </w:rPr>
        <w:t>. Notwithstanding Section 8.1, the Parties agree that all rights to any invention generated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during the Research Program by or on behalf of either Party or jointly by both Parties, which is claimed, exemplified or covered by or is an improvement or modification of the Company Background IP (“</w:t>
      </w:r>
      <w:r>
        <w:rPr>
          <w:rFonts w:ascii="Times New Roman" w:cs="Times New Roman" w:eastAsia="Times New Roman" w:hAnsi="Times New Roman"/>
          <w:sz w:val="20"/>
          <w:szCs w:val="20"/>
          <w:b w:val="1"/>
          <w:bCs w:val="1"/>
          <w:color w:val="auto"/>
        </w:rPr>
        <w:t>Company Foreground IP</w:t>
      </w:r>
      <w:r>
        <w:rPr>
          <w:rFonts w:ascii="Times New Roman" w:cs="Times New Roman" w:eastAsia="Times New Roman" w:hAnsi="Times New Roman"/>
          <w:sz w:val="20"/>
          <w:szCs w:val="20"/>
          <w:color w:val="auto"/>
        </w:rPr>
        <w:t>”) are the sole and exclusive property of Company. Company shall be entitled to file in its own name relevant patent applications and to own resultant Patent Rights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Foreground Patents</w:t>
      </w:r>
      <w:r>
        <w:rPr>
          <w:rFonts w:ascii="Times New Roman" w:cs="Times New Roman" w:eastAsia="Times New Roman" w:hAnsi="Times New Roman"/>
          <w:sz w:val="20"/>
          <w:szCs w:val="20"/>
          <w:color w:val="auto"/>
        </w:rPr>
        <w:t>”) for any such inventions, subject to Company’s obligations contained in this Agreement and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cooperation with Merck regarding timing of, and disclosure in, the filing of any such patent applications vis-à-vis filing of any Collaboration IP. Merck shall and hereby assigns to Company its entire right, title and interest in any such Company Foreground IP, and Company accepts such assignment.</w:t>
      </w:r>
    </w:p>
    <w:p>
      <w:pPr>
        <w:spacing w:after="0" w:line="57" w:lineRule="exact"/>
        <w:rPr>
          <w:sz w:val="20"/>
          <w:szCs w:val="20"/>
          <w:color w:val="auto"/>
        </w:rPr>
      </w:pPr>
    </w:p>
    <w:p>
      <w:pPr>
        <w:jc w:val="both"/>
        <w:ind w:firstLine="487"/>
        <w:spacing w:after="0" w:line="265"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20"/>
          <w:szCs w:val="20"/>
          <w:b w:val="1"/>
          <w:bCs w:val="1"/>
          <w:color w:val="auto"/>
        </w:rPr>
        <w:t>Merck Foreground IP</w:t>
      </w:r>
      <w:r>
        <w:rPr>
          <w:rFonts w:ascii="Times New Roman" w:cs="Times New Roman" w:eastAsia="Times New Roman" w:hAnsi="Times New Roman"/>
          <w:sz w:val="20"/>
          <w:szCs w:val="20"/>
          <w:color w:val="auto"/>
        </w:rPr>
        <w:t>. Notwithstanding Section 8.1, the Parties agree that all rights to improvements relating solely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Merck Background IP, excluding Collaboration IP and Company Foreground IP (“</w:t>
      </w:r>
      <w:r>
        <w:rPr>
          <w:rFonts w:ascii="Times New Roman" w:cs="Times New Roman" w:eastAsia="Times New Roman" w:hAnsi="Times New Roman"/>
          <w:sz w:val="20"/>
          <w:szCs w:val="20"/>
          <w:b w:val="1"/>
          <w:bCs w:val="1"/>
          <w:color w:val="auto"/>
        </w:rPr>
        <w:t>Merck Foreground IP</w:t>
      </w:r>
      <w:r>
        <w:rPr>
          <w:rFonts w:ascii="Times New Roman" w:cs="Times New Roman" w:eastAsia="Times New Roman" w:hAnsi="Times New Roman"/>
          <w:sz w:val="20"/>
          <w:szCs w:val="20"/>
          <w:color w:val="auto"/>
        </w:rPr>
        <w:t>”), and to any invention generated after the research collaboration under this Agreement by or on behalf of Merck outside this Agreement without use of any Company Background IP or Company Foreground IP and pertaining to further research and Development of Target Compounds, such as formulations, dosages etc, are the sole and exclusive property of Merck. Merck shall be entitled to file in its own name relevant patent applications and to own resultant Patent Rights for any such improvements and inventions, subject to Merck’s obligations under ARTICLE 8 and ARTICLE 9 and Merck’s cooperation with Company regarding timing of, and disclosure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0"/>
          </w:cols>
          <w:pgMar w:left="320" w:top="1360" w:right="339" w:bottom="1440" w:gutter="0" w:footer="0" w:header="0"/>
        </w:sectPr>
      </w:pPr>
    </w:p>
    <w:bookmarkStart w:id="366" w:name="page367"/>
    <w:bookmarkEnd w:id="366"/>
    <w:p>
      <w:pPr>
        <w:jc w:val="both"/>
        <w:spacing w:after="0" w:line="269" w:lineRule="auto"/>
        <w:rPr>
          <w:sz w:val="20"/>
          <w:szCs w:val="20"/>
          <w:color w:val="auto"/>
        </w:rPr>
      </w:pPr>
      <w:r>
        <w:rPr>
          <w:rFonts w:ascii="Times New Roman" w:cs="Times New Roman" w:eastAsia="Times New Roman" w:hAnsi="Times New Roman"/>
          <w:sz w:val="21"/>
          <w:szCs w:val="21"/>
          <w:color w:val="auto"/>
        </w:rPr>
        <w:t>the filing of any such patent applications vis-à-vis filing of any Collaboration IP. Company shall and hereby assigns to Merck its entire right, title and interest in any such Merck Foreground IP, and Merck accepts such assignment.</w:t>
      </w:r>
    </w:p>
    <w:p>
      <w:pPr>
        <w:spacing w:after="0" w:line="48"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8.4</w:t>
      </w:r>
      <w:r>
        <w:rPr>
          <w:sz w:val="20"/>
          <w:szCs w:val="20"/>
          <w:color w:val="auto"/>
        </w:rPr>
        <w:tab/>
      </w:r>
      <w:r>
        <w:rPr>
          <w:rFonts w:ascii="Times New Roman" w:cs="Times New Roman" w:eastAsia="Times New Roman" w:hAnsi="Times New Roman"/>
          <w:sz w:val="20"/>
          <w:szCs w:val="20"/>
          <w:b w:val="1"/>
          <w:bCs w:val="1"/>
          <w:color w:val="auto"/>
        </w:rPr>
        <w:t>Prosecution, maintenance and defence of Collaboration IP</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Following the Effective Date, Merck shall be responsible for patenting strategy for any inventions which may arise at its own cost, including deciding on (A) the timing for filing of any provisional or regular patent application; and (B) the countries in which patent applications should be filed, subject to the consultation obligations (via the IP Sub-Committee) described below. The Parties hereby agree that Merck will take the lead in filing, prosecuting, maintaining and/or defending Collaboration IP at its own cost. Inventorship shall be determined in accordance with the rules of inventorship under US patent laws. The Parties acknowledge and agree that unless otherwise agreed (via the IP Sub-Committee), the Merck shall have the first right (but not the obligation) to file itself or through its selected patent counsel, which is reasonably acceptable to the other Party, a patent application (including any provisional, substitution, divisional, continuation, continuation in part, reissue, renewal, reexamination, extension, supplementary protection certificate and the like) in respect of any Collaboration IP (each, a “</w:t>
      </w:r>
      <w:r>
        <w:rPr>
          <w:rFonts w:ascii="Times New Roman" w:cs="Times New Roman" w:eastAsia="Times New Roman" w:hAnsi="Times New Roman"/>
          <w:sz w:val="21"/>
          <w:szCs w:val="21"/>
          <w:b w:val="1"/>
          <w:bCs w:val="1"/>
          <w:color w:val="auto"/>
        </w:rPr>
        <w:t>Collaboration Patent Application</w:t>
      </w:r>
      <w:r>
        <w:rPr>
          <w:rFonts w:ascii="Times New Roman" w:cs="Times New Roman" w:eastAsia="Times New Roman" w:hAnsi="Times New Roman"/>
          <w:sz w:val="21"/>
          <w:szCs w:val="21"/>
          <w:color w:val="auto"/>
        </w:rPr>
        <w:t>”). In any event, the Parties (via the IP Sub-Committee) shall consult and reasonably cooperate with one another in the preparation, filing, prosecution (including prosecution strategy, which shall also include procedures before the Unified Patent Court) and maintenance of such Collaboration Patent Application and in the maintenance and defense of any Collaboration Patent. Merck shall be responsible, at its own cost, for preparing, filing, prosecuting (including any post grant proceedings such as interference, reissue, reexamination proceedings and inter part reviews) and maintaining the Collaboration IP. Company agrees to provide Merck with any information related to the Company Platform Technology (with the exception of any such information which is held as a trade secret) to the extent necessary to enable the preparation and prosecution of patent applications claiming Collaboration IP. For clarity, Merck does not have any right to independently exploit or commercialize Company Platform Technology or any information provided pursuant to this provision.</w:t>
      </w:r>
    </w:p>
    <w:p>
      <w:pPr>
        <w:spacing w:after="0" w:line="77"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8.5 </w:t>
      </w:r>
      <w:r>
        <w:rPr>
          <w:rFonts w:ascii="Times New Roman" w:cs="Times New Roman" w:eastAsia="Times New Roman" w:hAnsi="Times New Roman"/>
          <w:sz w:val="20"/>
          <w:szCs w:val="20"/>
          <w:b w:val="1"/>
          <w:bCs w:val="1"/>
          <w:color w:val="auto"/>
        </w:rPr>
        <w:t>Confidentiality in relation to Patent Applications</w:t>
      </w:r>
      <w:r>
        <w:rPr>
          <w:rFonts w:ascii="Times New Roman" w:cs="Times New Roman" w:eastAsia="Times New Roman" w:hAnsi="Times New Roman"/>
          <w:sz w:val="20"/>
          <w:szCs w:val="20"/>
          <w:color w:val="auto"/>
        </w:rPr>
        <w:t>. Except as expressly provided in Section 9.3. and in furtherance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not in limitation of ARTICLE 9, each Party agrees it will not make or support any patent application that includes the other Party’s Confidential Information or Intellectual Property Rights, and will not provide assistance to any Third Party for any such application, without the other Party’s prior written consent.</w:t>
      </w:r>
    </w:p>
    <w:p>
      <w:pPr>
        <w:spacing w:after="0" w:line="58" w:lineRule="exact"/>
        <w:rPr>
          <w:sz w:val="20"/>
          <w:szCs w:val="20"/>
          <w:color w:val="auto"/>
        </w:rPr>
      </w:pPr>
    </w:p>
    <w:p>
      <w:pPr>
        <w:jc w:val="both"/>
        <w:ind w:firstLine="487"/>
        <w:spacing w:after="0" w:line="289" w:lineRule="auto"/>
        <w:rPr>
          <w:sz w:val="20"/>
          <w:szCs w:val="20"/>
          <w:color w:val="auto"/>
        </w:rPr>
      </w:pPr>
      <w:r>
        <w:rPr>
          <w:rFonts w:ascii="Times New Roman" w:cs="Times New Roman" w:eastAsia="Times New Roman" w:hAnsi="Times New Roman"/>
          <w:sz w:val="19"/>
          <w:szCs w:val="19"/>
          <w:color w:val="auto"/>
        </w:rPr>
        <w:t xml:space="preserve">8.6 </w:t>
      </w: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Both Parties will obtain the cooperation of their respective employees or obligated Third Parties that are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inventors in the preparation, filing, and prosecution of Collaboration IP, Company Foreground IP or Merck Foreground IP, as applicable.</w:t>
      </w:r>
    </w:p>
    <w:p>
      <w:pPr>
        <w:spacing w:after="0" w:line="297" w:lineRule="exact"/>
        <w:rPr>
          <w:sz w:val="20"/>
          <w:szCs w:val="20"/>
          <w:color w:val="auto"/>
        </w:rPr>
      </w:pPr>
    </w:p>
    <w:p>
      <w:pPr>
        <w:jc w:val="both"/>
        <w:ind w:firstLine="487"/>
        <w:spacing w:after="0" w:line="269" w:lineRule="auto"/>
        <w:rPr>
          <w:sz w:val="20"/>
          <w:szCs w:val="20"/>
          <w:color w:val="auto"/>
        </w:rPr>
      </w:pPr>
      <w:r>
        <w:rPr>
          <w:rFonts w:ascii="Times New Roman" w:cs="Times New Roman" w:eastAsia="Times New Roman" w:hAnsi="Times New Roman"/>
          <w:sz w:val="19"/>
          <w:szCs w:val="19"/>
          <w:color w:val="auto"/>
        </w:rPr>
        <w:t xml:space="preserve">8.7 </w:t>
      </w:r>
      <w:r>
        <w:rPr>
          <w:rFonts w:ascii="Times New Roman" w:cs="Times New Roman" w:eastAsia="Times New Roman" w:hAnsi="Times New Roman"/>
          <w:sz w:val="20"/>
          <w:szCs w:val="20"/>
          <w:b w:val="1"/>
          <w:bCs w:val="1"/>
          <w:color w:val="auto"/>
        </w:rPr>
        <w:t>Defence of Claims Brought by Third Parties</w:t>
      </w:r>
      <w:r>
        <w:rPr>
          <w:rFonts w:ascii="Times New Roman" w:cs="Times New Roman" w:eastAsia="Times New Roman" w:hAnsi="Times New Roman"/>
          <w:sz w:val="20"/>
          <w:szCs w:val="20"/>
          <w:color w:val="auto"/>
        </w:rPr>
        <w:t>. If any Third Party brings a claim or otherwise asserts that a Product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Target Compound manufactured, used or sold by either Merck, its Affiliates or licensees or sublicensees infringes such Third Party’s Patent or misappropriates such Third Party’s Know-How (each, a “</w:t>
      </w:r>
      <w:r>
        <w:rPr>
          <w:rFonts w:ascii="Times New Roman" w:cs="Times New Roman" w:eastAsia="Times New Roman" w:hAnsi="Times New Roman"/>
          <w:sz w:val="20"/>
          <w:szCs w:val="20"/>
          <w:b w:val="1"/>
          <w:bCs w:val="1"/>
          <w:color w:val="auto"/>
        </w:rPr>
        <w:t>Third-Party Infringement Claim</w:t>
      </w:r>
      <w:r>
        <w:rPr>
          <w:rFonts w:ascii="Times New Roman" w:cs="Times New Roman" w:eastAsia="Times New Roman" w:hAnsi="Times New Roman"/>
          <w:sz w:val="20"/>
          <w:szCs w:val="20"/>
          <w:color w:val="auto"/>
        </w:rPr>
        <w:t>”), the Party first having notice of the claim or assertion will promptly notify the other Party. Merck will have the sole right to undertake and control the defense or settlement of any Third-Party Infringement Claim using counsel of its choice, at its cost and expense.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1364" w:right="339" w:bottom="1440" w:gutter="0" w:footer="0" w:header="0"/>
        </w:sectPr>
      </w:pPr>
    </w:p>
    <w:bookmarkStart w:id="367" w:name="page368"/>
    <w:bookmarkEnd w:id="367"/>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Company is named as a defendant in such suit, Company will have the right to participate in such defence and settlement with its own counsel, at its cost. Neither Party will enter into any settlement of any Third-Party Infringement Claim that is instituted or threatened to be instituted against the other Party without the other Party’s prior written consent; </w:t>
      </w:r>
      <w:r>
        <w:rPr>
          <w:rFonts w:ascii="Times New Roman" w:cs="Times New Roman" w:eastAsia="Times New Roman" w:hAnsi="Times New Roman"/>
          <w:sz w:val="20"/>
          <w:szCs w:val="20"/>
          <w:i w:val="1"/>
          <w:iCs w:val="1"/>
          <w:color w:val="auto"/>
        </w:rPr>
        <w:t>except that,</w:t>
      </w:r>
      <w:r>
        <w:rPr>
          <w:rFonts w:ascii="Times New Roman" w:cs="Times New Roman" w:eastAsia="Times New Roman" w:hAnsi="Times New Roman"/>
          <w:sz w:val="20"/>
          <w:szCs w:val="20"/>
          <w:color w:val="auto"/>
        </w:rPr>
        <w:t xml:space="preserve"> such consent will not be required if such settlement includes a release of all liability in favour of the other Party. At the request of Merck, Company will provide reasonable cooperation and assistance in connection with the Merck’s control of the defense or settlement of a Third-Party Infringement Claim.</w:t>
      </w:r>
    </w:p>
    <w:p>
      <w:pPr>
        <w:spacing w:after="0" w:line="53"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8.8</w:t>
      </w:r>
      <w:r>
        <w:rPr>
          <w:sz w:val="20"/>
          <w:szCs w:val="20"/>
          <w:color w:val="auto"/>
        </w:rPr>
        <w:tab/>
      </w:r>
      <w:r>
        <w:rPr>
          <w:rFonts w:ascii="Times New Roman" w:cs="Times New Roman" w:eastAsia="Times New Roman" w:hAnsi="Times New Roman"/>
          <w:sz w:val="20"/>
          <w:szCs w:val="20"/>
          <w:b w:val="1"/>
          <w:bCs w:val="1"/>
          <w:color w:val="auto"/>
        </w:rPr>
        <w:t>Enforcement</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left="1240"/>
        <w:spacing w:after="0" w:line="273" w:lineRule="auto"/>
        <w:rPr>
          <w:sz w:val="20"/>
          <w:szCs w:val="20"/>
          <w:color w:val="auto"/>
        </w:rPr>
      </w:pPr>
      <w:r>
        <w:rPr>
          <w:rFonts w:ascii="Times New Roman" w:cs="Times New Roman" w:eastAsia="Times New Roman" w:hAnsi="Times New Roman"/>
          <w:sz w:val="19"/>
          <w:szCs w:val="19"/>
          <w:color w:val="auto"/>
        </w:rPr>
        <w:t xml:space="preserve">8.8.1 </w:t>
      </w:r>
      <w:r>
        <w:rPr>
          <w:rFonts w:ascii="Times New Roman" w:cs="Times New Roman" w:eastAsia="Times New Roman" w:hAnsi="Times New Roman"/>
          <w:sz w:val="20"/>
          <w:szCs w:val="20"/>
          <w:u w:val="single" w:color="auto"/>
          <w:color w:val="auto"/>
        </w:rPr>
        <w:t>Duty to Notify of Infringement</w:t>
      </w:r>
      <w:r>
        <w:rPr>
          <w:rFonts w:ascii="Times New Roman" w:cs="Times New Roman" w:eastAsia="Times New Roman" w:hAnsi="Times New Roman"/>
          <w:sz w:val="20"/>
          <w:szCs w:val="20"/>
          <w:color w:val="auto"/>
        </w:rPr>
        <w:t>. If either Party learns of an infringement, unauthorized use, misappropriation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threatened infringement by a Third Party with respect to any Collaboration IP, Company Foreground IP or Merck Foreground IP (an “</w:t>
      </w:r>
      <w:r>
        <w:rPr>
          <w:rFonts w:ascii="Times New Roman" w:cs="Times New Roman" w:eastAsia="Times New Roman" w:hAnsi="Times New Roman"/>
          <w:sz w:val="20"/>
          <w:szCs w:val="20"/>
          <w:b w:val="1"/>
          <w:bCs w:val="1"/>
          <w:color w:val="auto"/>
        </w:rPr>
        <w:t>Infringement</w:t>
      </w:r>
      <w:r>
        <w:rPr>
          <w:rFonts w:ascii="Times New Roman" w:cs="Times New Roman" w:eastAsia="Times New Roman" w:hAnsi="Times New Roman"/>
          <w:sz w:val="20"/>
          <w:szCs w:val="20"/>
          <w:color w:val="auto"/>
        </w:rPr>
        <w:t>”), such Party will promptly notify the other Party in writing and will provide such other Party with available information regarding such Infringement.</w:t>
      </w:r>
    </w:p>
    <w:p>
      <w:pPr>
        <w:spacing w:after="0" w:line="49"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8.8.2</w:t>
      </w:r>
      <w:r>
        <w:rPr>
          <w:sz w:val="20"/>
          <w:szCs w:val="20"/>
          <w:color w:val="auto"/>
        </w:rPr>
        <w:tab/>
      </w:r>
      <w:r>
        <w:rPr>
          <w:rFonts w:ascii="Times New Roman" w:cs="Times New Roman" w:eastAsia="Times New Roman" w:hAnsi="Times New Roman"/>
          <w:sz w:val="20"/>
          <w:szCs w:val="20"/>
          <w:u w:val="single" w:color="auto"/>
          <w:color w:val="auto"/>
        </w:rPr>
        <w:t>Enforcement Rights</w:t>
      </w:r>
      <w:r>
        <w:rPr>
          <w:rFonts w:ascii="Times New Roman" w:cs="Times New Roman" w:eastAsia="Times New Roman" w:hAnsi="Times New Roman"/>
          <w:sz w:val="20"/>
          <w:szCs w:val="20"/>
          <w:color w:val="auto"/>
        </w:rPr>
        <w:t>. As between the Parties:</w:t>
      </w:r>
    </w:p>
    <w:p>
      <w:pPr>
        <w:spacing w:after="0" w:line="118" w:lineRule="exact"/>
        <w:rPr>
          <w:sz w:val="20"/>
          <w:szCs w:val="20"/>
          <w:color w:val="auto"/>
        </w:rPr>
      </w:pPr>
    </w:p>
    <w:p>
      <w:pPr>
        <w:ind w:left="2080" w:firstLine="5"/>
        <w:spacing w:after="0" w:line="282" w:lineRule="auto"/>
        <w:tabs>
          <w:tab w:leader="none" w:pos="2470"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Merck will have the sole and exclusive right, but not the obligation, to enforce the Collaboration IP and Merck Foreground IP; and</w:t>
      </w:r>
    </w:p>
    <w:p>
      <w:pPr>
        <w:spacing w:after="0" w:line="38" w:lineRule="exact"/>
        <w:rPr>
          <w:rFonts w:ascii="Times New Roman" w:cs="Times New Roman" w:eastAsia="Times New Roman" w:hAnsi="Times New Roman"/>
          <w:sz w:val="19"/>
          <w:szCs w:val="19"/>
          <w:color w:val="auto"/>
        </w:rPr>
      </w:pPr>
    </w:p>
    <w:p>
      <w:pPr>
        <w:ind w:left="2080" w:firstLine="5"/>
        <w:spacing w:after="0" w:line="282" w:lineRule="auto"/>
        <w:tabs>
          <w:tab w:leader="none" w:pos="2468"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Company will have the sole and exclusive right, but not the obligation to enforce the Company Foreground IP.</w:t>
      </w:r>
    </w:p>
    <w:p>
      <w:pPr>
        <w:spacing w:after="0" w:line="38" w:lineRule="exact"/>
        <w:rPr>
          <w:sz w:val="20"/>
          <w:szCs w:val="20"/>
          <w:color w:val="auto"/>
        </w:rPr>
      </w:pPr>
    </w:p>
    <w:p>
      <w:pPr>
        <w:jc w:val="both"/>
        <w:ind w:left="1240"/>
        <w:spacing w:after="0" w:line="295" w:lineRule="auto"/>
        <w:rPr>
          <w:sz w:val="20"/>
          <w:szCs w:val="20"/>
          <w:color w:val="auto"/>
        </w:rPr>
      </w:pPr>
      <w:r>
        <w:rPr>
          <w:rFonts w:ascii="Times New Roman" w:cs="Times New Roman" w:eastAsia="Times New Roman" w:hAnsi="Times New Roman"/>
          <w:sz w:val="19"/>
          <w:szCs w:val="19"/>
          <w:color w:val="auto"/>
        </w:rPr>
        <w:t xml:space="preserve">8.8.3 </w:t>
      </w:r>
      <w:r>
        <w:rPr>
          <w:rFonts w:ascii="Times New Roman" w:cs="Times New Roman" w:eastAsia="Times New Roman" w:hAnsi="Times New Roman"/>
          <w:sz w:val="20"/>
          <w:szCs w:val="20"/>
          <w:u w:val="single" w:color="auto"/>
          <w:color w:val="auto"/>
        </w:rPr>
        <w:t>Share of Recoveries</w:t>
      </w:r>
      <w:r>
        <w:rPr>
          <w:rFonts w:ascii="Times New Roman" w:cs="Times New Roman" w:eastAsia="Times New Roman" w:hAnsi="Times New Roman"/>
          <w:sz w:val="20"/>
          <w:szCs w:val="20"/>
          <w:color w:val="auto"/>
        </w:rPr>
        <w:t>. In the case of enforcement of any Collaboration IP, any damages or other monetary awards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recovered will be shared as follows:</w:t>
      </w:r>
    </w:p>
    <w:p>
      <w:pPr>
        <w:spacing w:after="0" w:line="4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1"/>
          <w:szCs w:val="21"/>
          <w:color w:val="auto"/>
        </w:rPr>
        <w:t>(i) [***].</w:t>
      </w:r>
    </w:p>
    <w:p>
      <w:pPr>
        <w:spacing w:after="0" w:line="107" w:lineRule="exact"/>
        <w:rPr>
          <w:sz w:val="20"/>
          <w:szCs w:val="20"/>
          <w:color w:val="auto"/>
        </w:rPr>
      </w:pPr>
    </w:p>
    <w:p>
      <w:pPr>
        <w:jc w:val="both"/>
        <w:ind w:left="1240"/>
        <w:spacing w:after="0" w:line="268" w:lineRule="auto"/>
        <w:rPr>
          <w:sz w:val="20"/>
          <w:szCs w:val="20"/>
          <w:color w:val="auto"/>
        </w:rPr>
      </w:pPr>
      <w:r>
        <w:rPr>
          <w:rFonts w:ascii="Times New Roman" w:cs="Times New Roman" w:eastAsia="Times New Roman" w:hAnsi="Times New Roman"/>
          <w:sz w:val="19"/>
          <w:szCs w:val="19"/>
          <w:color w:val="auto"/>
        </w:rPr>
        <w:t xml:space="preserve">8.8.4 </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Notwithstanding anything to the contrary under this ARTICLE 8, neither Party may enter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settlement, consent judgment or other voluntary final disposition of a suit under this ARTICLE 8 that disclaims, limits the scope of, admits the invalidity or unenforceability of, or grants a license, covenant not to sue or similar immunity under a Patent Controlled by the other Party or its Affiliates without first obtaining the written consent of the Party that Controls the relevant Patent.</w:t>
      </w:r>
    </w:p>
    <w:p>
      <w:pPr>
        <w:spacing w:after="0" w:line="53"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8.9 </w:t>
      </w:r>
      <w:r>
        <w:rPr>
          <w:rFonts w:ascii="Times New Roman" w:cs="Times New Roman" w:eastAsia="Times New Roman" w:hAnsi="Times New Roman"/>
          <w:sz w:val="20"/>
          <w:szCs w:val="20"/>
          <w:b w:val="1"/>
          <w:bCs w:val="1"/>
          <w:color w:val="auto"/>
        </w:rPr>
        <w:t>Patent Listing</w:t>
      </w:r>
      <w:r>
        <w:rPr>
          <w:rFonts w:ascii="Times New Roman" w:cs="Times New Roman" w:eastAsia="Times New Roman" w:hAnsi="Times New Roman"/>
          <w:sz w:val="20"/>
          <w:szCs w:val="20"/>
          <w:color w:val="auto"/>
        </w:rPr>
        <w:t>. The exclusive rights holder will have the sole right, but not the obligation, to submit to all applicable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Regulatory Authorities patent information pertaining to each applicable Product pursuant to 21 U.S.C. § 355(b)(1)(G) or any similar statutory or regulatory requirement in any non-U.S. country or other regulatory jurisdiction.</w:t>
      </w:r>
    </w:p>
    <w:p>
      <w:pPr>
        <w:spacing w:after="0" w:line="34" w:lineRule="exact"/>
        <w:rPr>
          <w:sz w:val="20"/>
          <w:szCs w:val="20"/>
          <w:color w:val="auto"/>
        </w:rPr>
      </w:pPr>
    </w:p>
    <w:p>
      <w:pPr>
        <w:jc w:val="both"/>
        <w:ind w:firstLine="487"/>
        <w:spacing w:after="0" w:line="267" w:lineRule="auto"/>
        <w:rPr>
          <w:sz w:val="20"/>
          <w:szCs w:val="20"/>
          <w:color w:val="auto"/>
        </w:rPr>
      </w:pPr>
      <w:r>
        <w:rPr>
          <w:rFonts w:ascii="Times New Roman" w:cs="Times New Roman" w:eastAsia="Times New Roman" w:hAnsi="Times New Roman"/>
          <w:sz w:val="19"/>
          <w:szCs w:val="19"/>
          <w:color w:val="auto"/>
        </w:rPr>
        <w:t xml:space="preserve">8.10 </w:t>
      </w:r>
      <w:r>
        <w:rPr>
          <w:rFonts w:ascii="Times New Roman" w:cs="Times New Roman" w:eastAsia="Times New Roman" w:hAnsi="Times New Roman"/>
          <w:sz w:val="20"/>
          <w:szCs w:val="20"/>
          <w:b w:val="1"/>
          <w:bCs w:val="1"/>
          <w:color w:val="auto"/>
        </w:rPr>
        <w:t>Patent Term Extension</w:t>
      </w:r>
      <w:r>
        <w:rPr>
          <w:rFonts w:ascii="Times New Roman" w:cs="Times New Roman" w:eastAsia="Times New Roman" w:hAnsi="Times New Roman"/>
          <w:sz w:val="20"/>
          <w:szCs w:val="20"/>
          <w:color w:val="auto"/>
        </w:rPr>
        <w:t>. The exclusive rights holder will be solely responsible for obtaining patent term restoration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any country in the Territory under any statute or regulation equivalent or similar to 35 U.S.C. § 156, where applicable to a Product. The exclusive rights holder will determine which relevant patents will be extended (including by filing supplementary protection certificates and any other extensions that are now or in the future become available). The other Party will abide by the exclusive rights holder’s determination and cooperate, as reasonably requested, in connection with the foregoing (including by providing appropriate information and executing appropriate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1365" w:right="339" w:bottom="1440" w:gutter="0" w:footer="0" w:header="0"/>
        </w:sectPr>
      </w:pPr>
    </w:p>
    <w:bookmarkStart w:id="368" w:name="page369"/>
    <w:bookmarkEnd w:id="368"/>
    <w:p>
      <w:pPr>
        <w:jc w:val="both"/>
        <w:ind w:firstLine="487"/>
        <w:spacing w:after="0" w:line="267" w:lineRule="auto"/>
        <w:rPr>
          <w:sz w:val="20"/>
          <w:szCs w:val="20"/>
          <w:color w:val="auto"/>
        </w:rPr>
      </w:pPr>
      <w:r>
        <w:rPr>
          <w:rFonts w:ascii="Times New Roman" w:cs="Times New Roman" w:eastAsia="Times New Roman" w:hAnsi="Times New Roman"/>
          <w:sz w:val="19"/>
          <w:szCs w:val="19"/>
          <w:color w:val="auto"/>
        </w:rPr>
        <w:t xml:space="preserve">8.11 </w:t>
      </w:r>
      <w:r>
        <w:rPr>
          <w:rFonts w:ascii="Times New Roman" w:cs="Times New Roman" w:eastAsia="Times New Roman" w:hAnsi="Times New Roman"/>
          <w:sz w:val="20"/>
          <w:szCs w:val="20"/>
          <w:b w:val="1"/>
          <w:bCs w:val="1"/>
          <w:color w:val="auto"/>
        </w:rPr>
        <w:t>Recording</w:t>
      </w:r>
      <w:r>
        <w:rPr>
          <w:rFonts w:ascii="Times New Roman" w:cs="Times New Roman" w:eastAsia="Times New Roman" w:hAnsi="Times New Roman"/>
          <w:sz w:val="20"/>
          <w:szCs w:val="20"/>
          <w:color w:val="auto"/>
        </w:rPr>
        <w:t>. If the exclusive rights holder deems it necessary or desirable to register or record this Agreement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evidence of this Agreement with any patent office or other appropriate Governmental Authority in one or more jurisdictions in the Territory, the co-owner or owner will reasonably cooperate to execute and deliver to the exclusive rights holder any documents accurately reflecting or evidencing this Agreement that are necessary or desirable, in the exclusive rights holder’s reasonable judgment, to complete such registration or recordation. The exclusive rights holder will reimburse the other Party for all reasonable out-of-pocket costs, including attorneys’ fees, incurred by the other Party in complying with the provisions of this ARTICLE 8.</w:t>
      </w:r>
    </w:p>
    <w:p>
      <w:pPr>
        <w:spacing w:after="0" w:line="63" w:lineRule="exact"/>
        <w:rPr>
          <w:sz w:val="20"/>
          <w:szCs w:val="20"/>
          <w:color w:val="auto"/>
        </w:rPr>
      </w:pPr>
    </w:p>
    <w:p>
      <w:pPr>
        <w:jc w:val="both"/>
        <w:ind w:firstLine="487"/>
        <w:spacing w:after="0" w:line="263" w:lineRule="auto"/>
        <w:rPr>
          <w:sz w:val="20"/>
          <w:szCs w:val="20"/>
          <w:color w:val="auto"/>
        </w:rPr>
      </w:pPr>
      <w:r>
        <w:rPr>
          <w:rFonts w:ascii="Times New Roman" w:cs="Times New Roman" w:eastAsia="Times New Roman" w:hAnsi="Times New Roman"/>
          <w:sz w:val="19"/>
          <w:szCs w:val="19"/>
          <w:color w:val="auto"/>
        </w:rPr>
        <w:t xml:space="preserve">8.12 </w:t>
      </w:r>
      <w:r>
        <w:rPr>
          <w:rFonts w:ascii="Times New Roman" w:cs="Times New Roman" w:eastAsia="Times New Roman" w:hAnsi="Times New Roman"/>
          <w:sz w:val="20"/>
          <w:szCs w:val="20"/>
          <w:b w:val="1"/>
          <w:bCs w:val="1"/>
          <w:color w:val="auto"/>
        </w:rPr>
        <w:t>Unitary Patent System</w:t>
      </w:r>
      <w:r>
        <w:rPr>
          <w:rFonts w:ascii="Times New Roman" w:cs="Times New Roman" w:eastAsia="Times New Roman" w:hAnsi="Times New Roman"/>
          <w:sz w:val="20"/>
          <w:szCs w:val="20"/>
          <w:color w:val="auto"/>
        </w:rPr>
        <w:t>. With regard to each exclusively licensed or assigned Company Patent or Collaboration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Patent, the exclusive rights holder will have the exclusive right to decide whether to opt-in or opt-out of the EU Unitary Patent System, and the owner or co-owner will make any required statements and filings accordingly, as necessary. For clarity, “to opt-in or opt-out” refers to both the right to have or have not a European patent application or an issued European patent registered to have unitary effect within the meaning of Regulation (EU) No 1257/2012 of December 17, 2012 as well as the Agreement on a Unified Patent Court as of February 19, 2013; and to the right to opt-in or opt-out from the exclusive competence of the Unified Patent Court in accordance with Article 83 (3) of that Agreement on a Unified Patent Court. Without limiting the generality of the foregoing, unless a Party or its Affiliate has expressly opted-in to the EU Unitary Patent System with respect to a given Patent, the other Party will not initiate any action under the EU Unitary Patent System without such Party’s prior written approval, such approval to be granted or withheld in such Party’s sole discretion.</w:t>
      </w:r>
    </w:p>
    <w:p>
      <w:pPr>
        <w:spacing w:after="0" w:line="310"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19"/>
          <w:szCs w:val="19"/>
          <w:color w:val="auto"/>
        </w:rPr>
        <w:t>8.13</w:t>
      </w:r>
      <w:r>
        <w:rPr>
          <w:sz w:val="20"/>
          <w:szCs w:val="20"/>
          <w:color w:val="auto"/>
        </w:rPr>
        <w:tab/>
      </w:r>
      <w:r>
        <w:rPr>
          <w:rFonts w:ascii="Times New Roman" w:cs="Times New Roman" w:eastAsia="Times New Roman" w:hAnsi="Times New Roman"/>
          <w:sz w:val="20"/>
          <w:szCs w:val="20"/>
          <w:b w:val="1"/>
          <w:bCs w:val="1"/>
          <w:color w:val="auto"/>
        </w:rPr>
        <w:t>Company Platform Technology</w:t>
      </w:r>
    </w:p>
    <w:p>
      <w:pPr>
        <w:spacing w:after="0" w:line="122" w:lineRule="exact"/>
        <w:rPr>
          <w:sz w:val="20"/>
          <w:szCs w:val="20"/>
          <w:color w:val="auto"/>
        </w:rPr>
      </w:pPr>
    </w:p>
    <w:p>
      <w:pPr>
        <w:jc w:val="both"/>
        <w:ind w:left="1240"/>
        <w:spacing w:after="0" w:line="272" w:lineRule="auto"/>
        <w:rPr>
          <w:sz w:val="20"/>
          <w:szCs w:val="20"/>
          <w:color w:val="auto"/>
        </w:rPr>
      </w:pPr>
      <w:r>
        <w:rPr>
          <w:rFonts w:ascii="Times New Roman" w:cs="Times New Roman" w:eastAsia="Times New Roman" w:hAnsi="Times New Roman"/>
          <w:sz w:val="19"/>
          <w:szCs w:val="19"/>
          <w:color w:val="auto"/>
        </w:rPr>
        <w:t xml:space="preserve">8.13.1 </w:t>
      </w:r>
      <w:r>
        <w:rPr>
          <w:rFonts w:ascii="Times New Roman" w:cs="Times New Roman" w:eastAsia="Times New Roman" w:hAnsi="Times New Roman"/>
          <w:sz w:val="20"/>
          <w:szCs w:val="20"/>
          <w:color w:val="auto"/>
        </w:rPr>
        <w:t>Notwithstanding any other provision of this Agreement or any Research Plan, nothing in this Agreement or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Research Plan shall require Company to, and Company shall not (a) disclose any Company Platform Technology or Company Platform Technology Inventions to Merck; or (b) provide Merck with any explanation as to how the Company Platform Technology operates or how any Company Platform Technology Inventions operate (including any explanation as to the hypothesis for the selection of any Collaboration Target or Target Compound).</w:t>
      </w:r>
    </w:p>
    <w:p>
      <w:pPr>
        <w:spacing w:after="0" w:line="50" w:lineRule="exact"/>
        <w:rPr>
          <w:sz w:val="20"/>
          <w:szCs w:val="20"/>
          <w:color w:val="auto"/>
        </w:rPr>
      </w:pPr>
    </w:p>
    <w:p>
      <w:pPr>
        <w:jc w:val="both"/>
        <w:ind w:left="1240"/>
        <w:spacing w:after="0" w:line="265" w:lineRule="auto"/>
        <w:rPr>
          <w:sz w:val="20"/>
          <w:szCs w:val="20"/>
          <w:color w:val="auto"/>
        </w:rPr>
      </w:pPr>
      <w:r>
        <w:rPr>
          <w:rFonts w:ascii="Times New Roman" w:cs="Times New Roman" w:eastAsia="Times New Roman" w:hAnsi="Times New Roman"/>
          <w:sz w:val="19"/>
          <w:szCs w:val="19"/>
          <w:color w:val="auto"/>
        </w:rPr>
        <w:t xml:space="preserve">8.13.2 </w:t>
      </w:r>
      <w:r>
        <w:rPr>
          <w:rFonts w:ascii="Times New Roman" w:cs="Times New Roman" w:eastAsia="Times New Roman" w:hAnsi="Times New Roman"/>
          <w:sz w:val="20"/>
          <w:szCs w:val="20"/>
          <w:color w:val="auto"/>
        </w:rPr>
        <w:t>Company shall be the sole and exclusive owner of all rights to all Company Platform Technology, Company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Platform Technology Inventions and Company Platform IP. All Intellectual Property Rights subsisting in any Company Platform Technology Inventions from time to time shall vest automatically and unconditionally in Company immediately on its creation. Merck assigns, and shall ensure that each relevant Merck’s Affiliate shall assign, to Company absolutely and from the date of their creation any such Intellectual Property Rights that, but for this Section 8.13, would vest in Merck or one of its Affiliates, and shall execute all documents and take any steps necessary to give effect to and confirm the foregoing.</w:t>
      </w:r>
    </w:p>
    <w:p>
      <w:pPr>
        <w:spacing w:after="0" w:line="307" w:lineRule="exact"/>
        <w:rPr>
          <w:sz w:val="20"/>
          <w:szCs w:val="20"/>
          <w:color w:val="auto"/>
        </w:rPr>
      </w:pPr>
    </w:p>
    <w:p>
      <w:pPr>
        <w:jc w:val="both"/>
        <w:ind w:left="1240"/>
        <w:spacing w:after="0" w:line="282" w:lineRule="auto"/>
        <w:rPr>
          <w:sz w:val="20"/>
          <w:szCs w:val="20"/>
          <w:color w:val="auto"/>
        </w:rPr>
      </w:pPr>
      <w:r>
        <w:rPr>
          <w:rFonts w:ascii="Times New Roman" w:cs="Times New Roman" w:eastAsia="Times New Roman" w:hAnsi="Times New Roman"/>
          <w:sz w:val="19"/>
          <w:szCs w:val="19"/>
          <w:color w:val="auto"/>
        </w:rPr>
        <w:t xml:space="preserve">8.13.3 </w:t>
      </w:r>
      <w:r>
        <w:rPr>
          <w:rFonts w:ascii="Times New Roman" w:cs="Times New Roman" w:eastAsia="Times New Roman" w:hAnsi="Times New Roman"/>
          <w:sz w:val="20"/>
          <w:szCs w:val="20"/>
          <w:color w:val="auto"/>
        </w:rPr>
        <w:t>For the avoidance of doubt, Company has the exclusive right, in its sole discretion, to determine the steps to be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taken to prosecute, maintain, enforce and defend any Company Platform IP. Merck shall: (a) at Company’s cost and expense, cooperate and provide such assistance and information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1360" w:right="339" w:bottom="1440" w:gutter="0" w:footer="0" w:header="0"/>
        </w:sectPr>
      </w:pPr>
    </w:p>
    <w:bookmarkStart w:id="369" w:name="page370"/>
    <w:bookmarkEnd w:id="369"/>
    <w:p>
      <w:pPr>
        <w:jc w:val="both"/>
        <w:ind w:left="1240"/>
        <w:spacing w:after="0" w:line="256" w:lineRule="auto"/>
        <w:rPr>
          <w:sz w:val="20"/>
          <w:szCs w:val="20"/>
          <w:color w:val="auto"/>
        </w:rPr>
      </w:pPr>
      <w:r>
        <w:rPr>
          <w:rFonts w:ascii="Times New Roman" w:cs="Times New Roman" w:eastAsia="Times New Roman" w:hAnsi="Times New Roman"/>
          <w:sz w:val="21"/>
          <w:szCs w:val="21"/>
          <w:color w:val="auto"/>
        </w:rPr>
        <w:t>may be reasonably requested by Company in connection with any steps that Company determines to take pursuant to the previous sentence; and (b) notify Company in the event Merck becomes aware of any infringement, or suspected infringement, of any Company Platform Technology.</w:t>
      </w:r>
    </w:p>
    <w:p>
      <w:pPr>
        <w:spacing w:after="0" w:line="78" w:lineRule="exact"/>
        <w:rPr>
          <w:sz w:val="20"/>
          <w:szCs w:val="20"/>
          <w:color w:val="auto"/>
        </w:rPr>
      </w:pPr>
    </w:p>
    <w:p>
      <w:pPr>
        <w:jc w:val="both"/>
        <w:ind w:left="1240"/>
        <w:spacing w:after="0" w:line="275" w:lineRule="auto"/>
        <w:rPr>
          <w:sz w:val="20"/>
          <w:szCs w:val="20"/>
          <w:color w:val="auto"/>
        </w:rPr>
      </w:pPr>
      <w:r>
        <w:rPr>
          <w:rFonts w:ascii="Times New Roman" w:cs="Times New Roman" w:eastAsia="Times New Roman" w:hAnsi="Times New Roman"/>
          <w:sz w:val="19"/>
          <w:szCs w:val="19"/>
          <w:color w:val="auto"/>
        </w:rPr>
        <w:t xml:space="preserve">8.13.4 </w:t>
      </w:r>
      <w:r>
        <w:rPr>
          <w:rFonts w:ascii="Times New Roman" w:cs="Times New Roman" w:eastAsia="Times New Roman" w:hAnsi="Times New Roman"/>
          <w:sz w:val="20"/>
          <w:szCs w:val="20"/>
          <w:color w:val="auto"/>
        </w:rPr>
        <w:t>Company hereby irrevocably and perpetually covenants that, at no time, will it or any of its Affiliates, directly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indirectly, sue Merck or any of its Affiliates under any Company Platform Technology IP with respect to Merck’s exercise of any of its rights granted by Company hereunder or the use or exploitation of any Collaboration IP.</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9</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CONFIDENTIALITY</w:t>
      </w:r>
    </w:p>
    <w:p>
      <w:pPr>
        <w:spacing w:after="0" w:line="107" w:lineRule="exact"/>
        <w:rPr>
          <w:sz w:val="20"/>
          <w:szCs w:val="20"/>
          <w:color w:val="auto"/>
        </w:rPr>
      </w:pPr>
    </w:p>
    <w:p>
      <w:pPr>
        <w:jc w:val="both"/>
        <w:ind w:firstLine="487"/>
        <w:spacing w:after="0" w:line="312" w:lineRule="auto"/>
        <w:rPr>
          <w:sz w:val="20"/>
          <w:szCs w:val="20"/>
          <w:color w:val="auto"/>
        </w:rPr>
      </w:pPr>
      <w:r>
        <w:rPr>
          <w:rFonts w:ascii="Times New Roman" w:cs="Times New Roman" w:eastAsia="Times New Roman" w:hAnsi="Times New Roman"/>
          <w:sz w:val="19"/>
          <w:szCs w:val="19"/>
          <w:color w:val="auto"/>
        </w:rPr>
        <w:t xml:space="preserve">9.1 </w:t>
      </w:r>
      <w:r>
        <w:rPr>
          <w:rFonts w:ascii="Times New Roman" w:cs="Times New Roman" w:eastAsia="Times New Roman" w:hAnsi="Times New Roman"/>
          <w:sz w:val="20"/>
          <w:szCs w:val="20"/>
          <w:b w:val="1"/>
          <w:bCs w:val="1"/>
          <w:color w:val="auto"/>
        </w:rPr>
        <w:t>Confidentiality Agreement</w:t>
      </w:r>
      <w:r>
        <w:rPr>
          <w:rFonts w:ascii="Times New Roman" w:cs="Times New Roman" w:eastAsia="Times New Roman" w:hAnsi="Times New Roman"/>
          <w:sz w:val="20"/>
          <w:szCs w:val="20"/>
          <w:color w:val="auto"/>
        </w:rPr>
        <w:t>. The Parties agree that the Confidentiality Agreement shall terminate on the Effective Date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and the provisions of this ARTICLE 9 shall apply to any “Confidential Information” as defined in the Confidentiality Agreement.</w:t>
      </w:r>
    </w:p>
    <w:p>
      <w:pPr>
        <w:spacing w:after="0" w:line="8" w:lineRule="exact"/>
        <w:rPr>
          <w:sz w:val="20"/>
          <w:szCs w:val="20"/>
          <w:color w:val="auto"/>
        </w:rPr>
      </w:pPr>
    </w:p>
    <w:p>
      <w:pPr>
        <w:jc w:val="both"/>
        <w:ind w:firstLine="487"/>
        <w:spacing w:after="0" w:line="267"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20"/>
          <w:szCs w:val="20"/>
          <w:b w:val="1"/>
          <w:bCs w:val="1"/>
          <w:color w:val="auto"/>
        </w:rPr>
        <w:t>Confidentiality Obligations</w:t>
      </w:r>
      <w:r>
        <w:rPr>
          <w:rFonts w:ascii="Times New Roman" w:cs="Times New Roman" w:eastAsia="Times New Roman" w:hAnsi="Times New Roman"/>
          <w:sz w:val="20"/>
          <w:szCs w:val="20"/>
          <w:color w:val="auto"/>
        </w:rPr>
        <w:t>. Each Party agrees that, for the Term and for [***] years thereafter, provided, however,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for Confidential Information that is a trade secret under Applicable Law, such obligations shall survive until such Confidential Information is no longer such a trade secret, such Party shall, and shall ensure that its Affiliates and their Representatives hold in confidence all Confidential Information disclosed to it by the other Party pursuant to this Agreement. The foregoing obligations shall not apply to any Confidential Information disclosed by a Party hereunder to the extent that the receiving Party can demonstrate that such Confidential Information:</w:t>
      </w:r>
    </w:p>
    <w:p>
      <w:pPr>
        <w:spacing w:after="0" w:line="55"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9.2.1</w:t>
      </w:r>
      <w:r>
        <w:rPr>
          <w:sz w:val="20"/>
          <w:szCs w:val="20"/>
          <w:color w:val="auto"/>
        </w:rPr>
        <w:tab/>
      </w:r>
      <w:r>
        <w:rPr>
          <w:rFonts w:ascii="Times New Roman" w:cs="Times New Roman" w:eastAsia="Times New Roman" w:hAnsi="Times New Roman"/>
          <w:sz w:val="20"/>
          <w:szCs w:val="20"/>
          <w:color w:val="auto"/>
        </w:rPr>
        <w:t>is or becomes generally available to the public other than as a result of disclosure by the recipient;</w:t>
      </w:r>
    </w:p>
    <w:p>
      <w:pPr>
        <w:spacing w:after="0" w:line="13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9.2.2</w:t>
      </w:r>
      <w:r>
        <w:rPr>
          <w:sz w:val="20"/>
          <w:szCs w:val="20"/>
          <w:color w:val="auto"/>
        </w:rPr>
        <w:tab/>
      </w:r>
      <w:r>
        <w:rPr>
          <w:rFonts w:ascii="Times New Roman" w:cs="Times New Roman" w:eastAsia="Times New Roman" w:hAnsi="Times New Roman"/>
          <w:sz w:val="20"/>
          <w:szCs w:val="20"/>
          <w:color w:val="auto"/>
        </w:rPr>
        <w:t>is already known by or in the possession of the recipient at the time of disclosure by the disclosing Party;</w:t>
      </w:r>
    </w:p>
    <w:p>
      <w:pPr>
        <w:spacing w:after="0" w:line="118" w:lineRule="exact"/>
        <w:rPr>
          <w:sz w:val="20"/>
          <w:szCs w:val="20"/>
          <w:color w:val="auto"/>
        </w:rPr>
      </w:pPr>
    </w:p>
    <w:p>
      <w:pPr>
        <w:ind w:left="1240"/>
        <w:spacing w:after="0" w:line="308" w:lineRule="auto"/>
        <w:rPr>
          <w:sz w:val="20"/>
          <w:szCs w:val="20"/>
          <w:color w:val="auto"/>
        </w:rPr>
      </w:pPr>
      <w:r>
        <w:rPr>
          <w:rFonts w:ascii="Times New Roman" w:cs="Times New Roman" w:eastAsia="Times New Roman" w:hAnsi="Times New Roman"/>
          <w:sz w:val="19"/>
          <w:szCs w:val="19"/>
          <w:color w:val="auto"/>
        </w:rPr>
        <w:t xml:space="preserve">9.2.3 </w:t>
      </w:r>
      <w:r>
        <w:rPr>
          <w:rFonts w:ascii="Times New Roman" w:cs="Times New Roman" w:eastAsia="Times New Roman" w:hAnsi="Times New Roman"/>
          <w:sz w:val="20"/>
          <w:szCs w:val="20"/>
          <w:color w:val="auto"/>
        </w:rPr>
        <w:t>is independently developed by recipient without use of or reference to the disclosing Party’s Confidential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Information; or</w:t>
      </w:r>
    </w:p>
    <w:p>
      <w:pPr>
        <w:spacing w:after="0" w:line="16"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9"/>
          <w:szCs w:val="19"/>
          <w:color w:val="auto"/>
        </w:rPr>
        <w:t>9.2.4</w:t>
      </w:r>
      <w:r>
        <w:rPr>
          <w:sz w:val="20"/>
          <w:szCs w:val="20"/>
          <w:color w:val="auto"/>
        </w:rPr>
        <w:tab/>
      </w:r>
      <w:r>
        <w:rPr>
          <w:rFonts w:ascii="Times New Roman" w:cs="Times New Roman" w:eastAsia="Times New Roman" w:hAnsi="Times New Roman"/>
          <w:sz w:val="20"/>
          <w:szCs w:val="20"/>
          <w:color w:val="auto"/>
        </w:rPr>
        <w:t>is obtained by recipient from a Third Party that has not breached any obligations of confidentiality.</w:t>
      </w:r>
    </w:p>
    <w:p>
      <w:pPr>
        <w:spacing w:after="0" w:line="131" w:lineRule="exact"/>
        <w:rPr>
          <w:sz w:val="20"/>
          <w:szCs w:val="20"/>
          <w:color w:val="auto"/>
        </w:rPr>
      </w:pPr>
    </w:p>
    <w:p>
      <w:pPr>
        <w:jc w:val="both"/>
        <w:ind w:firstLine="974"/>
        <w:spacing w:after="0" w:line="248" w:lineRule="auto"/>
        <w:rPr>
          <w:sz w:val="20"/>
          <w:szCs w:val="20"/>
          <w:color w:val="auto"/>
        </w:rPr>
      </w:pPr>
      <w:r>
        <w:rPr>
          <w:rFonts w:ascii="Times New Roman" w:cs="Times New Roman" w:eastAsia="Times New Roman" w:hAnsi="Times New Roman"/>
          <w:sz w:val="21"/>
          <w:szCs w:val="21"/>
          <w:color w:val="auto"/>
        </w:rPr>
        <w:t>The recipient shall not disclose any of the Confidential Information, except to Representatives of the recipient who need to know the Confidential Information for the purpose of performing the recipient’s obligations, or exercising its rights, under this Agreement and who are bound by obligations of non-use and non-disclosure substantially similar to those set forth herein. The recipient shall be responsible for any disclosure or use of the Confidential Information by such Representatives. The recipient shall protect Confidential Information using not less than the same care with which it treats its own confidential information, but at all times shall use at least reasonable care. Each Party shall: (a) implement and maintain appropriate security measures to prevent unauthorized access to, or disclosure of, the other Party’s Confidential Information; (b) promptly notify the other Party of any unauthorized access or disclosure of such other Party’s Confidential Information; and (c) cooperate with such other Party in the investigation and remediation of any such unauthorized access 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365" w:right="339" w:bottom="1440" w:gutter="0" w:footer="0" w:header="0"/>
        </w:sectPr>
      </w:pPr>
    </w:p>
    <w:bookmarkStart w:id="370" w:name="page371"/>
    <w:bookmarkEnd w:id="370"/>
    <w:p>
      <w:pPr>
        <w:jc w:val="both"/>
        <w:ind w:firstLine="487"/>
        <w:spacing w:after="0" w:line="312"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20"/>
          <w:szCs w:val="20"/>
          <w:b w:val="1"/>
          <w:bCs w:val="1"/>
          <w:color w:val="auto"/>
        </w:rPr>
        <w:t>Use</w:t>
      </w:r>
      <w:r>
        <w:rPr>
          <w:rFonts w:ascii="Times New Roman" w:cs="Times New Roman" w:eastAsia="Times New Roman" w:hAnsi="Times New Roman"/>
          <w:sz w:val="20"/>
          <w:szCs w:val="20"/>
          <w:color w:val="auto"/>
        </w:rPr>
        <w:t>. Notwithstanding Section 9.1, a Party may use the Confidential Information of the other Party for the purpose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performing its obligations, or exercising its rights, under this Agreement, including for purposes of:</w:t>
      </w:r>
    </w:p>
    <w:p>
      <w:pPr>
        <w:spacing w:after="0" w:line="1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9.3.1</w:t>
      </w:r>
      <w:r>
        <w:rPr>
          <w:sz w:val="20"/>
          <w:szCs w:val="20"/>
          <w:color w:val="auto"/>
        </w:rPr>
        <w:tab/>
      </w:r>
      <w:r>
        <w:rPr>
          <w:rFonts w:ascii="Times New Roman" w:cs="Times New Roman" w:eastAsia="Times New Roman" w:hAnsi="Times New Roman"/>
          <w:sz w:val="20"/>
          <w:szCs w:val="20"/>
          <w:color w:val="auto"/>
        </w:rPr>
        <w:t>filing or prosecuting patent applications, subject to mutual consent of the Parties;</w:t>
      </w:r>
    </w:p>
    <w:p>
      <w:pPr>
        <w:spacing w:after="0" w:line="118"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9.3.2</w:t>
      </w:r>
      <w:r>
        <w:rPr>
          <w:sz w:val="20"/>
          <w:szCs w:val="20"/>
          <w:color w:val="auto"/>
        </w:rPr>
        <w:tab/>
      </w:r>
      <w:r>
        <w:rPr>
          <w:rFonts w:ascii="Times New Roman" w:cs="Times New Roman" w:eastAsia="Times New Roman" w:hAnsi="Times New Roman"/>
          <w:sz w:val="20"/>
          <w:szCs w:val="20"/>
          <w:color w:val="auto"/>
        </w:rPr>
        <w:t>prosecuting or defending litigation;</w:t>
      </w:r>
    </w:p>
    <w:p>
      <w:pPr>
        <w:spacing w:after="0" w:line="13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9.3.3</w:t>
      </w:r>
      <w:r>
        <w:rPr>
          <w:sz w:val="20"/>
          <w:szCs w:val="20"/>
          <w:color w:val="auto"/>
        </w:rPr>
        <w:tab/>
      </w:r>
      <w:r>
        <w:rPr>
          <w:rFonts w:ascii="Times New Roman" w:cs="Times New Roman" w:eastAsia="Times New Roman" w:hAnsi="Times New Roman"/>
          <w:sz w:val="20"/>
          <w:szCs w:val="20"/>
          <w:color w:val="auto"/>
        </w:rPr>
        <w:t>conducting pre-clinical studies or Clinical Trials;</w:t>
      </w:r>
    </w:p>
    <w:p>
      <w:pPr>
        <w:spacing w:after="0" w:line="13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9.3.4</w:t>
      </w:r>
      <w:r>
        <w:rPr>
          <w:sz w:val="20"/>
          <w:szCs w:val="20"/>
          <w:color w:val="auto"/>
        </w:rPr>
        <w:tab/>
      </w:r>
      <w:r>
        <w:rPr>
          <w:rFonts w:ascii="Times New Roman" w:cs="Times New Roman" w:eastAsia="Times New Roman" w:hAnsi="Times New Roman"/>
          <w:sz w:val="20"/>
          <w:szCs w:val="20"/>
          <w:color w:val="auto"/>
        </w:rPr>
        <w:t>seeking or maintaining Regulatory Approval of the Product; or</w:t>
      </w:r>
    </w:p>
    <w:p>
      <w:pPr>
        <w:spacing w:after="0" w:line="118" w:lineRule="exact"/>
        <w:rPr>
          <w:sz w:val="20"/>
          <w:szCs w:val="20"/>
          <w:color w:val="auto"/>
        </w:rPr>
      </w:pPr>
    </w:p>
    <w:p>
      <w:pPr>
        <w:ind w:left="1240"/>
        <w:spacing w:after="0" w:line="308" w:lineRule="auto"/>
        <w:rPr>
          <w:sz w:val="20"/>
          <w:szCs w:val="20"/>
          <w:color w:val="auto"/>
        </w:rPr>
      </w:pPr>
      <w:r>
        <w:rPr>
          <w:rFonts w:ascii="Times New Roman" w:cs="Times New Roman" w:eastAsia="Times New Roman" w:hAnsi="Times New Roman"/>
          <w:sz w:val="19"/>
          <w:szCs w:val="19"/>
          <w:color w:val="auto"/>
        </w:rPr>
        <w:t xml:space="preserve">9.3.5 </w:t>
      </w:r>
      <w:r>
        <w:rPr>
          <w:rFonts w:ascii="Times New Roman" w:cs="Times New Roman" w:eastAsia="Times New Roman" w:hAnsi="Times New Roman"/>
          <w:sz w:val="20"/>
          <w:szCs w:val="20"/>
          <w:color w:val="auto"/>
        </w:rPr>
        <w:t>complying with Applicable Law, including securities law and the rules of any securities exchange or market 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which a Party’s securities are listed or traded.</w:t>
      </w:r>
    </w:p>
    <w:p>
      <w:pPr>
        <w:spacing w:after="0" w:line="16" w:lineRule="exact"/>
        <w:rPr>
          <w:sz w:val="20"/>
          <w:szCs w:val="20"/>
          <w:color w:val="auto"/>
        </w:rPr>
      </w:pPr>
    </w:p>
    <w:p>
      <w:pPr>
        <w:jc w:val="both"/>
        <w:ind w:firstLine="487"/>
        <w:spacing w:after="0" w:line="249" w:lineRule="auto"/>
        <w:rPr>
          <w:sz w:val="20"/>
          <w:szCs w:val="20"/>
          <w:color w:val="auto"/>
        </w:rPr>
      </w:pPr>
      <w:r>
        <w:rPr>
          <w:rFonts w:ascii="Times New Roman" w:cs="Times New Roman" w:eastAsia="Times New Roman" w:hAnsi="Times New Roman"/>
          <w:sz w:val="21"/>
          <w:szCs w:val="21"/>
          <w:color w:val="auto"/>
        </w:rPr>
        <w:t>In addition to the foregoing, Merck may, in furtherance of its rights under this Agreement, disclose Confidential Information to any Third Party, provided that such Third Party is bound by obligations of confidentiality at least as stringent as the ones herein. In addition to the foregoing, Company may disclose Confidential Information, including the terms of this Agreement with the exception of any financial terms hereunder to a Third Party, if strictly necessary, via a mutually aligned redacted copy of this Agreement, such as (i) to potential or actual investors in subsequent funding rounds, or (ii) potential or actual counterparties to a Change of Control, if a bona fide term sheet at fair market value has been agreed between the parties, which are bound by confidentiality obligations at least as strict as provided for under this ARTICLE 9.</w:t>
      </w:r>
    </w:p>
    <w:p>
      <w:pPr>
        <w:spacing w:after="0" w:line="77" w:lineRule="exact"/>
        <w:rPr>
          <w:sz w:val="20"/>
          <w:szCs w:val="20"/>
          <w:color w:val="auto"/>
        </w:rPr>
      </w:pPr>
    </w:p>
    <w:p>
      <w:pPr>
        <w:jc w:val="both"/>
        <w:ind w:firstLine="487"/>
        <w:spacing w:after="0" w:line="250" w:lineRule="auto"/>
        <w:rPr>
          <w:sz w:val="20"/>
          <w:szCs w:val="20"/>
          <w:color w:val="auto"/>
        </w:rPr>
      </w:pPr>
      <w:r>
        <w:rPr>
          <w:rFonts w:ascii="Times New Roman" w:cs="Times New Roman" w:eastAsia="Times New Roman" w:hAnsi="Times New Roman"/>
          <w:sz w:val="21"/>
          <w:szCs w:val="21"/>
          <w:color w:val="auto"/>
        </w:rPr>
        <w:t>In making any disclosures set forth in Sections 9.3.1 through 9.3.5 above, the disclosing Party shall, where reasonably practicable, give such advance notice to the other Party of such disclosure requirement as is reasonable under the circumstances and will use its reasonable efforts to cooperate with the other Party in order to secure confidential treatment of such Confidential Information required to be disclosed. In addition, in connection with any permitted filing by either Party of this Agreement with any Governmental Body, including the U.S. Securities and Exchange Commission, the filing Party shall endeavour to obtain confidential treatment of economic, trade secret information and such other information as may be requested by the other Party, and shall provide the other Party with the proposed confidential treatment request with reasonable time for such other Party to provide comments, and shall include in such confidential treatment request all reasonable comments of the other Party.</w:t>
      </w:r>
    </w:p>
    <w:p>
      <w:pPr>
        <w:spacing w:after="0" w:line="72" w:lineRule="exact"/>
        <w:rPr>
          <w:sz w:val="20"/>
          <w:szCs w:val="20"/>
          <w:color w:val="auto"/>
        </w:rPr>
      </w:pPr>
    </w:p>
    <w:p>
      <w:pPr>
        <w:ind w:left="500"/>
        <w:spacing w:after="0"/>
        <w:tabs>
          <w:tab w:leader="none" w:pos="1200" w:val="left"/>
        </w:tabs>
        <w:rPr>
          <w:sz w:val="20"/>
          <w:szCs w:val="20"/>
          <w:color w:val="auto"/>
        </w:rPr>
      </w:pPr>
      <w:r>
        <w:rPr>
          <w:rFonts w:ascii="Times New Roman" w:cs="Times New Roman" w:eastAsia="Times New Roman" w:hAnsi="Times New Roman"/>
          <w:sz w:val="19"/>
          <w:szCs w:val="19"/>
          <w:color w:val="auto"/>
        </w:rPr>
        <w:t>9.4</w:t>
      </w:r>
      <w:r>
        <w:rPr>
          <w:sz w:val="20"/>
          <w:szCs w:val="20"/>
          <w:color w:val="auto"/>
        </w:rPr>
        <w:tab/>
      </w:r>
      <w:r>
        <w:rPr>
          <w:rFonts w:ascii="Times New Roman" w:cs="Times New Roman" w:eastAsia="Times New Roman" w:hAnsi="Times New Roman"/>
          <w:sz w:val="20"/>
          <w:szCs w:val="20"/>
          <w:b w:val="1"/>
          <w:bCs w:val="1"/>
          <w:color w:val="auto"/>
        </w:rPr>
        <w:t>Protection of confidentiality of Merck Background IP in Research Program</w:t>
      </w:r>
      <w:r>
        <w:rPr>
          <w:rFonts w:ascii="Times New Roman" w:cs="Times New Roman" w:eastAsia="Times New Roman" w:hAnsi="Times New Roman"/>
          <w:sz w:val="20"/>
          <w:szCs w:val="20"/>
          <w:color w:val="auto"/>
        </w:rPr>
        <w:t>.</w:t>
      </w:r>
    </w:p>
    <w:p>
      <w:pPr>
        <w:spacing w:after="0" w:line="122" w:lineRule="exact"/>
        <w:rPr>
          <w:sz w:val="20"/>
          <w:szCs w:val="20"/>
          <w:color w:val="auto"/>
        </w:rPr>
      </w:pPr>
    </w:p>
    <w:p>
      <w:pPr>
        <w:jc w:val="both"/>
        <w:ind w:left="1240"/>
        <w:spacing w:after="0" w:line="282" w:lineRule="auto"/>
        <w:rPr>
          <w:sz w:val="20"/>
          <w:szCs w:val="20"/>
          <w:color w:val="auto"/>
        </w:rPr>
      </w:pPr>
      <w:r>
        <w:rPr>
          <w:rFonts w:ascii="Times New Roman" w:cs="Times New Roman" w:eastAsia="Times New Roman" w:hAnsi="Times New Roman"/>
          <w:sz w:val="19"/>
          <w:szCs w:val="19"/>
          <w:color w:val="auto"/>
        </w:rPr>
        <w:t xml:space="preserve">9.4.1 </w:t>
      </w:r>
      <w:r>
        <w:rPr>
          <w:rFonts w:ascii="Times New Roman" w:cs="Times New Roman" w:eastAsia="Times New Roman" w:hAnsi="Times New Roman"/>
          <w:sz w:val="20"/>
          <w:szCs w:val="20"/>
          <w:color w:val="auto"/>
        </w:rPr>
        <w:t>Company shall ensure that the Company Platform Technology operates in a way that prevents the incorporation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of any Merck Background IP provided to Company in the course of a Research Program into Company Background IP, Company Platform IP, or Company Platform Technology, as described in </w:t>
      </w:r>
      <w:r>
        <w:rPr>
          <w:rFonts w:ascii="Times New Roman" w:cs="Times New Roman" w:eastAsia="Times New Roman" w:hAnsi="Times New Roman"/>
          <w:sz w:val="20"/>
          <w:szCs w:val="20"/>
          <w:b w:val="1"/>
          <w:bCs w:val="1"/>
          <w:u w:val="single" w:color="auto"/>
          <w:color w:val="auto"/>
        </w:rPr>
        <w:t>Schedule 9.4.1</w:t>
      </w:r>
      <w:r>
        <w:rPr>
          <w:rFonts w:ascii="Times New Roman" w:cs="Times New Roman" w:eastAsia="Times New Roman" w:hAnsi="Times New Roman"/>
          <w:sz w:val="20"/>
          <w:szCs w:val="20"/>
          <w:color w:val="auto"/>
        </w:rPr>
        <w:t>.</w:t>
      </w:r>
    </w:p>
    <w:p>
      <w:pPr>
        <w:spacing w:after="0" w:line="40" w:lineRule="exact"/>
        <w:rPr>
          <w:sz w:val="20"/>
          <w:szCs w:val="20"/>
          <w:color w:val="auto"/>
        </w:rPr>
      </w:pPr>
    </w:p>
    <w:p>
      <w:pPr>
        <w:jc w:val="both"/>
        <w:ind w:left="1240"/>
        <w:spacing w:after="0" w:line="282" w:lineRule="auto"/>
        <w:rPr>
          <w:sz w:val="20"/>
          <w:szCs w:val="20"/>
          <w:color w:val="auto"/>
        </w:rPr>
      </w:pPr>
      <w:r>
        <w:rPr>
          <w:rFonts w:ascii="Times New Roman" w:cs="Times New Roman" w:eastAsia="Times New Roman" w:hAnsi="Times New Roman"/>
          <w:sz w:val="19"/>
          <w:szCs w:val="19"/>
          <w:color w:val="auto"/>
        </w:rPr>
        <w:t xml:space="preserve">9.4.2 </w:t>
      </w:r>
      <w:r>
        <w:rPr>
          <w:rFonts w:ascii="Times New Roman" w:cs="Times New Roman" w:eastAsia="Times New Roman" w:hAnsi="Times New Roman"/>
          <w:sz w:val="20"/>
          <w:szCs w:val="20"/>
          <w:color w:val="auto"/>
        </w:rPr>
        <w:t>As soon as reasonably practicable after the Effective Date (and in any event by no later than the date that is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weeks after the Effective Date), the Parties shall discuss and agree applicable data and physical procedures which Company shall follow in order to protect Merck’s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1361" w:right="339" w:bottom="1440" w:gutter="0" w:footer="0" w:header="0"/>
        </w:sectPr>
      </w:pPr>
    </w:p>
    <w:bookmarkStart w:id="371" w:name="page372"/>
    <w:bookmarkEnd w:id="371"/>
    <w:p>
      <w:pPr>
        <w:jc w:val="both"/>
        <w:ind w:left="1240"/>
        <w:spacing w:after="0" w:line="256" w:lineRule="auto"/>
        <w:rPr>
          <w:sz w:val="20"/>
          <w:szCs w:val="20"/>
          <w:color w:val="auto"/>
        </w:rPr>
      </w:pPr>
      <w:r>
        <w:rPr>
          <w:rFonts w:ascii="Times New Roman" w:cs="Times New Roman" w:eastAsia="Times New Roman" w:hAnsi="Times New Roman"/>
          <w:sz w:val="21"/>
          <w:szCs w:val="21"/>
          <w:color w:val="auto"/>
        </w:rPr>
        <w:t>and Intellectual Property Rights. In discussing and agreeing such procedures, each Party shall act reasonably and in good faith and Company shall not unreasonably withhold its agreement to Merck’s standard Data and Physical Security Procedures which Merck has provided to Company prior to the Effective Date.</w:t>
      </w:r>
    </w:p>
    <w:p>
      <w:pPr>
        <w:spacing w:after="0" w:line="74" w:lineRule="exact"/>
        <w:rPr>
          <w:sz w:val="20"/>
          <w:szCs w:val="20"/>
          <w:color w:val="auto"/>
        </w:rPr>
      </w:pPr>
    </w:p>
    <w:p>
      <w:pPr>
        <w:jc w:val="both"/>
        <w:ind w:firstLine="487"/>
        <w:spacing w:after="0" w:line="278" w:lineRule="auto"/>
        <w:rPr>
          <w:sz w:val="20"/>
          <w:szCs w:val="20"/>
          <w:color w:val="auto"/>
        </w:rPr>
      </w:pPr>
      <w:r>
        <w:rPr>
          <w:rFonts w:ascii="Times New Roman" w:cs="Times New Roman" w:eastAsia="Times New Roman" w:hAnsi="Times New Roman"/>
          <w:sz w:val="19"/>
          <w:szCs w:val="19"/>
          <w:color w:val="auto"/>
        </w:rPr>
        <w:t xml:space="preserve">9.5 </w:t>
      </w:r>
      <w:r>
        <w:rPr>
          <w:rFonts w:ascii="Times New Roman" w:cs="Times New Roman" w:eastAsia="Times New Roman" w:hAnsi="Times New Roman"/>
          <w:sz w:val="20"/>
          <w:szCs w:val="20"/>
          <w:b w:val="1"/>
          <w:bCs w:val="1"/>
          <w:color w:val="auto"/>
        </w:rPr>
        <w:t>Required Disclosure</w:t>
      </w:r>
      <w:r>
        <w:rPr>
          <w:rFonts w:ascii="Times New Roman" w:cs="Times New Roman" w:eastAsia="Times New Roman" w:hAnsi="Times New Roman"/>
          <w:sz w:val="20"/>
          <w:szCs w:val="20"/>
          <w:color w:val="auto"/>
        </w:rPr>
        <w:t>. The recipient may disclose the Confidential Information to the extent required by Applicable Law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or court order; provided, however, that the recipient promptly provides to the disclosing party prior written notice of such disclosure and provides reasonable assistance in obtaining an order or other remedy protecting the Confidential Information from public disclosure.</w:t>
      </w:r>
    </w:p>
    <w:p>
      <w:pPr>
        <w:spacing w:after="0" w:line="297"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9.6 </w:t>
      </w:r>
      <w:r>
        <w:rPr>
          <w:rFonts w:ascii="Times New Roman" w:cs="Times New Roman" w:eastAsia="Times New Roman" w:hAnsi="Times New Roman"/>
          <w:sz w:val="20"/>
          <w:szCs w:val="20"/>
          <w:b w:val="1"/>
          <w:bCs w:val="1"/>
          <w:color w:val="auto"/>
        </w:rPr>
        <w:t>Publications</w:t>
      </w:r>
      <w:r>
        <w:rPr>
          <w:rFonts w:ascii="Times New Roman" w:cs="Times New Roman" w:eastAsia="Times New Roman" w:hAnsi="Times New Roman"/>
          <w:sz w:val="20"/>
          <w:szCs w:val="20"/>
          <w:color w:val="auto"/>
        </w:rPr>
        <w:t>. Company shall not publish any information relating to a Target Compound or a Product without the prior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written consent of Merck (which consent may be withheld or given in Merck’s sole discretion), unless such information has already been publicly disclosed either prior to the Effective Date or after the Effective Date through no fault of either Party or otherwise not in violation of this Agreement.</w:t>
      </w:r>
    </w:p>
    <w:p>
      <w:pPr>
        <w:spacing w:after="0" w:line="46" w:lineRule="exact"/>
        <w:rPr>
          <w:sz w:val="20"/>
          <w:szCs w:val="20"/>
          <w:color w:val="auto"/>
        </w:rPr>
      </w:pPr>
    </w:p>
    <w:p>
      <w:pPr>
        <w:jc w:val="both"/>
        <w:ind w:firstLine="487"/>
        <w:spacing w:after="0" w:line="262" w:lineRule="auto"/>
        <w:rPr>
          <w:sz w:val="20"/>
          <w:szCs w:val="20"/>
          <w:color w:val="auto"/>
        </w:rPr>
      </w:pPr>
      <w:r>
        <w:rPr>
          <w:rFonts w:ascii="Times New Roman" w:cs="Times New Roman" w:eastAsia="Times New Roman" w:hAnsi="Times New Roman"/>
          <w:sz w:val="19"/>
          <w:szCs w:val="19"/>
          <w:color w:val="auto"/>
        </w:rPr>
        <w:t xml:space="preserve">9.7 </w:t>
      </w:r>
      <w:r>
        <w:rPr>
          <w:rFonts w:ascii="Times New Roman" w:cs="Times New Roman" w:eastAsia="Times New Roman" w:hAnsi="Times New Roman"/>
          <w:sz w:val="20"/>
          <w:szCs w:val="20"/>
          <w:b w:val="1"/>
          <w:bCs w:val="1"/>
          <w:color w:val="auto"/>
        </w:rPr>
        <w:t>Press Releases</w:t>
      </w:r>
      <w:r>
        <w:rPr>
          <w:rFonts w:ascii="Times New Roman" w:cs="Times New Roman" w:eastAsia="Times New Roman" w:hAnsi="Times New Roman"/>
          <w:sz w:val="20"/>
          <w:szCs w:val="20"/>
          <w:color w:val="auto"/>
        </w:rPr>
        <w:t>. After the Effective Date, each Party shall be entitled to issue a press release regarding the signing of this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Agreement. The content of such press release shall be mutually aligned between both Parties and no Party shall issue such a press release without the prior written consent of the other Party regarding the content of such press release, such consent not unreasonably withheld or delayed. The Parties have aligned on the content of their initial press releases prior to the Effective Date. Except (a) as set forth in the preceding sentence, or (b) as required to comply with Applicable Law (including the rules and regulations promulgated by the United States Securities and Exchange Commission or any equivalent governmental agency in any country in the Territory), neither Party will make any public announcement regarding this Agreement without the prior written approval of the other Party. Notwithstanding the foregoing, Merck may make public announcements concerning its research, Development, manufacture or Commercialization activities with respect to the Target Compounds or Products under this Agreement without Company’s prior written approval; provided, however, that where reasonably possible, Merck will provide Company with written notice of such announcement at least [***] Business Days in advance, provide Company with an opportunity to review such announcement and reasonably consider any comments provided by Company with respect thereto.</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10</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REPRESENTATIONS, WARRANTIES AND COVENANTS</w:t>
      </w:r>
    </w:p>
    <w:p>
      <w:pPr>
        <w:spacing w:after="0" w:line="107" w:lineRule="exact"/>
        <w:rPr>
          <w:sz w:val="20"/>
          <w:szCs w:val="20"/>
          <w:color w:val="auto"/>
        </w:rPr>
      </w:pPr>
    </w:p>
    <w:p>
      <w:pPr>
        <w:jc w:val="center"/>
        <w:ind w:right="-279"/>
        <w:spacing w:after="0"/>
        <w:tabs>
          <w:tab w:leader="none" w:pos="400" w:val="left"/>
        </w:tabs>
        <w:rPr>
          <w:sz w:val="20"/>
          <w:szCs w:val="20"/>
          <w:color w:val="auto"/>
        </w:rPr>
      </w:pP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20"/>
          <w:szCs w:val="20"/>
          <w:b w:val="1"/>
          <w:bCs w:val="1"/>
          <w:color w:val="auto"/>
        </w:rPr>
        <w:t>Representations and Warranties</w:t>
      </w:r>
      <w:r>
        <w:rPr>
          <w:rFonts w:ascii="Times New Roman" w:cs="Times New Roman" w:eastAsia="Times New Roman" w:hAnsi="Times New Roman"/>
          <w:sz w:val="20"/>
          <w:szCs w:val="20"/>
          <w:color w:val="auto"/>
        </w:rPr>
        <w:t>. Each Party represents and warrants to the other Party that, as of the Effective Date:</w:t>
      </w:r>
    </w:p>
    <w:p>
      <w:pPr>
        <w:spacing w:after="0" w:line="135" w:lineRule="exact"/>
        <w:rPr>
          <w:sz w:val="20"/>
          <w:szCs w:val="20"/>
          <w:color w:val="auto"/>
        </w:rPr>
      </w:pPr>
    </w:p>
    <w:p>
      <w:pPr>
        <w:ind w:left="1240"/>
        <w:spacing w:after="0" w:line="295" w:lineRule="auto"/>
        <w:rPr>
          <w:sz w:val="20"/>
          <w:szCs w:val="20"/>
          <w:color w:val="auto"/>
        </w:rPr>
      </w:pPr>
      <w:r>
        <w:rPr>
          <w:rFonts w:ascii="Times New Roman" w:cs="Times New Roman" w:eastAsia="Times New Roman" w:hAnsi="Times New Roman"/>
          <w:sz w:val="19"/>
          <w:szCs w:val="19"/>
          <w:color w:val="auto"/>
        </w:rPr>
        <w:t xml:space="preserve">10.1.1 </w:t>
      </w:r>
      <w:r>
        <w:rPr>
          <w:rFonts w:ascii="Times New Roman" w:cs="Times New Roman" w:eastAsia="Times New Roman" w:hAnsi="Times New Roman"/>
          <w:sz w:val="20"/>
          <w:szCs w:val="20"/>
          <w:color w:val="auto"/>
        </w:rPr>
        <w:t>such Party is duly organized and validly existing under the Applicable Law of the jurisdiction of its incorporation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or organization;</w:t>
      </w:r>
    </w:p>
    <w:p>
      <w:pPr>
        <w:spacing w:after="0" w:line="28" w:lineRule="exact"/>
        <w:rPr>
          <w:sz w:val="20"/>
          <w:szCs w:val="20"/>
          <w:color w:val="auto"/>
        </w:rPr>
      </w:pPr>
    </w:p>
    <w:p>
      <w:pPr>
        <w:ind w:left="1240"/>
        <w:spacing w:after="0" w:line="308"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20"/>
          <w:szCs w:val="20"/>
          <w:color w:val="auto"/>
        </w:rPr>
        <w:t>such Party has taken all action necessary to authorize the execution and delivery of this Agreement and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performance of its obligations under this Agreement;</w:t>
      </w:r>
    </w:p>
    <w:p>
      <w:pPr>
        <w:spacing w:after="0" w:line="16" w:lineRule="exact"/>
        <w:rPr>
          <w:sz w:val="20"/>
          <w:szCs w:val="20"/>
          <w:color w:val="auto"/>
        </w:rPr>
      </w:pPr>
    </w:p>
    <w:p>
      <w:pPr>
        <w:ind w:left="1240"/>
        <w:spacing w:after="0" w:line="308" w:lineRule="auto"/>
        <w:rPr>
          <w:sz w:val="20"/>
          <w:szCs w:val="20"/>
          <w:color w:val="auto"/>
        </w:rPr>
      </w:pPr>
      <w:r>
        <w:rPr>
          <w:rFonts w:ascii="Times New Roman" w:cs="Times New Roman" w:eastAsia="Times New Roman" w:hAnsi="Times New Roman"/>
          <w:sz w:val="19"/>
          <w:szCs w:val="19"/>
          <w:color w:val="auto"/>
        </w:rPr>
        <w:t xml:space="preserve">10.1.3 </w:t>
      </w:r>
      <w:r>
        <w:rPr>
          <w:rFonts w:ascii="Times New Roman" w:cs="Times New Roman" w:eastAsia="Times New Roman" w:hAnsi="Times New Roman"/>
          <w:sz w:val="20"/>
          <w:szCs w:val="20"/>
          <w:color w:val="auto"/>
        </w:rPr>
        <w:t>this Agreement is a legal and valid obligation of such Party, binding upon such Party and enforceable against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such Party in accordance with the terms of this Agreement, except as enforcement may be limited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1364" w:right="339" w:bottom="1440" w:gutter="0" w:footer="0" w:header="0"/>
        </w:sectPr>
      </w:pPr>
    </w:p>
    <w:bookmarkStart w:id="372" w:name="page373"/>
    <w:bookmarkEnd w:id="372"/>
    <w:p>
      <w:pPr>
        <w:jc w:val="both"/>
        <w:ind w:left="1240"/>
        <w:spacing w:after="0" w:line="253" w:lineRule="auto"/>
        <w:rPr>
          <w:sz w:val="20"/>
          <w:szCs w:val="20"/>
          <w:color w:val="auto"/>
        </w:rPr>
      </w:pPr>
      <w:r>
        <w:rPr>
          <w:rFonts w:ascii="Times New Roman" w:cs="Times New Roman" w:eastAsia="Times New Roman" w:hAnsi="Times New Roman"/>
          <w:sz w:val="21"/>
          <w:szCs w:val="21"/>
          <w:color w:val="auto"/>
        </w:rPr>
        <w:t>bankruptcy, fraudulent conveyance, insolvency, reorganization, moratorium and other laws relating to or affecting creditors’ rights generally and by general equitable principles. The execution, delivery and performance of this Agreement by such Party does not conflict with, breach or create in any Third Party the right to accelerate, terminate or modify any agreement or instrument to which such Party is a party or by which such Party is bound, and does not violate any Applicable Law of any Governmental Body having authority over such Party;</w:t>
      </w:r>
    </w:p>
    <w:p>
      <w:pPr>
        <w:spacing w:after="0" w:line="68" w:lineRule="exact"/>
        <w:rPr>
          <w:sz w:val="20"/>
          <w:szCs w:val="20"/>
          <w:color w:val="auto"/>
        </w:rPr>
      </w:pPr>
    </w:p>
    <w:p>
      <w:pPr>
        <w:jc w:val="both"/>
        <w:ind w:left="1240"/>
        <w:spacing w:after="0" w:line="308" w:lineRule="auto"/>
        <w:rPr>
          <w:sz w:val="20"/>
          <w:szCs w:val="20"/>
          <w:color w:val="auto"/>
        </w:rPr>
      </w:pPr>
      <w:r>
        <w:rPr>
          <w:rFonts w:ascii="Times New Roman" w:cs="Times New Roman" w:eastAsia="Times New Roman" w:hAnsi="Times New Roman"/>
          <w:sz w:val="19"/>
          <w:szCs w:val="19"/>
          <w:color w:val="auto"/>
        </w:rPr>
        <w:t xml:space="preserve">10.1.4 </w:t>
      </w:r>
      <w:r>
        <w:rPr>
          <w:rFonts w:ascii="Times New Roman" w:cs="Times New Roman" w:eastAsia="Times New Roman" w:hAnsi="Times New Roman"/>
          <w:sz w:val="20"/>
          <w:szCs w:val="20"/>
          <w:color w:val="auto"/>
        </w:rPr>
        <w:t>such Party has all right, power and authority to enter into this Agreement, to perform its obligations under this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Agreement;</w:t>
      </w:r>
    </w:p>
    <w:p>
      <w:pPr>
        <w:spacing w:after="0" w:line="16" w:lineRule="exact"/>
        <w:rPr>
          <w:sz w:val="20"/>
          <w:szCs w:val="20"/>
          <w:color w:val="auto"/>
        </w:rPr>
      </w:pPr>
    </w:p>
    <w:p>
      <w:pPr>
        <w:jc w:val="both"/>
        <w:ind w:left="1240"/>
        <w:spacing w:after="0" w:line="295" w:lineRule="auto"/>
        <w:rPr>
          <w:sz w:val="20"/>
          <w:szCs w:val="20"/>
          <w:color w:val="auto"/>
        </w:rPr>
      </w:pPr>
      <w:r>
        <w:rPr>
          <w:rFonts w:ascii="Times New Roman" w:cs="Times New Roman" w:eastAsia="Times New Roman" w:hAnsi="Times New Roman"/>
          <w:sz w:val="19"/>
          <w:szCs w:val="19"/>
          <w:color w:val="auto"/>
        </w:rPr>
        <w:t xml:space="preserve">10.1.5 </w:t>
      </w:r>
      <w:r>
        <w:rPr>
          <w:rFonts w:ascii="Times New Roman" w:cs="Times New Roman" w:eastAsia="Times New Roman" w:hAnsi="Times New Roman"/>
          <w:sz w:val="20"/>
          <w:szCs w:val="20"/>
          <w:color w:val="auto"/>
        </w:rPr>
        <w:t>no consent by any Third Party or Governmental Body is required with respect to the execution and delivery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this Agreement by such Party or the consummation by such Party of the transactions contemplated hereby; and</w:t>
      </w:r>
    </w:p>
    <w:p>
      <w:pPr>
        <w:spacing w:after="0" w:line="41" w:lineRule="exact"/>
        <w:rPr>
          <w:sz w:val="20"/>
          <w:szCs w:val="20"/>
          <w:color w:val="auto"/>
        </w:rPr>
      </w:pPr>
    </w:p>
    <w:p>
      <w:pPr>
        <w:jc w:val="both"/>
        <w:ind w:left="1240"/>
        <w:spacing w:after="0" w:line="268" w:lineRule="auto"/>
        <w:rPr>
          <w:sz w:val="20"/>
          <w:szCs w:val="20"/>
          <w:color w:val="auto"/>
        </w:rPr>
      </w:pPr>
      <w:r>
        <w:rPr>
          <w:rFonts w:ascii="Times New Roman" w:cs="Times New Roman" w:eastAsia="Times New Roman" w:hAnsi="Times New Roman"/>
          <w:sz w:val="19"/>
          <w:szCs w:val="19"/>
          <w:color w:val="auto"/>
        </w:rPr>
        <w:t xml:space="preserve">10.1.6 </w:t>
      </w:r>
      <w:r>
        <w:rPr>
          <w:rFonts w:ascii="Times New Roman" w:cs="Times New Roman" w:eastAsia="Times New Roman" w:hAnsi="Times New Roman"/>
          <w:sz w:val="20"/>
          <w:szCs w:val="20"/>
          <w:color w:val="auto"/>
        </w:rPr>
        <w:t>all tangible information and data provided by or on behalf of such Party to the other Party on or before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Effective Date in contemplation of this Agreement was and is true, accurate and complete in all material respects, and such Party has not failed to disclose, or cause to be disclosed, any information or data that would cause the information and data that has been disclosed to be misleading in any material respect.</w:t>
      </w:r>
    </w:p>
    <w:p>
      <w:pPr>
        <w:spacing w:after="0" w:line="65"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19"/>
          <w:szCs w:val="19"/>
          <w:color w:val="auto"/>
        </w:rPr>
        <w:t>10.2</w:t>
      </w:r>
      <w:r>
        <w:rPr>
          <w:sz w:val="20"/>
          <w:szCs w:val="20"/>
          <w:color w:val="auto"/>
        </w:rPr>
        <w:tab/>
      </w:r>
      <w:r>
        <w:rPr>
          <w:rFonts w:ascii="Times New Roman" w:cs="Times New Roman" w:eastAsia="Times New Roman" w:hAnsi="Times New Roman"/>
          <w:sz w:val="20"/>
          <w:szCs w:val="20"/>
          <w:b w:val="1"/>
          <w:bCs w:val="1"/>
          <w:color w:val="auto"/>
        </w:rPr>
        <w:t>Additional Representations and Warranties of Company</w:t>
      </w:r>
      <w:r>
        <w:rPr>
          <w:rFonts w:ascii="Times New Roman" w:cs="Times New Roman" w:eastAsia="Times New Roman" w:hAnsi="Times New Roman"/>
          <w:sz w:val="20"/>
          <w:szCs w:val="20"/>
          <w:color w:val="auto"/>
        </w:rPr>
        <w:t>. Company represents and warrants to Merck that, as of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w:t>
      </w:r>
    </w:p>
    <w:p>
      <w:pPr>
        <w:spacing w:after="0" w:line="85" w:lineRule="exact"/>
        <w:rPr>
          <w:sz w:val="20"/>
          <w:szCs w:val="20"/>
          <w:color w:val="auto"/>
        </w:rPr>
      </w:pPr>
    </w:p>
    <w:p>
      <w:pPr>
        <w:jc w:val="both"/>
        <w:ind w:left="1240"/>
        <w:spacing w:after="0" w:line="274" w:lineRule="auto"/>
        <w:rPr>
          <w:sz w:val="20"/>
          <w:szCs w:val="20"/>
          <w:color w:val="auto"/>
        </w:rPr>
      </w:pPr>
      <w:r>
        <w:rPr>
          <w:rFonts w:ascii="Times New Roman" w:cs="Times New Roman" w:eastAsia="Times New Roman" w:hAnsi="Times New Roman"/>
          <w:sz w:val="19"/>
          <w:szCs w:val="19"/>
          <w:color w:val="auto"/>
        </w:rPr>
        <w:t xml:space="preserve">10.2.1 </w:t>
      </w:r>
      <w:r>
        <w:rPr>
          <w:rFonts w:ascii="Times New Roman" w:cs="Times New Roman" w:eastAsia="Times New Roman" w:hAnsi="Times New Roman"/>
          <w:sz w:val="20"/>
          <w:szCs w:val="20"/>
          <w:color w:val="auto"/>
        </w:rPr>
        <w:t>no claims have been asserted, or, to Company’s Knowledge, threatened by any Person (a) challenging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validity, effectiveness, or ownership of Licensed Company Background IP or Company Platform Technology, and/or (b) to the effect that the use or any other exercise of rights in any of Licensed Company Background IP or Compound Platform Technology as contemplated in this Agreement infringes or will infringe on any intellectual property right of any Person;</w:t>
      </w:r>
    </w:p>
    <w:p>
      <w:pPr>
        <w:spacing w:after="0" w:line="303" w:lineRule="exact"/>
        <w:rPr>
          <w:sz w:val="20"/>
          <w:szCs w:val="20"/>
          <w:color w:val="auto"/>
        </w:rPr>
      </w:pPr>
    </w:p>
    <w:p>
      <w:pPr>
        <w:jc w:val="both"/>
        <w:ind w:left="1240"/>
        <w:spacing w:after="0" w:line="282" w:lineRule="auto"/>
        <w:rPr>
          <w:sz w:val="20"/>
          <w:szCs w:val="20"/>
          <w:color w:val="auto"/>
        </w:rPr>
      </w:pPr>
      <w:r>
        <w:rPr>
          <w:rFonts w:ascii="Times New Roman" w:cs="Times New Roman" w:eastAsia="Times New Roman" w:hAnsi="Times New Roman"/>
          <w:sz w:val="19"/>
          <w:szCs w:val="19"/>
          <w:color w:val="auto"/>
        </w:rPr>
        <w:t xml:space="preserve">10.2.2 </w:t>
      </w:r>
      <w:r>
        <w:rPr>
          <w:rFonts w:ascii="Times New Roman" w:cs="Times New Roman" w:eastAsia="Times New Roman" w:hAnsi="Times New Roman"/>
          <w:sz w:val="20"/>
          <w:szCs w:val="20"/>
          <w:color w:val="auto"/>
        </w:rPr>
        <w:t>to the Knowledge of Company, (i) Company’s use of Licensed Company Background IP and Company Platform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Technology and (ii) Merck’s use of Licensed Company Background IP, in each case, in the conduct of the Research Programs as contemplated under this Agreement will not infringe on any intellectual property right of any Person;</w:t>
      </w:r>
    </w:p>
    <w:p>
      <w:pPr>
        <w:spacing w:after="0" w:line="40" w:lineRule="exact"/>
        <w:rPr>
          <w:sz w:val="20"/>
          <w:szCs w:val="20"/>
          <w:color w:val="auto"/>
        </w:rPr>
      </w:pPr>
    </w:p>
    <w:p>
      <w:pPr>
        <w:jc w:val="both"/>
        <w:ind w:left="1240"/>
        <w:spacing w:after="0" w:line="282" w:lineRule="auto"/>
        <w:rPr>
          <w:sz w:val="20"/>
          <w:szCs w:val="20"/>
          <w:color w:val="auto"/>
        </w:rPr>
      </w:pPr>
      <w:r>
        <w:rPr>
          <w:rFonts w:ascii="Times New Roman" w:cs="Times New Roman" w:eastAsia="Times New Roman" w:hAnsi="Times New Roman"/>
          <w:sz w:val="19"/>
          <w:szCs w:val="19"/>
          <w:color w:val="auto"/>
        </w:rPr>
        <w:t xml:space="preserve">10.2.3 </w:t>
      </w:r>
      <w:r>
        <w:rPr>
          <w:rFonts w:ascii="Times New Roman" w:cs="Times New Roman" w:eastAsia="Times New Roman" w:hAnsi="Times New Roman"/>
          <w:sz w:val="20"/>
          <w:szCs w:val="20"/>
          <w:color w:val="auto"/>
        </w:rPr>
        <w:t>to the Knowledge of Company, there is no unauthorized use, infringement or misappropriation of any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Licensed Company Background IP or Company Platform Technology by any employee or former employee of Company, or any other Third Party;</w:t>
      </w:r>
    </w:p>
    <w:p>
      <w:pPr>
        <w:spacing w:after="0" w:line="40" w:lineRule="exact"/>
        <w:rPr>
          <w:sz w:val="20"/>
          <w:szCs w:val="20"/>
          <w:color w:val="auto"/>
        </w:rPr>
      </w:pPr>
    </w:p>
    <w:p>
      <w:pPr>
        <w:jc w:val="both"/>
        <w:ind w:left="1240"/>
        <w:spacing w:after="0" w:line="296" w:lineRule="auto"/>
        <w:rPr>
          <w:sz w:val="20"/>
          <w:szCs w:val="20"/>
          <w:color w:val="auto"/>
        </w:rPr>
      </w:pPr>
      <w:r>
        <w:rPr>
          <w:rFonts w:ascii="Times New Roman" w:cs="Times New Roman" w:eastAsia="Times New Roman" w:hAnsi="Times New Roman"/>
          <w:sz w:val="19"/>
          <w:szCs w:val="19"/>
          <w:color w:val="auto"/>
        </w:rPr>
        <w:t xml:space="preserve">10.2.4 </w:t>
      </w:r>
      <w:r>
        <w:rPr>
          <w:rFonts w:ascii="Times New Roman" w:cs="Times New Roman" w:eastAsia="Times New Roman" w:hAnsi="Times New Roman"/>
          <w:sz w:val="20"/>
          <w:szCs w:val="20"/>
          <w:color w:val="auto"/>
        </w:rPr>
        <w:t>Company has not had prior to the Effective Date, and as of the Effective Date does not have any ongoing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collaboration or similar relationship with any Third Party with respect to any of the Initial Collaboration Targets or [***];</w:t>
      </w:r>
    </w:p>
    <w:p>
      <w:pPr>
        <w:spacing w:after="0" w:line="284" w:lineRule="exact"/>
        <w:rPr>
          <w:sz w:val="20"/>
          <w:szCs w:val="20"/>
          <w:color w:val="auto"/>
        </w:rPr>
      </w:pPr>
    </w:p>
    <w:p>
      <w:pPr>
        <w:jc w:val="both"/>
        <w:ind w:left="1240"/>
        <w:spacing w:after="0" w:line="295" w:lineRule="auto"/>
        <w:rPr>
          <w:sz w:val="20"/>
          <w:szCs w:val="20"/>
          <w:color w:val="auto"/>
        </w:rPr>
      </w:pPr>
      <w:r>
        <w:rPr>
          <w:rFonts w:ascii="Times New Roman" w:cs="Times New Roman" w:eastAsia="Times New Roman" w:hAnsi="Times New Roman"/>
          <w:sz w:val="19"/>
          <w:szCs w:val="19"/>
          <w:color w:val="auto"/>
        </w:rPr>
        <w:t xml:space="preserve">10.2.5 </w:t>
      </w:r>
      <w:r>
        <w:rPr>
          <w:rFonts w:ascii="Times New Roman" w:cs="Times New Roman" w:eastAsia="Times New Roman" w:hAnsi="Times New Roman"/>
          <w:sz w:val="20"/>
          <w:szCs w:val="20"/>
          <w:color w:val="auto"/>
        </w:rPr>
        <w:t>the Company Background IP, Company Platform IP and Company Platform Technology does not comprise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licenses from Third Parties under which a sublicense to Merck will be necessary, to the Knowledge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40"/>
          </w:cols>
          <w:pgMar w:left="320" w:top="1365" w:right="339" w:bottom="1440" w:gutter="0" w:footer="0" w:header="0"/>
        </w:sectPr>
      </w:pPr>
    </w:p>
    <w:bookmarkStart w:id="373" w:name="page374"/>
    <w:bookmarkEnd w:id="373"/>
    <w:p>
      <w:pPr>
        <w:jc w:val="both"/>
        <w:ind w:left="740"/>
        <w:spacing w:after="0" w:line="256" w:lineRule="auto"/>
        <w:rPr>
          <w:sz w:val="20"/>
          <w:szCs w:val="20"/>
          <w:color w:val="auto"/>
        </w:rPr>
      </w:pPr>
      <w:r>
        <w:rPr>
          <w:rFonts w:ascii="Times New Roman" w:cs="Times New Roman" w:eastAsia="Times New Roman" w:hAnsi="Times New Roman"/>
          <w:sz w:val="21"/>
          <w:szCs w:val="21"/>
          <w:color w:val="auto"/>
        </w:rPr>
        <w:t>as of the Effective Date, for the exploitation of Collaboration IP by Merck as contemplated under this Agreement. For the avoidance of doubt, nothing in this Section 10.2.5 shall be interpreted as implying that Merck receives any licence to use Company Platform IP or Company Platform Technology for the exploitation of Collaboration IP or for any other purpose; and</w:t>
      </w:r>
    </w:p>
    <w:p>
      <w:pPr>
        <w:spacing w:after="0" w:line="65" w:lineRule="exact"/>
        <w:rPr>
          <w:sz w:val="20"/>
          <w:szCs w:val="20"/>
          <w:color w:val="auto"/>
        </w:rPr>
      </w:pPr>
    </w:p>
    <w:p>
      <w:pPr>
        <w:jc w:val="both"/>
        <w:ind w:left="740"/>
        <w:spacing w:after="0" w:line="270" w:lineRule="auto"/>
        <w:rPr>
          <w:sz w:val="20"/>
          <w:szCs w:val="20"/>
          <w:color w:val="auto"/>
        </w:rPr>
      </w:pPr>
      <w:r>
        <w:rPr>
          <w:rFonts w:ascii="Times New Roman" w:cs="Times New Roman" w:eastAsia="Times New Roman" w:hAnsi="Times New Roman"/>
          <w:sz w:val="19"/>
          <w:szCs w:val="19"/>
          <w:color w:val="auto"/>
        </w:rPr>
        <w:t xml:space="preserve">10.2.6 </w:t>
      </w:r>
      <w:r>
        <w:rPr>
          <w:rFonts w:ascii="Times New Roman" w:cs="Times New Roman" w:eastAsia="Times New Roman" w:hAnsi="Times New Roman"/>
          <w:sz w:val="20"/>
          <w:szCs w:val="20"/>
          <w:color w:val="auto"/>
        </w:rPr>
        <w:t>all Representatives of Company are qualified to undertake and perform work in accordance with the Research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Plan and Company (and its Affiliates) has not employed or otherwise used in any capacity, and will not employ or otherwise use in any capacity, the services of any Person, including Subject Matter Specialists, debarred under United States law, including under Section 21 USC 335a or any foreign equivalent thereof, with respect to a Target Compound or a Product.</w:t>
      </w:r>
    </w:p>
    <w:p>
      <w:pPr>
        <w:spacing w:after="0" w:line="3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10.3</w:t>
      </w:r>
      <w:r>
        <w:rPr>
          <w:sz w:val="20"/>
          <w:szCs w:val="20"/>
          <w:color w:val="auto"/>
        </w:rPr>
        <w:tab/>
      </w:r>
      <w:r>
        <w:rPr>
          <w:rFonts w:ascii="Times New Roman" w:cs="Times New Roman" w:eastAsia="Times New Roman" w:hAnsi="Times New Roman"/>
          <w:sz w:val="20"/>
          <w:szCs w:val="20"/>
          <w:b w:val="1"/>
          <w:bCs w:val="1"/>
          <w:color w:val="auto"/>
        </w:rPr>
        <w:t>Company Covenants</w:t>
      </w:r>
      <w:r>
        <w:rPr>
          <w:rFonts w:ascii="Times New Roman" w:cs="Times New Roman" w:eastAsia="Times New Roman" w:hAnsi="Times New Roman"/>
          <w:sz w:val="20"/>
          <w:szCs w:val="20"/>
          <w:color w:val="auto"/>
        </w:rPr>
        <w:t>. Company covenants to Merck that:</w:t>
      </w:r>
    </w:p>
    <w:p>
      <w:pPr>
        <w:spacing w:after="0" w:line="135" w:lineRule="exact"/>
        <w:rPr>
          <w:sz w:val="20"/>
          <w:szCs w:val="20"/>
          <w:color w:val="auto"/>
        </w:rPr>
      </w:pPr>
    </w:p>
    <w:p>
      <w:pPr>
        <w:ind w:left="740"/>
        <w:spacing w:after="0"/>
        <w:tabs>
          <w:tab w:leader="none" w:pos="1340" w:val="left"/>
        </w:tabs>
        <w:rPr>
          <w:sz w:val="20"/>
          <w:szCs w:val="20"/>
          <w:color w:val="auto"/>
        </w:rPr>
      </w:pPr>
      <w:r>
        <w:rPr>
          <w:rFonts w:ascii="Times New Roman" w:cs="Times New Roman" w:eastAsia="Times New Roman" w:hAnsi="Times New Roman"/>
          <w:sz w:val="19"/>
          <w:szCs w:val="19"/>
          <w:color w:val="auto"/>
        </w:rPr>
        <w:t>10.3.1</w:t>
      </w:r>
      <w:r>
        <w:rPr>
          <w:sz w:val="20"/>
          <w:szCs w:val="20"/>
          <w:color w:val="auto"/>
        </w:rPr>
        <w:tab/>
      </w:r>
      <w:r>
        <w:rPr>
          <w:rFonts w:ascii="Times New Roman" w:cs="Times New Roman" w:eastAsia="Times New Roman" w:hAnsi="Times New Roman"/>
          <w:sz w:val="20"/>
          <w:szCs w:val="20"/>
          <w:color w:val="auto"/>
        </w:rPr>
        <w:t>Company will use the appropriate data set for each Research Program and Research Plan;</w:t>
      </w:r>
    </w:p>
    <w:p>
      <w:pPr>
        <w:spacing w:after="0" w:line="118" w:lineRule="exact"/>
        <w:rPr>
          <w:sz w:val="20"/>
          <w:szCs w:val="20"/>
          <w:color w:val="auto"/>
        </w:rPr>
      </w:pPr>
    </w:p>
    <w:p>
      <w:pPr>
        <w:jc w:val="both"/>
        <w:ind w:left="740"/>
        <w:spacing w:after="0" w:line="274" w:lineRule="auto"/>
        <w:rPr>
          <w:sz w:val="20"/>
          <w:szCs w:val="20"/>
          <w:color w:val="auto"/>
        </w:rPr>
      </w:pPr>
      <w:r>
        <w:rPr>
          <w:rFonts w:ascii="Times New Roman" w:cs="Times New Roman" w:eastAsia="Times New Roman" w:hAnsi="Times New Roman"/>
          <w:sz w:val="19"/>
          <w:szCs w:val="19"/>
          <w:color w:val="auto"/>
        </w:rPr>
        <w:t xml:space="preserve">10.3.2 </w:t>
      </w:r>
      <w:r>
        <w:rPr>
          <w:rFonts w:ascii="Times New Roman" w:cs="Times New Roman" w:eastAsia="Times New Roman" w:hAnsi="Times New Roman"/>
          <w:sz w:val="20"/>
          <w:szCs w:val="20"/>
          <w:color w:val="auto"/>
        </w:rPr>
        <w:t>the activities to be performed using the Company Platform Technology will have human oversight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monitoring;</w:t>
      </w:r>
    </w:p>
    <w:p>
      <w:pPr>
        <w:spacing w:after="0" w:line="343" w:lineRule="exact"/>
        <w:rPr>
          <w:sz w:val="20"/>
          <w:szCs w:val="20"/>
          <w:color w:val="auto"/>
        </w:rPr>
      </w:pPr>
    </w:p>
    <w:p>
      <w:pPr>
        <w:jc w:val="both"/>
        <w:ind w:left="740"/>
        <w:spacing w:after="0" w:line="308" w:lineRule="auto"/>
        <w:rPr>
          <w:sz w:val="20"/>
          <w:szCs w:val="20"/>
          <w:color w:val="auto"/>
        </w:rPr>
      </w:pPr>
      <w:r>
        <w:rPr>
          <w:rFonts w:ascii="Times New Roman" w:cs="Times New Roman" w:eastAsia="Times New Roman" w:hAnsi="Times New Roman"/>
          <w:sz w:val="19"/>
          <w:szCs w:val="19"/>
          <w:color w:val="auto"/>
        </w:rPr>
        <w:t xml:space="preserve">10.3.3 </w:t>
      </w:r>
      <w:r>
        <w:rPr>
          <w:rFonts w:ascii="Times New Roman" w:cs="Times New Roman" w:eastAsia="Times New Roman" w:hAnsi="Times New Roman"/>
          <w:sz w:val="20"/>
          <w:szCs w:val="20"/>
          <w:color w:val="auto"/>
        </w:rPr>
        <w:t>any serious incident or any malfunctioning of the Company Platform Technology which can affect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performance and results of any Research Plan will be promptly informed to Merck; and</w:t>
      </w:r>
    </w:p>
    <w:p>
      <w:pPr>
        <w:spacing w:after="0" w:line="16" w:lineRule="exact"/>
        <w:rPr>
          <w:sz w:val="20"/>
          <w:szCs w:val="20"/>
          <w:color w:val="auto"/>
        </w:rPr>
      </w:pPr>
    </w:p>
    <w:p>
      <w:pPr>
        <w:jc w:val="both"/>
        <w:ind w:left="740"/>
        <w:spacing w:after="0" w:line="265" w:lineRule="auto"/>
        <w:rPr>
          <w:sz w:val="20"/>
          <w:szCs w:val="20"/>
          <w:color w:val="auto"/>
        </w:rPr>
      </w:pPr>
      <w:r>
        <w:rPr>
          <w:rFonts w:ascii="Times New Roman" w:cs="Times New Roman" w:eastAsia="Times New Roman" w:hAnsi="Times New Roman"/>
          <w:sz w:val="19"/>
          <w:szCs w:val="19"/>
          <w:color w:val="auto"/>
        </w:rPr>
        <w:t xml:space="preserve">10.3.4 </w:t>
      </w:r>
      <w:r>
        <w:rPr>
          <w:rFonts w:ascii="Times New Roman" w:cs="Times New Roman" w:eastAsia="Times New Roman" w:hAnsi="Times New Roman"/>
          <w:sz w:val="20"/>
          <w:szCs w:val="20"/>
          <w:color w:val="auto"/>
        </w:rPr>
        <w:t>if and to the extent Company provides any deliverable to Merck in the course of Company’s activities under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Research Plan (or otherwise under this Agreement) and such deliverable incorporates any Intellectual Property Right of any Third Party, Company will (i) ensure that appropriate licenses in respect of that Intellectual Property Right, including the right to sublicense through multiple tiers, will be obtained, to allow the conduct of the Research Plan, and the exploitation of Collaboration IP by Merck as contemplated under this Agreement, (ii) align with Merck regarding the terms of such license; and (iii) Company will grant, and hereby grants to Merck and its Affiliates, a sublicense under any such license in respect of that Intellectual Property Right (including the right to grant further sublicenses) to the extent required to exploit the Collaboration IP, and Merck accepts such sublicense;</w:t>
      </w:r>
    </w:p>
    <w:p>
      <w:pPr>
        <w:spacing w:after="0" w:line="57"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9"/>
          <w:szCs w:val="19"/>
          <w:color w:val="auto"/>
        </w:rPr>
        <w:t xml:space="preserve">10.3.5 </w:t>
      </w:r>
      <w:r>
        <w:rPr>
          <w:rFonts w:ascii="Times New Roman" w:cs="Times New Roman" w:eastAsia="Times New Roman" w:hAnsi="Times New Roman"/>
          <w:sz w:val="20"/>
          <w:szCs w:val="20"/>
          <w:color w:val="auto"/>
        </w:rPr>
        <w:t>Company’s activities under any Research Plan will be conducted in accordance with Applicable Law (including,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for clarity, applicable good practice standards and guidelines commonly referred to as GxP, including specifically Good Laboratory Practices); and</w:t>
      </w:r>
    </w:p>
    <w:p>
      <w:pPr>
        <w:spacing w:after="0" w:line="40" w:lineRule="exact"/>
        <w:rPr>
          <w:sz w:val="20"/>
          <w:szCs w:val="20"/>
          <w:color w:val="auto"/>
        </w:rPr>
      </w:pPr>
    </w:p>
    <w:p>
      <w:pPr>
        <w:jc w:val="both"/>
        <w:ind w:left="740"/>
        <w:spacing w:after="0" w:line="268" w:lineRule="auto"/>
        <w:rPr>
          <w:sz w:val="20"/>
          <w:szCs w:val="20"/>
          <w:color w:val="auto"/>
        </w:rPr>
      </w:pPr>
      <w:r>
        <w:rPr>
          <w:rFonts w:ascii="Times New Roman" w:cs="Times New Roman" w:eastAsia="Times New Roman" w:hAnsi="Times New Roman"/>
          <w:sz w:val="19"/>
          <w:szCs w:val="19"/>
          <w:color w:val="auto"/>
        </w:rPr>
        <w:t xml:space="preserve">10.3.6 </w:t>
      </w:r>
      <w:r>
        <w:rPr>
          <w:rFonts w:ascii="Times New Roman" w:cs="Times New Roman" w:eastAsia="Times New Roman" w:hAnsi="Times New Roman"/>
          <w:sz w:val="20"/>
          <w:szCs w:val="20"/>
          <w:color w:val="auto"/>
        </w:rPr>
        <w:t>all employees and other persons performing activities under the Research Plans on the request of Company will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have executed agreements requiring assignment to Company of all their right, title and interest in and to any Collaboration IP originated, created, developed, conceived, derived, produced, discovered, invented or otherwise made by them, or, if any such employees or other persons shall not have executed such an agreement, that assignment by such employee or other person of such Collaboration IP to Company shall occur by operation of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740"/>
          </w:cols>
          <w:pgMar w:left="820" w:top="1365" w:right="339" w:bottom="1440" w:gutter="0" w:footer="0" w:header="0"/>
        </w:sectPr>
      </w:pPr>
    </w:p>
    <w:bookmarkStart w:id="374" w:name="page375"/>
    <w:bookmarkEnd w:id="374"/>
    <w:p>
      <w:pPr>
        <w:jc w:val="both"/>
        <w:ind w:firstLine="487"/>
        <w:spacing w:after="0" w:line="263"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20"/>
          <w:szCs w:val="20"/>
          <w:b w:val="1"/>
          <w:bCs w:val="1"/>
          <w:color w:val="auto"/>
        </w:rPr>
        <w:t>Both Parties’ Additional Covenants.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Each Party, with respect to activities undertaken in connection with this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Agreement, will comply with all Applicable Law for the care, welfare and ethical treatment of animals in the country where the research and Development is performed. In particular, each Party will adhere at a minimum to (aa) Merck’s Group Policy - Merck Animal Science and Welfare Policy (bb) Merck's Standard on “Animal Science and Welfare”, (cc) Merck's Standard on "Blood Collection", (dd) the principle of “3Rs” – reduction, refinement and replacement of animal studies; (ee) the principle to offer state of the art housing and husbandry conditions in the care and use of animals which means access to species appropriate food and water; access to species specific housing, including species appropriate temperature and humidity levels; access to humane care and a program of veterinary care; animal housing that minimizes the development of abnormal behaviours; review of study design and purpose by institutional ethical review panel; commitment to minimizing pain and distress during the studies conducted under the research plan and that work is performed by demonstrable trained staff.</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11</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INDEMNIFICATION AND INSURANCE</w:t>
      </w:r>
    </w:p>
    <w:p>
      <w:pPr>
        <w:spacing w:after="0" w:line="119" w:lineRule="exact"/>
        <w:rPr>
          <w:sz w:val="20"/>
          <w:szCs w:val="20"/>
          <w:color w:val="auto"/>
        </w:rPr>
      </w:pPr>
    </w:p>
    <w:p>
      <w:pPr>
        <w:jc w:val="both"/>
        <w:ind w:firstLine="487"/>
        <w:spacing w:after="0" w:line="263"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20"/>
          <w:szCs w:val="20"/>
          <w:b w:val="1"/>
          <w:bCs w:val="1"/>
          <w:color w:val="auto"/>
        </w:rPr>
        <w:t>Indemnification by Merck</w:t>
      </w:r>
      <w:r>
        <w:rPr>
          <w:rFonts w:ascii="Times New Roman" w:cs="Times New Roman" w:eastAsia="Times New Roman" w:hAnsi="Times New Roman"/>
          <w:sz w:val="20"/>
          <w:szCs w:val="20"/>
          <w:color w:val="auto"/>
        </w:rPr>
        <w:t>. Merck shall indemnify, defend and hold Company and its Affiliates and each of their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respective employees, officers, directors and agents (the “</w:t>
      </w:r>
      <w:r>
        <w:rPr>
          <w:rFonts w:ascii="Times New Roman" w:cs="Times New Roman" w:eastAsia="Times New Roman" w:hAnsi="Times New Roman"/>
          <w:sz w:val="20"/>
          <w:szCs w:val="20"/>
          <w:b w:val="1"/>
          <w:bCs w:val="1"/>
          <w:color w:val="auto"/>
        </w:rPr>
        <w:t>Company Indemnitees</w:t>
      </w:r>
      <w:r>
        <w:rPr>
          <w:rFonts w:ascii="Times New Roman" w:cs="Times New Roman" w:eastAsia="Times New Roman" w:hAnsi="Times New Roman"/>
          <w:sz w:val="20"/>
          <w:szCs w:val="20"/>
          <w:color w:val="auto"/>
        </w:rPr>
        <w:t>”) harmless from and against any and all liability, damage, loss, cost or expense (including reasonable attorneys’ fees) (each, a “</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to the extent arising out of Third Party claims or suits related to: (a) Merck’s negligence or wilful misconduct; (b) Merck’s performance or omission of its obligations under this Agreement; (c) breach by Merck of its representations or warranties set forth in ARTICLE 10; (d) the activities or omissions of Merck or any of its Affiliates, subcontractors or sublicensees with respect to any Target Compound or Product; or (e) the Development or Commercialization of each Collaboration Target and each Target Compound or Product for that Collaboration Target by Merck or any of its Affiliates, subcontractors, licensees or sublicensees; provided, however, that Merck’s obligations pursuant to this Section 11.1 shall not apply for Claims for which Company has an obligation to indemnify Merck Indemnitees pursuant to Section 11.2 or to the extent such Claims result from the breach, negligence or wilful misconduct of any of the Company Indemnitees.</w:t>
      </w:r>
    </w:p>
    <w:p>
      <w:pPr>
        <w:spacing w:after="0" w:line="58" w:lineRule="exact"/>
        <w:rPr>
          <w:sz w:val="20"/>
          <w:szCs w:val="20"/>
          <w:color w:val="auto"/>
        </w:rPr>
      </w:pPr>
    </w:p>
    <w:p>
      <w:pPr>
        <w:jc w:val="both"/>
        <w:ind w:firstLine="487"/>
        <w:spacing w:after="0" w:line="264" w:lineRule="auto"/>
        <w:rPr>
          <w:sz w:val="20"/>
          <w:szCs w:val="20"/>
          <w:color w:val="auto"/>
        </w:rPr>
      </w:pPr>
      <w:r>
        <w:rPr>
          <w:rFonts w:ascii="Times New Roman" w:cs="Times New Roman" w:eastAsia="Times New Roman" w:hAnsi="Times New Roman"/>
          <w:sz w:val="19"/>
          <w:szCs w:val="19"/>
          <w:color w:val="auto"/>
        </w:rPr>
        <w:t xml:space="preserve">11.2 </w:t>
      </w:r>
      <w:r>
        <w:rPr>
          <w:rFonts w:ascii="Times New Roman" w:cs="Times New Roman" w:eastAsia="Times New Roman" w:hAnsi="Times New Roman"/>
          <w:sz w:val="20"/>
          <w:szCs w:val="20"/>
          <w:b w:val="1"/>
          <w:bCs w:val="1"/>
          <w:color w:val="auto"/>
        </w:rPr>
        <w:t>Indemnification by Company</w:t>
      </w:r>
      <w:r>
        <w:rPr>
          <w:rFonts w:ascii="Times New Roman" w:cs="Times New Roman" w:eastAsia="Times New Roman" w:hAnsi="Times New Roman"/>
          <w:sz w:val="20"/>
          <w:szCs w:val="20"/>
          <w:color w:val="auto"/>
        </w:rPr>
        <w:t>. Company shall indemnify, defend and hold Merck and its Affiliates and each of their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respective agents, employees, officers and directors (“</w:t>
      </w:r>
      <w:r>
        <w:rPr>
          <w:rFonts w:ascii="Times New Roman" w:cs="Times New Roman" w:eastAsia="Times New Roman" w:hAnsi="Times New Roman"/>
          <w:sz w:val="20"/>
          <w:szCs w:val="20"/>
          <w:b w:val="1"/>
          <w:bCs w:val="1"/>
          <w:color w:val="auto"/>
        </w:rPr>
        <w:t>Merck Indemnitees</w:t>
      </w:r>
      <w:r>
        <w:rPr>
          <w:rFonts w:ascii="Times New Roman" w:cs="Times New Roman" w:eastAsia="Times New Roman" w:hAnsi="Times New Roman"/>
          <w:sz w:val="20"/>
          <w:szCs w:val="20"/>
          <w:color w:val="auto"/>
        </w:rPr>
        <w:t>”) harmless from and against any and all Claims to the extent arising out of Third Party claims or suits related to: (a) Company’s negligence or wilful misconduct; (b) Company’s performance or omission of its obligations under this Agreement; (c) breach by Company of its representations, warranties or covenants set forth in ARTICLE 10; (d) the activities or omissions of Company or any of its Affiliates, subcontractors or sublicensees with respect to any Target Compound or Product; or (e) the Development of each Collaboration Target and each Target Compound for that Collaboration Target by Company or any of its Affiliates, subcontractors, licensees or sublicensees; provided, however, that Company’s obligations pursuant to this Section 11.2 shall not apply for Claims for which Merck has an obligation to indemnify Company Indemnitees pursuant to Section 11.1 or to the extent such Claims result from the breach, negligence or wilful misconduct of any of the Merck Indemnitees.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1360" w:right="339" w:bottom="1440" w:gutter="0" w:footer="0" w:header="0"/>
        </w:sectPr>
      </w:pPr>
    </w:p>
    <w:bookmarkStart w:id="375" w:name="page376"/>
    <w:bookmarkEnd w:id="375"/>
    <w:p>
      <w:pPr>
        <w:jc w:val="both"/>
        <w:ind w:firstLine="487"/>
        <w:spacing w:after="0" w:line="262" w:lineRule="auto"/>
        <w:rPr>
          <w:sz w:val="20"/>
          <w:szCs w:val="20"/>
          <w:color w:val="auto"/>
        </w:rPr>
      </w:pPr>
      <w:r>
        <w:rPr>
          <w:rFonts w:ascii="Times New Roman" w:cs="Times New Roman" w:eastAsia="Times New Roman" w:hAnsi="Times New Roman"/>
          <w:sz w:val="19"/>
          <w:szCs w:val="19"/>
          <w:color w:val="auto"/>
        </w:rPr>
        <w:t xml:space="preserve">11.3 </w:t>
      </w:r>
      <w:r>
        <w:rPr>
          <w:rFonts w:ascii="Times New Roman" w:cs="Times New Roman" w:eastAsia="Times New Roman" w:hAnsi="Times New Roman"/>
          <w:sz w:val="20"/>
          <w:szCs w:val="20"/>
          <w:b w:val="1"/>
          <w:bCs w:val="1"/>
          <w:color w:val="auto"/>
        </w:rPr>
        <w:t>No Consequential Damages</w:t>
      </w:r>
      <w:r>
        <w:rPr>
          <w:rFonts w:ascii="Times New Roman" w:cs="Times New Roman" w:eastAsia="Times New Roman" w:hAnsi="Times New Roman"/>
          <w:sz w:val="20"/>
          <w:szCs w:val="20"/>
          <w:color w:val="auto"/>
        </w:rPr>
        <w:t>. EXCEPT WITH RESPECT TO EACH PARTY’S INDEMNIFICATION OBLIGATIONS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UNDER SECTION 11.1 OR SECTION 11.2, AS APPLICABLE, AND ANY LIABILITY THAT CANNOT BE EXCLUDED OR LIMITED BY APPLICABLE LAW, IN NO EVENT SHALL EITHER PARTY OR ANY OF ITS AFFILIATES BE LIABLE TO THE OTHER PARTY OR ANY OF ITS AFFILIATES FOR (A) SPECIAL, INDIRECT, INCIDENTAL, CONSEQUENTIAL OR PUNITIVE DAMAGES, OR (B) LOSS OF REVENUE, PROFITS, CONTRACTS, SAVINGS, GOODWILL OR REPUTATION (IN EACH CASE, WHETHER DIRECT OR INDIRECT), IN EACH CASE ((A) AND (B)), WHETHER IN CONTRACT, WARRANTY, TORT, NEGLIGENCE, STRICT LIABILITY OR OTHERWISE ARISING OUT OF OR RELATING TO THIS AGREEMENT, THE TRANSACTIONS CONTEMPLATED HEREIN OR ANY BREACH HEREOF. NOTWITHSTANDING THE FOREGOING, NOTHING IN THIS AGREEMENT SHALL LIMIT EITHER PARTY FROM SEEKING OR OBTAINING ANY REMEDY AVAILABLE UNDER LAW FOR ANY BREACH BY THE OTHER PARTY OF ITS CONFIDENTIALITY AND NON-USE OBLIGATIONS UNDER ARTICLE 9 OR ANY BREACH BY COMPANY OF ITS EXCLUSIVITY OBLIGATIONS UNDER SECTION 4.5.</w:t>
      </w:r>
    </w:p>
    <w:p>
      <w:pPr>
        <w:spacing w:after="0" w:line="320" w:lineRule="exact"/>
        <w:rPr>
          <w:sz w:val="20"/>
          <w:szCs w:val="20"/>
          <w:color w:val="auto"/>
        </w:rPr>
      </w:pPr>
    </w:p>
    <w:p>
      <w:pPr>
        <w:jc w:val="both"/>
        <w:ind w:firstLine="487"/>
        <w:spacing w:after="0" w:line="263" w:lineRule="auto"/>
        <w:rPr>
          <w:sz w:val="20"/>
          <w:szCs w:val="20"/>
          <w:color w:val="auto"/>
        </w:rPr>
      </w:pPr>
      <w:r>
        <w:rPr>
          <w:rFonts w:ascii="Times New Roman" w:cs="Times New Roman" w:eastAsia="Times New Roman" w:hAnsi="Times New Roman"/>
          <w:sz w:val="19"/>
          <w:szCs w:val="19"/>
          <w:color w:val="auto"/>
        </w:rPr>
        <w:t xml:space="preserve">11.4 </w:t>
      </w:r>
      <w:r>
        <w:rPr>
          <w:rFonts w:ascii="Times New Roman" w:cs="Times New Roman" w:eastAsia="Times New Roman" w:hAnsi="Times New Roman"/>
          <w:sz w:val="20"/>
          <w:szCs w:val="20"/>
          <w:b w:val="1"/>
          <w:bCs w:val="1"/>
          <w:color w:val="auto"/>
        </w:rPr>
        <w:t>Notification of Claims; Indemnification Obligations.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Each Party shall: (a) promptly notify the other Party as soon as 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becomes aware of a claim or suit for which indemnification may be sought pursuant hereto; (b) cooperate, and cause the individual indemnitees to cooperate, with the indemnifying Party in the defense, settlement or compromise of such claim or suit; and (c) permit the indemnifying Party to control the defense, settlement or compromise of such claim or suit, including the right to select defense counsel. In no event, however, may the indemnifying Party compromise or settle any claim or suit in a manner which admits fault or negligence on the part of the indemnified Party or any indemnitee without the prior written consent of the indemnified Party. Each Party shall reasonably cooperate with the other Party and its counsel in the course of the defense of any such suit, claim or demand, such cooperation to include using reasonable efforts to provide or make available documents, information and witnesses. The indemnifying Party shall have no liability under this ARTICLE 11 with respect to claims or suits settled or compromised without its prior written consent.</w:t>
      </w:r>
    </w:p>
    <w:p>
      <w:pPr>
        <w:spacing w:after="0" w:line="310" w:lineRule="exact"/>
        <w:rPr>
          <w:sz w:val="20"/>
          <w:szCs w:val="20"/>
          <w:color w:val="auto"/>
        </w:rPr>
      </w:pPr>
    </w:p>
    <w:p>
      <w:pPr>
        <w:jc w:val="both"/>
        <w:ind w:firstLine="487"/>
        <w:spacing w:after="0" w:line="268" w:lineRule="auto"/>
        <w:rPr>
          <w:sz w:val="20"/>
          <w:szCs w:val="20"/>
          <w:color w:val="auto"/>
        </w:rPr>
      </w:pPr>
      <w:r>
        <w:rPr>
          <w:rFonts w:ascii="Times New Roman" w:cs="Times New Roman" w:eastAsia="Times New Roman" w:hAnsi="Times New Roman"/>
          <w:sz w:val="19"/>
          <w:szCs w:val="19"/>
          <w:color w:val="auto"/>
        </w:rPr>
        <w:t xml:space="preserve">11.5 </w:t>
      </w: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 During the Term, each Party shall obtain and maintain, at its sole cost and expense, insurance (including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self-insured arrangements) in types and amounts, that are reasonable and customary in the United States pharmaceutical and biotechnology industry for companies engaged in comparable activities. It is understood and agreed that this insurance shall not be construed to limit either Party’s liability with respect to its indemnification obligations hereunder. Each Party will, except to the extent self-insured, provide to the other Party upon request a certificate evidencing the insurance such Party is required to obtain and keep in force under this Section 11.5.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TERM AND TERMINATION</w:t>
      </w:r>
    </w:p>
    <w:p>
      <w:pPr>
        <w:spacing w:after="0" w:line="107"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12.1 </w:t>
      </w:r>
      <w:r>
        <w:rPr>
          <w:rFonts w:ascii="Times New Roman" w:cs="Times New Roman" w:eastAsia="Times New Roman" w:hAnsi="Times New Roman"/>
          <w:sz w:val="20"/>
          <w:szCs w:val="20"/>
          <w:b w:val="1"/>
          <w:bCs w:val="1"/>
          <w:color w:val="auto"/>
        </w:rPr>
        <w:t>Term and Expiration</w:t>
      </w:r>
      <w:r>
        <w:rPr>
          <w:rFonts w:ascii="Times New Roman" w:cs="Times New Roman" w:eastAsia="Times New Roman" w:hAnsi="Times New Roman"/>
          <w:sz w:val="20"/>
          <w:szCs w:val="20"/>
          <w:color w:val="auto"/>
        </w:rPr>
        <w:t>. This Agreement shall commence on the Effective Date and remain in full force and effect, unless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terminated sooner in accordance with terms of this Agreement, until such date that no Milestone payments or Net Sales Payments under this Agreement are, or may become, payable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upon which all licenses to Merck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360" w:right="3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21"/>
          <w:szCs w:val="21"/>
          <w:color w:val="auto"/>
        </w:rPr>
        <w:t>effect as at the effective date of expiration of this Agreement shall automatically become perpetual and irrevocable.</w:t>
      </w:r>
    </w:p>
    <w:p>
      <w:pPr>
        <w:spacing w:after="0" w:line="10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12.2</w:t>
      </w:r>
      <w:r>
        <w:rPr>
          <w:sz w:val="20"/>
          <w:szCs w:val="20"/>
          <w:color w:val="auto"/>
        </w:rPr>
        <w:tab/>
      </w:r>
      <w:r>
        <w:rPr>
          <w:rFonts w:ascii="Times New Roman" w:cs="Times New Roman" w:eastAsia="Times New Roman" w:hAnsi="Times New Roman"/>
          <w:sz w:val="20"/>
          <w:szCs w:val="20"/>
          <w:b w:val="1"/>
          <w:bCs w:val="1"/>
          <w:color w:val="auto"/>
        </w:rPr>
        <w:t>Material Breach</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left="1860" w:hanging="618"/>
        <w:spacing w:after="0" w:line="265" w:lineRule="auto"/>
        <w:rPr>
          <w:sz w:val="20"/>
          <w:szCs w:val="20"/>
          <w:color w:val="auto"/>
        </w:rPr>
      </w:pPr>
      <w:r>
        <w:rPr>
          <w:rFonts w:ascii="Times New Roman" w:cs="Times New Roman" w:eastAsia="Times New Roman" w:hAnsi="Times New Roman"/>
          <w:sz w:val="19"/>
          <w:szCs w:val="19"/>
          <w:color w:val="auto"/>
        </w:rPr>
        <w:t xml:space="preserve">12.2.1 </w:t>
      </w:r>
      <w:r>
        <w:rPr>
          <w:rFonts w:ascii="Times New Roman" w:cs="Times New Roman" w:eastAsia="Times New Roman" w:hAnsi="Times New Roman"/>
          <w:sz w:val="20"/>
          <w:szCs w:val="20"/>
          <w:u w:val="single" w:color="auto"/>
          <w:color w:val="auto"/>
        </w:rPr>
        <w:t>Termination for Material Breach Generally</w:t>
      </w:r>
      <w:r>
        <w:rPr>
          <w:rFonts w:ascii="Times New Roman" w:cs="Times New Roman" w:eastAsia="Times New Roman" w:hAnsi="Times New Roman"/>
          <w:sz w:val="20"/>
          <w:szCs w:val="20"/>
          <w:color w:val="auto"/>
        </w:rPr>
        <w:t>. In the event that either Party materially breaches this Agreement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(other than Merck’s breach of its obligations under Section 5.1 or 5.3), the other Party shall provide to the non-performing Party a written notification of such default specifying the nature of the breach. If such breach is not cured within [***] calendar days to the mutual satisfaction of both Parties, the other non-breaching Party shall have the right to terminate this Agreement without further notice. Termination by a Party for breach by the other Party shall be without prejudice to any damages or remedies to which it may be entitled from the other Party. For clarity, if the material breach is limited to a Collaboration Target, the termination right shall only apply with regard to the respective affected Collaboration Target, but not the Agreement in its entirety.</w:t>
      </w:r>
    </w:p>
    <w:p>
      <w:pPr>
        <w:spacing w:after="0" w:line="57" w:lineRule="exact"/>
        <w:rPr>
          <w:sz w:val="20"/>
          <w:szCs w:val="20"/>
          <w:color w:val="auto"/>
        </w:rPr>
      </w:pPr>
    </w:p>
    <w:p>
      <w:pPr>
        <w:jc w:val="both"/>
        <w:ind w:left="1860" w:hanging="618"/>
        <w:spacing w:after="0" w:line="263" w:lineRule="auto"/>
        <w:rPr>
          <w:sz w:val="20"/>
          <w:szCs w:val="20"/>
          <w:color w:val="auto"/>
        </w:rPr>
      </w:pPr>
      <w:r>
        <w:rPr>
          <w:rFonts w:ascii="Times New Roman" w:cs="Times New Roman" w:eastAsia="Times New Roman" w:hAnsi="Times New Roman"/>
          <w:sz w:val="19"/>
          <w:szCs w:val="19"/>
          <w:color w:val="auto"/>
        </w:rPr>
        <w:t xml:space="preserve">12.2.2 </w:t>
      </w:r>
      <w:r>
        <w:rPr>
          <w:rFonts w:ascii="Times New Roman" w:cs="Times New Roman" w:eastAsia="Times New Roman" w:hAnsi="Times New Roman"/>
          <w:sz w:val="20"/>
          <w:szCs w:val="20"/>
          <w:u w:val="single" w:color="auto"/>
          <w:color w:val="auto"/>
        </w:rPr>
        <w:t>Termination by Company for Diligence Breach by Merck</w:t>
      </w:r>
      <w:r>
        <w:rPr>
          <w:rFonts w:ascii="Times New Roman" w:cs="Times New Roman" w:eastAsia="Times New Roman" w:hAnsi="Times New Roman"/>
          <w:sz w:val="20"/>
          <w:szCs w:val="20"/>
          <w:color w:val="auto"/>
        </w:rPr>
        <w:t>. If Company reasonably considers at any time during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the Term that Merck has breached its obligations under Section 5.1 or 5.3, Company shall notify Merck, and the Parties (each acting reasonably and in good faith) shall promptly discuss and agree a remediation plan for such breach. If the Parties have not agreed a remediation plan within [***] calendar days (or such other timeline as agreed by the Parties, acting reasonably and in good faith), or Merck has materially failed to comply with any agreed remediation plan, Company shall have the right to terminate this Agreement without further notice (and any such termination shall be without prejudice to any damages or remedies to which it may be entitled from Merck). For clarity, if the material breach is limited to a Collaboration Target, the termination right shall only apply with regard to the respective affected Collaboration Target, but not the Agreement in its entirety.</w:t>
      </w:r>
    </w:p>
    <w:p>
      <w:pPr>
        <w:spacing w:after="0" w:line="65" w:lineRule="exact"/>
        <w:rPr>
          <w:sz w:val="20"/>
          <w:szCs w:val="20"/>
          <w:color w:val="auto"/>
        </w:rPr>
      </w:pPr>
    </w:p>
    <w:p>
      <w:pPr>
        <w:jc w:val="both"/>
        <w:ind w:left="1860" w:hanging="618"/>
        <w:spacing w:after="0" w:line="273" w:lineRule="auto"/>
        <w:rPr>
          <w:sz w:val="20"/>
          <w:szCs w:val="20"/>
          <w:color w:val="auto"/>
        </w:rPr>
      </w:pPr>
      <w:r>
        <w:rPr>
          <w:rFonts w:ascii="Times New Roman" w:cs="Times New Roman" w:eastAsia="Times New Roman" w:hAnsi="Times New Roman"/>
          <w:sz w:val="19"/>
          <w:szCs w:val="19"/>
          <w:color w:val="auto"/>
        </w:rPr>
        <w:t xml:space="preserve">12.2.3 </w:t>
      </w:r>
      <w:r>
        <w:rPr>
          <w:rFonts w:ascii="Times New Roman" w:cs="Times New Roman" w:eastAsia="Times New Roman" w:hAnsi="Times New Roman"/>
          <w:sz w:val="20"/>
          <w:szCs w:val="20"/>
          <w:u w:val="single" w:color="auto"/>
          <w:color w:val="auto"/>
        </w:rPr>
        <w:t>Dispute</w:t>
      </w:r>
      <w:r>
        <w:rPr>
          <w:rFonts w:ascii="Times New Roman" w:cs="Times New Roman" w:eastAsia="Times New Roman" w:hAnsi="Times New Roman"/>
          <w:sz w:val="20"/>
          <w:szCs w:val="20"/>
          <w:color w:val="auto"/>
        </w:rPr>
        <w:t>. In case of a dispute in relation to whether Company has the right to terminate this Agreement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accordance with Section 12.2.2 (but, for the avoidance of doubt, not any dispute regarding any right to terminate pursuant to Section 12.2.1), no purported termination of this Agreement pursuant to Section 12.2.2 shall take effect until the resolution of such dispute.</w:t>
      </w:r>
    </w:p>
    <w:p>
      <w:pPr>
        <w:spacing w:after="0" w:line="45" w:lineRule="exact"/>
        <w:rPr>
          <w:sz w:val="20"/>
          <w:szCs w:val="20"/>
          <w:color w:val="auto"/>
        </w:rPr>
      </w:pPr>
    </w:p>
    <w:p>
      <w:pPr>
        <w:jc w:val="both"/>
        <w:ind w:firstLine="487"/>
        <w:spacing w:after="0" w:line="267" w:lineRule="auto"/>
        <w:rPr>
          <w:sz w:val="20"/>
          <w:szCs w:val="20"/>
          <w:color w:val="auto"/>
        </w:rPr>
      </w:pPr>
      <w:r>
        <w:rPr>
          <w:rFonts w:ascii="Times New Roman" w:cs="Times New Roman" w:eastAsia="Times New Roman" w:hAnsi="Times New Roman"/>
          <w:sz w:val="19"/>
          <w:szCs w:val="19"/>
          <w:color w:val="auto"/>
        </w:rPr>
        <w:t xml:space="preserve">12.3 </w:t>
      </w:r>
      <w:r>
        <w:rPr>
          <w:rFonts w:ascii="Times New Roman" w:cs="Times New Roman" w:eastAsia="Times New Roman" w:hAnsi="Times New Roman"/>
          <w:sz w:val="20"/>
          <w:szCs w:val="20"/>
          <w:b w:val="1"/>
          <w:bCs w:val="1"/>
          <w:color w:val="auto"/>
        </w:rPr>
        <w:t>Technical Failure</w:t>
      </w:r>
      <w:r>
        <w:rPr>
          <w:rFonts w:ascii="Times New Roman" w:cs="Times New Roman" w:eastAsia="Times New Roman" w:hAnsi="Times New Roman"/>
          <w:sz w:val="20"/>
          <w:szCs w:val="20"/>
          <w:color w:val="auto"/>
        </w:rPr>
        <w:t>. In the event that both Parties mutually agree, with respect to a Collaboration Target, that despite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Company having complied with its obligations pursuant to Section 3.1.2, (i) it is unlikely that the Criteria for a Collaboration Target can be achieved such that the Research Unit Leadership Team can reasonably be expected to approve the next upcoming Stage Gate Decision Point, or (ii) the time for Company to submit the DPED Data Package to Merck is expected to exceed the timeline set forth in the initial Research Plan for such Collaboration Target by [***] months or more, then either Party may terminate this Agreement with respect to such Collaboration Target immediately upon written notice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364" w:right="339" w:bottom="1440" w:gutter="0" w:footer="0" w:header="0"/>
        </w:sectPr>
      </w:pPr>
    </w:p>
    <w:bookmarkStart w:id="377" w:name="page378"/>
    <w:bookmarkEnd w:id="377"/>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12.4 </w:t>
      </w:r>
      <w:r>
        <w:rPr>
          <w:rFonts w:ascii="Times New Roman" w:cs="Times New Roman" w:eastAsia="Times New Roman" w:hAnsi="Times New Roman"/>
          <w:sz w:val="20"/>
          <w:szCs w:val="20"/>
          <w:b w:val="1"/>
          <w:bCs w:val="1"/>
          <w:color w:val="auto"/>
        </w:rPr>
        <w:t>Termination for Convenience</w:t>
      </w:r>
      <w:r>
        <w:rPr>
          <w:rFonts w:ascii="Times New Roman" w:cs="Times New Roman" w:eastAsia="Times New Roman" w:hAnsi="Times New Roman"/>
          <w:sz w:val="20"/>
          <w:szCs w:val="20"/>
          <w:color w:val="auto"/>
        </w:rPr>
        <w:t>. At any time during the Term, Merck may, at its convenience, terminate this Agreement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 its entirety, or with respect to individual Collaboration Targets for which activities under a Research Plan are ongoing, upon [***] days’ prior written notice to Company.</w:t>
      </w:r>
    </w:p>
    <w:p>
      <w:pPr>
        <w:spacing w:after="0" w:line="34"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12.5 </w:t>
      </w:r>
      <w:r>
        <w:rPr>
          <w:rFonts w:ascii="Times New Roman" w:cs="Times New Roman" w:eastAsia="Times New Roman" w:hAnsi="Times New Roman"/>
          <w:sz w:val="20"/>
          <w:szCs w:val="20"/>
          <w:b w:val="1"/>
          <w:bCs w:val="1"/>
          <w:color w:val="auto"/>
        </w:rPr>
        <w:t>Effects of Termination Generally</w:t>
      </w:r>
      <w:r>
        <w:rPr>
          <w:rFonts w:ascii="Times New Roman" w:cs="Times New Roman" w:eastAsia="Times New Roman" w:hAnsi="Times New Roman"/>
          <w:sz w:val="20"/>
          <w:szCs w:val="20"/>
          <w:color w:val="auto"/>
        </w:rPr>
        <w:t>. If this Agreement is terminated with respect to a Collaboration Target or Product,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 its entirety, then the following shall apply with respect to such Terminated Target, Terminated Compound and Terminated Product that is subject to the termination, regardless of the cause for termination:</w:t>
      </w:r>
    </w:p>
    <w:p>
      <w:pPr>
        <w:spacing w:after="0" w:line="38" w:lineRule="exact"/>
        <w:rPr>
          <w:sz w:val="20"/>
          <w:szCs w:val="20"/>
          <w:color w:val="auto"/>
        </w:rPr>
      </w:pPr>
    </w:p>
    <w:p>
      <w:pPr>
        <w:jc w:val="both"/>
        <w:ind w:left="1240"/>
        <w:spacing w:after="0" w:line="266" w:lineRule="auto"/>
        <w:rPr>
          <w:sz w:val="20"/>
          <w:szCs w:val="20"/>
          <w:color w:val="auto"/>
        </w:rPr>
      </w:pPr>
      <w:r>
        <w:rPr>
          <w:rFonts w:ascii="Times New Roman" w:cs="Times New Roman" w:eastAsia="Times New Roman" w:hAnsi="Times New Roman"/>
          <w:sz w:val="19"/>
          <w:szCs w:val="19"/>
          <w:color w:val="auto"/>
        </w:rPr>
        <w:t xml:space="preserve">12.5.1 </w:t>
      </w:r>
      <w:r>
        <w:rPr>
          <w:rFonts w:ascii="Times New Roman" w:cs="Times New Roman" w:eastAsia="Times New Roman" w:hAnsi="Times New Roman"/>
          <w:sz w:val="20"/>
          <w:szCs w:val="20"/>
          <w:color w:val="auto"/>
        </w:rPr>
        <w:t>Merck shall, upon written request of Company, return to Company or destroy, at Company’s cost and expense, 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relevant records and materials in its possession or control containing or comprising the Company Background IP or Company Foreground IP, or such other Confidential Information of Company for which Merck no longer has a right to use; provided, however, that Merck shall have the right to retain any such information required by Applicable Law or internal regulation (e.g. generally applicable document or sample retention procedures, internal compliance procedures) or electronic copies which have been created pursuant to automatic archiving and back-up procedures provided;</w:t>
      </w:r>
    </w:p>
    <w:p>
      <w:pPr>
        <w:spacing w:after="0" w:line="56" w:lineRule="exact"/>
        <w:rPr>
          <w:sz w:val="20"/>
          <w:szCs w:val="20"/>
          <w:color w:val="auto"/>
        </w:rPr>
      </w:pPr>
    </w:p>
    <w:p>
      <w:pPr>
        <w:jc w:val="both"/>
        <w:ind w:left="1240"/>
        <w:spacing w:after="0" w:line="270" w:lineRule="auto"/>
        <w:rPr>
          <w:sz w:val="20"/>
          <w:szCs w:val="20"/>
          <w:color w:val="auto"/>
        </w:rPr>
      </w:pPr>
      <w:r>
        <w:rPr>
          <w:rFonts w:ascii="Times New Roman" w:cs="Times New Roman" w:eastAsia="Times New Roman" w:hAnsi="Times New Roman"/>
          <w:sz w:val="19"/>
          <w:szCs w:val="19"/>
          <w:color w:val="auto"/>
        </w:rPr>
        <w:t xml:space="preserve">12.5.2 </w:t>
      </w:r>
      <w:r>
        <w:rPr>
          <w:rFonts w:ascii="Times New Roman" w:cs="Times New Roman" w:eastAsia="Times New Roman" w:hAnsi="Times New Roman"/>
          <w:sz w:val="20"/>
          <w:szCs w:val="20"/>
          <w:color w:val="auto"/>
        </w:rPr>
        <w:t>Company shall, upon written request of Merck, return to Merck or destroy, at Merck’s cost and expense, 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Merck Background IP and all Collaboration IP and all other Confidential Information of Merck for which Company no longer has a right to use, provided, however, that Company shall have the right to retain any such information required by Applicable Law or internal regulation (e.g. generally applicable document or sample retention procedures, internal compliance procedures) or electronic copies which have been created pursuant to automatic archiving and back-up procedures;</w:t>
      </w:r>
    </w:p>
    <w:p>
      <w:pPr>
        <w:spacing w:after="0" w:line="305" w:lineRule="exact"/>
        <w:rPr>
          <w:sz w:val="20"/>
          <w:szCs w:val="20"/>
          <w:color w:val="auto"/>
        </w:rPr>
      </w:pPr>
    </w:p>
    <w:p>
      <w:pPr>
        <w:jc w:val="both"/>
        <w:ind w:left="1240"/>
        <w:spacing w:after="0" w:line="282" w:lineRule="auto"/>
        <w:rPr>
          <w:sz w:val="20"/>
          <w:szCs w:val="20"/>
          <w:color w:val="auto"/>
        </w:rPr>
      </w:pPr>
      <w:r>
        <w:rPr>
          <w:rFonts w:ascii="Times New Roman" w:cs="Times New Roman" w:eastAsia="Times New Roman" w:hAnsi="Times New Roman"/>
          <w:sz w:val="19"/>
          <w:szCs w:val="19"/>
          <w:color w:val="auto"/>
        </w:rPr>
        <w:t xml:space="preserve">12.5.3 </w:t>
      </w:r>
      <w:r>
        <w:rPr>
          <w:rFonts w:ascii="Times New Roman" w:cs="Times New Roman" w:eastAsia="Times New Roman" w:hAnsi="Times New Roman"/>
          <w:sz w:val="20"/>
          <w:szCs w:val="20"/>
          <w:color w:val="auto"/>
        </w:rPr>
        <w:t>Where Merck retains the right to Develop and Commercialize the Terminated Compound and Terminated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Products for the respective Terminated Target, Merck shall continue to make payments to Company in accordance with ARTICLE 7 (subject to adjustments as set forth in this ARTICLE 12); and</w:t>
      </w:r>
    </w:p>
    <w:p>
      <w:pPr>
        <w:spacing w:after="0" w:line="40" w:lineRule="exact"/>
        <w:rPr>
          <w:sz w:val="20"/>
          <w:szCs w:val="20"/>
          <w:color w:val="auto"/>
        </w:rPr>
      </w:pPr>
    </w:p>
    <w:p>
      <w:pPr>
        <w:jc w:val="both"/>
        <w:ind w:left="1240"/>
        <w:spacing w:after="0" w:line="308" w:lineRule="auto"/>
        <w:rPr>
          <w:sz w:val="20"/>
          <w:szCs w:val="20"/>
          <w:color w:val="auto"/>
        </w:rPr>
      </w:pPr>
      <w:r>
        <w:rPr>
          <w:rFonts w:ascii="Times New Roman" w:cs="Times New Roman" w:eastAsia="Times New Roman" w:hAnsi="Times New Roman"/>
          <w:sz w:val="19"/>
          <w:szCs w:val="19"/>
          <w:color w:val="auto"/>
        </w:rPr>
        <w:t xml:space="preserve">12.5.4 </w:t>
      </w:r>
      <w:r>
        <w:rPr>
          <w:rFonts w:ascii="Times New Roman" w:cs="Times New Roman" w:eastAsia="Times New Roman" w:hAnsi="Times New Roman"/>
          <w:sz w:val="20"/>
          <w:szCs w:val="20"/>
          <w:color w:val="auto"/>
        </w:rPr>
        <w:t>termination of this Agreement shall not affect any rights and obligations of the Parties that accrued prior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termination.</w:t>
      </w:r>
    </w:p>
    <w:p>
      <w:pPr>
        <w:spacing w:after="0" w:line="12"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12.6 </w:t>
      </w:r>
      <w:r>
        <w:rPr>
          <w:rFonts w:ascii="Times New Roman" w:cs="Times New Roman" w:eastAsia="Times New Roman" w:hAnsi="Times New Roman"/>
          <w:sz w:val="20"/>
          <w:szCs w:val="20"/>
          <w:b w:val="1"/>
          <w:bCs w:val="1"/>
          <w:color w:val="auto"/>
        </w:rPr>
        <w:t>Additional Effects of Termination of Collaboration Targets following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If this Agreement is terminated with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respect to a Collaboration Target either [***], then, the following shall apply with respect to the relevant Terminated Target (in addition to the termination consequences set forth in Section 12.5):</w:t>
      </w:r>
    </w:p>
    <w:p>
      <w:pPr>
        <w:spacing w:after="0" w:line="38"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12.6.1</w:t>
      </w:r>
      <w:r>
        <w:rPr>
          <w:sz w:val="20"/>
          <w:szCs w:val="20"/>
          <w:color w:val="auto"/>
        </w:rPr>
        <w:tab/>
      </w:r>
      <w:r>
        <w:rPr>
          <w:rFonts w:ascii="Times New Roman" w:cs="Times New Roman" w:eastAsia="Times New Roman" w:hAnsi="Times New Roman"/>
          <w:sz w:val="20"/>
          <w:szCs w:val="20"/>
          <w:color w:val="auto"/>
        </w:rPr>
        <w:t>[***];</w:t>
      </w:r>
    </w:p>
    <w:p>
      <w:pPr>
        <w:spacing w:after="0" w:line="118"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12.6.2</w:t>
      </w:r>
      <w:r>
        <w:rPr>
          <w:sz w:val="20"/>
          <w:szCs w:val="20"/>
          <w:color w:val="auto"/>
        </w:rPr>
        <w:tab/>
      </w:r>
      <w:r>
        <w:rPr>
          <w:rFonts w:ascii="Times New Roman" w:cs="Times New Roman" w:eastAsia="Times New Roman" w:hAnsi="Times New Roman"/>
          <w:sz w:val="20"/>
          <w:szCs w:val="20"/>
          <w:color w:val="auto"/>
        </w:rPr>
        <w:t>[***];</w:t>
      </w:r>
    </w:p>
    <w:p>
      <w:pPr>
        <w:spacing w:after="0" w:line="13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12.6.3</w:t>
      </w:r>
      <w:r>
        <w:rPr>
          <w:sz w:val="20"/>
          <w:szCs w:val="20"/>
          <w:color w:val="auto"/>
        </w:rPr>
        <w:tab/>
      </w:r>
      <w:r>
        <w:rPr>
          <w:rFonts w:ascii="Times New Roman" w:cs="Times New Roman" w:eastAsia="Times New Roman" w:hAnsi="Times New Roman"/>
          <w:sz w:val="20"/>
          <w:szCs w:val="20"/>
          <w:color w:val="auto"/>
        </w:rPr>
        <w:t>[***];</w:t>
      </w:r>
    </w:p>
    <w:p>
      <w:pPr>
        <w:spacing w:after="0" w:line="13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12.6.4</w:t>
      </w:r>
      <w:r>
        <w:rPr>
          <w:sz w:val="20"/>
          <w:szCs w:val="20"/>
          <w:color w:val="auto"/>
        </w:rPr>
        <w:tab/>
      </w:r>
      <w:r>
        <w:rPr>
          <w:rFonts w:ascii="Times New Roman" w:cs="Times New Roman" w:eastAsia="Times New Roman" w:hAnsi="Times New Roman"/>
          <w:sz w:val="20"/>
          <w:szCs w:val="20"/>
          <w:color w:val="auto"/>
        </w:rPr>
        <w:t>[***];</w:t>
      </w:r>
    </w:p>
    <w:p>
      <w:pPr>
        <w:spacing w:after="0" w:line="118"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12.6.5</w:t>
      </w:r>
      <w:r>
        <w:rPr>
          <w:sz w:val="20"/>
          <w:szCs w:val="20"/>
          <w:color w:val="auto"/>
        </w:rPr>
        <w:tab/>
      </w:r>
      <w:r>
        <w:rPr>
          <w:rFonts w:ascii="Times New Roman" w:cs="Times New Roman" w:eastAsia="Times New Roman" w:hAnsi="Times New Roman"/>
          <w:sz w:val="20"/>
          <w:szCs w:val="20"/>
          <w:color w:val="auto"/>
        </w:rPr>
        <w:t>[***]; and</w:t>
      </w:r>
    </w:p>
    <w:p>
      <w:pPr>
        <w:spacing w:after="0" w:line="13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12.6.6</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1360" w:right="339" w:bottom="1440" w:gutter="0" w:footer="0" w:header="0"/>
        </w:sectPr>
      </w:pPr>
    </w:p>
    <w:bookmarkStart w:id="378" w:name="page379"/>
    <w:bookmarkEnd w:id="378"/>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12.7 </w:t>
      </w:r>
      <w:r>
        <w:rPr>
          <w:rFonts w:ascii="Times New Roman" w:cs="Times New Roman" w:eastAsia="Times New Roman" w:hAnsi="Times New Roman"/>
          <w:sz w:val="20"/>
          <w:szCs w:val="20"/>
          <w:b w:val="1"/>
          <w:bCs w:val="1"/>
          <w:color w:val="auto"/>
        </w:rPr>
        <w:t>Additional Effects of Termination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 the case of a termination [***], then the following shall apply with respect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to each relevant Terminated Target, Terminated Compound and Terminated Product that is subject to the termination (in addition to the termination consequences set forth in Section 12.5):</w:t>
      </w:r>
    </w:p>
    <w:p>
      <w:pPr>
        <w:spacing w:after="0" w:line="38" w:lineRule="exact"/>
        <w:rPr>
          <w:sz w:val="20"/>
          <w:szCs w:val="20"/>
          <w:color w:val="auto"/>
        </w:rPr>
      </w:pPr>
    </w:p>
    <w:tbl>
      <w:tblPr>
        <w:tblLayout w:type="fixed"/>
        <w:tblInd w:w="1220" w:type="dxa"/>
        <w:tblCellMar>
          <w:top w:w="0" w:type="dxa"/>
          <w:left w:w="0" w:type="dxa"/>
          <w:bottom w:w="0" w:type="dxa"/>
          <w:right w:w="0" w:type="dxa"/>
        </w:tblCellMar>
      </w:tblPr>
      <w:tr>
        <w:trPr>
          <w:trHeight w:val="268"/>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12.7.1</w:t>
            </w:r>
          </w:p>
        </w:tc>
        <w:tc>
          <w:tcPr>
            <w:tcW w:w="59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1"/>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12.7.2</w:t>
            </w:r>
          </w:p>
        </w:tc>
        <w:tc>
          <w:tcPr>
            <w:tcW w:w="59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12.7.3</w:t>
            </w:r>
          </w:p>
        </w:tc>
        <w:tc>
          <w:tcPr>
            <w:tcW w:w="59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12.7.4</w:t>
            </w:r>
          </w:p>
        </w:tc>
        <w:tc>
          <w:tcPr>
            <w:tcW w:w="59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9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p>
        </w:tc>
        <w:tc>
          <w:tcPr>
            <w:tcW w:w="5900" w:type="dxa"/>
            <w:vAlign w:val="bottom"/>
            <w:tcBorders>
              <w:right w:val="single" w:sz="8" w:color="auto"/>
            </w:tcBorders>
          </w:tcPr>
          <w:p>
            <w:pPr>
              <w:spacing w:after="0"/>
              <w:rPr>
                <w:sz w:val="22"/>
                <w:szCs w:val="22"/>
                <w:color w:val="auto"/>
              </w:rPr>
            </w:pPr>
          </w:p>
        </w:tc>
        <w:tc>
          <w:tcPr>
            <w:tcW w:w="2200" w:type="dxa"/>
            <w:vAlign w:val="bottom"/>
            <w:tcBorders>
              <w:right w:val="single" w:sz="8" w:color="auto"/>
            </w:tcBorders>
          </w:tcPr>
          <w:p>
            <w:pPr>
              <w:jc w:val="right"/>
              <w:ind w:right="1637"/>
              <w:spacing w:after="0"/>
              <w:rPr>
                <w:sz w:val="20"/>
                <w:szCs w:val="20"/>
                <w:color w:val="auto"/>
              </w:rPr>
            </w:pPr>
            <w:r>
              <w:rPr>
                <w:rFonts w:ascii="Times New Roman" w:cs="Times New Roman" w:eastAsia="Times New Roman" w:hAnsi="Times New Roman"/>
                <w:sz w:val="21"/>
                <w:szCs w:val="21"/>
                <w:color w:val="auto"/>
                <w:w w:val="96"/>
              </w:rPr>
              <w:t>[***]</w:t>
            </w:r>
          </w:p>
        </w:tc>
        <w:tc>
          <w:tcPr>
            <w:tcW w:w="0" w:type="dxa"/>
            <w:vAlign w:val="bottom"/>
          </w:tcPr>
          <w:p>
            <w:pPr>
              <w:spacing w:after="0"/>
              <w:rPr>
                <w:sz w:val="1"/>
                <w:szCs w:val="1"/>
                <w:color w:val="auto"/>
              </w:rPr>
            </w:pPr>
          </w:p>
        </w:tc>
      </w:tr>
      <w:tr>
        <w:trPr>
          <w:trHeight w:val="117"/>
        </w:trPr>
        <w:tc>
          <w:tcPr>
            <w:tcW w:w="40" w:type="dxa"/>
            <w:vAlign w:val="bottom"/>
            <w:tcBorders>
              <w:right w:val="single" w:sz="8" w:color="auto"/>
            </w:tcBorders>
          </w:tcPr>
          <w:p>
            <w:pPr>
              <w:spacing w:after="0"/>
              <w:rPr>
                <w:sz w:val="10"/>
                <w:szCs w:val="10"/>
                <w:color w:val="auto"/>
              </w:rPr>
            </w:pPr>
          </w:p>
        </w:tc>
        <w:tc>
          <w:tcPr>
            <w:tcW w:w="580" w:type="dxa"/>
            <w:vAlign w:val="bottom"/>
            <w:vMerge w:val="continue"/>
          </w:tcPr>
          <w:p>
            <w:pPr>
              <w:spacing w:after="0"/>
              <w:rPr>
                <w:sz w:val="10"/>
                <w:szCs w:val="10"/>
                <w:color w:val="auto"/>
              </w:rPr>
            </w:pPr>
          </w:p>
        </w:tc>
        <w:tc>
          <w:tcPr>
            <w:tcW w:w="590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 w:type="dxa"/>
            <w:vAlign w:val="bottom"/>
            <w:tcBorders>
              <w:right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900" w:type="dxa"/>
            <w:vAlign w:val="bottom"/>
            <w:tcBorders>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40" w:type="dxa"/>
            <w:vAlign w:val="bottom"/>
            <w:tcBorders>
              <w:right w:val="single" w:sz="8" w:color="auto"/>
            </w:tcBorders>
          </w:tcPr>
          <w:p>
            <w:pPr>
              <w:spacing w:after="0"/>
              <w:rPr>
                <w:sz w:val="21"/>
                <w:szCs w:val="21"/>
                <w:color w:val="auto"/>
              </w:rPr>
            </w:pPr>
          </w:p>
        </w:tc>
        <w:tc>
          <w:tcPr>
            <w:tcW w:w="5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21"/>
                <w:szCs w:val="21"/>
                <w:color w:val="auto"/>
                <w:w w:val="96"/>
              </w:rPr>
              <w:t>[***]</w:t>
            </w:r>
          </w:p>
        </w:tc>
        <w:tc>
          <w:tcPr>
            <w:tcW w:w="59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jc w:val="right"/>
              <w:ind w:right="1637"/>
              <w:spacing w:after="0"/>
              <w:rPr>
                <w:sz w:val="20"/>
                <w:szCs w:val="20"/>
                <w:color w:val="auto"/>
              </w:rPr>
            </w:pPr>
            <w:r>
              <w:rPr>
                <w:rFonts w:ascii="Times New Roman" w:cs="Times New Roman" w:eastAsia="Times New Roman" w:hAnsi="Times New Roman"/>
                <w:sz w:val="21"/>
                <w:szCs w:val="21"/>
                <w:color w:val="auto"/>
                <w:w w:val="96"/>
              </w:rPr>
              <w:t>[***]</w:t>
            </w:r>
          </w:p>
        </w:tc>
        <w:tc>
          <w:tcPr>
            <w:tcW w:w="0" w:type="dxa"/>
            <w:vAlign w:val="bottom"/>
          </w:tcPr>
          <w:p>
            <w:pPr>
              <w:spacing w:after="0"/>
              <w:rPr>
                <w:sz w:val="1"/>
                <w:szCs w:val="1"/>
                <w:color w:val="auto"/>
              </w:rPr>
            </w:pPr>
          </w:p>
        </w:tc>
      </w:tr>
      <w:tr>
        <w:trPr>
          <w:trHeight w:val="251"/>
        </w:trPr>
        <w:tc>
          <w:tcPr>
            <w:tcW w:w="40" w:type="dxa"/>
            <w:vAlign w:val="bottom"/>
            <w:tcBorders>
              <w:right w:val="single" w:sz="8" w:color="auto"/>
            </w:tcBorders>
          </w:tcPr>
          <w:p>
            <w:pPr>
              <w:spacing w:after="0"/>
              <w:rPr>
                <w:sz w:val="21"/>
                <w:szCs w:val="21"/>
                <w:color w:val="auto"/>
              </w:rPr>
            </w:pPr>
          </w:p>
        </w:tc>
        <w:tc>
          <w:tcPr>
            <w:tcW w:w="5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21"/>
                <w:szCs w:val="21"/>
                <w:color w:val="auto"/>
                <w:w w:val="96"/>
              </w:rPr>
              <w:t>[***]</w:t>
            </w:r>
          </w:p>
        </w:tc>
        <w:tc>
          <w:tcPr>
            <w:tcW w:w="59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jc w:val="right"/>
              <w:ind w:right="1637"/>
              <w:spacing w:after="0"/>
              <w:rPr>
                <w:sz w:val="20"/>
                <w:szCs w:val="20"/>
                <w:color w:val="auto"/>
              </w:rPr>
            </w:pPr>
            <w:r>
              <w:rPr>
                <w:rFonts w:ascii="Times New Roman" w:cs="Times New Roman" w:eastAsia="Times New Roman" w:hAnsi="Times New Roman"/>
                <w:sz w:val="21"/>
                <w:szCs w:val="21"/>
                <w:color w:val="auto"/>
                <w:w w:val="96"/>
              </w:rPr>
              <w:t>[***]</w:t>
            </w:r>
          </w:p>
        </w:tc>
        <w:tc>
          <w:tcPr>
            <w:tcW w:w="0" w:type="dxa"/>
            <w:vAlign w:val="bottom"/>
          </w:tcPr>
          <w:p>
            <w:pPr>
              <w:spacing w:after="0"/>
              <w:rPr>
                <w:sz w:val="1"/>
                <w:szCs w:val="1"/>
                <w:color w:val="auto"/>
              </w:rPr>
            </w:pPr>
          </w:p>
        </w:tc>
      </w:tr>
      <w:tr>
        <w:trPr>
          <w:trHeight w:val="251"/>
        </w:trPr>
        <w:tc>
          <w:tcPr>
            <w:tcW w:w="40" w:type="dxa"/>
            <w:vAlign w:val="bottom"/>
            <w:tcBorders>
              <w:right w:val="single" w:sz="8" w:color="auto"/>
            </w:tcBorders>
          </w:tcPr>
          <w:p>
            <w:pPr>
              <w:spacing w:after="0"/>
              <w:rPr>
                <w:sz w:val="21"/>
                <w:szCs w:val="21"/>
                <w:color w:val="auto"/>
              </w:rPr>
            </w:pPr>
          </w:p>
        </w:tc>
        <w:tc>
          <w:tcPr>
            <w:tcW w:w="5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21"/>
                <w:szCs w:val="21"/>
                <w:color w:val="auto"/>
                <w:w w:val="96"/>
              </w:rPr>
              <w:t>[***]</w:t>
            </w:r>
          </w:p>
        </w:tc>
        <w:tc>
          <w:tcPr>
            <w:tcW w:w="59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jc w:val="right"/>
              <w:ind w:right="1637"/>
              <w:spacing w:after="0"/>
              <w:rPr>
                <w:sz w:val="20"/>
                <w:szCs w:val="20"/>
                <w:color w:val="auto"/>
              </w:rPr>
            </w:pPr>
            <w:r>
              <w:rPr>
                <w:rFonts w:ascii="Times New Roman" w:cs="Times New Roman" w:eastAsia="Times New Roman" w:hAnsi="Times New Roman"/>
                <w:sz w:val="21"/>
                <w:szCs w:val="21"/>
                <w:color w:val="auto"/>
                <w:w w:val="96"/>
              </w:rPr>
              <w:t>[***]</w:t>
            </w:r>
          </w:p>
        </w:tc>
        <w:tc>
          <w:tcPr>
            <w:tcW w:w="0" w:type="dxa"/>
            <w:vAlign w:val="bottom"/>
          </w:tcPr>
          <w:p>
            <w:pPr>
              <w:spacing w:after="0"/>
              <w:rPr>
                <w:sz w:val="1"/>
                <w:szCs w:val="1"/>
                <w:color w:val="auto"/>
              </w:rPr>
            </w:pPr>
          </w:p>
        </w:tc>
      </w:tr>
      <w:tr>
        <w:trPr>
          <w:trHeight w:val="251"/>
        </w:trPr>
        <w:tc>
          <w:tcPr>
            <w:tcW w:w="40" w:type="dxa"/>
            <w:vAlign w:val="bottom"/>
            <w:tcBorders>
              <w:right w:val="single" w:sz="8" w:color="auto"/>
            </w:tcBorders>
          </w:tcPr>
          <w:p>
            <w:pPr>
              <w:spacing w:after="0"/>
              <w:rPr>
                <w:sz w:val="21"/>
                <w:szCs w:val="21"/>
                <w:color w:val="auto"/>
              </w:rPr>
            </w:pPr>
          </w:p>
        </w:tc>
        <w:tc>
          <w:tcPr>
            <w:tcW w:w="5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21"/>
                <w:szCs w:val="21"/>
                <w:color w:val="auto"/>
                <w:w w:val="96"/>
              </w:rPr>
              <w:t>[***]</w:t>
            </w:r>
          </w:p>
        </w:tc>
        <w:tc>
          <w:tcPr>
            <w:tcW w:w="59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jc w:val="right"/>
              <w:ind w:right="1637"/>
              <w:spacing w:after="0"/>
              <w:rPr>
                <w:sz w:val="20"/>
                <w:szCs w:val="20"/>
                <w:color w:val="auto"/>
              </w:rPr>
            </w:pPr>
            <w:r>
              <w:rPr>
                <w:rFonts w:ascii="Times New Roman" w:cs="Times New Roman" w:eastAsia="Times New Roman" w:hAnsi="Times New Roman"/>
                <w:sz w:val="21"/>
                <w:szCs w:val="21"/>
                <w:color w:val="auto"/>
                <w:w w:val="96"/>
              </w:rPr>
              <w:t>[***]</w:t>
            </w:r>
          </w:p>
        </w:tc>
        <w:tc>
          <w:tcPr>
            <w:tcW w:w="0" w:type="dxa"/>
            <w:vAlign w:val="bottom"/>
          </w:tcPr>
          <w:p>
            <w:pPr>
              <w:spacing w:after="0"/>
              <w:rPr>
                <w:sz w:val="1"/>
                <w:szCs w:val="1"/>
                <w:color w:val="auto"/>
              </w:rPr>
            </w:pPr>
          </w:p>
        </w:tc>
      </w:tr>
      <w:tr>
        <w:trPr>
          <w:trHeight w:val="442"/>
        </w:trPr>
        <w:tc>
          <w:tcPr>
            <w:tcW w:w="6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w:t>
            </w:r>
          </w:p>
        </w:tc>
        <w:tc>
          <w:tcPr>
            <w:tcW w:w="5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12.7.5</w:t>
            </w: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 and</w:t>
            </w:r>
          </w:p>
        </w:tc>
        <w:tc>
          <w:tcPr>
            <w:tcW w:w="0" w:type="dxa"/>
            <w:vAlign w:val="bottom"/>
          </w:tcPr>
          <w:p>
            <w:pPr>
              <w:spacing w:after="0"/>
              <w:rPr>
                <w:sz w:val="1"/>
                <w:szCs w:val="1"/>
                <w:color w:val="auto"/>
              </w:rPr>
            </w:pPr>
          </w:p>
        </w:tc>
      </w:tr>
      <w:tr>
        <w:trPr>
          <w:trHeight w:val="361"/>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12.7.6</w:t>
            </w:r>
          </w:p>
        </w:tc>
        <w:tc>
          <w:tcPr>
            <w:tcW w:w="810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 and</w:t>
            </w:r>
          </w:p>
        </w:tc>
        <w:tc>
          <w:tcPr>
            <w:tcW w:w="0" w:type="dxa"/>
            <w:vAlign w:val="bottom"/>
          </w:tcPr>
          <w:p>
            <w:pPr>
              <w:spacing w:after="0"/>
              <w:rPr>
                <w:sz w:val="1"/>
                <w:szCs w:val="1"/>
                <w:color w:val="auto"/>
              </w:rPr>
            </w:pPr>
          </w:p>
        </w:tc>
      </w:tr>
      <w:tr>
        <w:trPr>
          <w:trHeight w:val="348"/>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12.7.7</w:t>
            </w:r>
          </w:p>
        </w:tc>
        <w:tc>
          <w:tcPr>
            <w:tcW w:w="59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12.8 </w:t>
      </w:r>
      <w:r>
        <w:rPr>
          <w:rFonts w:ascii="Times New Roman" w:cs="Times New Roman" w:eastAsia="Times New Roman" w:hAnsi="Times New Roman"/>
          <w:sz w:val="20"/>
          <w:szCs w:val="20"/>
          <w:b w:val="1"/>
          <w:bCs w:val="1"/>
          <w:color w:val="auto"/>
        </w:rPr>
        <w:t>Additional Effects of Termination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In the case of a termination [***], then the following shall apply with respect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to such Terminated Target, Terminated Compound and Terminated Product that is subject to the termination (in addition to the termination consequences set forth in Section 12.5):</w:t>
      </w:r>
    </w:p>
    <w:p>
      <w:pPr>
        <w:spacing w:after="0" w:line="38"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12.8.1</w:t>
      </w:r>
      <w:r>
        <w:rPr>
          <w:sz w:val="20"/>
          <w:szCs w:val="20"/>
          <w:color w:val="auto"/>
        </w:rPr>
        <w:tab/>
      </w:r>
      <w:r>
        <w:rPr>
          <w:rFonts w:ascii="Times New Roman" w:cs="Times New Roman" w:eastAsia="Times New Roman" w:hAnsi="Times New Roman"/>
          <w:sz w:val="20"/>
          <w:szCs w:val="20"/>
          <w:color w:val="auto"/>
        </w:rPr>
        <w:t>[***];</w:t>
      </w:r>
    </w:p>
    <w:p>
      <w:pPr>
        <w:spacing w:after="0" w:line="13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12.8.2</w:t>
      </w:r>
      <w:r>
        <w:rPr>
          <w:sz w:val="20"/>
          <w:szCs w:val="20"/>
          <w:color w:val="auto"/>
        </w:rPr>
        <w:tab/>
      </w:r>
      <w:r>
        <w:rPr>
          <w:rFonts w:ascii="Times New Roman" w:cs="Times New Roman" w:eastAsia="Times New Roman" w:hAnsi="Times New Roman"/>
          <w:sz w:val="20"/>
          <w:szCs w:val="20"/>
          <w:color w:val="auto"/>
        </w:rPr>
        <w:t>[***]; and</w:t>
      </w:r>
    </w:p>
    <w:p>
      <w:pPr>
        <w:spacing w:after="0" w:line="118"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12.8.3</w:t>
      </w:r>
      <w:r>
        <w:rPr>
          <w:sz w:val="20"/>
          <w:szCs w:val="20"/>
          <w:color w:val="auto"/>
        </w:rPr>
        <w:tab/>
      </w:r>
      <w:r>
        <w:rPr>
          <w:rFonts w:ascii="Times New Roman" w:cs="Times New Roman" w:eastAsia="Times New Roman" w:hAnsi="Times New Roman"/>
          <w:sz w:val="20"/>
          <w:szCs w:val="20"/>
          <w:color w:val="auto"/>
        </w:rPr>
        <w:t>[***];</w:t>
      </w:r>
    </w:p>
    <w:p>
      <w:pPr>
        <w:spacing w:after="0" w:line="13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12.8.4</w:t>
      </w:r>
      <w:r>
        <w:rPr>
          <w:sz w:val="20"/>
          <w:szCs w:val="20"/>
          <w:color w:val="auto"/>
        </w:rPr>
        <w:tab/>
      </w:r>
      <w:r>
        <w:rPr>
          <w:rFonts w:ascii="Times New Roman" w:cs="Times New Roman" w:eastAsia="Times New Roman" w:hAnsi="Times New Roman"/>
          <w:sz w:val="20"/>
          <w:szCs w:val="20"/>
          <w:color w:val="auto"/>
        </w:rPr>
        <w:t>[***].</w:t>
      </w:r>
    </w:p>
    <w:p>
      <w:pPr>
        <w:spacing w:after="0" w:line="114"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12.9 </w:t>
      </w:r>
      <w:r>
        <w:rPr>
          <w:rFonts w:ascii="Times New Roman" w:cs="Times New Roman" w:eastAsia="Times New Roman" w:hAnsi="Times New Roman"/>
          <w:sz w:val="20"/>
          <w:szCs w:val="20"/>
          <w:b w:val="1"/>
          <w:bCs w:val="1"/>
          <w:color w:val="auto"/>
        </w:rPr>
        <w:t>Additional Effects of Termination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In the case of a termination [***], then with respect to such Terminated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Target, Terminated Compound and Terminated Product that is subject to the termination, the termination consequences in Section 12.5 shall apply, and the additional termination consequences set forth in Section 12.7 shall apply, ***], and [***].</w:t>
      </w:r>
    </w:p>
    <w:p>
      <w:pPr>
        <w:spacing w:after="0" w:line="34"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19"/>
          <w:szCs w:val="19"/>
          <w:color w:val="auto"/>
        </w:rPr>
        <w:t>12.10</w:t>
      </w:r>
      <w:r>
        <w:rPr>
          <w:sz w:val="20"/>
          <w:szCs w:val="20"/>
          <w:color w:val="auto"/>
        </w:rPr>
        <w:tab/>
      </w:r>
      <w:r>
        <w:rPr>
          <w:rFonts w:ascii="Times New Roman" w:cs="Times New Roman" w:eastAsia="Times New Roman" w:hAnsi="Times New Roman"/>
          <w:sz w:val="20"/>
          <w:szCs w:val="20"/>
          <w:b w:val="1"/>
          <w:bCs w:val="1"/>
          <w:color w:val="auto"/>
        </w:rPr>
        <w:t>Termination for Insolvency</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left="1240"/>
        <w:spacing w:after="0" w:line="273" w:lineRule="auto"/>
        <w:rPr>
          <w:sz w:val="20"/>
          <w:szCs w:val="20"/>
          <w:color w:val="auto"/>
        </w:rPr>
      </w:pPr>
      <w:r>
        <w:rPr>
          <w:rFonts w:ascii="Times New Roman" w:cs="Times New Roman" w:eastAsia="Times New Roman" w:hAnsi="Times New Roman"/>
          <w:sz w:val="19"/>
          <w:szCs w:val="19"/>
          <w:color w:val="auto"/>
        </w:rPr>
        <w:t xml:space="preserve">12.10.1 </w:t>
      </w:r>
      <w:r>
        <w:rPr>
          <w:rFonts w:ascii="Times New Roman" w:cs="Times New Roman" w:eastAsia="Times New Roman" w:hAnsi="Times New Roman"/>
          <w:sz w:val="20"/>
          <w:szCs w:val="20"/>
          <w:u w:val="single" w:color="auto"/>
          <w:color w:val="auto"/>
        </w:rPr>
        <w:t>Right to Terminate</w:t>
      </w:r>
      <w:r>
        <w:rPr>
          <w:rFonts w:ascii="Times New Roman" w:cs="Times New Roman" w:eastAsia="Times New Roman" w:hAnsi="Times New Roman"/>
          <w:sz w:val="20"/>
          <w:szCs w:val="20"/>
          <w:color w:val="auto"/>
        </w:rPr>
        <w:t>. Any Party may terminate this Agreement in its entirety immediately by written notice to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other Party, if the other Party becomes insolvent, makes or has made an assignment for the benefit of creditors, is the subject of proceedings in voluntary or involuntary bankruptcy instituted on behalf of or against it (except for involuntary bankruptcies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1361" w:right="339" w:bottom="1440" w:gutter="0" w:footer="0" w:header="0"/>
        </w:sectPr>
      </w:pPr>
    </w:p>
    <w:bookmarkStart w:id="379" w:name="page380"/>
    <w:bookmarkEnd w:id="379"/>
    <w:p>
      <w:pPr>
        <w:jc w:val="both"/>
        <w:ind w:left="1240"/>
        <w:spacing w:after="0" w:line="269" w:lineRule="auto"/>
        <w:rPr>
          <w:sz w:val="20"/>
          <w:szCs w:val="20"/>
          <w:color w:val="auto"/>
        </w:rPr>
      </w:pPr>
      <w:r>
        <w:rPr>
          <w:rFonts w:ascii="Times New Roman" w:cs="Times New Roman" w:eastAsia="Times New Roman" w:hAnsi="Times New Roman"/>
          <w:sz w:val="21"/>
          <w:szCs w:val="21"/>
          <w:color w:val="auto"/>
        </w:rPr>
        <w:t>are dismissed within [***] calendar days), liquidation, or has a receiver or trustee appointed for substantially all of its property.</w:t>
      </w:r>
    </w:p>
    <w:p>
      <w:pPr>
        <w:spacing w:after="0" w:line="52" w:lineRule="exact"/>
        <w:rPr>
          <w:sz w:val="20"/>
          <w:szCs w:val="20"/>
          <w:color w:val="auto"/>
        </w:rPr>
      </w:pPr>
    </w:p>
    <w:p>
      <w:pPr>
        <w:jc w:val="both"/>
        <w:ind w:left="1240"/>
        <w:spacing w:after="0" w:line="282" w:lineRule="auto"/>
        <w:rPr>
          <w:sz w:val="20"/>
          <w:szCs w:val="20"/>
          <w:color w:val="auto"/>
        </w:rPr>
      </w:pPr>
      <w:r>
        <w:rPr>
          <w:rFonts w:ascii="Times New Roman" w:cs="Times New Roman" w:eastAsia="Times New Roman" w:hAnsi="Times New Roman"/>
          <w:sz w:val="19"/>
          <w:szCs w:val="19"/>
          <w:color w:val="auto"/>
        </w:rPr>
        <w:t xml:space="preserve">12.10.2 </w:t>
      </w:r>
      <w:r>
        <w:rPr>
          <w:rFonts w:ascii="Times New Roman" w:cs="Times New Roman" w:eastAsia="Times New Roman" w:hAnsi="Times New Roman"/>
          <w:sz w:val="20"/>
          <w:szCs w:val="20"/>
          <w:u w:val="single" w:color="auto"/>
          <w:color w:val="auto"/>
        </w:rPr>
        <w:t>Access to Collaboration IP</w:t>
      </w:r>
      <w:r>
        <w:rPr>
          <w:rFonts w:ascii="Times New Roman" w:cs="Times New Roman" w:eastAsia="Times New Roman" w:hAnsi="Times New Roman"/>
          <w:sz w:val="20"/>
          <w:szCs w:val="20"/>
          <w:color w:val="auto"/>
        </w:rPr>
        <w:t>. In the event that Company is subject to any of the events mentioned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Section 12.10.1 during the time that Company has already conducted activities under any Research Plan, but [***] with respect to such Collaboration Target, Company shall not unreasonably withhold its agreement to [***].</w:t>
      </w:r>
    </w:p>
    <w:p>
      <w:pPr>
        <w:spacing w:after="0" w:line="36"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12.11</w:t>
      </w:r>
      <w:r>
        <w:rPr>
          <w:sz w:val="20"/>
          <w:szCs w:val="20"/>
          <w:color w:val="auto"/>
        </w:rPr>
        <w:tab/>
      </w:r>
      <w:r>
        <w:rPr>
          <w:rFonts w:ascii="Times New Roman" w:cs="Times New Roman" w:eastAsia="Times New Roman" w:hAnsi="Times New Roman"/>
          <w:sz w:val="20"/>
          <w:szCs w:val="20"/>
          <w:b w:val="1"/>
          <w:bCs w:val="1"/>
          <w:color w:val="auto"/>
        </w:rPr>
        <w:t>Effects of Termination for Company Insolvency</w:t>
      </w:r>
      <w:r>
        <w:rPr>
          <w:rFonts w:ascii="Times New Roman" w:cs="Times New Roman" w:eastAsia="Times New Roman" w:hAnsi="Times New Roman"/>
          <w:sz w:val="20"/>
          <w:szCs w:val="20"/>
          <w:color w:val="auto"/>
        </w:rPr>
        <w:t>. If this Agreement is terminated in its entirety prior to the end of the</w:t>
      </w:r>
    </w:p>
    <w:p>
      <w:pPr>
        <w:spacing w:after="0" w:line="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Term under Section 12.1 due to the Company’s insolvency:</w:t>
      </w:r>
    </w:p>
    <w:p>
      <w:pPr>
        <w:spacing w:after="0" w:line="97" w:lineRule="exact"/>
        <w:rPr>
          <w:sz w:val="20"/>
          <w:szCs w:val="20"/>
          <w:color w:val="auto"/>
        </w:rPr>
      </w:pPr>
    </w:p>
    <w:p>
      <w:pPr>
        <w:ind w:left="2480" w:hanging="395"/>
        <w:spacing w:after="0"/>
        <w:tabs>
          <w:tab w:leader="none" w:pos="2480" w:val="left"/>
        </w:tabs>
        <w:numPr>
          <w:ilvl w:val="0"/>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and</w:t>
      </w:r>
    </w:p>
    <w:p>
      <w:pPr>
        <w:spacing w:after="0" w:line="119" w:lineRule="exact"/>
        <w:rPr>
          <w:rFonts w:ascii="Times New Roman" w:cs="Times New Roman" w:eastAsia="Times New Roman" w:hAnsi="Times New Roman"/>
          <w:sz w:val="19"/>
          <w:szCs w:val="19"/>
          <w:color w:val="auto"/>
        </w:rPr>
      </w:pPr>
    </w:p>
    <w:p>
      <w:pPr>
        <w:ind w:left="2480" w:hanging="395"/>
        <w:spacing w:after="0"/>
        <w:tabs>
          <w:tab w:leader="none" w:pos="2480" w:val="left"/>
        </w:tabs>
        <w:numPr>
          <w:ilvl w:val="0"/>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p>
    <w:p>
      <w:pPr>
        <w:spacing w:after="0" w:line="103" w:lineRule="exact"/>
        <w:rPr>
          <w:sz w:val="20"/>
          <w:szCs w:val="20"/>
          <w:color w:val="auto"/>
        </w:rPr>
      </w:pPr>
    </w:p>
    <w:p>
      <w:pPr>
        <w:jc w:val="both"/>
        <w:ind w:firstLine="487"/>
        <w:spacing w:after="0" w:line="269" w:lineRule="auto"/>
        <w:rPr>
          <w:sz w:val="20"/>
          <w:szCs w:val="20"/>
          <w:color w:val="auto"/>
        </w:rPr>
      </w:pPr>
      <w:r>
        <w:rPr>
          <w:rFonts w:ascii="Times New Roman" w:cs="Times New Roman" w:eastAsia="Times New Roman" w:hAnsi="Times New Roman"/>
          <w:sz w:val="19"/>
          <w:szCs w:val="19"/>
          <w:color w:val="auto"/>
        </w:rPr>
        <w:t xml:space="preserve">12.12 </w:t>
      </w: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 The respective rights and obligations of the Parties under Sections 4.1 to 4.4 (only to the extent described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ARTICLE 12), Sections 4.5 and 4.6 (only to the extent described in Section 12.6.4), ARTICLE 7 (only to the extent described in ARTICLE 12), Section 8.1.1, Section 8.2, Section 8.3, Section 8.13.2, Section 8.13.4, Sections 9.1 to 9.5, ARTICLE 11, ARTICLE 12, ARTICLE 14 and ARTICLE 15) as well as any relevant defined terms contained within these provisions or in ARTICLE 1, shall survive indefinitely the termination of this Agreement. Additionally, any rights and obligations of the Parties shall survive the termination or expiration of this Agreement to the extent specifically stated in any provisions of this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13</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DATA PRIVACY AND COMPLIANCE</w:t>
      </w:r>
    </w:p>
    <w:p>
      <w:pPr>
        <w:spacing w:after="0" w:line="107" w:lineRule="exact"/>
        <w:rPr>
          <w:sz w:val="20"/>
          <w:szCs w:val="20"/>
          <w:color w:val="auto"/>
        </w:rPr>
      </w:pPr>
    </w:p>
    <w:p>
      <w:pPr>
        <w:ind w:left="500"/>
        <w:spacing w:after="0"/>
        <w:tabs>
          <w:tab w:leader="none" w:pos="1420" w:val="left"/>
        </w:tabs>
        <w:rPr>
          <w:sz w:val="20"/>
          <w:szCs w:val="20"/>
          <w:color w:val="auto"/>
        </w:rPr>
      </w:pPr>
      <w:r>
        <w:rPr>
          <w:rFonts w:ascii="Times New Roman" w:cs="Times New Roman" w:eastAsia="Times New Roman" w:hAnsi="Times New Roman"/>
          <w:sz w:val="19"/>
          <w:szCs w:val="19"/>
          <w:color w:val="auto"/>
        </w:rPr>
        <w:t>13.1</w:t>
      </w:r>
      <w:r>
        <w:rPr>
          <w:sz w:val="20"/>
          <w:szCs w:val="20"/>
          <w:color w:val="auto"/>
        </w:rPr>
        <w:tab/>
      </w:r>
      <w:r>
        <w:rPr>
          <w:rFonts w:ascii="Times New Roman" w:cs="Times New Roman" w:eastAsia="Times New Roman" w:hAnsi="Times New Roman"/>
          <w:sz w:val="20"/>
          <w:szCs w:val="20"/>
          <w:b w:val="1"/>
          <w:bCs w:val="1"/>
          <w:color w:val="auto"/>
        </w:rPr>
        <w:t>Data Privacy Laws</w:t>
      </w:r>
    </w:p>
    <w:p>
      <w:pPr>
        <w:spacing w:after="0" w:line="135" w:lineRule="exact"/>
        <w:rPr>
          <w:sz w:val="20"/>
          <w:szCs w:val="20"/>
          <w:color w:val="auto"/>
        </w:rPr>
      </w:pPr>
    </w:p>
    <w:p>
      <w:pPr>
        <w:jc w:val="both"/>
        <w:ind w:left="1240"/>
        <w:spacing w:after="0" w:line="264" w:lineRule="auto"/>
        <w:rPr>
          <w:sz w:val="20"/>
          <w:szCs w:val="20"/>
          <w:color w:val="auto"/>
        </w:rPr>
      </w:pPr>
      <w:r>
        <w:rPr>
          <w:rFonts w:ascii="Times New Roman" w:cs="Times New Roman" w:eastAsia="Times New Roman" w:hAnsi="Times New Roman"/>
          <w:sz w:val="19"/>
          <w:szCs w:val="19"/>
          <w:color w:val="auto"/>
        </w:rPr>
        <w:t xml:space="preserve">13.1.1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Each Party acknowledges that it may have access to certain Personal Data for the implementation of this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Agreement. Each Party will comply fully with all Applicable Law and regulations relating to any information concerning to an identified or identifiable natural person (“</w:t>
      </w:r>
      <w:r>
        <w:rPr>
          <w:rFonts w:ascii="Times New Roman" w:cs="Times New Roman" w:eastAsia="Times New Roman" w:hAnsi="Times New Roman"/>
          <w:sz w:val="20"/>
          <w:szCs w:val="20"/>
          <w:b w:val="1"/>
          <w:bCs w:val="1"/>
          <w:color w:val="auto"/>
        </w:rPr>
        <w:t>Personal Data</w:t>
      </w:r>
      <w:r>
        <w:rPr>
          <w:rFonts w:ascii="Times New Roman" w:cs="Times New Roman" w:eastAsia="Times New Roman" w:hAnsi="Times New Roman"/>
          <w:sz w:val="20"/>
          <w:szCs w:val="20"/>
          <w:color w:val="auto"/>
        </w:rPr>
        <w:t>”) which is shared between the Parties for the purpose of this Agreement. The Parties will protect Personal Data and will not use, disclose, transfer or otherwise process such Personal Data except as necessary to perform under and set forth in this Agreement, or as authorized by the data subject or in accordance with Applicable Law. The Parties further agree not to undertake any processing activities of any Personal Data for or on behalf of the other Party under this Agreement.</w:t>
      </w:r>
    </w:p>
    <w:p>
      <w:pPr>
        <w:spacing w:after="0" w:line="73" w:lineRule="exact"/>
        <w:rPr>
          <w:sz w:val="20"/>
          <w:szCs w:val="20"/>
          <w:color w:val="auto"/>
        </w:rPr>
      </w:pPr>
    </w:p>
    <w:p>
      <w:pPr>
        <w:jc w:val="both"/>
        <w:ind w:left="1240"/>
        <w:spacing w:after="0" w:line="273" w:lineRule="auto"/>
        <w:rPr>
          <w:sz w:val="20"/>
          <w:szCs w:val="20"/>
          <w:color w:val="auto"/>
        </w:rPr>
      </w:pPr>
      <w:r>
        <w:rPr>
          <w:rFonts w:ascii="Times New Roman" w:cs="Times New Roman" w:eastAsia="Times New Roman" w:hAnsi="Times New Roman"/>
          <w:sz w:val="19"/>
          <w:szCs w:val="19"/>
          <w:color w:val="auto"/>
        </w:rPr>
        <w:t xml:space="preserve">13.1.2 </w:t>
      </w:r>
      <w:r>
        <w:rPr>
          <w:rFonts w:ascii="Times New Roman" w:cs="Times New Roman" w:eastAsia="Times New Roman" w:hAnsi="Times New Roman"/>
          <w:sz w:val="20"/>
          <w:szCs w:val="20"/>
          <w:u w:val="single" w:color="auto"/>
          <w:color w:val="auto"/>
        </w:rPr>
        <w:t>Party outside EEA</w:t>
      </w:r>
      <w:r>
        <w:rPr>
          <w:rFonts w:ascii="Times New Roman" w:cs="Times New Roman" w:eastAsia="Times New Roman" w:hAnsi="Times New Roman"/>
          <w:sz w:val="20"/>
          <w:szCs w:val="20"/>
          <w:color w:val="auto"/>
        </w:rPr>
        <w:t>. The Parties shall take the necessary steps to ensure that Personal Data is transferred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according to applicable Data Protection Laws; to this end, the Parties shall ensure that the Personal Data will be sufficiently protected in accordance with applicable Data Protection Laws, in particular with the Regulation (EU) 2016/679 (General Data Protection Regulation).</w:t>
      </w:r>
    </w:p>
    <w:p>
      <w:pPr>
        <w:spacing w:after="0" w:line="49" w:lineRule="exact"/>
        <w:rPr>
          <w:sz w:val="20"/>
          <w:szCs w:val="20"/>
          <w:color w:val="auto"/>
        </w:rPr>
      </w:pPr>
    </w:p>
    <w:p>
      <w:pPr>
        <w:jc w:val="both"/>
        <w:ind w:left="1240"/>
        <w:spacing w:after="0" w:line="295" w:lineRule="auto"/>
        <w:rPr>
          <w:sz w:val="20"/>
          <w:szCs w:val="20"/>
          <w:color w:val="auto"/>
        </w:rPr>
      </w:pPr>
      <w:r>
        <w:rPr>
          <w:rFonts w:ascii="Times New Roman" w:cs="Times New Roman" w:eastAsia="Times New Roman" w:hAnsi="Times New Roman"/>
          <w:sz w:val="19"/>
          <w:szCs w:val="19"/>
          <w:color w:val="auto"/>
        </w:rPr>
        <w:t xml:space="preserve">13.1.3 </w:t>
      </w:r>
      <w:r>
        <w:rPr>
          <w:rFonts w:ascii="Times New Roman" w:cs="Times New Roman" w:eastAsia="Times New Roman" w:hAnsi="Times New Roman"/>
          <w:sz w:val="20"/>
          <w:szCs w:val="20"/>
          <w:u w:val="single" w:color="auto"/>
          <w:color w:val="auto"/>
        </w:rPr>
        <w:t>Data Privacy Agreement</w:t>
      </w:r>
      <w:r>
        <w:rPr>
          <w:rFonts w:ascii="Times New Roman" w:cs="Times New Roman" w:eastAsia="Times New Roman" w:hAnsi="Times New Roman"/>
          <w:sz w:val="20"/>
          <w:szCs w:val="20"/>
          <w:color w:val="auto"/>
        </w:rPr>
        <w:t>. The Parties shall (i) discuss and determine their respective roles, if any, for further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processing Personal Data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365" w:right="339" w:bottom="1440" w:gutter="0" w:footer="0" w:header="0"/>
        </w:sectPr>
      </w:pPr>
    </w:p>
    <w:bookmarkStart w:id="380" w:name="page381"/>
    <w:bookmarkEnd w:id="380"/>
    <w:p>
      <w:pPr>
        <w:jc w:val="both"/>
        <w:ind w:left="1240"/>
        <w:spacing w:after="0" w:line="269" w:lineRule="auto"/>
        <w:rPr>
          <w:sz w:val="20"/>
          <w:szCs w:val="20"/>
          <w:color w:val="auto"/>
        </w:rPr>
      </w:pPr>
      <w:r>
        <w:rPr>
          <w:rFonts w:ascii="Times New Roman" w:cs="Times New Roman" w:eastAsia="Times New Roman" w:hAnsi="Times New Roman"/>
          <w:sz w:val="21"/>
          <w:szCs w:val="21"/>
          <w:color w:val="auto"/>
        </w:rPr>
        <w:t>execute an applicable data privacy agreement. For clarity, upon execution of the data privacy agreement, the executed version of such data privacy agreement shall become part of the Agreement.</w:t>
      </w:r>
    </w:p>
    <w:p>
      <w:pPr>
        <w:spacing w:after="0" w:line="48" w:lineRule="exact"/>
        <w:rPr>
          <w:sz w:val="20"/>
          <w:szCs w:val="20"/>
          <w:color w:val="auto"/>
        </w:rPr>
      </w:pPr>
    </w:p>
    <w:p>
      <w:pPr>
        <w:ind w:left="500"/>
        <w:spacing w:after="0"/>
        <w:tabs>
          <w:tab w:leader="none" w:pos="1420" w:val="left"/>
        </w:tabs>
        <w:rPr>
          <w:sz w:val="20"/>
          <w:szCs w:val="20"/>
          <w:color w:val="auto"/>
        </w:rPr>
      </w:pPr>
      <w:r>
        <w:rPr>
          <w:rFonts w:ascii="Times New Roman" w:cs="Times New Roman" w:eastAsia="Times New Roman" w:hAnsi="Times New Roman"/>
          <w:sz w:val="19"/>
          <w:szCs w:val="19"/>
          <w:color w:val="auto"/>
        </w:rPr>
        <w:t>13.2</w:t>
      </w:r>
      <w:r>
        <w:rPr>
          <w:sz w:val="20"/>
          <w:szCs w:val="20"/>
          <w:color w:val="auto"/>
        </w:rPr>
        <w:tab/>
      </w:r>
      <w:r>
        <w:rPr>
          <w:rFonts w:ascii="Times New Roman" w:cs="Times New Roman" w:eastAsia="Times New Roman" w:hAnsi="Times New Roman"/>
          <w:sz w:val="20"/>
          <w:szCs w:val="20"/>
          <w:b w:val="1"/>
          <w:bCs w:val="1"/>
          <w:color w:val="auto"/>
        </w:rPr>
        <w:t>Business Conduct.</w:t>
      </w:r>
    </w:p>
    <w:p>
      <w:pPr>
        <w:spacing w:after="0" w:line="135" w:lineRule="exact"/>
        <w:rPr>
          <w:sz w:val="20"/>
          <w:szCs w:val="20"/>
          <w:color w:val="auto"/>
        </w:rPr>
      </w:pPr>
    </w:p>
    <w:p>
      <w:pPr>
        <w:jc w:val="both"/>
        <w:ind w:left="1240"/>
        <w:spacing w:after="0" w:line="273" w:lineRule="auto"/>
        <w:rPr>
          <w:sz w:val="20"/>
          <w:szCs w:val="20"/>
          <w:color w:val="auto"/>
        </w:rPr>
      </w:pPr>
      <w:r>
        <w:rPr>
          <w:rFonts w:ascii="Times New Roman" w:cs="Times New Roman" w:eastAsia="Times New Roman" w:hAnsi="Times New Roman"/>
          <w:sz w:val="19"/>
          <w:szCs w:val="19"/>
          <w:color w:val="auto"/>
        </w:rPr>
        <w:t xml:space="preserve">13.2.1 </w:t>
      </w:r>
      <w:r>
        <w:rPr>
          <w:rFonts w:ascii="Times New Roman" w:cs="Times New Roman" w:eastAsia="Times New Roman" w:hAnsi="Times New Roman"/>
          <w:sz w:val="20"/>
          <w:szCs w:val="20"/>
          <w:u w:val="single" w:color="auto"/>
          <w:color w:val="auto"/>
        </w:rPr>
        <w:t>Business Conduct Generally</w:t>
      </w:r>
      <w:r>
        <w:rPr>
          <w:rFonts w:ascii="Times New Roman" w:cs="Times New Roman" w:eastAsia="Times New Roman" w:hAnsi="Times New Roman"/>
          <w:sz w:val="20"/>
          <w:szCs w:val="20"/>
          <w:color w:val="auto"/>
        </w:rPr>
        <w:t>. Merck intends to conduct its business in accordance with environmental, labor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social standards and to abide by the standards set forth in Merck’s Code of Conduct and the Human Rights Charter (available at http://www.merckgroup.com. Company shall comply, and shall ensure that its Affiliates, sublicensees or subcontractors comply, with reasonably comparable environmental, labor and social standards.</w:t>
      </w:r>
    </w:p>
    <w:p>
      <w:pPr>
        <w:spacing w:after="0" w:line="49" w:lineRule="exact"/>
        <w:rPr>
          <w:sz w:val="20"/>
          <w:szCs w:val="20"/>
          <w:color w:val="auto"/>
        </w:rPr>
      </w:pPr>
    </w:p>
    <w:p>
      <w:pPr>
        <w:jc w:val="both"/>
        <w:ind w:left="1240"/>
        <w:spacing w:after="0" w:line="262" w:lineRule="auto"/>
        <w:rPr>
          <w:sz w:val="20"/>
          <w:szCs w:val="20"/>
          <w:color w:val="auto"/>
        </w:rPr>
      </w:pPr>
      <w:r>
        <w:rPr>
          <w:rFonts w:ascii="Times New Roman" w:cs="Times New Roman" w:eastAsia="Times New Roman" w:hAnsi="Times New Roman"/>
          <w:sz w:val="19"/>
          <w:szCs w:val="19"/>
          <w:color w:val="auto"/>
        </w:rPr>
        <w:t xml:space="preserve">13.2.2 </w:t>
      </w:r>
      <w:r>
        <w:rPr>
          <w:rFonts w:ascii="Times New Roman" w:cs="Times New Roman" w:eastAsia="Times New Roman" w:hAnsi="Times New Roman"/>
          <w:sz w:val="20"/>
          <w:szCs w:val="20"/>
          <w:u w:val="single" w:color="auto"/>
          <w:color w:val="auto"/>
        </w:rPr>
        <w:t>Anti-Bribery</w:t>
      </w:r>
      <w:r>
        <w:rPr>
          <w:rFonts w:ascii="Times New Roman" w:cs="Times New Roman" w:eastAsia="Times New Roman" w:hAnsi="Times New Roman"/>
          <w:sz w:val="20"/>
          <w:szCs w:val="20"/>
          <w:color w:val="auto"/>
        </w:rPr>
        <w:t>. Each Party shall ensure its and its Affiliates’ and Sublicensees’ compliance with the provisions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the OECD Anti Bribery Convention, the US Foreign Corrupt Practices Act, the UK Bribery Act 2010, and any other applicable local anti-bribery or anti-corruption laws, the EFPIA Code, and IFPMA Code of Practice, as are in force from time to time (jointly “</w:t>
      </w:r>
      <w:r>
        <w:rPr>
          <w:rFonts w:ascii="Times New Roman" w:cs="Times New Roman" w:eastAsia="Times New Roman" w:hAnsi="Times New Roman"/>
          <w:sz w:val="20"/>
          <w:szCs w:val="20"/>
          <w:b w:val="1"/>
          <w:bCs w:val="1"/>
          <w:color w:val="auto"/>
        </w:rPr>
        <w:t>Anti-Bribery Laws</w:t>
      </w:r>
      <w:r>
        <w:rPr>
          <w:rFonts w:ascii="Times New Roman" w:cs="Times New Roman" w:eastAsia="Times New Roman" w:hAnsi="Times New Roman"/>
          <w:sz w:val="20"/>
          <w:szCs w:val="20"/>
          <w:color w:val="auto"/>
        </w:rPr>
        <w:t>”). Thereby, Each Party agrees (a) to adopt all necessary measures to prevent violation of the Anti-Bribery Laws; (b) not to offer, pay, give, or promise to pay or give, directly or indirectly, any payment or gift of any money or thing of value to (1) any government official to influence any acts or decisions of such official or to induce such official to use their influence with any government to effect or influence the decision of such government in order to assist it in its performance of its obligations under this Agreement; (2) any political party or candidate for public office for such purpose; or (3) any person if such Party knows or has reason to know that such money or thing of value will be offered, promised, paid, or given, directly or indirectly, to any official, political party, or candidate for such purpose.</w:t>
      </w:r>
    </w:p>
    <w:p>
      <w:pPr>
        <w:spacing w:after="0" w:line="326" w:lineRule="exact"/>
        <w:rPr>
          <w:sz w:val="20"/>
          <w:szCs w:val="20"/>
          <w:color w:val="auto"/>
        </w:rPr>
      </w:pPr>
    </w:p>
    <w:p>
      <w:pPr>
        <w:jc w:val="both"/>
        <w:ind w:left="1240"/>
        <w:spacing w:after="0" w:line="264" w:lineRule="auto"/>
        <w:rPr>
          <w:sz w:val="20"/>
          <w:szCs w:val="20"/>
          <w:color w:val="auto"/>
        </w:rPr>
      </w:pPr>
      <w:r>
        <w:rPr>
          <w:rFonts w:ascii="Times New Roman" w:cs="Times New Roman" w:eastAsia="Times New Roman" w:hAnsi="Times New Roman"/>
          <w:sz w:val="19"/>
          <w:szCs w:val="19"/>
          <w:color w:val="auto"/>
        </w:rPr>
        <w:t xml:space="preserve">13.2.3 </w:t>
      </w:r>
      <w:r>
        <w:rPr>
          <w:rFonts w:ascii="Times New Roman" w:cs="Times New Roman" w:eastAsia="Times New Roman" w:hAnsi="Times New Roman"/>
          <w:sz w:val="20"/>
          <w:szCs w:val="20"/>
          <w:u w:val="single" w:color="auto"/>
          <w:color w:val="auto"/>
        </w:rPr>
        <w:t>Improper Conduct</w:t>
      </w:r>
      <w:r>
        <w:rPr>
          <w:rFonts w:ascii="Times New Roman" w:cs="Times New Roman" w:eastAsia="Times New Roman" w:hAnsi="Times New Roman"/>
          <w:sz w:val="20"/>
          <w:szCs w:val="20"/>
          <w:color w:val="auto"/>
        </w:rPr>
        <w:t>. Each Party shall notify the other in writing in the case of any violation by such Party, its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Affiliates or its Sublicensees of any Anti-Bribery Laws, or any of the environmental, labor and social standards set forth in Section 13.2.1 in relation to the activities under this Agreement (collectively, “</w:t>
      </w:r>
      <w:r>
        <w:rPr>
          <w:rFonts w:ascii="Times New Roman" w:cs="Times New Roman" w:eastAsia="Times New Roman" w:hAnsi="Times New Roman"/>
          <w:sz w:val="20"/>
          <w:szCs w:val="20"/>
          <w:b w:val="1"/>
          <w:bCs w:val="1"/>
          <w:color w:val="auto"/>
        </w:rPr>
        <w:t>Improper Conduct</w:t>
      </w:r>
      <w:r>
        <w:rPr>
          <w:rFonts w:ascii="Times New Roman" w:cs="Times New Roman" w:eastAsia="Times New Roman" w:hAnsi="Times New Roman"/>
          <w:sz w:val="20"/>
          <w:szCs w:val="20"/>
          <w:color w:val="auto"/>
        </w:rPr>
        <w:t>”). If one Party notifies the other Party of the occurrence of any such Improper Conduct, or the other Party has a reasonable suspicion of any such improper conduct, such other Party may, in addition to any other rights such other Party may have under this Agreement, inspect or have inspected by an independent auditor the premises, books and records of such Improper Conduct for the purpose of ensuring compliance with this Section 13.2.</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14</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DISPUTE RESOLUTION</w:t>
      </w:r>
    </w:p>
    <w:p>
      <w:pPr>
        <w:spacing w:after="0" w:line="107" w:lineRule="exact"/>
        <w:rPr>
          <w:sz w:val="20"/>
          <w:szCs w:val="20"/>
          <w:color w:val="auto"/>
        </w:rPr>
      </w:pPr>
    </w:p>
    <w:p>
      <w:pPr>
        <w:jc w:val="both"/>
        <w:ind w:firstLine="487"/>
        <w:spacing w:after="0" w:line="271" w:lineRule="auto"/>
        <w:rPr>
          <w:sz w:val="20"/>
          <w:szCs w:val="20"/>
          <w:color w:val="auto"/>
        </w:rPr>
      </w:pPr>
      <w:r>
        <w:rPr>
          <w:rFonts w:ascii="Times New Roman" w:cs="Times New Roman" w:eastAsia="Times New Roman" w:hAnsi="Times New Roman"/>
          <w:sz w:val="19"/>
          <w:szCs w:val="19"/>
          <w:color w:val="auto"/>
        </w:rPr>
        <w:t xml:space="preserve">14.1 </w:t>
      </w:r>
      <w:r>
        <w:rPr>
          <w:rFonts w:ascii="Times New Roman" w:cs="Times New Roman" w:eastAsia="Times New Roman" w:hAnsi="Times New Roman"/>
          <w:sz w:val="20"/>
          <w:szCs w:val="20"/>
          <w:b w:val="1"/>
          <w:bCs w:val="1"/>
          <w:color w:val="auto"/>
        </w:rPr>
        <w:t>Disputes and Escalation</w:t>
      </w:r>
      <w:r>
        <w:rPr>
          <w:rFonts w:ascii="Times New Roman" w:cs="Times New Roman" w:eastAsia="Times New Roman" w:hAnsi="Times New Roman"/>
          <w:sz w:val="20"/>
          <w:szCs w:val="20"/>
          <w:color w:val="auto"/>
        </w:rPr>
        <w:t>. The Parties recognize that disagreements as to certain matters may from time to time arise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during the Term which relate to either Party’s rights and/or obligations hereunder. It is the objective of the Parties to establish under this ARTICLE 14 procedures to facilitate the resolution of disputes arising under this Agreement in an expedient manner by mutual cooperation and without resort to litigation. As such, the Parties will first resort to the Senior Executives if any such disagreements arise.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1364" w:right="339" w:bottom="1440" w:gutter="0" w:footer="0" w:header="0"/>
        </w:sectPr>
      </w:pPr>
    </w:p>
    <w:bookmarkStart w:id="381" w:name="page382"/>
    <w:bookmarkEnd w:id="381"/>
    <w:p>
      <w:pPr>
        <w:jc w:val="both"/>
        <w:spacing w:after="0" w:line="256" w:lineRule="auto"/>
        <w:rPr>
          <w:sz w:val="20"/>
          <w:szCs w:val="20"/>
          <w:color w:val="auto"/>
        </w:rPr>
      </w:pPr>
      <w:r>
        <w:rPr>
          <w:rFonts w:ascii="Times New Roman" w:cs="Times New Roman" w:eastAsia="Times New Roman" w:hAnsi="Times New Roman"/>
          <w:sz w:val="21"/>
          <w:szCs w:val="21"/>
          <w:color w:val="auto"/>
        </w:rPr>
        <w:t>that the Parties are unable to resolve such disagreements through diligent review and deliberation by the Senior Executives within [***] days from the day that one Party had designated the issue as a dispute in written notice to the other Party, then either Party shall have the right to enforce any and all of its rights with respect to such dispute in accordance with Section 14.2.</w:t>
      </w:r>
    </w:p>
    <w:p>
      <w:pPr>
        <w:spacing w:after="0" w:line="74" w:lineRule="exact"/>
        <w:rPr>
          <w:sz w:val="20"/>
          <w:szCs w:val="20"/>
          <w:color w:val="auto"/>
        </w:rPr>
      </w:pPr>
    </w:p>
    <w:p>
      <w:pPr>
        <w:jc w:val="both"/>
        <w:ind w:firstLine="487"/>
        <w:spacing w:after="0" w:line="263" w:lineRule="auto"/>
        <w:rPr>
          <w:sz w:val="20"/>
          <w:szCs w:val="20"/>
          <w:color w:val="auto"/>
        </w:rPr>
      </w:pPr>
      <w:r>
        <w:rPr>
          <w:rFonts w:ascii="Times New Roman" w:cs="Times New Roman" w:eastAsia="Times New Roman" w:hAnsi="Times New Roman"/>
          <w:sz w:val="19"/>
          <w:szCs w:val="19"/>
          <w:color w:val="auto"/>
        </w:rPr>
        <w:t xml:space="preserve">14.2 </w:t>
      </w:r>
      <w:r>
        <w:rPr>
          <w:rFonts w:ascii="Times New Roman" w:cs="Times New Roman" w:eastAsia="Times New Roman" w:hAnsi="Times New Roman"/>
          <w:sz w:val="20"/>
          <w:szCs w:val="20"/>
          <w:b w:val="1"/>
          <w:bCs w:val="1"/>
          <w:color w:val="auto"/>
        </w:rPr>
        <w:t>Binding Arbitration</w:t>
      </w:r>
      <w:r>
        <w:rPr>
          <w:rFonts w:ascii="Times New Roman" w:cs="Times New Roman" w:eastAsia="Times New Roman" w:hAnsi="Times New Roman"/>
          <w:sz w:val="20"/>
          <w:szCs w:val="20"/>
          <w:color w:val="auto"/>
        </w:rPr>
        <w:t>. This Section 14.2 shall be governed by the laws of Switzerland. Any dispute that cannot be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resolved amicably as set forth above shall be finally settled in arbitration administered by [***] pursuant to [***] (the “[***] </w:t>
      </w:r>
      <w:r>
        <w:rPr>
          <w:rFonts w:ascii="Times New Roman" w:cs="Times New Roman" w:eastAsia="Times New Roman" w:hAnsi="Times New Roman"/>
          <w:sz w:val="20"/>
          <w:szCs w:val="20"/>
          <w:b w:val="1"/>
          <w:bCs w:val="1"/>
          <w:color w:val="auto"/>
        </w:rPr>
        <w:t>Rules</w:t>
      </w:r>
      <w:r>
        <w:rPr>
          <w:rFonts w:ascii="Times New Roman" w:cs="Times New Roman" w:eastAsia="Times New Roman" w:hAnsi="Times New Roman"/>
          <w:sz w:val="20"/>
          <w:szCs w:val="20"/>
          <w:color w:val="auto"/>
        </w:rPr>
        <w:t>”) by [***] arbitrators. Within [***] days after the notice initiating the arbitration, each Party shall appoint [***] by written notice to the other Party and the [***] Party-appointed arbitrators shall select the [***] arbitrator within [***] days of their appointment in accordance with the [***] Rules. In each case, the arbitrators shall be neutral, independent individuals with experience in the biopharmaceutical business related to the subject matter of the dispute. It is the Parties’ intention that there shall be no discovery. The seat of arbitration shall be [***]. The arbitration shall be conducted, and all communications shall be, in the English language. The award of arbitration shall be final and binding upon both Parties, and may be entered in and enforced by a court of competent jurisdiction. No award or procedural order made in the arbitration shall be published, unless and to the extent required to confirm an award or as may be required by Applicable Law.</w:t>
      </w:r>
    </w:p>
    <w:p>
      <w:pPr>
        <w:spacing w:after="0" w:line="310"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14.3 </w:t>
      </w:r>
      <w:r>
        <w:rPr>
          <w:rFonts w:ascii="Times New Roman" w:cs="Times New Roman" w:eastAsia="Times New Roman" w:hAnsi="Times New Roman"/>
          <w:sz w:val="20"/>
          <w:szCs w:val="20"/>
          <w:b w:val="1"/>
          <w:bCs w:val="1"/>
          <w:color w:val="auto"/>
        </w:rPr>
        <w:t>Injunctive Relief</w:t>
      </w:r>
      <w:r>
        <w:rPr>
          <w:rFonts w:ascii="Times New Roman" w:cs="Times New Roman" w:eastAsia="Times New Roman" w:hAnsi="Times New Roman"/>
          <w:sz w:val="20"/>
          <w:szCs w:val="20"/>
          <w:color w:val="auto"/>
        </w:rPr>
        <w:t>. Either Party may apply to the arbitrators for interim injunctive relief until the arbitration award 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rendered or the dispute is otherwise resolved. Further, either Party also may, without waiving any remedy under this Agreement, seek from any court having jurisdiction any injunctive or provisional relief necessary to protect the rights or property of such Party pending the arbitration award.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15</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07" w:lineRule="exact"/>
        <w:rPr>
          <w:sz w:val="20"/>
          <w:szCs w:val="20"/>
          <w:color w:val="auto"/>
        </w:rPr>
      </w:pPr>
    </w:p>
    <w:p>
      <w:pPr>
        <w:jc w:val="both"/>
        <w:ind w:firstLine="487"/>
        <w:spacing w:after="0" w:line="312" w:lineRule="auto"/>
        <w:rPr>
          <w:sz w:val="20"/>
          <w:szCs w:val="20"/>
          <w:color w:val="auto"/>
        </w:rPr>
      </w:pPr>
      <w:r>
        <w:rPr>
          <w:rFonts w:ascii="Times New Roman" w:cs="Times New Roman" w:eastAsia="Times New Roman" w:hAnsi="Times New Roman"/>
          <w:sz w:val="19"/>
          <w:szCs w:val="19"/>
          <w:color w:val="auto"/>
        </w:rPr>
        <w:t xml:space="preserve">15.1 </w:t>
      </w:r>
      <w:r>
        <w:rPr>
          <w:rFonts w:ascii="Times New Roman" w:cs="Times New Roman" w:eastAsia="Times New Roman" w:hAnsi="Times New Roman"/>
          <w:sz w:val="20"/>
          <w:szCs w:val="20"/>
          <w:b w:val="1"/>
          <w:bCs w:val="1"/>
          <w:color w:val="auto"/>
        </w:rPr>
        <w:t>Relationship of the Parties</w:t>
      </w:r>
      <w:r>
        <w:rPr>
          <w:rFonts w:ascii="Times New Roman" w:cs="Times New Roman" w:eastAsia="Times New Roman" w:hAnsi="Times New Roman"/>
          <w:sz w:val="20"/>
          <w:szCs w:val="20"/>
          <w:color w:val="auto"/>
        </w:rPr>
        <w:t>. Nothing in this Agreement is intended or shall be deemed, for financial, tax, legal or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purposes, to constitute a partnership, agency, joint venture or employer-employee relationship between the Parties.</w:t>
      </w:r>
    </w:p>
    <w:p>
      <w:pPr>
        <w:spacing w:after="0" w:line="8"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19"/>
          <w:szCs w:val="19"/>
          <w:color w:val="auto"/>
        </w:rPr>
        <w:t>15.2</w:t>
      </w:r>
      <w:r>
        <w:rPr>
          <w:sz w:val="20"/>
          <w:szCs w:val="20"/>
          <w:color w:val="auto"/>
        </w:rPr>
        <w:tab/>
      </w: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jc w:val="both"/>
        <w:ind w:left="1240"/>
        <w:spacing w:after="0" w:line="262" w:lineRule="auto"/>
        <w:rPr>
          <w:sz w:val="20"/>
          <w:szCs w:val="20"/>
          <w:color w:val="auto"/>
        </w:rPr>
      </w:pPr>
      <w:r>
        <w:rPr>
          <w:rFonts w:ascii="Times New Roman" w:cs="Times New Roman" w:eastAsia="Times New Roman" w:hAnsi="Times New Roman"/>
          <w:sz w:val="19"/>
          <w:szCs w:val="19"/>
          <w:color w:val="auto"/>
        </w:rPr>
        <w:t xml:space="preserve">15.2.1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Party may assign this Agreement without the consent of the other Party, except as otherwise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provided in this Section 15.2. Either Party may assign this Agreement in whole or in part to any Affiliate of such Party without the consent of the other Party; provided, however, that such assigning Party provided the other Party with written notice of such assignment, the Affiliate agrees in writing to assume performance of all assigned obligations, and the assigning Party shall remain primarily liable for the performance of its obligations under this Agreement by such Affiliate. Further, each Party may assign this Agreement, and all of its rights and obligations hereunder, without consent of the other Party, to its successor in interest by way of merger or consolidation or in connection with the sale of all or substantially all of its business or assets to which this Agreement related, provided, however, that such assigning Party provides the other Party with written notice of such assignment and the assignee agrees in writing to assume performance of all assigned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364" w:right="339" w:bottom="1440" w:gutter="0" w:footer="0" w:header="0"/>
        </w:sectPr>
      </w:pPr>
    </w:p>
    <w:bookmarkStart w:id="382" w:name="page383"/>
    <w:bookmarkEnd w:id="382"/>
    <w:p>
      <w:pPr>
        <w:ind w:left="1240"/>
        <w:spacing w:after="0"/>
        <w:tabs>
          <w:tab w:leader="none" w:pos="1840" w:val="left"/>
        </w:tabs>
        <w:rPr>
          <w:sz w:val="20"/>
          <w:szCs w:val="20"/>
          <w:color w:val="auto"/>
        </w:rPr>
      </w:pPr>
      <w:r>
        <w:rPr>
          <w:rFonts w:ascii="Times New Roman" w:cs="Times New Roman" w:eastAsia="Times New Roman" w:hAnsi="Times New Roman"/>
          <w:sz w:val="19"/>
          <w:szCs w:val="19"/>
          <w:color w:val="auto"/>
        </w:rPr>
        <w:t>15.2.2</w:t>
      </w:r>
      <w:r>
        <w:rPr>
          <w:sz w:val="20"/>
          <w:szCs w:val="20"/>
          <w:color w:val="auto"/>
        </w:rPr>
        <w:tab/>
      </w:r>
      <w:r>
        <w:rPr>
          <w:rFonts w:ascii="Times New Roman" w:cs="Times New Roman" w:eastAsia="Times New Roman" w:hAnsi="Times New Roman"/>
          <w:sz w:val="20"/>
          <w:szCs w:val="20"/>
          <w:u w:val="single" w:color="auto"/>
          <w:color w:val="auto"/>
        </w:rPr>
        <w:t>Void Assignments</w:t>
      </w:r>
      <w:r>
        <w:rPr>
          <w:rFonts w:ascii="Times New Roman" w:cs="Times New Roman" w:eastAsia="Times New Roman" w:hAnsi="Times New Roman"/>
          <w:sz w:val="20"/>
          <w:szCs w:val="20"/>
          <w:color w:val="auto"/>
        </w:rPr>
        <w:t>. Any assignment not in accordance with this Section 15.2 shall be void.</w:t>
      </w:r>
    </w:p>
    <w:p>
      <w:pPr>
        <w:spacing w:after="0" w:line="127" w:lineRule="exact"/>
        <w:rPr>
          <w:sz w:val="20"/>
          <w:szCs w:val="20"/>
          <w:color w:val="auto"/>
        </w:rPr>
      </w:pPr>
    </w:p>
    <w:p>
      <w:pPr>
        <w:jc w:val="both"/>
        <w:ind w:firstLine="487"/>
        <w:spacing w:after="0" w:line="277" w:lineRule="auto"/>
        <w:rPr>
          <w:sz w:val="20"/>
          <w:szCs w:val="20"/>
          <w:color w:val="auto"/>
        </w:rPr>
      </w:pPr>
      <w:r>
        <w:rPr>
          <w:rFonts w:ascii="Times New Roman" w:cs="Times New Roman" w:eastAsia="Times New Roman" w:hAnsi="Times New Roman"/>
          <w:sz w:val="19"/>
          <w:szCs w:val="19"/>
          <w:color w:val="auto"/>
        </w:rPr>
        <w:t xml:space="preserve">15.3 </w:t>
      </w:r>
      <w:r>
        <w:rPr>
          <w:rFonts w:ascii="Times New Roman" w:cs="Times New Roman" w:eastAsia="Times New Roman" w:hAnsi="Times New Roman"/>
          <w:sz w:val="20"/>
          <w:szCs w:val="20"/>
          <w:b w:val="1"/>
          <w:bCs w:val="1"/>
          <w:color w:val="auto"/>
        </w:rPr>
        <w:t>Performance and Exercise by Affiliates</w:t>
      </w:r>
      <w:r>
        <w:rPr>
          <w:rFonts w:ascii="Times New Roman" w:cs="Times New Roman" w:eastAsia="Times New Roman" w:hAnsi="Times New Roman"/>
          <w:sz w:val="20"/>
          <w:szCs w:val="20"/>
          <w:color w:val="auto"/>
        </w:rPr>
        <w:t>. Each Party shall have the right to have any of its obligations hereunder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performed, or its rights hereunder exercised, by, any of its Affiliates and the performance of such obligations and exercise of such rights by any such Affiliate shall be deemed to be performance or exercise by such Party.</w:t>
      </w:r>
    </w:p>
    <w:p>
      <w:pPr>
        <w:spacing w:after="0" w:line="55" w:lineRule="exact"/>
        <w:rPr>
          <w:sz w:val="20"/>
          <w:szCs w:val="20"/>
          <w:color w:val="auto"/>
        </w:rPr>
      </w:pPr>
    </w:p>
    <w:p>
      <w:pPr>
        <w:jc w:val="both"/>
        <w:ind w:firstLine="487"/>
        <w:spacing w:after="0" w:line="277" w:lineRule="auto"/>
        <w:rPr>
          <w:sz w:val="20"/>
          <w:szCs w:val="20"/>
          <w:color w:val="auto"/>
        </w:rPr>
      </w:pPr>
      <w:r>
        <w:rPr>
          <w:rFonts w:ascii="Times New Roman" w:cs="Times New Roman" w:eastAsia="Times New Roman" w:hAnsi="Times New Roman"/>
          <w:sz w:val="19"/>
          <w:szCs w:val="19"/>
          <w:color w:val="auto"/>
        </w:rPr>
        <w:t xml:space="preserve">15.4 </w:t>
      </w:r>
      <w:r>
        <w:rPr>
          <w:rFonts w:ascii="Times New Roman" w:cs="Times New Roman" w:eastAsia="Times New Roman" w:hAnsi="Times New Roman"/>
          <w:sz w:val="20"/>
          <w:szCs w:val="20"/>
          <w:b w:val="1"/>
          <w:bCs w:val="1"/>
          <w:color w:val="auto"/>
        </w:rPr>
        <w:t>Use of Animals</w:t>
      </w:r>
      <w:r>
        <w:rPr>
          <w:rFonts w:ascii="Times New Roman" w:cs="Times New Roman" w:eastAsia="Times New Roman" w:hAnsi="Times New Roman"/>
          <w:sz w:val="20"/>
          <w:szCs w:val="20"/>
          <w:color w:val="auto"/>
        </w:rPr>
        <w:t>. For research involving the use of animals, the Parties shall enter into an AUA. That AUA must be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executed between the Parties prior to the start of any activities related to such research. In the event of any conflict or inconsistency between the AUA and this Agreement, the terms of the AUA shall prevail in matters related to animal welfare.</w:t>
      </w:r>
    </w:p>
    <w:p>
      <w:pPr>
        <w:spacing w:after="0" w:line="55" w:lineRule="exact"/>
        <w:rPr>
          <w:sz w:val="20"/>
          <w:szCs w:val="20"/>
          <w:color w:val="auto"/>
        </w:rPr>
      </w:pPr>
    </w:p>
    <w:p>
      <w:pPr>
        <w:jc w:val="both"/>
        <w:ind w:firstLine="487"/>
        <w:spacing w:after="0" w:line="299" w:lineRule="auto"/>
        <w:rPr>
          <w:sz w:val="20"/>
          <w:szCs w:val="20"/>
          <w:color w:val="auto"/>
        </w:rPr>
      </w:pPr>
      <w:r>
        <w:rPr>
          <w:rFonts w:ascii="Times New Roman" w:cs="Times New Roman" w:eastAsia="Times New Roman" w:hAnsi="Times New Roman"/>
          <w:sz w:val="19"/>
          <w:szCs w:val="19"/>
          <w:color w:val="auto"/>
        </w:rPr>
        <w:t xml:space="preserve">15.5 </w:t>
      </w:r>
      <w:r>
        <w:rPr>
          <w:rFonts w:ascii="Times New Roman" w:cs="Times New Roman" w:eastAsia="Times New Roman" w:hAnsi="Times New Roman"/>
          <w:sz w:val="20"/>
          <w:szCs w:val="20"/>
          <w:b w:val="1"/>
          <w:bCs w:val="1"/>
          <w:color w:val="auto"/>
        </w:rPr>
        <w:t>Further Actions</w:t>
      </w:r>
      <w:r>
        <w:rPr>
          <w:rFonts w:ascii="Times New Roman" w:cs="Times New Roman" w:eastAsia="Times New Roman" w:hAnsi="Times New Roman"/>
          <w:sz w:val="20"/>
          <w:szCs w:val="20"/>
          <w:color w:val="auto"/>
        </w:rPr>
        <w:t>. Each Party agrees to execute, acknowledge and deliver such further instruments and to do all such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other acts as may be necessary or appropriate in order to carry out the purposes and intent of this Agreement.</w:t>
      </w:r>
    </w:p>
    <w:p>
      <w:pPr>
        <w:spacing w:after="0" w:line="20" w:lineRule="exact"/>
        <w:rPr>
          <w:sz w:val="20"/>
          <w:szCs w:val="20"/>
          <w:color w:val="auto"/>
        </w:rPr>
      </w:pPr>
    </w:p>
    <w:p>
      <w:pPr>
        <w:jc w:val="both"/>
        <w:ind w:firstLine="487"/>
        <w:spacing w:after="0" w:line="312" w:lineRule="auto"/>
        <w:rPr>
          <w:sz w:val="20"/>
          <w:szCs w:val="20"/>
          <w:color w:val="auto"/>
        </w:rPr>
      </w:pPr>
      <w:r>
        <w:rPr>
          <w:rFonts w:ascii="Times New Roman" w:cs="Times New Roman" w:eastAsia="Times New Roman" w:hAnsi="Times New Roman"/>
          <w:sz w:val="19"/>
          <w:szCs w:val="19"/>
          <w:color w:val="auto"/>
        </w:rPr>
        <w:t xml:space="preserve">15.6 </w:t>
      </w:r>
      <w:r>
        <w:rPr>
          <w:rFonts w:ascii="Times New Roman" w:cs="Times New Roman" w:eastAsia="Times New Roman" w:hAnsi="Times New Roman"/>
          <w:sz w:val="20"/>
          <w:szCs w:val="20"/>
          <w:b w:val="1"/>
          <w:bCs w:val="1"/>
          <w:color w:val="auto"/>
        </w:rPr>
        <w:t>Accounting Procedures</w:t>
      </w:r>
      <w:r>
        <w:rPr>
          <w:rFonts w:ascii="Times New Roman" w:cs="Times New Roman" w:eastAsia="Times New Roman" w:hAnsi="Times New Roman"/>
          <w:sz w:val="20"/>
          <w:szCs w:val="20"/>
          <w:color w:val="auto"/>
        </w:rPr>
        <w:t>. Each Party shall calculate all amounts, and perform other accounting procedures required,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under this Agreement and applicable to it in accordance with IFRS.</w:t>
      </w:r>
    </w:p>
    <w:p>
      <w:pPr>
        <w:spacing w:after="0" w:line="8" w:lineRule="exact"/>
        <w:rPr>
          <w:sz w:val="20"/>
          <w:szCs w:val="20"/>
          <w:color w:val="auto"/>
        </w:rPr>
      </w:pPr>
    </w:p>
    <w:p>
      <w:pPr>
        <w:jc w:val="both"/>
        <w:ind w:firstLine="487"/>
        <w:spacing w:after="0" w:line="263" w:lineRule="auto"/>
        <w:rPr>
          <w:sz w:val="20"/>
          <w:szCs w:val="20"/>
          <w:color w:val="auto"/>
        </w:rPr>
      </w:pPr>
      <w:r>
        <w:rPr>
          <w:rFonts w:ascii="Times New Roman" w:cs="Times New Roman" w:eastAsia="Times New Roman" w:hAnsi="Times New Roman"/>
          <w:sz w:val="19"/>
          <w:szCs w:val="19"/>
          <w:color w:val="auto"/>
        </w:rPr>
        <w:t xml:space="preserve">15.7 </w:t>
      </w: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Neither Party shall be liable to the other Party for failure or delay in the performance of any of its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obligations under this Agreement for the time and to the extent such failure or delay is caused by acts of God, earthquake, riot, civil commotion, terrorism, war, strikes or other labor disputes, fire, flood, failure or delay of transportation, governmental acts or restrictions or any other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will use Commercially Reasonable Efforts to overcome the difficulties created thereby and to resume performance of its obligations hereunder as soon as practicable (provided that, if such actions result in additional cost, the affected Party shall only take such actions at the request and expense of the other Party). The Parties agree and acknowledge that any event related to a pandemic that was existent and publicly known as of the Effective Date shall not be considered as a force majeure event in this Agreement, provided however that any new events related to such pandemic, including but not limited to the occurrence of a variant, may be considered as a force majeure event, if such new events have a significant impact which makes it materially impossible for a Party to fulfil an obligation under this Agreement.</w:t>
      </w:r>
    </w:p>
    <w:p>
      <w:pPr>
        <w:spacing w:after="0" w:line="57"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15.8 </w:t>
      </w:r>
      <w:r>
        <w:rPr>
          <w:rFonts w:ascii="Times New Roman" w:cs="Times New Roman" w:eastAsia="Times New Roman" w:hAnsi="Times New Roman"/>
          <w:sz w:val="20"/>
          <w:szCs w:val="20"/>
          <w:b w:val="1"/>
          <w:bCs w:val="1"/>
          <w:color w:val="auto"/>
        </w:rPr>
        <w:t>No Implied License; No Trademark Rights</w:t>
      </w:r>
      <w:r>
        <w:rPr>
          <w:rFonts w:ascii="Times New Roman" w:cs="Times New Roman" w:eastAsia="Times New Roman" w:hAnsi="Times New Roman"/>
          <w:sz w:val="20"/>
          <w:szCs w:val="20"/>
          <w:color w:val="auto"/>
        </w:rPr>
        <w:t>. Except as set forth in this Agreement, no right or license is granted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Company hereunder by implication, estoppel, or otherwise to any Know-How, Patent or other Intellectual Property Right owned or Controlled by Merck or any of its Affiliates. No right, express or implied, is granted by this Agreement to a Party to use in any manner the name or any other trade name or trademark of the other Party in connection with the performance of this Agreement or otherwise.</w:t>
      </w:r>
    </w:p>
    <w:p>
      <w:pPr>
        <w:spacing w:after="0" w:line="46"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15.9 </w:t>
      </w:r>
      <w:r>
        <w:rPr>
          <w:rFonts w:ascii="Times New Roman" w:cs="Times New Roman" w:eastAsia="Times New Roman" w:hAnsi="Times New Roman"/>
          <w:sz w:val="20"/>
          <w:szCs w:val="20"/>
          <w:b w:val="1"/>
          <w:bCs w:val="1"/>
          <w:color w:val="auto"/>
        </w:rPr>
        <w:t>Entire Agreement of the Parties; Amendments</w:t>
      </w:r>
      <w:r>
        <w:rPr>
          <w:rFonts w:ascii="Times New Roman" w:cs="Times New Roman" w:eastAsia="Times New Roman" w:hAnsi="Times New Roman"/>
          <w:sz w:val="20"/>
          <w:szCs w:val="20"/>
          <w:color w:val="auto"/>
        </w:rPr>
        <w:t>. This Agreement contains the entire and only agreement between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Parties and supersedes and cancels all prior written or oral agreements, undertakings and negotiations between the Parties with respect to the subject matter hereof, except for any prior confidentiality agreements covering the exchange of Confidential Information between the Parties prior to the Effective Date.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364" w:right="339" w:bottom="1440" w:gutter="0" w:footer="0" w:header="0"/>
        </w:sectPr>
      </w:pPr>
    </w:p>
    <w:bookmarkStart w:id="383" w:name="page384"/>
    <w:bookmarkEnd w:id="383"/>
    <w:p>
      <w:pPr>
        <w:jc w:val="both"/>
        <w:spacing w:after="0" w:line="256" w:lineRule="auto"/>
        <w:rPr>
          <w:sz w:val="20"/>
          <w:szCs w:val="20"/>
          <w:color w:val="auto"/>
        </w:rPr>
      </w:pPr>
      <w:r>
        <w:rPr>
          <w:rFonts w:ascii="Times New Roman" w:cs="Times New Roman" w:eastAsia="Times New Roman" w:hAnsi="Times New Roman"/>
          <w:sz w:val="21"/>
          <w:szCs w:val="21"/>
          <w:color w:val="auto"/>
        </w:rPr>
        <w:t>confirms that it is not relying on any representations or warranties of the other Party except as specifically set out in this Agreement. All exhibits referred to in this Agreement are hereby incorporated into and made a part of this Agreement. None of the terms of this Agreement shall be amended except in writing and signed by authorized representatives of both Parties.</w:t>
      </w:r>
    </w:p>
    <w:p>
      <w:pPr>
        <w:spacing w:after="0" w:line="74"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15.10 </w:t>
      </w: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and any non-contractual obligations arising out of or in connection with it shall be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governed by and interpreted in accordance with the laws of Switzerland, excluding the United Nations Convention on Contracts for the International Sale of Goods (CISG) and the application of any conflict of laws principles that would require application of the law of a jurisdiction outside of Switzerland.</w:t>
      </w:r>
    </w:p>
    <w:p>
      <w:pPr>
        <w:spacing w:after="0" w:line="46" w:lineRule="exact"/>
        <w:rPr>
          <w:sz w:val="20"/>
          <w:szCs w:val="20"/>
          <w:color w:val="auto"/>
        </w:rPr>
      </w:pPr>
    </w:p>
    <w:p>
      <w:pPr>
        <w:jc w:val="both"/>
        <w:ind w:firstLine="487"/>
        <w:spacing w:after="0" w:line="265" w:lineRule="auto"/>
        <w:rPr>
          <w:sz w:val="20"/>
          <w:szCs w:val="20"/>
          <w:color w:val="auto"/>
        </w:rPr>
      </w:pPr>
      <w:r>
        <w:rPr>
          <w:rFonts w:ascii="Times New Roman" w:cs="Times New Roman" w:eastAsia="Times New Roman" w:hAnsi="Times New Roman"/>
          <w:sz w:val="19"/>
          <w:szCs w:val="19"/>
          <w:color w:val="auto"/>
        </w:rPr>
        <w:t xml:space="preserve">15.11 </w:t>
      </w:r>
      <w:r>
        <w:rPr>
          <w:rFonts w:ascii="Times New Roman" w:cs="Times New Roman" w:eastAsia="Times New Roman" w:hAnsi="Times New Roman"/>
          <w:sz w:val="20"/>
          <w:szCs w:val="20"/>
          <w:b w:val="1"/>
          <w:bCs w:val="1"/>
          <w:color w:val="auto"/>
        </w:rPr>
        <w:t>Notices and Deliveries</w:t>
      </w:r>
      <w:r>
        <w:rPr>
          <w:rFonts w:ascii="Times New Roman" w:cs="Times New Roman" w:eastAsia="Times New Roman" w:hAnsi="Times New Roman"/>
          <w:sz w:val="20"/>
          <w:szCs w:val="20"/>
          <w:color w:val="auto"/>
        </w:rPr>
        <w:t>. Any notice, request, approval or consent required or permitted to be given under this Agreement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shall be in writing and shall be deemed to have been sufficiently given if delivered in person, transmitted by e-mail (receipt verified) or by express courier service (signature required) to the Party to which it is directed at its address or e-mail address shown below or such other address or e-mail address as such Party shall have last given by notice to the other Party. Any notice sent by email shall be deemed to have been duly given when sent, provided a copy of the notice is sent by overnight courier to the postal address of the relevant Party on the same Business Day as the sending of the email. This Section 15.11 is not intended to govern the day-to-day business communications necessary between the Parties in performing their obligations under the terms of this Agreement.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If to Company, addressed to:</w:t>
      </w:r>
    </w:p>
    <w:p>
      <w:pPr>
        <w:spacing w:after="0" w:line="1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Exscientia AI Limited</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The Schrödinger Building</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Heatley Road</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Oxford Science Park</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Oxford</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OX4 4GE</w:t>
      </w:r>
    </w:p>
    <w:p>
      <w:pPr>
        <w:spacing w:after="0" w:line="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United Kingdom</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Attention: [***]</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Email: [***]</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1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Email: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If to Merck, addressed to:</w:t>
      </w:r>
    </w:p>
    <w:p>
      <w:pPr>
        <w:spacing w:after="0" w:line="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Merck KGaA</w:t>
      </w:r>
    </w:p>
    <w:p>
      <w:pPr>
        <w:spacing w:after="0" w:line="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Frankfurter Straße 250</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64293 Darmstadt</w:t>
      </w:r>
    </w:p>
    <w:p>
      <w:pPr>
        <w:spacing w:after="0" w:line="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Germany</w:t>
      </w:r>
    </w:p>
    <w:p>
      <w:pPr>
        <w:spacing w:after="0" w:line="4" w:lineRule="exact"/>
        <w:rPr>
          <w:sz w:val="20"/>
          <w:szCs w:val="20"/>
          <w:color w:val="auto"/>
        </w:rPr>
      </w:pPr>
    </w:p>
    <w:p>
      <w:pPr>
        <w:ind w:left="1240"/>
        <w:spacing w:after="0"/>
        <w:tabs>
          <w:tab w:leader="none" w:pos="2260" w:val="left"/>
        </w:tabs>
        <w:rPr>
          <w:sz w:val="20"/>
          <w:szCs w:val="20"/>
          <w:color w:val="auto"/>
        </w:rPr>
      </w:pPr>
      <w:r>
        <w:rPr>
          <w:rFonts w:ascii="Times New Roman" w:cs="Times New Roman" w:eastAsia="Times New Roman" w:hAnsi="Times New Roman"/>
          <w:sz w:val="21"/>
          <w:szCs w:val="21"/>
          <w:color w:val="auto"/>
        </w:rPr>
        <w:t>Attention:</w:t>
        <w:tab/>
        <w:t>[***]</w:t>
      </w:r>
    </w:p>
    <w:p>
      <w:pPr>
        <w:spacing w:after="0" w:line="16" w:lineRule="exact"/>
        <w:rPr>
          <w:sz w:val="20"/>
          <w:szCs w:val="20"/>
          <w:color w:val="auto"/>
        </w:rPr>
      </w:pPr>
    </w:p>
    <w:p>
      <w:pPr>
        <w:ind w:left="1240"/>
        <w:spacing w:after="0"/>
        <w:tabs>
          <w:tab w:leader="none" w:pos="198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Merck KGaA</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Frankfurter Straße 250</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64293 Darmstadt</w:t>
      </w:r>
    </w:p>
    <w:p>
      <w:pPr>
        <w:spacing w:after="0" w:line="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364" w:right="339" w:bottom="1440" w:gutter="0" w:footer="0" w:header="0"/>
        </w:sectPr>
      </w:pPr>
    </w:p>
    <w:bookmarkStart w:id="384" w:name="page385"/>
    <w:bookmarkEnd w:id="384"/>
    <w:p>
      <w:pPr>
        <w:ind w:left="400"/>
        <w:spacing w:after="0"/>
        <w:rPr>
          <w:sz w:val="20"/>
          <w:szCs w:val="20"/>
          <w:color w:val="auto"/>
        </w:rPr>
      </w:pPr>
      <w:r>
        <w:rPr>
          <w:rFonts w:ascii="Times New Roman" w:cs="Times New Roman" w:eastAsia="Times New Roman" w:hAnsi="Times New Roman"/>
          <w:sz w:val="21"/>
          <w:szCs w:val="21"/>
          <w:color w:val="auto"/>
        </w:rPr>
        <w:t>Attn: [***]</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w:t>
      </w:r>
    </w:p>
    <w:p>
      <w:pPr>
        <w:spacing w:after="0" w:line="81"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9"/>
          <w:szCs w:val="19"/>
          <w:color w:val="auto"/>
        </w:rPr>
        <w:t xml:space="preserve">15.12 </w:t>
      </w:r>
      <w:r>
        <w:rPr>
          <w:rFonts w:ascii="Times New Roman" w:cs="Times New Roman" w:eastAsia="Times New Roman" w:hAnsi="Times New Roman"/>
          <w:sz w:val="20"/>
          <w:szCs w:val="20"/>
          <w:b w:val="1"/>
          <w:bCs w:val="1"/>
          <w:color w:val="auto"/>
        </w:rPr>
        <w:t>Language</w:t>
      </w:r>
      <w:r>
        <w:rPr>
          <w:rFonts w:ascii="Times New Roman" w:cs="Times New Roman" w:eastAsia="Times New Roman" w:hAnsi="Times New Roman"/>
          <w:sz w:val="20"/>
          <w:szCs w:val="20"/>
          <w:color w:val="auto"/>
        </w:rPr>
        <w:t>. This Agreement shall be written and executed in, and all other communications under or in connection with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34"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15.13 </w:t>
      </w: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A waiver by either Party of any of the terms and conditions of this Agreement in any instance shall not be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deemed or 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58" w:lineRule="exact"/>
        <w:rPr>
          <w:sz w:val="20"/>
          <w:szCs w:val="20"/>
          <w:color w:val="auto"/>
        </w:rPr>
      </w:pPr>
    </w:p>
    <w:p>
      <w:pPr>
        <w:jc w:val="both"/>
        <w:ind w:firstLine="487"/>
        <w:spacing w:after="0" w:line="269" w:lineRule="auto"/>
        <w:rPr>
          <w:sz w:val="20"/>
          <w:szCs w:val="20"/>
          <w:color w:val="auto"/>
        </w:rPr>
      </w:pPr>
      <w:r>
        <w:rPr>
          <w:rFonts w:ascii="Times New Roman" w:cs="Times New Roman" w:eastAsia="Times New Roman" w:hAnsi="Times New Roman"/>
          <w:sz w:val="19"/>
          <w:szCs w:val="19"/>
          <w:color w:val="auto"/>
        </w:rPr>
        <w:t xml:space="preserve">15.14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When possible, each provision of this Agreement will be interpreted in such manner as to be effective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valid under Applicable Law, but if any provision of this Agreement is held to be prohibited by or invalid under Applicable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52" w:lineRule="exact"/>
        <w:rPr>
          <w:sz w:val="20"/>
          <w:szCs w:val="20"/>
          <w:color w:val="auto"/>
        </w:rPr>
      </w:pPr>
    </w:p>
    <w:p>
      <w:pPr>
        <w:jc w:val="both"/>
        <w:ind w:firstLine="487"/>
        <w:spacing w:after="0" w:line="274" w:lineRule="auto"/>
        <w:rPr>
          <w:sz w:val="20"/>
          <w:szCs w:val="20"/>
          <w:color w:val="auto"/>
        </w:rPr>
      </w:pPr>
      <w:r>
        <w:rPr>
          <w:rFonts w:ascii="Times New Roman" w:cs="Times New Roman" w:eastAsia="Times New Roman" w:hAnsi="Times New Roman"/>
          <w:sz w:val="19"/>
          <w:szCs w:val="19"/>
          <w:color w:val="auto"/>
        </w:rPr>
        <w:t xml:space="preserve">15.15 </w:t>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counterparts, each of which will be deemed an original, and all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which together will be deemed to be one and the same instrument. A portable document format (PDF) copy of this Agreement, including the signature pages with signatures (in form of handwritten, non-certified electronic or certified electronic signatures), will be deemed an original.</w:t>
      </w:r>
    </w:p>
    <w:p>
      <w:pPr>
        <w:spacing w:after="0" w:line="46" w:lineRule="exact"/>
        <w:rPr>
          <w:sz w:val="20"/>
          <w:szCs w:val="20"/>
          <w:color w:val="auto"/>
        </w:rPr>
      </w:pPr>
    </w:p>
    <w:p>
      <w:pPr>
        <w:jc w:val="both"/>
        <w:ind w:firstLine="487"/>
        <w:spacing w:after="0" w:line="261" w:lineRule="auto"/>
        <w:rPr>
          <w:sz w:val="20"/>
          <w:szCs w:val="20"/>
          <w:color w:val="auto"/>
        </w:rPr>
      </w:pPr>
      <w:r>
        <w:rPr>
          <w:rFonts w:ascii="Times New Roman" w:cs="Times New Roman" w:eastAsia="Times New Roman" w:hAnsi="Times New Roman"/>
          <w:sz w:val="19"/>
          <w:szCs w:val="19"/>
          <w:color w:val="auto"/>
        </w:rPr>
        <w:t xml:space="preserve">15.16 </w:t>
      </w:r>
      <w:r>
        <w:rPr>
          <w:rFonts w:ascii="Times New Roman" w:cs="Times New Roman" w:eastAsia="Times New Roman" w:hAnsi="Times New Roman"/>
          <w:sz w:val="20"/>
          <w:szCs w:val="20"/>
          <w:b w:val="1"/>
          <w:bCs w:val="1"/>
          <w:color w:val="auto"/>
        </w:rPr>
        <w:t>Headings; Construction; Interpretation</w:t>
      </w:r>
      <w:r>
        <w:rPr>
          <w:rFonts w:ascii="Times New Roman" w:cs="Times New Roman" w:eastAsia="Times New Roman" w:hAnsi="Times New Roman"/>
          <w:sz w:val="20"/>
          <w:szCs w:val="20"/>
          <w:color w:val="auto"/>
        </w:rPr>
        <w:t>. Headings used herein are for convenience only and shall not in any way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 definitions for such terms provided herein or, if no such definitions are provided, with their usual and customary meanings, and each of the Parties hereto hereby waives the application in connection with the interpretation and construction of this Agreement of any rule of Applicable Law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Schedule or Exhibit shall be deemed to be a reference to any Article, Section, subsection, paragraph, clause, Schedule or Exhibit, of or to, as the case may be, this Agreement. All Schedules and Exhibits to this Agreement shall form an integral part of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Applicable Law refers to such Applicable Law as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1365" w:right="339" w:bottom="1440" w:gutter="0" w:footer="0" w:header="0"/>
        </w:sectPr>
      </w:pPr>
    </w:p>
    <w:bookmarkStart w:id="385" w:name="page386"/>
    <w:bookmarkEnd w:id="385"/>
    <w:p>
      <w:pPr>
        <w:jc w:val="both"/>
        <w:spacing w:after="0" w:line="253" w:lineRule="auto"/>
        <w:rPr>
          <w:sz w:val="20"/>
          <w:szCs w:val="20"/>
          <w:color w:val="auto"/>
        </w:rPr>
      </w:pPr>
      <w:r>
        <w:rPr>
          <w:rFonts w:ascii="Times New Roman" w:cs="Times New Roman" w:eastAsia="Times New Roman" w:hAnsi="Times New Roman"/>
          <w:sz w:val="21"/>
          <w:szCs w:val="21"/>
          <w:color w:val="auto"/>
        </w:rPr>
        <w:t>enacted, repealed or amended, (c) the words “herein”, “hereof” and “hereunder”, and words of similar import, refer to this Agreement in its entirety and not to any particular provision hereof, (d) the words “include”, “includes” and “including” shall be deemed to be followed by the phrase “but not limited to”, “without limitation” or words of similar import, (e) the word “or” is used in the inclusive sense (and/or), unless otherwise indicated by the term “either/or” and (f) the singular shall include the plural, the plural the singular, the use of any gender shall be applicable to all genders.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40"/>
          </w:cols>
          <w:pgMar w:left="320" w:top="1365" w:right="339" w:bottom="1440" w:gutter="0" w:footer="0" w:header="0"/>
        </w:sectPr>
      </w:pPr>
    </w:p>
    <w:bookmarkStart w:id="386" w:name="page387"/>
    <w:bookmarkEnd w:id="386"/>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duly authorized representatives of the Parties have executed this Agreement as of the Effective Date.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72"/>
        </w:trPr>
        <w:tc>
          <w:tcPr>
            <w:tcW w:w="280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FOR EXSCIENTIA AI LTD.:</w:t>
            </w:r>
          </w:p>
        </w:tc>
        <w:tc>
          <w:tcPr>
            <w:tcW w:w="3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480" w:type="dxa"/>
            <w:vAlign w:val="bottom"/>
            <w:gridSpan w:val="10"/>
          </w:tcPr>
          <w:p>
            <w:pPr>
              <w:spacing w:after="0"/>
              <w:rPr>
                <w:sz w:val="20"/>
                <w:szCs w:val="20"/>
                <w:color w:val="auto"/>
              </w:rPr>
            </w:pPr>
            <w:r>
              <w:rPr>
                <w:rFonts w:ascii="Times New Roman" w:cs="Times New Roman" w:eastAsia="Times New Roman" w:hAnsi="Times New Roman"/>
                <w:sz w:val="21"/>
                <w:szCs w:val="21"/>
                <w:b w:val="1"/>
                <w:bCs w:val="1"/>
                <w:color w:val="auto"/>
              </w:rPr>
              <w:t>FOR MERCK HEALTHCARE KGAA:</w:t>
            </w:r>
          </w:p>
        </w:tc>
      </w:tr>
      <w:tr>
        <w:trPr>
          <w:trHeight w:val="879"/>
        </w:trPr>
        <w:tc>
          <w:tcPr>
            <w:tcW w:w="28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Signature:  /s/ A L Hopkins</w:t>
            </w: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8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Signature:  /s/ Danny Bar Zohar</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28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Printed Name:  A L Hopkins</w:t>
            </w: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8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Printed Name:  Danny Bar Zohar</w:t>
            </w:r>
          </w:p>
        </w:tc>
      </w:tr>
      <w:tr>
        <w:trPr>
          <w:trHeight w:val="20"/>
        </w:trPr>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12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Title:  CEO</w:t>
            </w:r>
          </w:p>
        </w:tc>
        <w:tc>
          <w:tcPr>
            <w:tcW w:w="16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8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Title:Global Head of Research &amp; Development and Chief</w:t>
            </w:r>
          </w:p>
        </w:tc>
      </w:tr>
      <w:tr>
        <w:trPr>
          <w:trHeight w:val="20"/>
        </w:trPr>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25"/>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40" w:type="dxa"/>
            <w:vAlign w:val="bottom"/>
            <w:tcBorders>
              <w:bottom w:val="single" w:sz="8" w:color="auto"/>
            </w:tcBorders>
            <w:gridSpan w:val="4"/>
          </w:tcPr>
          <w:p>
            <w:pPr>
              <w:spacing w:after="0" w:line="225" w:lineRule="exact"/>
              <w:rPr>
                <w:sz w:val="20"/>
                <w:szCs w:val="20"/>
                <w:color w:val="auto"/>
              </w:rPr>
            </w:pPr>
            <w:r>
              <w:rPr>
                <w:rFonts w:ascii="Times New Roman" w:cs="Times New Roman" w:eastAsia="Times New Roman" w:hAnsi="Times New Roman"/>
                <w:sz w:val="21"/>
                <w:szCs w:val="21"/>
                <w:color w:val="auto"/>
              </w:rPr>
              <w:t>Medical Officer</w:t>
            </w:r>
          </w:p>
        </w:tc>
        <w:tc>
          <w:tcPr>
            <w:tcW w:w="3740" w:type="dxa"/>
            <w:vAlign w:val="bottom"/>
            <w:gridSpan w:val="6"/>
          </w:tcPr>
          <w:p>
            <w:pPr>
              <w:spacing w:after="0"/>
              <w:rPr>
                <w:sz w:val="19"/>
                <w:szCs w:val="19"/>
                <w:color w:val="auto"/>
              </w:rPr>
            </w:pPr>
          </w:p>
        </w:tc>
      </w:tr>
      <w:tr>
        <w:trPr>
          <w:trHeight w:val="934"/>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8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Signature:  /s/ Matthias Muellenbeck</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08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8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Printed Name:  Matthias Muellenbeck</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2380" w:type="dxa"/>
            <w:vAlign w:val="bottom"/>
            <w:gridSpan w:val="5"/>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8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Title:   SVP, Head of Global Business Development &amp; Alliance</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4180" w:type="dxa"/>
            <w:vAlign w:val="bottom"/>
            <w:gridSpan w:val="6"/>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80" w:type="dxa"/>
            <w:vAlign w:val="bottom"/>
            <w:tcBorders>
              <w:bottom w:val="single" w:sz="8" w:color="auto"/>
            </w:tcBorders>
            <w:gridSpan w:val="3"/>
          </w:tcPr>
          <w:p>
            <w:pPr>
              <w:spacing w:after="0" w:line="225" w:lineRule="exact"/>
              <w:rPr>
                <w:sz w:val="20"/>
                <w:szCs w:val="20"/>
                <w:color w:val="auto"/>
              </w:rPr>
            </w:pPr>
            <w:r>
              <w:rPr>
                <w:rFonts w:ascii="Times New Roman" w:cs="Times New Roman" w:eastAsia="Times New Roman" w:hAnsi="Times New Roman"/>
                <w:sz w:val="21"/>
                <w:szCs w:val="21"/>
                <w:color w:val="auto"/>
              </w:rPr>
              <w:t>Management</w:t>
            </w:r>
          </w:p>
        </w:tc>
        <w:tc>
          <w:tcPr>
            <w:tcW w:w="4200" w:type="dxa"/>
            <w:vAlign w:val="bottom"/>
            <w:gridSpan w:val="7"/>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180"/>
          </w:cols>
          <w:pgMar w:left="320" w:top="1440" w:right="399" w:bottom="1440" w:gutter="0" w:footer="0" w:header="0"/>
        </w:sectPr>
      </w:pPr>
    </w:p>
    <w:bookmarkStart w:id="387" w:name="page388"/>
    <w:bookmarkEnd w:id="387"/>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1.18</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Initial Collaboration Targets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9019"/>
          </w:cols>
          <w:pgMar w:left="1440" w:top="1360" w:right="1440"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1.99</w:t>
      </w:r>
    </w:p>
    <w:p>
      <w:pPr>
        <w:sectPr>
          <w:pgSz w:w="11900" w:h="16838" w:orient="portrait"/>
          <w:cols w:equalWidth="0" w:num="1">
            <w:col w:w="9019"/>
          </w:cols>
          <w:pgMar w:left="1440" w:top="1361" w:right="1440" w:bottom="1440"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9019"/>
          </w:cols>
          <w:pgMar w:left="1440" w:top="1361" w:right="1440" w:bottom="1440" w:gutter="0" w:footer="0" w:header="0"/>
          <w:type w:val="continuous"/>
        </w:sectPr>
      </w:pPr>
    </w:p>
    <w:bookmarkStart w:id="389" w:name="page390"/>
    <w:bookmarkEnd w:id="389"/>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3.1.1-A</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Research Plan –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9019"/>
          </w:cols>
          <w:pgMar w:left="1440" w:top="1360" w:right="1440" w:bottom="1440" w:gutter="0" w:footer="0" w:header="0"/>
        </w:sectPr>
      </w:pPr>
    </w:p>
    <w:bookmarkStart w:id="390" w:name="page391"/>
    <w:bookmarkEnd w:id="39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3.1.1-B</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xml:space="preserve">Research Plan – </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9019"/>
          </w:cols>
          <w:pgMar w:left="1440" w:top="1360" w:right="1440" w:bottom="1440" w:gutter="0" w:footer="0" w:header="0"/>
        </w:sectPr>
      </w:pPr>
    </w:p>
    <w:bookmarkStart w:id="391" w:name="page392"/>
    <w:bookmarkEnd w:id="391"/>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3.9</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List of Approved Contract Research Organizations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9019"/>
          </w:cols>
          <w:pgMar w:left="1440" w:top="1440" w:right="1440" w:bottom="1440" w:gutter="0" w:footer="0" w:header="0"/>
        </w:sectPr>
      </w:pPr>
    </w:p>
    <w:bookmarkStart w:id="392" w:name="page393"/>
    <w:bookmarkEnd w:id="392"/>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Schedule 4.4</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Technology Transfer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139"/>
          </w:cols>
          <w:pgMar w:left="320" w:top="1361" w:right="1440" w:bottom="1440" w:gutter="0" w:footer="0" w:header="0"/>
        </w:sectPr>
      </w:pPr>
    </w:p>
    <w:bookmarkStart w:id="393" w:name="page394"/>
    <w:bookmarkEnd w:id="393"/>
    <w:p>
      <w:pPr>
        <w:ind w:left="4600"/>
        <w:spacing w:after="0"/>
        <w:rPr>
          <w:sz w:val="20"/>
          <w:szCs w:val="20"/>
          <w:color w:val="auto"/>
        </w:rPr>
      </w:pPr>
      <w:r>
        <w:rPr>
          <w:rFonts w:ascii="Times New Roman" w:cs="Times New Roman" w:eastAsia="Times New Roman" w:hAnsi="Times New Roman"/>
          <w:sz w:val="21"/>
          <w:szCs w:val="21"/>
          <w:b w:val="1"/>
          <w:bCs w:val="1"/>
          <w:color w:val="auto"/>
        </w:rPr>
        <w:t>9.4.1</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Dataflow, Global vs. Merck model</w:t>
      </w:r>
    </w:p>
    <w:p>
      <w:pPr>
        <w:spacing w:after="0" w:line="1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9019"/>
          </w:cols>
          <w:pgMar w:left="1440" w:top="1361" w:right="1440" w:bottom="1440" w:gutter="0" w:footer="0" w:header="0"/>
        </w:sectPr>
      </w:pPr>
    </w:p>
    <w:bookmarkStart w:id="394" w:name="page395"/>
    <w:bookmarkEnd w:id="394"/>
    <w:p>
      <w:pPr>
        <w:ind w:left="10080"/>
        <w:spacing w:after="0"/>
        <w:rPr>
          <w:sz w:val="20"/>
          <w:szCs w:val="20"/>
          <w:color w:val="auto"/>
        </w:rPr>
      </w:pPr>
      <w:r>
        <w:rPr>
          <w:rFonts w:ascii="Times New Roman" w:cs="Times New Roman" w:eastAsia="Times New Roman" w:hAnsi="Times New Roman"/>
          <w:sz w:val="20"/>
          <w:szCs w:val="20"/>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SALES AGREEMENT</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February 28,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Citigroup Global Markets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388 Greenwich Street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 10013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18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0"/>
          <w:szCs w:val="20"/>
          <w:color w:val="auto"/>
        </w:rPr>
        <w:t>Recursion Pharmaceuticals,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proposes, subject to the terms and conditions stated herein, to issue and sell from time to time through Citigroup Global Markets Inc., as sales agent and/or principal (the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shares of the Company’s Class A common stock, par value $0.00001 per share (the “</w:t>
      </w:r>
      <w:r>
        <w:rPr>
          <w:rFonts w:ascii="Times New Roman" w:cs="Times New Roman" w:eastAsia="Times New Roman" w:hAnsi="Times New Roman"/>
          <w:sz w:val="20"/>
          <w:szCs w:val="20"/>
          <w:b w:val="1"/>
          <w:bCs w:val="1"/>
          <w:color w:val="auto"/>
        </w:rPr>
        <w:t>Class A Common Shares</w:t>
      </w:r>
      <w:r>
        <w:rPr>
          <w:rFonts w:ascii="Times New Roman" w:cs="Times New Roman" w:eastAsia="Times New Roman" w:hAnsi="Times New Roman"/>
          <w:sz w:val="20"/>
          <w:szCs w:val="20"/>
          <w:color w:val="auto"/>
        </w:rPr>
        <w:t>”), having an aggregate offering price of up to $500,000,000 on the terms set forth in this sales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The Class A Common Shares and the shares of the Company’s Class B common stock, par value $0.00001 per share, are referred to herein as the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1.</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175" w:lineRule="exact"/>
        <w:rPr>
          <w:sz w:val="20"/>
          <w:szCs w:val="20"/>
          <w:color w:val="auto"/>
        </w:rPr>
      </w:pPr>
    </w:p>
    <w:p>
      <w:pPr>
        <w:ind w:firstLine="622"/>
        <w:spacing w:after="0" w:line="235" w:lineRule="auto"/>
        <w:tabs>
          <w:tab w:leader="none" w:pos="1234"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 For purposes of this Agreement, capitalized terms used herein and not otherwise defined shall have the following respective meanings:</w:t>
      </w:r>
    </w:p>
    <w:p>
      <w:pPr>
        <w:spacing w:after="0" w:line="16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Agency Period</w:t>
      </w:r>
      <w:r>
        <w:rPr>
          <w:rFonts w:ascii="Times New Roman" w:cs="Times New Roman" w:eastAsia="Times New Roman" w:hAnsi="Times New Roman"/>
          <w:sz w:val="21"/>
          <w:szCs w:val="21"/>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Commission</w:t>
      </w:r>
      <w:r>
        <w:rPr>
          <w:rFonts w:ascii="Times New Roman" w:cs="Times New Roman" w:eastAsia="Times New Roman" w:hAnsi="Times New Roman"/>
          <w:sz w:val="21"/>
          <w:szCs w:val="21"/>
          <w:color w:val="auto"/>
        </w:rPr>
        <w:t>” means the U.S. Securities and Exchange Commission.</w:t>
      </w:r>
    </w:p>
    <w:p>
      <w:pPr>
        <w:spacing w:after="0" w:line="223"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 and the rules and regulations of the Commission thereunder.</w:t>
      </w:r>
    </w:p>
    <w:p>
      <w:pPr>
        <w:spacing w:after="0" w:line="1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Floor Price</w:t>
      </w:r>
      <w:r>
        <w:rPr>
          <w:rFonts w:ascii="Times New Roman" w:cs="Times New Roman" w:eastAsia="Times New Roman" w:hAnsi="Times New Roman"/>
          <w:sz w:val="21"/>
          <w:szCs w:val="21"/>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ectPr>
          <w:pgSz w:w="11900" w:h="16838" w:orient="portrait"/>
          <w:cols w:equalWidth="0" w:num="1">
            <w:col w:w="11240"/>
          </w:cols>
          <w:pgMar w:left="320" w:top="123" w:right="339" w:bottom="1440" w:gutter="0" w:footer="0" w:header="0"/>
        </w:sectPr>
      </w:pPr>
    </w:p>
    <w:bookmarkStart w:id="395" w:name="page396"/>
    <w:bookmarkEnd w:id="395"/>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Issuance Amount</w:t>
      </w:r>
      <w:r>
        <w:rPr>
          <w:rFonts w:ascii="Times New Roman" w:cs="Times New Roman" w:eastAsia="Times New Roman" w:hAnsi="Times New Roman"/>
          <w:sz w:val="21"/>
          <w:szCs w:val="21"/>
          <w:color w:val="auto"/>
        </w:rPr>
        <w:t>” means the aggregate Sales Price of the Shares to be sold by the Agent pursuant to any Issuance Notice.</w:t>
      </w:r>
    </w:p>
    <w:p>
      <w:pPr>
        <w:spacing w:after="0" w:line="210"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Issuance Notice</w:t>
      </w:r>
      <w:r>
        <w:rPr>
          <w:rFonts w:ascii="Times New Roman" w:cs="Times New Roman" w:eastAsia="Times New Roman" w:hAnsi="Times New Roman"/>
          <w:sz w:val="21"/>
          <w:szCs w:val="21"/>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that is executed by its Chief Executive Officer or Chief Financial Officer.</w:t>
      </w:r>
    </w:p>
    <w:p>
      <w:pPr>
        <w:spacing w:after="0" w:line="160"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Issuance Notice Date</w:t>
      </w:r>
      <w:r>
        <w:rPr>
          <w:rFonts w:ascii="Times New Roman" w:cs="Times New Roman" w:eastAsia="Times New Roman" w:hAnsi="Times New Roman"/>
          <w:sz w:val="21"/>
          <w:szCs w:val="21"/>
          <w:color w:val="auto"/>
        </w:rPr>
        <w:t xml:space="preserve">” means any Trading Day during the Agency Period that an Issuance Notice is delivered pursuant to </w:t>
      </w:r>
      <w:r>
        <w:rPr>
          <w:rFonts w:ascii="Times New Roman" w:cs="Times New Roman" w:eastAsia="Times New Roman" w:hAnsi="Times New Roman"/>
          <w:sz w:val="21"/>
          <w:szCs w:val="21"/>
          <w:u w:val="single" w:color="auto"/>
          <w:color w:val="auto"/>
        </w:rPr>
        <w:t>Section 3(b)(i)</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Issuance Price</w:t>
      </w:r>
      <w:r>
        <w:rPr>
          <w:rFonts w:ascii="Times New Roman" w:cs="Times New Roman" w:eastAsia="Times New Roman" w:hAnsi="Times New Roman"/>
          <w:sz w:val="21"/>
          <w:szCs w:val="21"/>
          <w:color w:val="auto"/>
        </w:rPr>
        <w:t>” means the Sales Price less the Selling Commission.</w:t>
      </w:r>
    </w:p>
    <w:p>
      <w:pPr>
        <w:spacing w:after="0" w:line="210"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Maximum Program Amount</w:t>
      </w:r>
      <w:r>
        <w:rPr>
          <w:rFonts w:ascii="Times New Roman" w:cs="Times New Roman" w:eastAsia="Times New Roman" w:hAnsi="Times New Roman"/>
          <w:sz w:val="21"/>
          <w:szCs w:val="21"/>
          <w:color w:val="auto"/>
        </w:rPr>
        <w:t>” means Class A Common Shares with an aggregate Sales Price of the lesser of (a) the number or dollar amount of Class A Common Shares registered under the effective Registration Statement (defined below) pursuant to which the offering is being made, (b) the number of authorized but unissued Class A Common Shares (less Class A Common Shares issuable upon exercise, conversion or exchange of any outstanding securities of the Company or otherwise reserved from the Company’s authorized capital stock), (c) the number or dollar amount of Class A Common Shares permitted to be sold under Form S-3 (including General Instruction I.B.6 thereof, if applicable), (d) the number or dollar amount of Class A Common Shares for which the Company has filed a Prospectus (defined below) or (e) $500,000,000.</w:t>
      </w:r>
    </w:p>
    <w:p>
      <w:pPr>
        <w:spacing w:after="0" w:line="173" w:lineRule="exact"/>
        <w:rPr>
          <w:sz w:val="20"/>
          <w:szCs w:val="20"/>
          <w:color w:val="auto"/>
        </w:rPr>
      </w:pPr>
    </w:p>
    <w:p>
      <w:pPr>
        <w:jc w:val="both"/>
        <w:ind w:firstLine="61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 individual or a corporation, partnership, limited liability company, trust, incorporated or unincorporated association, joint venture, joint stock company, governmental authority or other entity of any kind.</w:t>
      </w:r>
    </w:p>
    <w:p>
      <w:pPr>
        <w:spacing w:after="0" w:line="13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Principal Market</w:t>
      </w:r>
      <w:r>
        <w:rPr>
          <w:rFonts w:ascii="Times New Roman" w:cs="Times New Roman" w:eastAsia="Times New Roman" w:hAnsi="Times New Roman"/>
          <w:sz w:val="21"/>
          <w:szCs w:val="21"/>
          <w:color w:val="auto"/>
        </w:rPr>
        <w:t>” means the Nasdaq Global Select Market or such other national securities exchange on which the Class A Common Shares, including any Shares, are then listed.</w:t>
      </w:r>
    </w:p>
    <w:p>
      <w:pPr>
        <w:spacing w:after="0" w:line="14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Rule 462(b) Registration Statement</w:t>
      </w:r>
      <w:r>
        <w:rPr>
          <w:rFonts w:ascii="Times New Roman" w:cs="Times New Roman" w:eastAsia="Times New Roman" w:hAnsi="Times New Roman"/>
          <w:sz w:val="21"/>
          <w:szCs w:val="21"/>
          <w:color w:val="auto"/>
        </w:rPr>
        <w:t>” means any registration statement filed by the Company pursuant to Rule 462(b) under the Securities Act in connection with the offer and sale of Shares.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Sales Price</w:t>
      </w:r>
      <w:r>
        <w:rPr>
          <w:rFonts w:ascii="Times New Roman" w:cs="Times New Roman" w:eastAsia="Times New Roman" w:hAnsi="Times New Roman"/>
          <w:sz w:val="21"/>
          <w:szCs w:val="21"/>
          <w:color w:val="auto"/>
        </w:rPr>
        <w:t>” means the actual sale execution price of each Share placed by the Agent pursuant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 and the rules and regulations of the Commission thereunder.</w:t>
      </w:r>
    </w:p>
    <w:p>
      <w:pPr>
        <w:spacing w:after="0" w:line="210"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Selling Commission</w:t>
      </w:r>
      <w:r>
        <w:rPr>
          <w:rFonts w:ascii="Times New Roman" w:cs="Times New Roman" w:eastAsia="Times New Roman" w:hAnsi="Times New Roman"/>
          <w:sz w:val="21"/>
          <w:szCs w:val="21"/>
          <w:color w:val="auto"/>
        </w:rPr>
        <w:t xml:space="preserve"> ” means three percent (3.0%) of the gross proceeds of Shares sold pursuant to this Agreement, or as otherwise agreed between the Company and the Agent with respect to any Shares sold pursuant to this Agreement.</w:t>
      </w:r>
    </w:p>
    <w:p>
      <w:pPr>
        <w:spacing w:after="0" w:line="147" w:lineRule="exact"/>
        <w:rPr>
          <w:sz w:val="20"/>
          <w:szCs w:val="20"/>
          <w:color w:val="auto"/>
        </w:rPr>
      </w:pPr>
    </w:p>
    <w:p>
      <w:pPr>
        <w:jc w:val="both"/>
        <w:ind w:firstLine="61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Settlement Date</w:t>
      </w:r>
      <w:r>
        <w:rPr>
          <w:rFonts w:ascii="Times New Roman" w:cs="Times New Roman" w:eastAsia="Times New Roman" w:hAnsi="Times New Roman"/>
          <w:sz w:val="21"/>
          <w:szCs w:val="21"/>
          <w:color w:val="auto"/>
        </w:rPr>
        <w:t>” means the first business day, or such other time period as required by the Exchange Act or by the rules promulgated thereunder, following each Trading Day during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1" w:right="339" w:bottom="1440" w:gutter="0" w:footer="0" w:header="0"/>
        </w:sectPr>
      </w:pPr>
    </w:p>
    <w:bookmarkStart w:id="396" w:name="page397"/>
    <w:bookmarkEnd w:id="396"/>
    <w:p>
      <w:pPr>
        <w:jc w:val="both"/>
        <w:spacing w:after="0" w:line="256" w:lineRule="auto"/>
        <w:rPr>
          <w:sz w:val="20"/>
          <w:szCs w:val="20"/>
          <w:color w:val="auto"/>
        </w:rPr>
      </w:pPr>
      <w:r>
        <w:rPr>
          <w:rFonts w:ascii="Times New Roman" w:cs="Times New Roman" w:eastAsia="Times New Roman" w:hAnsi="Times New Roman"/>
          <w:sz w:val="21"/>
          <w:szCs w:val="21"/>
          <w:color w:val="auto"/>
        </w:rPr>
        <w:t>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means the Company’s Class A Common Shares issued or issuable pursuant to this Agreement.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means any day on which the Principal Market is open for trading.</w:t>
      </w:r>
    </w:p>
    <w:p>
      <w:pPr>
        <w:spacing w:after="0" w:line="18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2.</w:t>
      </w:r>
      <w:r>
        <w:rPr>
          <w:sz w:val="20"/>
          <w:szCs w:val="20"/>
          <w:color w:val="auto"/>
        </w:rPr>
        <w:tab/>
      </w:r>
      <w:r>
        <w:rPr>
          <w:rFonts w:ascii="Times New Roman" w:cs="Times New Roman" w:eastAsia="Times New Roman" w:hAnsi="Times New Roman"/>
          <w:sz w:val="20"/>
          <w:szCs w:val="20"/>
          <w:b w:val="1"/>
          <w:bCs w:val="1"/>
          <w:color w:val="auto"/>
        </w:rPr>
        <w:t>REPRESENTATIONS AND WARRANTIES OF THE COMPANY</w:t>
      </w:r>
    </w:p>
    <w:p>
      <w:pPr>
        <w:spacing w:after="0" w:line="201"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The Company represents and warrants to, and agrees with, the Agent that as of (1) the date of this Agreement, (2) each Issuance Notice Date, (3) each Settlement Date, (4) each Triggering Event Date (as defined below) with respect to which the Company is required to deliver a certificate pursuant to Section 4(o) (and such requirement is not waived) and (5) as of each Time of Sale (as defined below) (each of the times referenced above is referred to herein as a “</w:t>
      </w:r>
      <w:r>
        <w:rPr>
          <w:rFonts w:ascii="Times New Roman" w:cs="Times New Roman" w:eastAsia="Times New Roman" w:hAnsi="Times New Roman"/>
          <w:sz w:val="21"/>
          <w:szCs w:val="21"/>
          <w:b w:val="1"/>
          <w:bCs w:val="1"/>
          <w:color w:val="auto"/>
        </w:rPr>
        <w:t>Representation Date</w:t>
      </w:r>
      <w:r>
        <w:rPr>
          <w:rFonts w:ascii="Times New Roman" w:cs="Times New Roman" w:eastAsia="Times New Roman" w:hAnsi="Times New Roman"/>
          <w:sz w:val="21"/>
          <w:szCs w:val="21"/>
          <w:color w:val="auto"/>
        </w:rPr>
        <w:t>”), except as may be disclosed in the Prospectus (including any documents incorporated by reference therein and any supplements thereto) on or before a Representation Date:</w:t>
      </w:r>
    </w:p>
    <w:p>
      <w:pPr>
        <w:spacing w:after="0" w:line="148" w:lineRule="exact"/>
        <w:rPr>
          <w:sz w:val="20"/>
          <w:szCs w:val="20"/>
          <w:color w:val="auto"/>
        </w:rPr>
      </w:pPr>
    </w:p>
    <w:p>
      <w:pPr>
        <w:jc w:val="both"/>
        <w:ind w:firstLine="622"/>
        <w:spacing w:after="0" w:line="218" w:lineRule="auto"/>
        <w:tabs>
          <w:tab w:leader="none" w:pos="123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The Company has prepared and filed with the Commission an automatic shelf registration statement, as defined under Rule 405 of the Securities Act, on Form S-3ASR (File No. 333-284878)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20"/>
          <w:szCs w:val="20"/>
          <w:b w:val="1"/>
          <w:bCs w:val="1"/>
          <w:color w:val="auto"/>
        </w:rPr>
        <w:t>Prospectus</w:t>
      </w:r>
      <w:r>
        <w:rPr>
          <w:rFonts w:ascii="Times New Roman" w:cs="Times New Roman" w:eastAsia="Times New Roman" w:hAnsi="Times New Roman"/>
          <w:sz w:val="20"/>
          <w:szCs w:val="20"/>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20"/>
          <w:szCs w:val="20"/>
          <w:b w:val="1"/>
          <w:bCs w:val="1"/>
          <w:color w:val="auto"/>
        </w:rPr>
        <w:t>Prospectus</w:t>
      </w:r>
      <w:r>
        <w:rPr>
          <w:rFonts w:ascii="Times New Roman" w:cs="Times New Roman" w:eastAsia="Times New Roman" w:hAnsi="Times New Roman"/>
          <w:sz w:val="20"/>
          <w:szCs w:val="20"/>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20"/>
          <w:szCs w:val="20"/>
          <w:b w:val="1"/>
          <w:bCs w:val="1"/>
          <w:color w:val="auto"/>
        </w:rPr>
        <w:t>Original Registration Statement</w:t>
      </w:r>
      <w:r>
        <w:rPr>
          <w:rFonts w:ascii="Times New Roman" w:cs="Times New Roman" w:eastAsia="Times New Roman" w:hAnsi="Times New Roman"/>
          <w:sz w:val="20"/>
          <w:szCs w:val="20"/>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8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4" w:right="339" w:bottom="1440" w:gutter="0" w:footer="0" w:header="0"/>
        </w:sectPr>
      </w:pPr>
    </w:p>
    <w:bookmarkStart w:id="397" w:name="page398"/>
    <w:bookmarkEnd w:id="397"/>
    <w:p>
      <w:pPr>
        <w:jc w:val="both"/>
        <w:spacing w:after="0" w:line="263" w:lineRule="auto"/>
        <w:rPr>
          <w:sz w:val="20"/>
          <w:szCs w:val="20"/>
          <w:color w:val="auto"/>
        </w:rPr>
      </w:pPr>
      <w:r>
        <w:rPr>
          <w:rFonts w:ascii="Times New Roman" w:cs="Times New Roman" w:eastAsia="Times New Roman" w:hAnsi="Times New Roman"/>
          <w:sz w:val="20"/>
          <w:szCs w:val="20"/>
          <w:color w:val="auto"/>
        </w:rPr>
        <w:t>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or deliver or make available (and all other references of like import) copies of any report or statement shall be deemed satisfied if the same is filed with the Commission through its Electronic Data Gathering, Analysis and Retrieval system (“</w:t>
      </w:r>
      <w:r>
        <w:rPr>
          <w:rFonts w:ascii="Times New Roman" w:cs="Times New Roman" w:eastAsia="Times New Roman" w:hAnsi="Times New Roman"/>
          <w:sz w:val="20"/>
          <w:szCs w:val="20"/>
          <w:b w:val="1"/>
          <w:bCs w:val="1"/>
          <w:color w:val="auto"/>
        </w:rPr>
        <w:t>EDGAR</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The Original Registration Statement is an “automatic shelf registration statement,” as defined in Rule 405 under the Securities Act, and became effective upon filing. The Company has not received from the Commission any notice pursuant to Rule 401(g)(2) under the Securities Act objecting to the Company’s use of the automatic shelf registration form. At the time the Registration Statement became or will become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54" w:lineRule="exact"/>
        <w:rPr>
          <w:sz w:val="20"/>
          <w:szCs w:val="20"/>
          <w:color w:val="auto"/>
        </w:rPr>
      </w:pPr>
    </w:p>
    <w:p>
      <w:pPr>
        <w:jc w:val="both"/>
        <w:ind w:firstLine="622"/>
        <w:spacing w:after="0" w:line="217" w:lineRule="auto"/>
        <w:tabs>
          <w:tab w:leader="none" w:pos="1233"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Registration Requirements</w:t>
      </w:r>
      <w:r>
        <w:rPr>
          <w:rFonts w:ascii="Times New Roman" w:cs="Times New Roman" w:eastAsia="Times New Roman" w:hAnsi="Times New Roman"/>
          <w:sz w:val="21"/>
          <w:szCs w:val="21"/>
          <w:color w:val="auto"/>
        </w:rPr>
        <w:t>. The Original Registration Statement and any Rule 462(b) Registration Statement became or will become effective under the Securities Act. The Company has complied to the Commission’s satisfaction with all requests of the Commission for additional or supplemental information, if any. No stop order suspending the effectiveness of the Registration Statement or any Rule 462(b) Registration Statement is in effect and no proceedings for such purpose have been instituted or are pending or, to the Company’s knowledge, are contemplated or threatened by the Commission.</w:t>
      </w:r>
    </w:p>
    <w:p>
      <w:pPr>
        <w:spacing w:after="0" w:line="172" w:lineRule="exact"/>
        <w:rPr>
          <w:sz w:val="20"/>
          <w:szCs w:val="20"/>
          <w:color w:val="auto"/>
        </w:rPr>
      </w:pPr>
    </w:p>
    <w:p>
      <w:pPr>
        <w:jc w:val="both"/>
        <w:ind w:firstLine="215"/>
        <w:spacing w:after="0" w:line="248" w:lineRule="auto"/>
        <w:rPr>
          <w:sz w:val="20"/>
          <w:szCs w:val="20"/>
          <w:color w:val="auto"/>
        </w:rPr>
      </w:pPr>
      <w:r>
        <w:rPr>
          <w:rFonts w:ascii="Times New Roman" w:cs="Times New Roman" w:eastAsia="Times New Roman" w:hAnsi="Times New Roman"/>
          <w:sz w:val="21"/>
          <w:szCs w:val="21"/>
          <w:color w:val="auto"/>
        </w:rPr>
        <w:t>The Prospectus when filed complied or will comply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21"/>
          <w:szCs w:val="21"/>
          <w:b w:val="1"/>
          <w:bCs w:val="1"/>
          <w:color w:val="auto"/>
        </w:rPr>
        <w:t>Time of Sale Information</w:t>
      </w:r>
      <w:r>
        <w:rPr>
          <w:rFonts w:ascii="Times New Roman" w:cs="Times New Roman" w:eastAsia="Times New Roman" w:hAnsi="Times New Roman"/>
          <w:sz w:val="21"/>
          <w:szCs w:val="21"/>
          <w:color w:val="auto"/>
        </w:rPr>
        <w:t>”) did not contain any untrue statement of a material fact or omit to state a material fact necessary to make the statements therein, in the light of the circumstances under which they were made, not misleading. The Prospectus, as amended or supplemented, as of its date, at each Representation Date and at each Settlement Date, did not and will not contain any untrue statement of a material fact or omit to state a material fact necessary in order to make the statements therein, in the light of the circumstances under which they were made, not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4" w:right="339" w:bottom="1440" w:gutter="0" w:footer="0" w:header="0"/>
        </w:sectPr>
      </w:pPr>
    </w:p>
    <w:bookmarkStart w:id="398" w:name="page399"/>
    <w:bookmarkEnd w:id="398"/>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87" w:lineRule="exact"/>
        <w:rPr>
          <w:sz w:val="20"/>
          <w:szCs w:val="20"/>
          <w:color w:val="auto"/>
        </w:rPr>
      </w:pPr>
    </w:p>
    <w:p>
      <w:pPr>
        <w:jc w:val="both"/>
        <w:ind w:firstLine="622"/>
        <w:spacing w:after="0" w:line="220" w:lineRule="auto"/>
        <w:tabs>
          <w:tab w:leader="none" w:pos="1234"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Ineligible Issuer Status</w:t>
      </w:r>
      <w:r>
        <w:rPr>
          <w:rFonts w:ascii="Times New Roman" w:cs="Times New Roman" w:eastAsia="Times New Roman" w:hAnsi="Times New Roman"/>
          <w:sz w:val="20"/>
          <w:szCs w:val="20"/>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at each Representation Date and at each Settlement Date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which consent shall not be unreasonably withheld, conditioned or delayed, prepare, use or refer to, any Free Writing Prospectus.</w:t>
      </w:r>
    </w:p>
    <w:p>
      <w:pPr>
        <w:spacing w:after="0" w:line="151" w:lineRule="exact"/>
        <w:rPr>
          <w:rFonts w:ascii="Times New Roman" w:cs="Times New Roman" w:eastAsia="Times New Roman" w:hAnsi="Times New Roman"/>
          <w:sz w:val="20"/>
          <w:szCs w:val="20"/>
          <w:color w:val="auto"/>
        </w:rPr>
      </w:pPr>
    </w:p>
    <w:p>
      <w:pPr>
        <w:jc w:val="both"/>
        <w:ind w:firstLine="622"/>
        <w:spacing w:after="0" w:line="217" w:lineRule="auto"/>
        <w:tabs>
          <w:tab w:leader="none" w:pos="1233"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Incorporated Documents</w:t>
      </w:r>
      <w:r>
        <w:rPr>
          <w:rFonts w:ascii="Times New Roman" w:cs="Times New Roman" w:eastAsia="Times New Roman" w:hAnsi="Times New Roman"/>
          <w:sz w:val="21"/>
          <w:szCs w:val="21"/>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45" w:lineRule="exact"/>
        <w:rPr>
          <w:rFonts w:ascii="Times New Roman" w:cs="Times New Roman" w:eastAsia="Times New Roman" w:hAnsi="Times New Roman"/>
          <w:sz w:val="21"/>
          <w:szCs w:val="21"/>
          <w:color w:val="auto"/>
        </w:rPr>
      </w:pPr>
    </w:p>
    <w:p>
      <w:pPr>
        <w:jc w:val="both"/>
        <w:ind w:firstLine="622"/>
        <w:spacing w:after="0" w:line="213" w:lineRule="auto"/>
        <w:tabs>
          <w:tab w:leader="none" w:pos="1234"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Exchange Act Compliance</w:t>
      </w:r>
      <w:r>
        <w:rPr>
          <w:rFonts w:ascii="Times New Roman" w:cs="Times New Roman" w:eastAsia="Times New Roman" w:hAnsi="Times New Roman"/>
          <w:sz w:val="21"/>
          <w:szCs w:val="21"/>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became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4" w:right="339" w:bottom="1440" w:gutter="0" w:footer="0" w:header="0"/>
        </w:sectPr>
      </w:pPr>
    </w:p>
    <w:bookmarkStart w:id="399" w:name="page400"/>
    <w:bookmarkEnd w:id="399"/>
    <w:p>
      <w:pPr>
        <w:jc w:val="both"/>
        <w:ind w:firstLine="622"/>
        <w:spacing w:after="0" w:line="222" w:lineRule="auto"/>
        <w:tabs>
          <w:tab w:leader="none" w:pos="1237" w:val="left"/>
        </w:tabs>
        <w:numPr>
          <w:ilvl w:val="1"/>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Well-Known Seasoned Issuer</w:t>
      </w:r>
      <w:r>
        <w:rPr>
          <w:rFonts w:ascii="Times New Roman" w:cs="Times New Roman" w:eastAsia="Times New Roman" w:hAnsi="Times New Roman"/>
          <w:sz w:val="20"/>
          <w:szCs w:val="20"/>
          <w:color w:val="auto"/>
        </w:rPr>
        <w:t>. (A) At the time of effectiveness of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w:t>
      </w:r>
    </w:p>
    <w:p>
      <w:pPr>
        <w:spacing w:after="0" w:line="2" w:lineRule="exact"/>
        <w:rPr>
          <w:rFonts w:ascii="Times New Roman" w:cs="Times New Roman" w:eastAsia="Times New Roman" w:hAnsi="Times New Roman"/>
          <w:sz w:val="20"/>
          <w:szCs w:val="20"/>
          <w:color w:val="auto"/>
        </w:rPr>
      </w:pPr>
    </w:p>
    <w:p>
      <w:pPr>
        <w:jc w:val="both"/>
        <w:ind w:firstLine="3"/>
        <w:spacing w:after="0" w:line="218" w:lineRule="auto"/>
        <w:tabs>
          <w:tab w:leader="none" w:pos="350"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the Company or any person acting on its behalf (within the meaning, for this clause only, of Rule 163(c) under the Securities Act) made any offer relating to the Shares in reliance on the exemption of Rule 163 under the Securities Act, and (D) as of the Time of Sale, the Company was and is a “well-known seasoned issuer,” as defined in Rule 405 under the Securities Act.</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3" w:val="left"/>
        </w:tabs>
        <w:numPr>
          <w:ilvl w:val="1"/>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Statistical and Market-Related Data</w:t>
      </w:r>
      <w:r>
        <w:rPr>
          <w:rFonts w:ascii="Times New Roman" w:cs="Times New Roman" w:eastAsia="Times New Roman" w:hAnsi="Times New Roman"/>
          <w:sz w:val="21"/>
          <w:szCs w:val="21"/>
          <w:color w:val="auto"/>
        </w:rPr>
        <w:t>. Nothing has come to the attention of the Company that has caused the Company to believe that the statistical and market-related data included or incorporated by reference in the Registration Statement or the Prospectus are not based on or derived from sources that are reliable and accurate in all material respects.</w:t>
      </w:r>
    </w:p>
    <w:p>
      <w:pPr>
        <w:spacing w:after="0" w:line="145" w:lineRule="exact"/>
        <w:rPr>
          <w:rFonts w:ascii="Times New Roman" w:cs="Times New Roman" w:eastAsia="Times New Roman" w:hAnsi="Times New Roman"/>
          <w:sz w:val="21"/>
          <w:szCs w:val="21"/>
          <w:color w:val="auto"/>
        </w:rPr>
      </w:pPr>
    </w:p>
    <w:p>
      <w:pPr>
        <w:jc w:val="both"/>
        <w:ind w:firstLine="622"/>
        <w:spacing w:after="0" w:line="219" w:lineRule="auto"/>
        <w:tabs>
          <w:tab w:leader="none" w:pos="1233"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 Controls and Procedures; Deficiencies in or Changes to Internal Control Over Financial Reporting</w:t>
      </w:r>
      <w:r>
        <w:rPr>
          <w:rFonts w:ascii="Times New Roman" w:cs="Times New Roman" w:eastAsia="Times New Roman" w:hAnsi="Times New Roman"/>
          <w:sz w:val="20"/>
          <w:szCs w:val="20"/>
          <w:color w:val="auto"/>
        </w:rPr>
        <w:t>. The Company has established and maintains disclosure controls and procedures (as such term is defined in Rules 13a-15(e) and 15d-15(e) under the Exchange Act). Such disclosure controls and procedures (i) comply with the requirements of the Exchange Act applicable to the Company, (ii) have been designed to ensure that information relating to the Company and its subsidiaries, including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particularly during the periods in which the Company’s periodic reports required under the Exchange Act are being prepared, (iii) have been evaluated by management of the Company for effectiveness as of the end of the Company’s most recent fiscal quarter; and (iv) are effective in all material respects to perform the functions for which they were established. Except as disclosed in the Registration Statement and the Prospectus,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Except as disclosed in the Registration Statement and the Prospectus,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45" w:lineRule="exact"/>
        <w:rPr>
          <w:rFonts w:ascii="Times New Roman" w:cs="Times New Roman" w:eastAsia="Times New Roman" w:hAnsi="Times New Roman"/>
          <w:sz w:val="20"/>
          <w:szCs w:val="20"/>
          <w:color w:val="auto"/>
        </w:rPr>
      </w:pPr>
    </w:p>
    <w:p>
      <w:pPr>
        <w:ind w:left="1220" w:hanging="598"/>
        <w:spacing w:after="0"/>
        <w:tabs>
          <w:tab w:leader="none" w:pos="1220" w:val="left"/>
        </w:tabs>
        <w:numPr>
          <w:ilvl w:val="1"/>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This Agreement</w:t>
      </w:r>
      <w:r>
        <w:rPr>
          <w:rFonts w:ascii="Times New Roman" w:cs="Times New Roman" w:eastAsia="Times New Roman" w:hAnsi="Times New Roman"/>
          <w:sz w:val="21"/>
          <w:szCs w:val="21"/>
          <w:color w:val="auto"/>
        </w:rPr>
        <w:t>. This Agreement has been duly authorized, executed and delivered by the Company.</w:t>
      </w:r>
    </w:p>
    <w:p>
      <w:pPr>
        <w:spacing w:after="0" w:line="171" w:lineRule="exact"/>
        <w:rPr>
          <w:rFonts w:ascii="Times New Roman" w:cs="Times New Roman" w:eastAsia="Times New Roman" w:hAnsi="Times New Roman"/>
          <w:sz w:val="21"/>
          <w:szCs w:val="21"/>
          <w:color w:val="auto"/>
        </w:rPr>
      </w:pPr>
    </w:p>
    <w:p>
      <w:pPr>
        <w:jc w:val="both"/>
        <w:ind w:firstLine="622"/>
        <w:spacing w:after="0" w:line="217" w:lineRule="auto"/>
        <w:tabs>
          <w:tab w:leader="none" w:pos="1226" w:val="left"/>
        </w:tabs>
        <w:numPr>
          <w:ilvl w:val="1"/>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of the Shares</w:t>
      </w:r>
      <w:r>
        <w:rPr>
          <w:rFonts w:ascii="Times New Roman" w:cs="Times New Roman" w:eastAsia="Times New Roman" w:hAnsi="Times New Roman"/>
          <w:sz w:val="21"/>
          <w:szCs w:val="21"/>
          <w:color w:val="auto"/>
        </w:rPr>
        <w:t>. The unissued Shares to be issued and sold pursuant to this Agreement have been duly and validly authorized and, when issued and delivered against payment therefor as provided herein, will be duly and validly issued and fully paid and non assessable and will conform in all material respects to the description of the Class A Common Shares contained in the Registration Statement and the Prospectus; and the issuance of the Shares is not subject to any preemptive or similar rights that have not been duly waived.</w:t>
      </w:r>
    </w:p>
    <w:p>
      <w:pPr>
        <w:spacing w:after="0" w:line="145" w:lineRule="exact"/>
        <w:rPr>
          <w:rFonts w:ascii="Times New Roman" w:cs="Times New Roman" w:eastAsia="Times New Roman" w:hAnsi="Times New Roman"/>
          <w:sz w:val="21"/>
          <w:szCs w:val="21"/>
          <w:color w:val="auto"/>
        </w:rPr>
      </w:pPr>
    </w:p>
    <w:p>
      <w:pPr>
        <w:ind w:firstLine="622"/>
        <w:spacing w:after="0" w:line="235" w:lineRule="auto"/>
        <w:tabs>
          <w:tab w:leader="none" w:pos="1233" w:val="left"/>
        </w:tabs>
        <w:numPr>
          <w:ilvl w:val="1"/>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Applicable Registration or Other Similar Rights</w:t>
      </w:r>
      <w:r>
        <w:rPr>
          <w:rFonts w:ascii="Times New Roman" w:cs="Times New Roman" w:eastAsia="Times New Roman" w:hAnsi="Times New Roman"/>
          <w:sz w:val="21"/>
          <w:szCs w:val="21"/>
          <w:color w:val="auto"/>
        </w:rPr>
        <w:t>. There are no persons with registration or other similar rights to have any equity or debt securities included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39" w:right="339" w:bottom="1440" w:gutter="0" w:footer="0" w:header="0"/>
        </w:sectPr>
      </w:pPr>
    </w:p>
    <w:bookmarkStart w:id="400" w:name="page401"/>
    <w:bookmarkEnd w:id="400"/>
    <w:p>
      <w:pPr>
        <w:spacing w:after="0" w:line="235" w:lineRule="auto"/>
        <w:rPr>
          <w:sz w:val="20"/>
          <w:szCs w:val="20"/>
          <w:color w:val="auto"/>
        </w:rPr>
      </w:pPr>
      <w:r>
        <w:rPr>
          <w:rFonts w:ascii="Times New Roman" w:cs="Times New Roman" w:eastAsia="Times New Roman" w:hAnsi="Times New Roman"/>
          <w:sz w:val="21"/>
          <w:szCs w:val="21"/>
          <w:color w:val="auto"/>
        </w:rPr>
        <w:t>contemplated by this Agreement, except for such rights as have been duly waived or satisfied and have been disclosed in the Registration Statement and Prospectus.</w:t>
      </w:r>
    </w:p>
    <w:p>
      <w:pPr>
        <w:spacing w:after="0" w:line="146" w:lineRule="exact"/>
        <w:rPr>
          <w:sz w:val="20"/>
          <w:szCs w:val="20"/>
          <w:color w:val="auto"/>
        </w:rPr>
      </w:pPr>
    </w:p>
    <w:p>
      <w:pPr>
        <w:jc w:val="both"/>
        <w:ind w:firstLine="622"/>
        <w:spacing w:after="0" w:line="208" w:lineRule="auto"/>
        <w:tabs>
          <w:tab w:leader="none" w:pos="1226"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Material Adverse Effect</w:t>
      </w:r>
      <w:r>
        <w:rPr>
          <w:rFonts w:ascii="Times New Roman" w:cs="Times New Roman" w:eastAsia="Times New Roman" w:hAnsi="Times New Roman"/>
          <w:sz w:val="21"/>
          <w:szCs w:val="21"/>
          <w:color w:val="auto"/>
        </w:rPr>
        <w:t>. Neither the Company nor any of its subsidiaries has, since the date of the latest audited financial statements included or incorporated by reference in the Registration Statement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Registration Statement and the Prospectus; and, since the respective dates as of which information is given in the Registration Statement and the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Registration Statement and the Prospectus or (ii) the issuance, if any, of stock upon conversion or settlement of Company securities as described in the Registration Statement and the Prospectus) or long term debt of the Company or any of its subsidiaries or (y) any Material Adverse Effect (as defined below); as used in this Agreement, “</w:t>
      </w:r>
      <w:r>
        <w:rPr>
          <w:rFonts w:ascii="Times New Roman" w:cs="Times New Roman" w:eastAsia="Times New Roman" w:hAnsi="Times New Roman"/>
          <w:sz w:val="21"/>
          <w:szCs w:val="21"/>
          <w:b w:val="1"/>
          <w:bCs w:val="1"/>
          <w:color w:val="auto"/>
        </w:rPr>
        <w:t>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Adverse Effect</w:t>
      </w:r>
      <w:r>
        <w:rPr>
          <w:rFonts w:ascii="Times New Roman" w:cs="Times New Roman" w:eastAsia="Times New Roman" w:hAnsi="Times New Roman"/>
          <w:sz w:val="21"/>
          <w:szCs w:val="21"/>
          <w:color w:val="auto"/>
        </w:rPr>
        <w:t>” shall mean any material adverse change or effect, or any development that would reasonably be expected to result in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adverse change or effect, in or affecting (i) the business, properties, general affairs, management, financial position, stockholders’ equity, results of operations or prospects of the Company and its subsidiaries, taken as a whole, except as set forth or contemplated in the Registration Statement and the Prospectus, or (ii) the ability of the Company to perform its obligations under this Agreement, including the issuance and sale of the Shares, or to consummate the transactions contemplated in the Registration Statement and the Prospectus.</w:t>
      </w:r>
    </w:p>
    <w:p>
      <w:pPr>
        <w:spacing w:after="0" w:line="152" w:lineRule="exact"/>
        <w:rPr>
          <w:rFonts w:ascii="Times New Roman" w:cs="Times New Roman" w:eastAsia="Times New Roman" w:hAnsi="Times New Roman"/>
          <w:sz w:val="21"/>
          <w:szCs w:val="21"/>
          <w:color w:val="auto"/>
        </w:rPr>
      </w:pPr>
    </w:p>
    <w:p>
      <w:pPr>
        <w:jc w:val="both"/>
        <w:ind w:firstLine="622"/>
        <w:spacing w:after="0" w:line="217" w:lineRule="auto"/>
        <w:tabs>
          <w:tab w:leader="none" w:pos="1226"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Independent Accountants</w:t>
      </w:r>
      <w:r>
        <w:rPr>
          <w:rFonts w:ascii="Times New Roman" w:cs="Times New Roman" w:eastAsia="Times New Roman" w:hAnsi="Times New Roman"/>
          <w:sz w:val="21"/>
          <w:szCs w:val="21"/>
          <w:color w:val="auto"/>
        </w:rPr>
        <w:t>. The accountant(s) who have audited the consolidated financial statements of the Company and its subsidiaries included or incorporated by reference in each of the Registration Statement and the Prospectus are (i) independent public accountant(s) as required by the Securities Act, the Exchange Act and the rules and regulations of the Commission thereunder and (ii) are registered public accounting firm(s) as defined by the Public Company Accounting Oversight Board (“</w:t>
      </w:r>
      <w:r>
        <w:rPr>
          <w:rFonts w:ascii="Times New Roman" w:cs="Times New Roman" w:eastAsia="Times New Roman" w:hAnsi="Times New Roman"/>
          <w:sz w:val="21"/>
          <w:szCs w:val="21"/>
          <w:b w:val="1"/>
          <w:bCs w:val="1"/>
          <w:color w:val="auto"/>
        </w:rPr>
        <w:t>PCAOB</w:t>
      </w:r>
      <w:r>
        <w:rPr>
          <w:rFonts w:ascii="Times New Roman" w:cs="Times New Roman" w:eastAsia="Times New Roman" w:hAnsi="Times New Roman"/>
          <w:sz w:val="21"/>
          <w:szCs w:val="21"/>
          <w:color w:val="auto"/>
        </w:rPr>
        <w:t>”) whose registration has not been suspended or revoked and who has not requested such registration to be withdrawn.</w:t>
      </w:r>
    </w:p>
    <w:p>
      <w:pPr>
        <w:spacing w:after="0" w:line="145" w:lineRule="exact"/>
        <w:rPr>
          <w:rFonts w:ascii="Times New Roman" w:cs="Times New Roman" w:eastAsia="Times New Roman" w:hAnsi="Times New Roman"/>
          <w:sz w:val="21"/>
          <w:szCs w:val="21"/>
          <w:color w:val="auto"/>
        </w:rPr>
      </w:pPr>
    </w:p>
    <w:p>
      <w:pPr>
        <w:jc w:val="both"/>
        <w:ind w:firstLine="622"/>
        <w:spacing w:after="0" w:line="210" w:lineRule="auto"/>
        <w:tabs>
          <w:tab w:leader="none" w:pos="1233"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financial statements included or incorporated by reference in the Registration Statement and the Prospectus, together with the related schedules and notes, present fairly, in all material respects, the financial position of the Company and its subsidiaries at the dates indicated and the statement of operations, comprehensive loss, convertible preferred stock and stockholders’ equity (deficit) and cash flows of the Company and its subsidiaries for the periods specified; said financial statements have been prepared in conformity with U.S. generally accepted accounting principles (“</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applied on a consistent basis throughout the periods involved. The supporting schedules, if any, present fairly in all material respects and in accordance with GAAP the information required to be stated therein. The selected financial data and the summary financial information included or incorporated by reference in the Registration Statement and the Prospectus present fairly, in all material respects the information shown therein and have been compiled on a basis consistent with that of the audited financial statements included therein.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39" w:right="339" w:bottom="1440" w:gutter="0" w:footer="0" w:header="0"/>
        </w:sectPr>
      </w:pPr>
    </w:p>
    <w:bookmarkStart w:id="401" w:name="page402"/>
    <w:bookmarkEnd w:id="401"/>
    <w:p>
      <w:pPr>
        <w:spacing w:after="0" w:line="235" w:lineRule="auto"/>
        <w:rPr>
          <w:sz w:val="20"/>
          <w:szCs w:val="20"/>
          <w:color w:val="auto"/>
        </w:rPr>
      </w:pPr>
      <w:r>
        <w:rPr>
          <w:rFonts w:ascii="Times New Roman" w:cs="Times New Roman" w:eastAsia="Times New Roman" w:hAnsi="Times New Roman"/>
          <w:sz w:val="21"/>
          <w:szCs w:val="21"/>
          <w:color w:val="auto"/>
        </w:rPr>
        <w:t>the financial statements, supporting schedules or other financial data filed with the Commission as a part of the Registration Statement and the Prospectus.</w:t>
      </w:r>
    </w:p>
    <w:p>
      <w:pPr>
        <w:spacing w:after="0" w:line="146" w:lineRule="exact"/>
        <w:rPr>
          <w:sz w:val="20"/>
          <w:szCs w:val="20"/>
          <w:color w:val="auto"/>
        </w:rPr>
      </w:pPr>
    </w:p>
    <w:p>
      <w:pPr>
        <w:jc w:val="both"/>
        <w:ind w:firstLine="622"/>
        <w:spacing w:after="0" w:line="209" w:lineRule="auto"/>
        <w:tabs>
          <w:tab w:leader="none" w:pos="1233"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Accounting System</w:t>
      </w:r>
      <w:r>
        <w:rPr>
          <w:rFonts w:ascii="Times New Roman" w:cs="Times New Roman" w:eastAsia="Times New Roman" w:hAnsi="Times New Roman"/>
          <w:sz w:val="21"/>
          <w:szCs w:val="21"/>
          <w:color w:val="auto"/>
        </w:rPr>
        <w:t>. The Company and each of its subsidiaries maintain a system of internal control over financial reporting (as such term is defined in Rule 13a-15(f) under the Exchange Act) that (i) complies with the requirements of the Exchange Act applicable to the Company and its subsidiaries,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as applied in the United States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(it being understood that this subsection shall not require the Company to comply with Section 404 of the Sarbanes Oxley Act of 2002 and the rules and regulations promulgated in connection therewith (the “</w:t>
      </w:r>
      <w:r>
        <w:rPr>
          <w:rFonts w:ascii="Times New Roman" w:cs="Times New Roman" w:eastAsia="Times New Roman" w:hAnsi="Times New Roman"/>
          <w:sz w:val="21"/>
          <w:szCs w:val="21"/>
          <w:b w:val="1"/>
          <w:bCs w:val="1"/>
          <w:color w:val="auto"/>
        </w:rPr>
        <w:t>Sarbanes-Oxley Act</w:t>
      </w:r>
      <w:r>
        <w:rPr>
          <w:rFonts w:ascii="Times New Roman" w:cs="Times New Roman" w:eastAsia="Times New Roman" w:hAnsi="Times New Roman"/>
          <w:sz w:val="21"/>
          <w:szCs w:val="21"/>
          <w:color w:val="auto"/>
        </w:rPr>
        <w:t>”) as of an earlier date than it would otherwise be required to so comply under applicable law).</w:t>
      </w:r>
    </w:p>
    <w:p>
      <w:pPr>
        <w:spacing w:after="0" w:line="150" w:lineRule="exact"/>
        <w:rPr>
          <w:rFonts w:ascii="Times New Roman" w:cs="Times New Roman" w:eastAsia="Times New Roman" w:hAnsi="Times New Roman"/>
          <w:sz w:val="21"/>
          <w:szCs w:val="21"/>
          <w:color w:val="auto"/>
        </w:rPr>
      </w:pPr>
    </w:p>
    <w:p>
      <w:pPr>
        <w:jc w:val="both"/>
        <w:ind w:firstLine="622"/>
        <w:spacing w:after="0" w:line="212" w:lineRule="auto"/>
        <w:tabs>
          <w:tab w:leader="none" w:pos="1233"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and Good Standing of the Company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Each of the Company and its subsidiaries has been (i) duly organized and is validly existing and in good standing under the laws of its jurisdiction of organization, with power and authority (corporate and other) to own its properties and conduct its business as described in the Registration Statement and the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that is required to be listed in the Registration Statement, the Prospectus or Exhibit 21 to the Company’s Annual Report on Form 10-K for the most recent fiscal year has been so listed.</w:t>
      </w:r>
    </w:p>
    <w:p>
      <w:pPr>
        <w:spacing w:after="0" w:line="146" w:lineRule="exact"/>
        <w:rPr>
          <w:rFonts w:ascii="Times New Roman" w:cs="Times New Roman" w:eastAsia="Times New Roman" w:hAnsi="Times New Roman"/>
          <w:sz w:val="21"/>
          <w:szCs w:val="21"/>
          <w:color w:val="auto"/>
        </w:rPr>
      </w:pPr>
    </w:p>
    <w:p>
      <w:pPr>
        <w:jc w:val="both"/>
        <w:ind w:firstLine="622"/>
        <w:spacing w:after="0" w:line="212" w:lineRule="auto"/>
        <w:tabs>
          <w:tab w:leader="none" w:pos="1233"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Capitalization and Other Capital Stock Matters</w:t>
      </w:r>
      <w:r>
        <w:rPr>
          <w:rFonts w:ascii="Times New Roman" w:cs="Times New Roman" w:eastAsia="Times New Roman" w:hAnsi="Times New Roman"/>
          <w:sz w:val="21"/>
          <w:szCs w:val="21"/>
          <w:color w:val="auto"/>
        </w:rPr>
        <w:t>. The Company has an authorized capitalization as set forth in the Registration Statement and the Prospectus and all of the issued shares of capital stock of the Company have been duly and validly authorized and issued and are fully paid and non-assessable and were not issued in violation of any preemptive or similar rights and conform in all material respects to the description of the Common Stock contained in the Registration Statement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encumbrances, equities or claims as would not, individually or in the aggregate, reasonably be expected to have a Material Adverse Effect.</w:t>
      </w:r>
    </w:p>
    <w:p>
      <w:pPr>
        <w:spacing w:after="0" w:line="149" w:lineRule="exact"/>
        <w:rPr>
          <w:rFonts w:ascii="Times New Roman" w:cs="Times New Roman" w:eastAsia="Times New Roman" w:hAnsi="Times New Roman"/>
          <w:sz w:val="21"/>
          <w:szCs w:val="21"/>
          <w:color w:val="auto"/>
        </w:rPr>
      </w:pPr>
    </w:p>
    <w:p>
      <w:pPr>
        <w:jc w:val="both"/>
        <w:ind w:firstLine="622"/>
        <w:spacing w:after="0" w:line="217" w:lineRule="auto"/>
        <w:tabs>
          <w:tab w:leader="none" w:pos="1237"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Exchange Listing</w:t>
      </w:r>
      <w:r>
        <w:rPr>
          <w:rFonts w:ascii="Times New Roman" w:cs="Times New Roman" w:eastAsia="Times New Roman" w:hAnsi="Times New Roman"/>
          <w:sz w:val="21"/>
          <w:szCs w:val="21"/>
          <w:color w:val="auto"/>
        </w:rPr>
        <w:t>. The Class A Common Shares are registered pursuant to Section 12(b) or 12(g) of the Exchange Act and are listed on the Principal Market, and the Company has taken no action designed to, or likely to have the effect of, terminating the registration of the Class A Common Shares under the Exchange Act or delisting the Class A Common Shares from the Principal Market, nor has the Company received any notification that the Commission or the Principal Market is contemplating terminating such registration or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39" w:right="3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21"/>
          <w:szCs w:val="21"/>
          <w:color w:val="auto"/>
        </w:rPr>
        <w:t>To the Company’s knowledge, it is in compliance with all applicable listing requirements of the Principal Market.</w:t>
      </w:r>
    </w:p>
    <w:p>
      <w:pPr>
        <w:spacing w:after="0" w:line="171" w:lineRule="exact"/>
        <w:rPr>
          <w:sz w:val="20"/>
          <w:szCs w:val="20"/>
          <w:color w:val="auto"/>
        </w:rPr>
      </w:pPr>
    </w:p>
    <w:p>
      <w:pPr>
        <w:jc w:val="both"/>
        <w:ind w:firstLine="622"/>
        <w:spacing w:after="0" w:line="219" w:lineRule="auto"/>
        <w:tabs>
          <w:tab w:leader="none" w:pos="1236"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Non-Contravention of Existing Instruments; No Further Authorizations or Approvals Required</w:t>
      </w:r>
      <w:r>
        <w:rPr>
          <w:rFonts w:ascii="Times New Roman" w:cs="Times New Roman" w:eastAsia="Times New Roman" w:hAnsi="Times New Roman"/>
          <w:sz w:val="20"/>
          <w:szCs w:val="20"/>
          <w:color w:val="auto"/>
        </w:rPr>
        <w:t>. The issue and sale of the Shares and the compliance by the Company with this Agreement and the consummation by the Company of the transactions contemplated in this Agreement, the Registration Statement and the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w:t>
      </w:r>
    </w:p>
    <w:p>
      <w:pPr>
        <w:jc w:val="both"/>
        <w:ind w:firstLine="3"/>
        <w:spacing w:after="0" w:line="208" w:lineRule="auto"/>
        <w:tabs>
          <w:tab w:leader="none" w:pos="340"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such defaults, breaches, or violations that would not, individually or in the aggregate, reasonably be expected to have a Material Adverse Effect,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for such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Securities Act, the approval by the Financial Industry Regulatory Authority (“</w:t>
      </w:r>
      <w:r>
        <w:rPr>
          <w:rFonts w:ascii="Times New Roman" w:cs="Times New Roman" w:eastAsia="Times New Roman" w:hAnsi="Times New Roman"/>
          <w:sz w:val="21"/>
          <w:szCs w:val="21"/>
          <w:b w:val="1"/>
          <w:bCs w:val="1"/>
          <w:color w:val="auto"/>
        </w:rPr>
        <w:t>FINRA</w:t>
      </w:r>
      <w:r>
        <w:rPr>
          <w:rFonts w:ascii="Times New Roman" w:cs="Times New Roman" w:eastAsia="Times New Roman" w:hAnsi="Times New Roman"/>
          <w:sz w:val="21"/>
          <w:szCs w:val="21"/>
          <w:color w:val="auto"/>
        </w:rPr>
        <w:t>”) of the underwriting terms and arrangements, the approval for listing additional shares on the Principal Market and such consents, approvals, authorizations, registrations or qualifications as may be required under state securities or Blue Sky laws in connection with the issue and sale of the Shares and the compliance by the Company with this Agreement.</w:t>
      </w:r>
    </w:p>
    <w:p>
      <w:pPr>
        <w:spacing w:after="0" w:line="151" w:lineRule="exact"/>
        <w:rPr>
          <w:rFonts w:ascii="Times New Roman" w:cs="Times New Roman" w:eastAsia="Times New Roman" w:hAnsi="Times New Roman"/>
          <w:sz w:val="21"/>
          <w:szCs w:val="21"/>
          <w:color w:val="auto"/>
        </w:rPr>
      </w:pPr>
    </w:p>
    <w:p>
      <w:pPr>
        <w:jc w:val="both"/>
        <w:ind w:firstLine="622"/>
        <w:spacing w:after="0" w:line="211" w:lineRule="auto"/>
        <w:tabs>
          <w:tab w:leader="none" w:pos="1226" w:val="left"/>
        </w:tabs>
        <w:numPr>
          <w:ilvl w:val="1"/>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Material Actions or Proceedings</w:t>
      </w:r>
      <w:r>
        <w:rPr>
          <w:rFonts w:ascii="Times New Roman" w:cs="Times New Roman" w:eastAsia="Times New Roman" w:hAnsi="Times New Roman"/>
          <w:sz w:val="21"/>
          <w:szCs w:val="21"/>
          <w:color w:val="auto"/>
        </w:rPr>
        <w:t>. Other than as set forth in the Registration Statement and the Prospectus, there are no legal, governmental or regulatory investigations, actions, demands, claims, suits, arbitrations, inquiries or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Securities Act to be described in the Registration Statement or the Prospectus that are not so described therein; and there are no statutes, regulations or contracts or other documents that are required under the Securities Act to be filed as exhibits to or described in the Registration Statement, as applicable, that are not so filed or described.</w:t>
      </w:r>
    </w:p>
    <w:p>
      <w:pPr>
        <w:spacing w:after="0" w:line="145" w:lineRule="exact"/>
        <w:rPr>
          <w:rFonts w:ascii="Times New Roman" w:cs="Times New Roman" w:eastAsia="Times New Roman" w:hAnsi="Times New Roman"/>
          <w:sz w:val="21"/>
          <w:szCs w:val="21"/>
          <w:color w:val="auto"/>
        </w:rPr>
      </w:pPr>
    </w:p>
    <w:p>
      <w:pPr>
        <w:jc w:val="both"/>
        <w:ind w:firstLine="622"/>
        <w:spacing w:after="0" w:line="224" w:lineRule="auto"/>
        <w:tabs>
          <w:tab w:leader="none" w:pos="1233"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Except as described in the Registration Statement and the Prospectus, (i) the Company and its subsidiaries own, possess or license or can obtain on commercially reasonable terms adequate rights to all trademarks, service marks, trade names, domain names, social media accounts and identifiers, and other source identifiers, and all goodwill associated with any of the foregoing, inventions, patents, copyrights and copyrightable works, licenses, approvals, technology, know-how, trade secrets and other unpatented and/or unpatentable proprietary or confidential information, systems or procedures, and all other intellectual property and similar proprietary rights in any jurisdiction throughout the world (including all registrations and applications for registration of any of the foregoing, as applicable) (collectively, “</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used or held for use in the conduct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38" w:right="339" w:bottom="1440" w:gutter="0" w:footer="0" w:header="0"/>
        </w:sectPr>
      </w:pPr>
    </w:p>
    <w:bookmarkStart w:id="403" w:name="page404"/>
    <w:bookmarkEnd w:id="403"/>
    <w:p>
      <w:pPr>
        <w:jc w:val="both"/>
        <w:spacing w:after="0" w:line="224" w:lineRule="auto"/>
        <w:rPr>
          <w:sz w:val="20"/>
          <w:szCs w:val="20"/>
          <w:color w:val="auto"/>
        </w:rPr>
      </w:pPr>
      <w:r>
        <w:rPr>
          <w:rFonts w:ascii="Times New Roman" w:cs="Times New Roman" w:eastAsia="Times New Roman" w:hAnsi="Times New Roman"/>
          <w:sz w:val="20"/>
          <w:szCs w:val="20"/>
          <w:color w:val="auto"/>
        </w:rPr>
        <w:t>their respective businesses as currently conducted; (ii) to the Company’s knowledge, neither the Company nor any of its subsidiaries infringes, misappropriates or otherwise violates, or has infringed, misappropriated or otherwise violated, any Intellectual Property Rights of any third party; (iii) to the Company’s knowledge, neither the manufacture of, nor the use or sale of, any of the product candidates described in the Registration Statement and the Prospectus will conflict with, infringe, misappropriate or otherwise violate the Intellectual Property Rights of any third party (it being understood that the representations and warranties in clauses (ii) and (iii) are made without giving effect to any exemption under applicable law to which the Company or any of its subsidiaries may be entitled (e.g., 35 U.S.C. Section 271(e)(1))); (iv) other than as described in the Registration Statement and the Prospectus, there are no rights of third parties (including any liens or encumbrances), except for customary retained and reversionary rights of third-party licensors and the rights of customers and strategic partners to use Company Intellectual Property Rights in the ordinary course, consistent with past practice, to any of the Intellectual Property Rights owned or purported to be owned by, or exclusively licensed to, the Company or any of its subsidiaries; (v) there is no pending or, to the Company’s knowledge, threatened action, suit, proceeding or claim by any third party (x) challenging the Company’s or any subsidiary of the Company’s rights in or to, or alleging a violation of any of the terms of, any of their owned or licensed Intellectual Property Rights, (y) alleging that the Company or any of its subsidiaries has infringed, misappropriated or otherwise violated any Intellectual Property Rights of any third party, or (z) challenging the validity, scope or enforceability of any Intellectual Property Rights owned by or exclusively licensed to the Company or any of its subsidiaries, and in the case of each of clauses (x), (y) and (z), the Company and its subsidiaries have not received any notice of and are otherwise unaware of any facts that would form a reasonable basis for any such action, suit, proceeding or claim; (vi) to the Company’s knowledge, there is no infringement, misappropriation, breach or default, or other violation by any third parties of any Intellectual Property Rights owned by or exclusively licensed to the Company or any of its subsidiaries; (vii) the Company and its subsidiaries have at all times taken reasonable steps in accordance with normal industry practice to maintain the confidentiality of all Intellectual Property Rights, the value of which to the Company or any of its subsidiaries is contingent upon maintaining the confidentiality thereof, and no such Intellectual Property Rights have been disclosed other than to employees, representatives and agents of the Company or any of its subsidiaries, or to third parties, each of whom is bound by a written confidentiality agreement; (viii) all founders, current and former employees, and consultants involved in the development of Intellectual Property Rights for or on behalf of the Company or any of its subsidiaries have signed written and enforceable confidentiality and invention assignment agreements with the Company or any of its applicable subsidiaries pursuant to which the Company or the applicable subsidiary either (A) has obtained ownership of and is the exclusive owner of such Intellectual Property Rights, or (B) has obtained a valid and unrestricted right to exploit such Intellectual Property Rights, sufficient for the conduct of the business as currently conducted and as proposed in the Registration Statement and the Prospectus to be conducted; except, in the case of each of (i) through (viii) above, where the outcome of which would not, individually or in the aggregate, reasonably be expected to have a Material Adverse Effect; and (ix) all Intellectual Property Rights owned by or licensed to the Company or any of its subsidiaries are subsisting and, to the Company’s knowledge, solely with respect to issued patents and trademarks, are valid and enforceable.</w:t>
      </w:r>
    </w:p>
    <w:p>
      <w:pPr>
        <w:spacing w:after="0" w:line="153" w:lineRule="exact"/>
        <w:rPr>
          <w:sz w:val="20"/>
          <w:szCs w:val="20"/>
          <w:color w:val="auto"/>
        </w:rPr>
      </w:pPr>
    </w:p>
    <w:p>
      <w:pPr>
        <w:jc w:val="both"/>
        <w:ind w:firstLine="622"/>
        <w:spacing w:after="0" w:line="215" w:lineRule="auto"/>
        <w:tabs>
          <w:tab w:leader="none" w:pos="1233"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Open Source Software</w:t>
      </w:r>
      <w:r>
        <w:rPr>
          <w:rFonts w:ascii="Times New Roman" w:cs="Times New Roman" w:eastAsia="Times New Roman" w:hAnsi="Times New Roman"/>
          <w:sz w:val="21"/>
          <w:szCs w:val="21"/>
          <w:color w:val="auto"/>
        </w:rPr>
        <w:t>. (i) The Company and its subsidiaries use and have used any and all software and other materials distributed under a license approved by the Open Source Initiative at https://opensource.org/licenses (including but not limited to the MIT License, Apache License, GNU General Public License, GNU Lesser General Public License and GNU Affero General Public License) (“</w:t>
      </w:r>
      <w:r>
        <w:rPr>
          <w:rFonts w:ascii="Times New Roman" w:cs="Times New Roman" w:eastAsia="Times New Roman" w:hAnsi="Times New Roman"/>
          <w:sz w:val="21"/>
          <w:szCs w:val="21"/>
          <w:b w:val="1"/>
          <w:bCs w:val="1"/>
          <w:color w:val="auto"/>
        </w:rPr>
        <w:t>Open Source Software</w:t>
      </w:r>
      <w:r>
        <w:rPr>
          <w:rFonts w:ascii="Times New Roman" w:cs="Times New Roman" w:eastAsia="Times New Roman" w:hAnsi="Times New Roman"/>
          <w:sz w:val="21"/>
          <w:szCs w:val="21"/>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38" w:right="339" w:bottom="1440" w:gutter="0" w:footer="0" w:header="0"/>
        </w:sectPr>
      </w:pPr>
    </w:p>
    <w:bookmarkStart w:id="404" w:name="page405"/>
    <w:bookmarkEnd w:id="404"/>
    <w:p>
      <w:pPr>
        <w:jc w:val="both"/>
        <w:spacing w:after="0" w:line="220" w:lineRule="auto"/>
        <w:rPr>
          <w:sz w:val="20"/>
          <w:szCs w:val="20"/>
          <w:color w:val="auto"/>
        </w:rPr>
      </w:pPr>
      <w:r>
        <w:rPr>
          <w:rFonts w:ascii="Times New Roman" w:cs="Times New Roman" w:eastAsia="Times New Roman" w:hAnsi="Times New Roman"/>
          <w:sz w:val="21"/>
          <w:szCs w:val="21"/>
          <w:color w:val="auto"/>
        </w:rPr>
        <w:t>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 except as would not, in the cases of clause (i) or (ii), individually or in the aggregate, reasonably be expected to have a Material Adverse Effect.</w:t>
      </w:r>
    </w:p>
    <w:p>
      <w:pPr>
        <w:spacing w:after="0" w:line="146" w:lineRule="exact"/>
        <w:rPr>
          <w:sz w:val="20"/>
          <w:szCs w:val="20"/>
          <w:color w:val="auto"/>
        </w:rPr>
      </w:pPr>
    </w:p>
    <w:p>
      <w:pPr>
        <w:jc w:val="both"/>
        <w:ind w:firstLine="622"/>
        <w:spacing w:after="0" w:line="215" w:lineRule="auto"/>
        <w:tabs>
          <w:tab w:leader="none" w:pos="1227" w:val="left"/>
        </w:tabs>
        <w:numPr>
          <w:ilvl w:val="1"/>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 Necessary Permits, etc</w:t>
      </w:r>
      <w:r>
        <w:rPr>
          <w:rFonts w:ascii="Times New Roman" w:cs="Times New Roman" w:eastAsia="Times New Roman" w:hAnsi="Times New Roman"/>
          <w:sz w:val="21"/>
          <w:szCs w:val="21"/>
          <w:color w:val="auto"/>
        </w:rPr>
        <w:t>. Except as otherwise disclosed in the Registration Statement and Prospectus, the Company possesses all material licenses, sub-licenses, certificates, authorizations and permits required by the appropriate federal, state or foreign regulatory authorities necessary to conduct its business, as described in the Registration Statement and the Prospectus, including, without limitation, from the U.S. Food and Drug Administration (“</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and equivalent foreign regulatory authorities; and the Company has not received any notice of proceedings relating to the revocation or modification of any such required material license, sub-license, certificate, authorization or permit, except as described in the Registration Statement and the Prospectus.</w:t>
      </w:r>
    </w:p>
    <w:p>
      <w:pPr>
        <w:spacing w:after="0" w:line="145" w:lineRule="exact"/>
        <w:rPr>
          <w:rFonts w:ascii="Times New Roman" w:cs="Times New Roman" w:eastAsia="Times New Roman" w:hAnsi="Times New Roman"/>
          <w:sz w:val="21"/>
          <w:szCs w:val="21"/>
          <w:color w:val="auto"/>
        </w:rPr>
      </w:pPr>
    </w:p>
    <w:p>
      <w:pPr>
        <w:jc w:val="both"/>
        <w:ind w:firstLine="622"/>
        <w:spacing w:after="0" w:line="219" w:lineRule="auto"/>
        <w:tabs>
          <w:tab w:leader="none" w:pos="1233"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 to Properties</w:t>
      </w:r>
      <w:r>
        <w:rPr>
          <w:rFonts w:ascii="Times New Roman" w:cs="Times New Roman" w:eastAsia="Times New Roman" w:hAnsi="Times New Roman"/>
          <w:sz w:val="20"/>
          <w:szCs w:val="20"/>
          <w:color w:val="auto"/>
        </w:rPr>
        <w:t>. The Company and its subsidiaries do not own any real property and have good and marketable title to all personal property (other than with respect to Intellectual Property Rights, which is addressed exclusively in subsection (u) above) owned by them, in each case free and clear of all liens, encumbrances and defects except as described in the Registration Statement and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to the Company’s knowledge, held by them under valid, subsisting and enforceable leases (subject to the effects of</w:t>
      </w:r>
    </w:p>
    <w:p>
      <w:pPr>
        <w:jc w:val="both"/>
        <w:ind w:firstLine="3"/>
        <w:spacing w:after="0" w:line="214" w:lineRule="auto"/>
        <w:tabs>
          <w:tab w:leader="none" w:pos="263"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bankruptcy, insolvency, fraudulent conveyance, fraudulent transfer, reorganization, moratorium or other similar laws relating to or affecting the rights or remedies of creditors generally; (ii) the application of general principles of equity; and (iii) applicable law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148" w:lineRule="exact"/>
        <w:rPr>
          <w:rFonts w:ascii="Times New Roman" w:cs="Times New Roman" w:eastAsia="Times New Roman" w:hAnsi="Times New Roman"/>
          <w:sz w:val="21"/>
          <w:szCs w:val="21"/>
          <w:color w:val="auto"/>
        </w:rPr>
      </w:pPr>
    </w:p>
    <w:p>
      <w:pPr>
        <w:jc w:val="both"/>
        <w:ind w:firstLine="622"/>
        <w:spacing w:after="0" w:line="212" w:lineRule="auto"/>
        <w:tabs>
          <w:tab w:leader="none" w:pos="1233" w:val="left"/>
        </w:tabs>
        <w:numPr>
          <w:ilvl w:val="1"/>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Law Compliance</w:t>
      </w:r>
      <w:r>
        <w:rPr>
          <w:rFonts w:ascii="Times New Roman" w:cs="Times New Roman" w:eastAsia="Times New Roman" w:hAnsi="Times New Roman"/>
          <w:sz w:val="21"/>
          <w:szCs w:val="21"/>
          <w:color w:val="auto"/>
        </w:rPr>
        <w:t>. The Company and each of its subsidiaries have filed all federal, state, local and non-U.S. tax returns required to be filed through the date of this Agreement and have paid all taxes required to be paid thereon (except for cases in which the failure to file or pay would not reasonably be expected to have a Material Adverse Effect, or, except as currently being contested in good faith by appropriate proceedings diligently conducted and for which adequate reserves required by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149"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4" w:val="left"/>
        </w:tabs>
        <w:numPr>
          <w:ilvl w:val="1"/>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Not an “Investment Company</w:t>
      </w:r>
      <w:r>
        <w:rPr>
          <w:rFonts w:ascii="Times New Roman" w:cs="Times New Roman" w:eastAsia="Times New Roman" w:hAnsi="Times New Roman"/>
          <w:sz w:val="21"/>
          <w:szCs w:val="21"/>
          <w:color w:val="auto"/>
        </w:rPr>
        <w:t>.” The Company is not, and will not be, either after receipt of payment for the Shares or after the application of the proceeds therefrom as described under “Use of Proceeds” in the Registration Statement or the Prospectus, an “investment company,” as such term is defined in the Investment Company Act of 1940, as amended (the “</w:t>
      </w:r>
      <w:r>
        <w:rPr>
          <w:rFonts w:ascii="Times New Roman" w:cs="Times New Roman" w:eastAsia="Times New Roman" w:hAnsi="Times New Roman"/>
          <w:sz w:val="21"/>
          <w:szCs w:val="21"/>
          <w:b w:val="1"/>
          <w:bCs w:val="1"/>
          <w:color w:val="auto"/>
        </w:rPr>
        <w:t>Investment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Company Act</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firstLine="622"/>
        <w:spacing w:after="0" w:line="235" w:lineRule="auto"/>
        <w:tabs>
          <w:tab w:leader="none" w:pos="1236"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Except as described in or expressly contemplated by the Registration Statement and the Prospectus, the Company has insurance covering its property,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39" w:right="339" w:bottom="1440" w:gutter="0" w:footer="0" w:header="0"/>
        </w:sectPr>
      </w:pPr>
    </w:p>
    <w:bookmarkStart w:id="405" w:name="page406"/>
    <w:bookmarkEnd w:id="405"/>
    <w:p>
      <w:pPr>
        <w:jc w:val="both"/>
        <w:spacing w:after="0" w:line="215" w:lineRule="auto"/>
        <w:rPr>
          <w:sz w:val="20"/>
          <w:szCs w:val="20"/>
          <w:color w:val="auto"/>
        </w:rPr>
      </w:pPr>
      <w:r>
        <w:rPr>
          <w:rFonts w:ascii="Times New Roman" w:cs="Times New Roman" w:eastAsia="Times New Roman" w:hAnsi="Times New Roman"/>
          <w:sz w:val="21"/>
          <w:szCs w:val="21"/>
          <w:color w:val="auto"/>
        </w:rPr>
        <w:t>personnel and businesses, including clinical trial insurance as applicable and business interruption insurance, which insurance is in amounts and insures against such losses and risks as are generally maintained by similarly situated companies and which the Company believes are reasonably adequate to protect the Company; and the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46"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(ab) </w:t>
      </w:r>
      <w:r>
        <w:rPr>
          <w:rFonts w:ascii="Times New Roman" w:cs="Times New Roman" w:eastAsia="Times New Roman" w:hAnsi="Times New Roman"/>
          <w:sz w:val="21"/>
          <w:szCs w:val="21"/>
          <w:u w:val="single" w:color="auto"/>
          <w:color w:val="auto"/>
        </w:rPr>
        <w:t>No Price Stabilization or Manipulation; Compliance with Regulation M</w:t>
      </w:r>
      <w:r>
        <w:rPr>
          <w:rFonts w:ascii="Times New Roman" w:cs="Times New Roman" w:eastAsia="Times New Roman" w:hAnsi="Times New Roman"/>
          <w:sz w:val="21"/>
          <w:szCs w:val="21"/>
          <w:color w:val="auto"/>
        </w:rPr>
        <w:t>. Neither the Company nor any of its subsidiaries, nor to the Company’s knowledge, Affiliates, has taken, directly or indirectly, any action designed to or that could reasonably be expected to cause or result in any stabilization or manipulation of the price of the Class A Common Shares or of any “reference security” (as defined in Rule 100 of Regulation M under the Exchange Act (“</w:t>
      </w:r>
      <w:r>
        <w:rPr>
          <w:rFonts w:ascii="Times New Roman" w:cs="Times New Roman" w:eastAsia="Times New Roman" w:hAnsi="Times New Roman"/>
          <w:sz w:val="21"/>
          <w:szCs w:val="21"/>
          <w:b w:val="1"/>
          <w:bCs w:val="1"/>
          <w:color w:val="auto"/>
        </w:rPr>
        <w:t>Regulation M</w:t>
      </w:r>
      <w:r>
        <w:rPr>
          <w:rFonts w:ascii="Times New Roman" w:cs="Times New Roman" w:eastAsia="Times New Roman" w:hAnsi="Times New Roman"/>
          <w:sz w:val="21"/>
          <w:szCs w:val="21"/>
          <w:color w:val="auto"/>
        </w:rPr>
        <w:t>”)) with respect to the Class A Common Shares, whether to facilitate the sale or resale of the Shares or otherwise, and has taken no action which would directly or indirectly violate Regulation M.</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 xml:space="preserve">(ac) </w:t>
      </w:r>
      <w:r>
        <w:rPr>
          <w:rFonts w:ascii="Times New Roman" w:cs="Times New Roman" w:eastAsia="Times New Roman" w:hAnsi="Times New Roman"/>
          <w:sz w:val="21"/>
          <w:szCs w:val="21"/>
          <w:u w:val="single" w:color="auto"/>
          <w:color w:val="auto"/>
        </w:rPr>
        <w:t>Related Party Transactions</w:t>
      </w:r>
      <w:r>
        <w:rPr>
          <w:rFonts w:ascii="Times New Roman" w:cs="Times New Roman" w:eastAsia="Times New Roman" w:hAnsi="Times New Roman"/>
          <w:sz w:val="21"/>
          <w:szCs w:val="21"/>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46"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color w:val="auto"/>
        </w:rPr>
        <w:t xml:space="preserve">(ad) </w:t>
      </w:r>
      <w:r>
        <w:rPr>
          <w:rFonts w:ascii="Times New Roman" w:cs="Times New Roman" w:eastAsia="Times New Roman" w:hAnsi="Times New Roman"/>
          <w:sz w:val="21"/>
          <w:szCs w:val="21"/>
          <w:u w:val="single" w:color="auto"/>
          <w:color w:val="auto"/>
        </w:rPr>
        <w:t>FINRA Matters</w:t>
      </w:r>
      <w:r>
        <w:rPr>
          <w:rFonts w:ascii="Times New Roman" w:cs="Times New Roman" w:eastAsia="Times New Roman" w:hAnsi="Times New Roman"/>
          <w:sz w:val="21"/>
          <w:szCs w:val="21"/>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FINRA rules and any letters, filings or other supplemental information provided to FINRA pursuant to FINRA rules or NASD conduct rules is true, complete and correct.</w:t>
      </w:r>
    </w:p>
    <w:p>
      <w:pPr>
        <w:spacing w:after="0" w:line="146" w:lineRule="exact"/>
        <w:rPr>
          <w:sz w:val="20"/>
          <w:szCs w:val="20"/>
          <w:color w:val="auto"/>
        </w:rPr>
      </w:pPr>
    </w:p>
    <w:p>
      <w:pPr>
        <w:jc w:val="both"/>
        <w:ind w:firstLine="619"/>
        <w:spacing w:after="0" w:line="219" w:lineRule="auto"/>
        <w:rPr>
          <w:sz w:val="20"/>
          <w:szCs w:val="20"/>
          <w:color w:val="auto"/>
        </w:rPr>
      </w:pPr>
      <w:r>
        <w:rPr>
          <w:rFonts w:ascii="Times New Roman" w:cs="Times New Roman" w:eastAsia="Times New Roman" w:hAnsi="Times New Roman"/>
          <w:sz w:val="20"/>
          <w:szCs w:val="20"/>
          <w:color w:val="auto"/>
        </w:rPr>
        <w:t xml:space="preserve">(ae) </w:t>
      </w:r>
      <w:r>
        <w:rPr>
          <w:rFonts w:ascii="Times New Roman" w:cs="Times New Roman" w:eastAsia="Times New Roman" w:hAnsi="Times New Roman"/>
          <w:sz w:val="20"/>
          <w:szCs w:val="20"/>
          <w:u w:val="single" w:color="auto"/>
          <w:color w:val="auto"/>
        </w:rPr>
        <w:t>No Unlawful Contributions or Other Payments; Anti-Corruption and Anti-Bribery Laws</w:t>
      </w:r>
      <w:r>
        <w:rPr>
          <w:rFonts w:ascii="Times New Roman" w:cs="Times New Roman" w:eastAsia="Times New Roman" w:hAnsi="Times New Roman"/>
          <w:sz w:val="20"/>
          <w:szCs w:val="20"/>
          <w:color w:val="auto"/>
        </w:rPr>
        <w:t>. Neither the Company nor any of its subsidiaries, nor any director, officer or employee of the Company or any of its subsidiaries nor, to the Company’s knowledge, any agent,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(iii)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(iv)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or (v) made, offered, agreed, requested or taken an act in furtherance of any unlawful bribe or other unlawful benefit, including, without limitation, any rebate, payoff, influence payment, kickback or other unlawful or improper payment or benefit; the Company and its subsidiaries have conducted their businesses in compliance with Anti-Corruption Laws and have instituted and maintained and will continue to maintain policies and procedures designed to promote and achieve compliance with such laws and with the representations and warranties contained herein; neither the Company nor any of its subsidiaries will use, directly or indirectly, the proceeds of the offering in furtherance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39" w:right="339" w:bottom="1440" w:gutter="0" w:footer="0" w:header="0"/>
        </w:sectPr>
      </w:pPr>
    </w:p>
    <w:bookmarkStart w:id="406" w:name="page407"/>
    <w:bookmarkEnd w:id="406"/>
    <w:p>
      <w:pPr>
        <w:jc w:val="both"/>
        <w:spacing w:after="0" w:line="235" w:lineRule="auto"/>
        <w:rPr>
          <w:sz w:val="20"/>
          <w:szCs w:val="20"/>
          <w:color w:val="auto"/>
        </w:rPr>
      </w:pPr>
      <w:r>
        <w:rPr>
          <w:rFonts w:ascii="Times New Roman" w:cs="Times New Roman" w:eastAsia="Times New Roman" w:hAnsi="Times New Roman"/>
          <w:sz w:val="21"/>
          <w:szCs w:val="21"/>
          <w:color w:val="auto"/>
        </w:rPr>
        <w:t>of an offer, payment, promise to pay, or authorization of the payment or giving of money, or anything else of value, to any person in violation of Anti-Corruption Laws.</w:t>
      </w:r>
    </w:p>
    <w:p>
      <w:pPr>
        <w:spacing w:after="0" w:line="146" w:lineRule="exact"/>
        <w:rPr>
          <w:sz w:val="20"/>
          <w:szCs w:val="20"/>
          <w:color w:val="auto"/>
        </w:rPr>
      </w:pPr>
    </w:p>
    <w:p>
      <w:pPr>
        <w:jc w:val="both"/>
        <w:ind w:firstLine="619"/>
        <w:spacing w:after="0" w:line="208" w:lineRule="auto"/>
        <w:rPr>
          <w:sz w:val="20"/>
          <w:szCs w:val="20"/>
          <w:color w:val="auto"/>
        </w:rPr>
      </w:pPr>
      <w:r>
        <w:rPr>
          <w:rFonts w:ascii="Times New Roman" w:cs="Times New Roman" w:eastAsia="Times New Roman" w:hAnsi="Times New Roman"/>
          <w:sz w:val="21"/>
          <w:szCs w:val="21"/>
          <w:color w:val="auto"/>
        </w:rPr>
        <w:t xml:space="preserve">(af) </w:t>
      </w:r>
      <w:r>
        <w:rPr>
          <w:rFonts w:ascii="Times New Roman" w:cs="Times New Roman" w:eastAsia="Times New Roman" w:hAnsi="Times New Roman"/>
          <w:sz w:val="21"/>
          <w:szCs w:val="21"/>
          <w:u w:val="single" w:color="auto"/>
          <w:color w:val="auto"/>
        </w:rPr>
        <w:t>Compliance with Environmental Laws</w:t>
      </w:r>
      <w:r>
        <w:rPr>
          <w:rFonts w:ascii="Times New Roman" w:cs="Times New Roman" w:eastAsia="Times New Roman" w:hAnsi="Times New Roman"/>
          <w:sz w:val="21"/>
          <w:szCs w:val="21"/>
          <w:color w:val="auto"/>
        </w:rPr>
        <w:t>. Except in all cases where such violation, claim, request, notice, proceeding, investigation or other matter would not, individually or in the aggregate, reasonably be expected to have a Material Adverse Effect, the Company and each of its subsidiaries: (x) is in compliance with all, and has not violated any, applicable federal, state or local laws, rules, regulations, requirements, decisions, judgments, decrees and orders relating to pollution, hazardous or toxic substances, wastes, pollutants, contaminants or the protection of human health or safety, the environment or natural resources (collectively, “</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(y) has received and is in compliance with all, and has not violated any, permits, licenses, certificates or other authorizations or approvals required of it under any Environmental Laws to conduct its business; and (z) has not received notice of any actual or potential liability of the Company, or obligation of the Company under or relating to, or any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except in the case of each of (i) and (ii) above, for any such matter as would not, individually or in the aggregate, reasonably be expected to have a Material Adverse Effect; and iii) except as described in the Registration Statement and the Prospectus,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 and (y) the Company is not aware of any facts regarding compliance with Environmental Laws, or liabilities or other obligations under Environmental Laws or concerning hazardous or toxic substances or wastes, pollutants or contaminants, that individually or in the aggregate, would reasonably be expected to have a Material Adverse Effect;</w:t>
      </w:r>
    </w:p>
    <w:p>
      <w:pPr>
        <w:spacing w:after="0" w:line="149" w:lineRule="exact"/>
        <w:rPr>
          <w:sz w:val="20"/>
          <w:szCs w:val="20"/>
          <w:color w:val="auto"/>
        </w:rPr>
      </w:pPr>
    </w:p>
    <w:p>
      <w:pPr>
        <w:jc w:val="both"/>
        <w:ind w:firstLine="619"/>
        <w:spacing w:after="0" w:line="208" w:lineRule="auto"/>
        <w:rPr>
          <w:sz w:val="20"/>
          <w:szCs w:val="20"/>
          <w:color w:val="auto"/>
        </w:rPr>
      </w:pPr>
      <w:r>
        <w:rPr>
          <w:rFonts w:ascii="Times New Roman" w:cs="Times New Roman" w:eastAsia="Times New Roman" w:hAnsi="Times New Roman"/>
          <w:sz w:val="21"/>
          <w:szCs w:val="21"/>
          <w:color w:val="auto"/>
        </w:rPr>
        <w:t xml:space="preserve">(ag) </w:t>
      </w:r>
      <w:r>
        <w:rPr>
          <w:rFonts w:ascii="Times New Roman" w:cs="Times New Roman" w:eastAsia="Times New Roman" w:hAnsi="Times New Roman"/>
          <w:sz w:val="21"/>
          <w:szCs w:val="21"/>
          <w:u w:val="single" w:color="auto"/>
          <w:color w:val="auto"/>
        </w:rPr>
        <w:t>ERISA Compliance</w:t>
      </w:r>
      <w:r>
        <w:rPr>
          <w:rFonts w:ascii="Times New Roman" w:cs="Times New Roman" w:eastAsia="Times New Roman" w:hAnsi="Times New Roman"/>
          <w:sz w:val="21"/>
          <w:szCs w:val="21"/>
          <w:color w:val="auto"/>
        </w:rPr>
        <w:t>. (i) Each employee benefit plan, within the meaning of Section 3(3) of the Employee Retirement Income Security Act of 1974, as amended (“</w:t>
      </w:r>
      <w:r>
        <w:rPr>
          <w:rFonts w:ascii="Times New Roman" w:cs="Times New Roman" w:eastAsia="Times New Roman" w:hAnsi="Times New Roman"/>
          <w:sz w:val="21"/>
          <w:szCs w:val="21"/>
          <w:b w:val="1"/>
          <w:bCs w:val="1"/>
          <w:color w:val="auto"/>
        </w:rPr>
        <w:t>ERISA</w:t>
      </w:r>
      <w:r>
        <w:rPr>
          <w:rFonts w:ascii="Times New Roman" w:cs="Times New Roman" w:eastAsia="Times New Roman" w:hAnsi="Times New Roman"/>
          <w:sz w:val="21"/>
          <w:szCs w:val="21"/>
          <w:color w:val="auto"/>
        </w:rPr>
        <w:t>”), for which the Company or any member of its “</w:t>
      </w:r>
      <w:r>
        <w:rPr>
          <w:rFonts w:ascii="Times New Roman" w:cs="Times New Roman" w:eastAsia="Times New Roman" w:hAnsi="Times New Roman"/>
          <w:sz w:val="21"/>
          <w:szCs w:val="21"/>
          <w:b w:val="1"/>
          <w:bCs w:val="1"/>
          <w:color w:val="auto"/>
        </w:rPr>
        <w:t>Controlled Group</w:t>
      </w:r>
      <w:r>
        <w:rPr>
          <w:rFonts w:ascii="Times New Roman" w:cs="Times New Roman" w:eastAsia="Times New Roman" w:hAnsi="Times New Roman"/>
          <w:sz w:val="21"/>
          <w:szCs w:val="21"/>
          <w:color w:val="auto"/>
        </w:rPr>
        <w:t>” (defined as including any entity, whether or not incorporated, that is under common control with the Company within the meaning of Section 4001(a)(14) of ERISA or that would be regarded as a single employer with the Company under Section 414(b),(c),(m) or (o)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would have any liability (each, a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has been maintained in compliance with its terms and the requirements of any applicable statutes, orders, rules and regulations, including but not limited to ERISA and the Code, except for noncompliance that would not reasonably be expected to result in material liability to the Company;</w:t>
      </w:r>
    </w:p>
    <w:p>
      <w:pPr>
        <w:spacing w:after="0" w:line="1" w:lineRule="exact"/>
        <w:rPr>
          <w:sz w:val="20"/>
          <w:szCs w:val="20"/>
          <w:color w:val="auto"/>
        </w:rPr>
      </w:pPr>
    </w:p>
    <w:p>
      <w:pPr>
        <w:jc w:val="both"/>
        <w:ind w:firstLine="3"/>
        <w:spacing w:after="0" w:line="215" w:lineRule="auto"/>
        <w:tabs>
          <w:tab w:leader="none" w:pos="315"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prohibited transaction, within the meaning of Section 406 of ERISA or Section 4975 of the Code, has occurred with respect to any Plan, excluding transactions effected pursuant to a statutory or administrative exemption; (iii) no Plan has failed, or is reasonably expected to fail, to satisfy the minimum funding standards (within the meaning of Section 302 of ERISA or Section 412 of the Code) applicable to such Plan (whether or not waived);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has occurred or is reasonably expected to occur;</w:t>
      </w:r>
    </w:p>
    <w:p>
      <w:pPr>
        <w:spacing w:after="0" w:line="1" w:lineRule="exact"/>
        <w:rPr>
          <w:rFonts w:ascii="Times New Roman" w:cs="Times New Roman" w:eastAsia="Times New Roman" w:hAnsi="Times New Roman"/>
          <w:sz w:val="20"/>
          <w:szCs w:val="20"/>
          <w:color w:val="auto"/>
        </w:rPr>
      </w:pPr>
    </w:p>
    <w:p>
      <w:pPr>
        <w:jc w:val="both"/>
        <w:ind w:firstLine="3"/>
        <w:spacing w:after="0" w:line="218" w:lineRule="auto"/>
        <w:tabs>
          <w:tab w:leader="none" w:pos="377"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Plan that is intended to be qualified under Section 401(a) of the Code is so qualified, and to the Company’s knowledge, nothing has occurred, whether by action or by failure to act, which would cause the loss of such qualification; (vii) neither the Company nor any member of the Controlled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39" w:right="339" w:bottom="1440" w:gutter="0" w:footer="0" w:header="0"/>
        </w:sectPr>
      </w:pPr>
    </w:p>
    <w:bookmarkStart w:id="407" w:name="page408"/>
    <w:bookmarkEnd w:id="407"/>
    <w:p>
      <w:pPr>
        <w:jc w:val="both"/>
        <w:spacing w:after="0" w:line="211" w:lineRule="auto"/>
        <w:rPr>
          <w:sz w:val="20"/>
          <w:szCs w:val="20"/>
          <w:color w:val="auto"/>
        </w:rPr>
      </w:pPr>
      <w:r>
        <w:rPr>
          <w:rFonts w:ascii="Times New Roman" w:cs="Times New Roman" w:eastAsia="Times New Roman" w:hAnsi="Times New Roman"/>
          <w:sz w:val="21"/>
          <w:szCs w:val="21"/>
          <w:color w:val="auto"/>
        </w:rPr>
        <w:t>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(viii)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Company’s “accumulated post-retirement benefit obligations” (within the meaning of Accounting Standards Codification Topic 715-60) compared to the amount of such obligations in the Company’s most recently completed fiscal year, except in each case with respect to the events or conditions set forth in (i) through (viii) hereof, as would not, individually or in the aggregate, reasonably be expected to have a Material Adverse Effect.</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 xml:space="preserve">(ah) </w:t>
      </w:r>
      <w:r>
        <w:rPr>
          <w:rFonts w:ascii="Times New Roman" w:cs="Times New Roman" w:eastAsia="Times New Roman" w:hAnsi="Times New Roman"/>
          <w:sz w:val="21"/>
          <w:szCs w:val="21"/>
          <w:u w:val="single" w:color="auto"/>
          <w:color w:val="auto"/>
        </w:rPr>
        <w:t>Brokers</w:t>
      </w:r>
      <w:r>
        <w:rPr>
          <w:rFonts w:ascii="Times New Roman" w:cs="Times New Roman" w:eastAsia="Times New Roman" w:hAnsi="Times New Roman"/>
          <w:sz w:val="21"/>
          <w:szCs w:val="21"/>
          <w:color w:val="auto"/>
        </w:rPr>
        <w:t>. Except as set forth herein or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 xml:space="preserve">(ai) </w:t>
      </w:r>
      <w:r>
        <w:rPr>
          <w:rFonts w:ascii="Times New Roman" w:cs="Times New Roman" w:eastAsia="Times New Roman" w:hAnsi="Times New Roman"/>
          <w:sz w:val="21"/>
          <w:szCs w:val="21"/>
          <w:u w:val="single" w:color="auto"/>
          <w:color w:val="auto"/>
        </w:rPr>
        <w:t>No Outstanding Loans or Other Extensions of Credit</w:t>
      </w:r>
      <w:r>
        <w:rPr>
          <w:rFonts w:ascii="Times New Roman" w:cs="Times New Roman" w:eastAsia="Times New Roman" w:hAnsi="Times New Roman"/>
          <w:sz w:val="21"/>
          <w:szCs w:val="21"/>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46"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color w:val="auto"/>
        </w:rPr>
        <w:t xml:space="preserve">(aj) </w:t>
      </w:r>
      <w:r>
        <w:rPr>
          <w:rFonts w:ascii="Times New Roman" w:cs="Times New Roman" w:eastAsia="Times New Roman" w:hAnsi="Times New Roman"/>
          <w:sz w:val="21"/>
          <w:szCs w:val="21"/>
          <w:u w:val="single" w:color="auto"/>
          <w:color w:val="auto"/>
        </w:rPr>
        <w:t>Compliance with Applicable Laws</w:t>
      </w:r>
      <w:r>
        <w:rPr>
          <w:rFonts w:ascii="Times New Roman" w:cs="Times New Roman" w:eastAsia="Times New Roman" w:hAnsi="Times New Roman"/>
          <w:sz w:val="21"/>
          <w:szCs w:val="21"/>
          <w:color w:val="auto"/>
        </w:rPr>
        <w:t>. The Company (i) has operated and currently operates its business in compliance in all material respects with all statutes, rules and regulations applicable to the ownership, testing, development, manufacture, packaging, processing, use, distribution, storage, import, export or disposal of any of the Company’s product candidates, including, without limitation, requirements governing investigational drugs and devices under the U.S. Federal Food, Drug and Cosmetic Act and rules and regulations thereunder, regulations relating to Good Clinical Practices and Good Laboratory Practices, the U.S. Animal Welfare Act and rules and regulations thereunder, the Investigational Device Exemption regulations and the Quality System Regulation (collectively, “</w:t>
      </w:r>
      <w:r>
        <w:rPr>
          <w:rFonts w:ascii="Times New Roman" w:cs="Times New Roman" w:eastAsia="Times New Roman" w:hAnsi="Times New Roman"/>
          <w:sz w:val="21"/>
          <w:szCs w:val="21"/>
          <w:b w:val="1"/>
          <w:bCs w:val="1"/>
          <w:color w:val="auto"/>
        </w:rPr>
        <w:t>Applicable Laws</w:t>
      </w:r>
      <w:r>
        <w:rPr>
          <w:rFonts w:ascii="Times New Roman" w:cs="Times New Roman" w:eastAsia="Times New Roman" w:hAnsi="Times New Roman"/>
          <w:sz w:val="21"/>
          <w:szCs w:val="21"/>
          <w:color w:val="auto"/>
        </w:rPr>
        <w:t>”), and (ii) have not received any FDA Form 483, written notice of adverse finding, warning letter, untitled letter or other correspondence or written notice from the FDA, any court or arbitrator or governmental or other regulatory authority alleging or asserting non-compliance with (A) any Applicable Laws or (B) any permits required by any such Applicable Laws.</w:t>
      </w:r>
    </w:p>
    <w:p>
      <w:pPr>
        <w:spacing w:after="0" w:line="146"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 xml:space="preserve">(ak) </w:t>
      </w:r>
      <w:r>
        <w:rPr>
          <w:rFonts w:ascii="Times New Roman" w:cs="Times New Roman" w:eastAsia="Times New Roman" w:hAnsi="Times New Roman"/>
          <w:sz w:val="21"/>
          <w:szCs w:val="21"/>
          <w:u w:val="single" w:color="auto"/>
          <w:color w:val="auto"/>
        </w:rPr>
        <w:t>Dividend Restrictions</w:t>
      </w:r>
      <w:r>
        <w:rPr>
          <w:rFonts w:ascii="Times New Roman" w:cs="Times New Roman" w:eastAsia="Times New Roman" w:hAnsi="Times New Roman"/>
          <w:sz w:val="21"/>
          <w:szCs w:val="21"/>
          <w:color w:val="auto"/>
        </w:rPr>
        <w:t>. Except as disclosed in the Registration Statement and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46"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 xml:space="preserve">(al) </w:t>
      </w:r>
      <w:r>
        <w:rPr>
          <w:rFonts w:ascii="Times New Roman" w:cs="Times New Roman" w:eastAsia="Times New Roman" w:hAnsi="Times New Roman"/>
          <w:sz w:val="21"/>
          <w:szCs w:val="21"/>
          <w:u w:val="single" w:color="auto"/>
          <w:color w:val="auto"/>
        </w:rPr>
        <w:t>Money Laundering Laws</w:t>
      </w:r>
      <w:r>
        <w:rPr>
          <w:rFonts w:ascii="Times New Roman" w:cs="Times New Roman" w:eastAsia="Times New Roman" w:hAnsi="Times New Roman"/>
          <w:sz w:val="21"/>
          <w:szCs w:val="21"/>
          <w:color w:val="auto"/>
        </w:rPr>
        <w:t>.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its subsidiaries conduct business, the rules and regulations thereunder and any related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39" w:right="339" w:bottom="1440" w:gutter="0" w:footer="0" w:header="0"/>
        </w:sectPr>
      </w:pPr>
    </w:p>
    <w:bookmarkStart w:id="408" w:name="page409"/>
    <w:bookmarkEnd w:id="408"/>
    <w:p>
      <w:pPr>
        <w:jc w:val="both"/>
        <w:spacing w:after="0" w:line="221" w:lineRule="auto"/>
        <w:rPr>
          <w:sz w:val="20"/>
          <w:szCs w:val="20"/>
          <w:color w:val="auto"/>
        </w:rPr>
      </w:pPr>
      <w:r>
        <w:rPr>
          <w:rFonts w:ascii="Times New Roman" w:cs="Times New Roman" w:eastAsia="Times New Roman" w:hAnsi="Times New Roman"/>
          <w:sz w:val="21"/>
          <w:szCs w:val="21"/>
          <w:color w:val="auto"/>
        </w:rPr>
        <w:t>rules, regulation or guidelines issued, administered or enforced by any governmental agency (collectively, the “</w:t>
      </w:r>
      <w:r>
        <w:rPr>
          <w:rFonts w:ascii="Times New Roman" w:cs="Times New Roman" w:eastAsia="Times New Roman" w:hAnsi="Times New Roman"/>
          <w:sz w:val="21"/>
          <w:szCs w:val="21"/>
          <w:b w:val="1"/>
          <w:bCs w:val="1"/>
          <w:color w:val="auto"/>
        </w:rPr>
        <w:t>Money Laundering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Laws</w:t>
      </w:r>
      <w:r>
        <w:rPr>
          <w:rFonts w:ascii="Times New Roman" w:cs="Times New Roman" w:eastAsia="Times New Roman" w:hAnsi="Times New Roman"/>
          <w:sz w:val="21"/>
          <w:szCs w:val="21"/>
          <w:color w:val="auto"/>
        </w:rPr>
        <w:t>”) and no action, suit or proceeding by or before any court or governmental agency, authority or body or any arbitrator involving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or any of its subsidiaries with respect to the Money Laundering Laws is pending or, to the Company’s knowledge, threatened.</w:t>
      </w:r>
    </w:p>
    <w:p>
      <w:pPr>
        <w:spacing w:after="0" w:line="142" w:lineRule="exact"/>
        <w:rPr>
          <w:sz w:val="20"/>
          <w:szCs w:val="20"/>
          <w:color w:val="auto"/>
        </w:rPr>
      </w:pPr>
    </w:p>
    <w:p>
      <w:pPr>
        <w:jc w:val="both"/>
        <w:ind w:firstLine="619"/>
        <w:spacing w:after="0" w:line="209" w:lineRule="auto"/>
        <w:rPr>
          <w:sz w:val="20"/>
          <w:szCs w:val="20"/>
          <w:color w:val="auto"/>
        </w:rPr>
      </w:pPr>
      <w:r>
        <w:rPr>
          <w:rFonts w:ascii="Times New Roman" w:cs="Times New Roman" w:eastAsia="Times New Roman" w:hAnsi="Times New Roman"/>
          <w:sz w:val="21"/>
          <w:szCs w:val="21"/>
          <w:color w:val="auto"/>
        </w:rPr>
        <w:t xml:space="preserve">(am) </w:t>
      </w:r>
      <w:r>
        <w:rPr>
          <w:rFonts w:ascii="Times New Roman" w:cs="Times New Roman" w:eastAsia="Times New Roman" w:hAnsi="Times New Roman"/>
          <w:sz w:val="21"/>
          <w:szCs w:val="21"/>
          <w:u w:val="single" w:color="auto"/>
          <w:color w:val="auto"/>
        </w:rPr>
        <w:t>Clinical Data and Regulatory Compliance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Any studies, tests and preclinical and clinical trials conducted by the Company and, to the Company’s knowledge, any studies, tests and preclinical and clinical trials conducted on behalf of the Company or in which the Company has participated, were, and if still pending are, being conducted in accordance with experimental protocols, procedures and controls pursuant to accepted professional scientific standards and all applicable rules and regulations, including those of the FDA and comparable regulatory agencies outside of the United States, to which the Company is subject and, for studies submitted to regulatory authorities as a basis for regulatory approval and preclinical and clinical trials, current Good Clinical Practices and Good Laboratory Practices except where the failure to be so conducted would not reasonably be expected to have a Material Adverse Effect; the descriptions of the results of such studies, tests and trials contained in the Registration Statement and the Prospectus are, to the Company’s knowledge, accurate and complete in all material respects and fairly present the data derived from such studies, tests and trials; the Company is not aware of any studies, tests or trials, the results of which the Company believes reasonably call into question the study, test, or trial results described or referred to in the Registration Statement and the Prospectus when viewed in the context in which such results are described and the clinical state of development; and, except to the extent disclosed in the Registration Statement or the Prospectus, the Company has not received any notices or correspondence from the FDA or any other comparable federal, state, local or foreign governmental or regulatory authority requiring the termination or suspension of any studies, tests or preclinical or clinical trials conducted by or on behalf of the Company.</w:t>
      </w:r>
    </w:p>
    <w:p>
      <w:pPr>
        <w:spacing w:after="0" w:line="150"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 xml:space="preserve">(an) </w:t>
      </w:r>
      <w:r>
        <w:rPr>
          <w:rFonts w:ascii="Times New Roman" w:cs="Times New Roman" w:eastAsia="Times New Roman" w:hAnsi="Times New Roman"/>
          <w:sz w:val="21"/>
          <w:szCs w:val="21"/>
          <w:u w:val="single" w:color="auto"/>
          <w:color w:val="auto"/>
        </w:rPr>
        <w:t>Manufacturing Compliance</w:t>
      </w:r>
      <w:r>
        <w:rPr>
          <w:rFonts w:ascii="Times New Roman" w:cs="Times New Roman" w:eastAsia="Times New Roman" w:hAnsi="Times New Roman"/>
          <w:sz w:val="21"/>
          <w:szCs w:val="21"/>
          <w:color w:val="auto"/>
        </w:rPr>
        <w:t>. The manufacturing facilities and operations of Company’s suppliers and manufacturers are not, to the Company’s knowledge, operated in violation of applicable statutes, rules, regulations and policies of the FDA and comparable regulatory agencies outside of the United States to which the Company is subject.</w:t>
      </w:r>
    </w:p>
    <w:p>
      <w:pPr>
        <w:spacing w:after="0" w:line="146" w:lineRule="exact"/>
        <w:rPr>
          <w:sz w:val="20"/>
          <w:szCs w:val="20"/>
          <w:color w:val="auto"/>
        </w:rPr>
      </w:pPr>
    </w:p>
    <w:p>
      <w:pPr>
        <w:jc w:val="both"/>
        <w:ind w:firstLine="619"/>
        <w:spacing w:after="0" w:line="209" w:lineRule="auto"/>
        <w:rPr>
          <w:sz w:val="20"/>
          <w:szCs w:val="20"/>
          <w:color w:val="auto"/>
        </w:rPr>
      </w:pPr>
      <w:r>
        <w:rPr>
          <w:rFonts w:ascii="Times New Roman" w:cs="Times New Roman" w:eastAsia="Times New Roman" w:hAnsi="Times New Roman"/>
          <w:sz w:val="21"/>
          <w:szCs w:val="21"/>
          <w:color w:val="auto"/>
        </w:rPr>
        <w:t xml:space="preserve">(ao)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Neither the Company nor any of its subsidiaries, nor any director officer or employee of the Company or any of its subsidiaries nor, to the Company’s knowledge, any agent,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w:t>
      </w:r>
      <w:r>
        <w:rPr>
          <w:rFonts w:ascii="Times New Roman" w:cs="Times New Roman" w:eastAsia="Times New Roman" w:hAnsi="Times New Roman"/>
          <w:sz w:val="21"/>
          <w:szCs w:val="21"/>
          <w:b w:val="1"/>
          <w:bCs w:val="1"/>
          <w:color w:val="auto"/>
        </w:rPr>
        <w:t>Sanctions</w:t>
      </w:r>
      <w:r>
        <w:rPr>
          <w:rFonts w:ascii="Times New Roman" w:cs="Times New Roman" w:eastAsia="Times New Roman" w:hAnsi="Times New Roman"/>
          <w:sz w:val="21"/>
          <w:szCs w:val="21"/>
          <w:color w:val="auto"/>
        </w:rPr>
        <w:t>”) or (ii) located, organized, or resident in a country or territory that is the subject or target of Sanctions including, without limitation, Crimea, Cuba, Iran, North Korea, Syria, the Crimea Region and the non-government controlled areas of the Zaporizhzhia and Kherson Regions of Ukraine, the so-called Donetsk People’s Republic, the so-called Luhansk People’s Republic and any other Covered Region of Ukraine identified pursuant to Executive Order 14065 (a “</w:t>
      </w:r>
      <w:r>
        <w:rPr>
          <w:rFonts w:ascii="Times New Roman" w:cs="Times New Roman" w:eastAsia="Times New Roman" w:hAnsi="Times New Roman"/>
          <w:sz w:val="21"/>
          <w:szCs w:val="21"/>
          <w:b w:val="1"/>
          <w:bCs w:val="1"/>
          <w:color w:val="auto"/>
        </w:rPr>
        <w:t>Sanctioned Jurisdiction</w:t>
      </w:r>
      <w:r>
        <w:rPr>
          <w:rFonts w:ascii="Times New Roman" w:cs="Times New Roman" w:eastAsia="Times New Roman" w:hAnsi="Times New Roman"/>
          <w:sz w:val="21"/>
          <w:szCs w:val="21"/>
          <w:color w:val="auto"/>
        </w:rPr>
        <w:t>”), and the Company will not directly or indirectly use the proceeds of the offering of the Shares hereunder, or lend, contribute or otherwise make available such proceeds to any subsidiary, joint venture partner or other person or entity (x) to fund or facilitate any activities of or business with any person, or in any country or territory, that, at the time of such funding, is the subject or the target of Sanctions or (y) in any other manner that will result in a violation by any person (including any person participating in the transaction, whether as underwriter, advisor, investor or otherwise) of Sanctions; neither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34" w:right="339" w:bottom="1440" w:gutter="0" w:footer="0" w:header="0"/>
        </w:sectPr>
      </w:pPr>
    </w:p>
    <w:bookmarkStart w:id="409" w:name="page410"/>
    <w:bookmarkEnd w:id="409"/>
    <w:p>
      <w:pPr>
        <w:jc w:val="both"/>
        <w:spacing w:after="0" w:line="217" w:lineRule="auto"/>
        <w:rPr>
          <w:sz w:val="20"/>
          <w:szCs w:val="20"/>
          <w:color w:val="auto"/>
        </w:rPr>
      </w:pPr>
      <w:r>
        <w:rPr>
          <w:rFonts w:ascii="Times New Roman" w:cs="Times New Roman" w:eastAsia="Times New Roman" w:hAnsi="Times New Roman"/>
          <w:sz w:val="21"/>
          <w:szCs w:val="21"/>
          <w:color w:val="auto"/>
        </w:rPr>
        <w:t>Company nor any of its subsidiaries, nor any director, officer or employee of the Company or any of its subsidiaries, is engaged in, or has, at any time in the past ten years,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reasonably designed to promote and achieve continued compliance with Sanctions.</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 xml:space="preserve">(ap) </w:t>
      </w:r>
      <w:r>
        <w:rPr>
          <w:rFonts w:ascii="Times New Roman" w:cs="Times New Roman" w:eastAsia="Times New Roman" w:hAnsi="Times New Roman"/>
          <w:sz w:val="21"/>
          <w:szCs w:val="21"/>
          <w:u w:val="single" w:color="auto"/>
          <w:color w:val="auto"/>
        </w:rPr>
        <w:t>Sarbanes-Oxley</w:t>
      </w:r>
      <w:r>
        <w:rPr>
          <w:rFonts w:ascii="Times New Roman" w:cs="Times New Roman" w:eastAsia="Times New Roman" w:hAnsi="Times New Roman"/>
          <w:sz w:val="21"/>
          <w:szCs w:val="21"/>
          <w:color w:val="auto"/>
        </w:rPr>
        <w:t>. To the extent applicable to the Company, there is and has been no failure on the part of the Company or, to the Company’s knowledge, any of the Company’s directors or officers, in their capacities as such, to comply with any provision of the Sarbanes-Oxley Act, including Section 402 related to loans and Sections 302 and 906 related to certifications.</w:t>
      </w:r>
    </w:p>
    <w:p>
      <w:pPr>
        <w:spacing w:after="0" w:line="146"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color w:val="auto"/>
        </w:rPr>
        <w:t xml:space="preserve">(aq) </w:t>
      </w:r>
      <w:r>
        <w:rPr>
          <w:rFonts w:ascii="Times New Roman" w:cs="Times New Roman" w:eastAsia="Times New Roman" w:hAnsi="Times New Roman"/>
          <w:sz w:val="21"/>
          <w:szCs w:val="21"/>
          <w:u w:val="single" w:color="auto"/>
          <w:color w:val="auto"/>
        </w:rPr>
        <w:t>Duties, Transfer Taxes, Etc</w:t>
      </w:r>
      <w:r>
        <w:rPr>
          <w:rFonts w:ascii="Times New Roman" w:cs="Times New Roman" w:eastAsia="Times New Roman" w:hAnsi="Times New Roman"/>
          <w:sz w:val="21"/>
          <w:szCs w:val="21"/>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46" w:lineRule="exact"/>
        <w:rPr>
          <w:sz w:val="20"/>
          <w:szCs w:val="20"/>
          <w:color w:val="auto"/>
        </w:rPr>
      </w:pPr>
    </w:p>
    <w:p>
      <w:pPr>
        <w:jc w:val="both"/>
        <w:ind w:firstLine="619"/>
        <w:spacing w:after="0" w:line="208" w:lineRule="auto"/>
        <w:rPr>
          <w:sz w:val="20"/>
          <w:szCs w:val="20"/>
          <w:color w:val="auto"/>
        </w:rPr>
      </w:pPr>
      <w:r>
        <w:rPr>
          <w:rFonts w:ascii="Times New Roman" w:cs="Times New Roman" w:eastAsia="Times New Roman" w:hAnsi="Times New Roman"/>
          <w:sz w:val="21"/>
          <w:szCs w:val="21"/>
          <w:color w:val="auto"/>
        </w:rPr>
        <w:t xml:space="preserve">(ar) </w:t>
      </w:r>
      <w:r>
        <w:rPr>
          <w:rFonts w:ascii="Times New Roman" w:cs="Times New Roman" w:eastAsia="Times New Roman" w:hAnsi="Times New Roman"/>
          <w:sz w:val="21"/>
          <w:szCs w:val="21"/>
          <w:u w:val="single" w:color="auto"/>
          <w:color w:val="auto"/>
        </w:rPr>
        <w:t>Cybersecurity</w:t>
      </w:r>
      <w:r>
        <w:rPr>
          <w:rFonts w:ascii="Times New Roman" w:cs="Times New Roman" w:eastAsia="Times New Roman" w:hAnsi="Times New Roman"/>
          <w:sz w:val="21"/>
          <w:szCs w:val="21"/>
          <w:color w:val="auto"/>
        </w:rPr>
        <w:t>. Except as would not, individually or in the aggregate, reasonably be expected to have a Material Adverse Effect, (i) the Company and its subsidiaries’ respective information technology assets and equipment, computers, systems, networks, hardware, applications, technology, data and databases (including Personal Data (as defined below) and the data and information of their respective customers, employees, suppliers, vendors and any third party data) used in connection with the operation of the Company’s and its subsidiaries’ respective businesses and in the possession or otherwise in the control of the Company or any of its subsidiaries (collectively, “</w:t>
      </w:r>
      <w:r>
        <w:rPr>
          <w:rFonts w:ascii="Times New Roman" w:cs="Times New Roman" w:eastAsia="Times New Roman" w:hAnsi="Times New Roman"/>
          <w:sz w:val="21"/>
          <w:szCs w:val="21"/>
          <w:b w:val="1"/>
          <w:bCs w:val="1"/>
          <w:color w:val="auto"/>
        </w:rPr>
        <w:t>IT Systems and Data</w:t>
      </w:r>
      <w:r>
        <w:rPr>
          <w:rFonts w:ascii="Times New Roman" w:cs="Times New Roman" w:eastAsia="Times New Roman" w:hAnsi="Times New Roman"/>
          <w:sz w:val="21"/>
          <w:szCs w:val="21"/>
          <w:color w:val="auto"/>
        </w:rPr>
        <w:t>”) are adequate for, and operate and perform in all material respects as required in connection with, the operation of the business of the Company and its subsidiaries as currently conducted, free and clear, to the Company’s knowledge, of all Trojan horses, time bombs, malware and other malicious code; (ii) the Company and each of its subsidiaries have taken reasonable technical and organizational measures to protect the IT Systems and Data and, without limiting the foregoing, the Company and its subsidiaries have used commercially reasonable efforts to establish and maintain, and have established, maintained, implemented and complied with, reasonable information technology, information security, cybersecurity and data protection controls, policies and procedures, including oversight, access controls, encryption, technological and physical safeguards and business continuity/disaster recovery and security plans, which controls, policies and procedures are designed to protect against and prevent security breaches, unauthorized destruction, loss, distribution, use, access, disablement, misappropriation or modification, or other compromise or misuse of any IT Systems and Data (“</w:t>
      </w:r>
      <w:r>
        <w:rPr>
          <w:rFonts w:ascii="Times New Roman" w:cs="Times New Roman" w:eastAsia="Times New Roman" w:hAnsi="Times New Roman"/>
          <w:sz w:val="21"/>
          <w:szCs w:val="21"/>
          <w:b w:val="1"/>
          <w:bCs w:val="1"/>
          <w:color w:val="auto"/>
        </w:rPr>
        <w:t>Breach</w:t>
      </w:r>
      <w:r>
        <w:rPr>
          <w:rFonts w:ascii="Times New Roman" w:cs="Times New Roman" w:eastAsia="Times New Roman" w:hAnsi="Times New Roman"/>
          <w:sz w:val="21"/>
          <w:szCs w:val="21"/>
          <w:color w:val="auto"/>
        </w:rPr>
        <w:t>”); and (iii) to the Company’s knowledge, there has been no such Breach and the Company and its subsidiaries have not been notified of, and have no knowledge of any event or condition that would reasonably be expected to result in, any such Breach.</w:t>
      </w:r>
    </w:p>
    <w:p>
      <w:pPr>
        <w:spacing w:after="0" w:line="155"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color w:val="auto"/>
        </w:rPr>
        <w:t xml:space="preserve">(as) </w:t>
      </w:r>
      <w:r>
        <w:rPr>
          <w:rFonts w:ascii="Times New Roman" w:cs="Times New Roman" w:eastAsia="Times New Roman" w:hAnsi="Times New Roman"/>
          <w:sz w:val="21"/>
          <w:szCs w:val="21"/>
          <w:u w:val="single" w:color="auto"/>
          <w:color w:val="auto"/>
        </w:rPr>
        <w:t>Compliance with Data Privacy Laws</w:t>
      </w:r>
      <w:r>
        <w:rPr>
          <w:rFonts w:ascii="Times New Roman" w:cs="Times New Roman" w:eastAsia="Times New Roman" w:hAnsi="Times New Roman"/>
          <w:sz w:val="21"/>
          <w:szCs w:val="21"/>
          <w:color w:val="auto"/>
        </w:rPr>
        <w:t>. Except as would not, individually or in the aggregate, reasonably be expected to have a Material Adverse Effect, (i) the Company and each of its subsidiaries have complied and are presently in compliance with all of their internal privacy policies, privacy- and data protection-related contractual obligations, and applicable laws, statutes, judgments, orders, rules and regulations of any court or arbitrator or other governmental or regulatory authority, in each case, relating to the collection, use, transfer, import, export, storage, protection, disposal and disclosure by the Company or any of its subsidiaries of personal, personally identifiable, household (in the case of household data, to the extent it is “Personal Information” under the California Consumer Privacy Act, as modified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39" w:right="339" w:bottom="1440" w:gutter="0" w:footer="0" w:header="0"/>
        </w:sectPr>
      </w:pPr>
    </w:p>
    <w:bookmarkStart w:id="410" w:name="page411"/>
    <w:bookmarkEnd w:id="410"/>
    <w:p>
      <w:pPr>
        <w:jc w:val="both"/>
        <w:spacing w:after="0" w:line="226" w:lineRule="auto"/>
        <w:rPr>
          <w:sz w:val="20"/>
          <w:szCs w:val="20"/>
          <w:color w:val="auto"/>
        </w:rPr>
      </w:pPr>
      <w:r>
        <w:rPr>
          <w:rFonts w:ascii="Times New Roman" w:cs="Times New Roman" w:eastAsia="Times New Roman" w:hAnsi="Times New Roman"/>
          <w:sz w:val="20"/>
          <w:szCs w:val="20"/>
          <w:color w:val="auto"/>
        </w:rPr>
        <w:t>the California Privacy Rights Act), or sensitive, confidential or regulated data or information (collectively, “</w:t>
      </w:r>
      <w:r>
        <w:rPr>
          <w:rFonts w:ascii="Times New Roman" w:cs="Times New Roman" w:eastAsia="Times New Roman" w:hAnsi="Times New Roman"/>
          <w:sz w:val="20"/>
          <w:szCs w:val="20"/>
          <w:b w:val="1"/>
          <w:bCs w:val="1"/>
          <w:color w:val="auto"/>
        </w:rPr>
        <w:t>Data 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and such data and information, “</w:t>
      </w:r>
      <w:r>
        <w:rPr>
          <w:rFonts w:ascii="Times New Roman" w:cs="Times New Roman" w:eastAsia="Times New Roman" w:hAnsi="Times New Roman"/>
          <w:sz w:val="20"/>
          <w:szCs w:val="20"/>
          <w:b w:val="1"/>
          <w:bCs w:val="1"/>
          <w:color w:val="auto"/>
        </w:rPr>
        <w:t>Personal Data</w:t>
      </w:r>
      <w:r>
        <w:rPr>
          <w:rFonts w:ascii="Times New Roman" w:cs="Times New Roman" w:eastAsia="Times New Roman" w:hAnsi="Times New Roman"/>
          <w:sz w:val="20"/>
          <w:szCs w:val="20"/>
          <w:color w:val="auto"/>
        </w:rPr>
        <w:t>”); (ii) the Company and its subsidiaries have not received any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notification of or written complaint regarding and are unaware of any other facts that, individually or in the aggregate, would reasonably indicate non-compliance with any Data Security Obligation by the Company or any of its subsidiaries; and (iii) there is no action, suit or proceeding by or before any court or governmental agency, authority or body pending or, to the Company’s knowledge, threatened in writing, alleging non-compliance with any Data Security Obligation by the Company or any of its subsidiaries.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(at)</w:t>
            </w:r>
          </w:p>
        </w:tc>
        <w:tc>
          <w:tcPr>
            <w:tcW w:w="100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Other Underwriting Agreements. The Company is not a party to any agreement with an agent or underwriter for any</w:t>
            </w: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other “at the</w:t>
            </w:r>
          </w:p>
        </w:tc>
        <w:tc>
          <w:tcPr>
            <w:tcW w:w="272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240" w:type="dxa"/>
            <w:vAlign w:val="bottom"/>
            <w:vMerge w:val="continue"/>
          </w:tcPr>
          <w:p>
            <w:pPr>
              <w:spacing w:after="0"/>
              <w:rPr>
                <w:sz w:val="22"/>
                <w:szCs w:val="22"/>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market” or continuous equity transaction.</w:t>
            </w:r>
          </w:p>
        </w:tc>
        <w:tc>
          <w:tcPr>
            <w:tcW w:w="0" w:type="dxa"/>
            <w:vAlign w:val="bottom"/>
          </w:tcPr>
          <w:p>
            <w:pPr>
              <w:spacing w:after="0"/>
              <w:rPr>
                <w:sz w:val="1"/>
                <w:szCs w:val="1"/>
                <w:color w:val="auto"/>
              </w:rPr>
            </w:pPr>
          </w:p>
        </w:tc>
      </w:tr>
      <w:tr>
        <w:trPr>
          <w:trHeight w:val="348"/>
        </w:trPr>
        <w:tc>
          <w:tcPr>
            <w:tcW w:w="124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(au)</w:t>
            </w:r>
          </w:p>
        </w:tc>
        <w:tc>
          <w:tcPr>
            <w:tcW w:w="10000" w:type="dxa"/>
            <w:vAlign w:val="bottom"/>
            <w:gridSpan w:val="2"/>
          </w:tcPr>
          <w:p>
            <w:pPr>
              <w:spacing w:after="0"/>
              <w:rPr>
                <w:sz w:val="20"/>
                <w:szCs w:val="20"/>
                <w:color w:val="auto"/>
              </w:rPr>
            </w:pPr>
            <w:r>
              <w:rPr>
                <w:rFonts w:ascii="Times New Roman" w:cs="Times New Roman" w:eastAsia="Times New Roman" w:hAnsi="Times New Roman"/>
                <w:sz w:val="21"/>
                <w:szCs w:val="21"/>
                <w:u w:val="single" w:color="auto"/>
                <w:color w:val="auto"/>
              </w:rPr>
              <w:t>Compliance with Health Care Laws</w:t>
            </w:r>
            <w:r>
              <w:rPr>
                <w:rFonts w:ascii="Times New Roman" w:cs="Times New Roman" w:eastAsia="Times New Roman" w:hAnsi="Times New Roman"/>
                <w:sz w:val="21"/>
                <w:szCs w:val="21"/>
                <w:color w:val="auto"/>
              </w:rPr>
              <w:t>. The Company and its subsidiaries are, and at all times have been, in compliance</w:t>
            </w:r>
          </w:p>
        </w:tc>
        <w:tc>
          <w:tcPr>
            <w:tcW w:w="0" w:type="dxa"/>
            <w:vAlign w:val="bottom"/>
          </w:tcPr>
          <w:p>
            <w:pPr>
              <w:spacing w:after="0"/>
              <w:rPr>
                <w:sz w:val="1"/>
                <w:szCs w:val="1"/>
                <w:color w:val="auto"/>
              </w:rPr>
            </w:pPr>
          </w:p>
        </w:tc>
      </w:tr>
    </w:tbl>
    <w:p>
      <w:pPr>
        <w:jc w:val="both"/>
        <w:spacing w:after="0" w:line="225" w:lineRule="auto"/>
        <w:rPr>
          <w:sz w:val="20"/>
          <w:szCs w:val="20"/>
          <w:color w:val="auto"/>
        </w:rPr>
      </w:pPr>
      <w:r>
        <w:rPr>
          <w:rFonts w:ascii="Times New Roman" w:cs="Times New Roman" w:eastAsia="Times New Roman" w:hAnsi="Times New Roman"/>
          <w:sz w:val="20"/>
          <w:szCs w:val="20"/>
          <w:color w:val="auto"/>
        </w:rPr>
        <w:t>with all Health Care Laws in all material respects and to the extent applicable to the Company’s current business. For purposes of this Agreement, “</w:t>
      </w:r>
      <w:r>
        <w:rPr>
          <w:rFonts w:ascii="Times New Roman" w:cs="Times New Roman" w:eastAsia="Times New Roman" w:hAnsi="Times New Roman"/>
          <w:sz w:val="20"/>
          <w:szCs w:val="20"/>
          <w:b w:val="1"/>
          <w:bCs w:val="1"/>
          <w:color w:val="auto"/>
        </w:rPr>
        <w:t>Health Care Laws</w:t>
      </w:r>
      <w:r>
        <w:rPr>
          <w:rFonts w:ascii="Times New Roman" w:cs="Times New Roman" w:eastAsia="Times New Roman" w:hAnsi="Times New Roman"/>
          <w:sz w:val="20"/>
          <w:szCs w:val="20"/>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 w:cs="Times New Roman" w:eastAsia="Times New Roman" w:hAnsi="Times New Roman"/>
          <w:sz w:val="20"/>
          <w:szCs w:val="20"/>
          <w:b w:val="1"/>
          <w:bCs w:val="1"/>
          <w:color w:val="auto"/>
        </w:rPr>
        <w:t>HIPAA</w:t>
      </w:r>
      <w:r>
        <w:rPr>
          <w:rFonts w:ascii="Times New Roman" w:cs="Times New Roman" w:eastAsia="Times New Roman" w:hAnsi="Times New Roman"/>
          <w:sz w:val="20"/>
          <w:szCs w:val="20"/>
          <w:color w:val="auto"/>
        </w:rPr>
        <w:t>”)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Company’s knowledge, agents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35" w:right="339" w:bottom="1440" w:gutter="0" w:footer="0" w:header="0"/>
        </w:sectPr>
      </w:pPr>
    </w:p>
    <w:bookmarkStart w:id="411" w:name="page412"/>
    <w:bookmarkEnd w:id="411"/>
    <w:p>
      <w:pPr>
        <w:jc w:val="both"/>
        <w:ind w:firstLine="619"/>
        <w:spacing w:after="0" w:line="220" w:lineRule="auto"/>
        <w:rPr>
          <w:sz w:val="20"/>
          <w:szCs w:val="20"/>
          <w:color w:val="auto"/>
        </w:rPr>
      </w:pPr>
      <w:r>
        <w:rPr>
          <w:rFonts w:ascii="Times New Roman" w:cs="Times New Roman" w:eastAsia="Times New Roman" w:hAnsi="Times New Roman"/>
          <w:sz w:val="21"/>
          <w:szCs w:val="21"/>
          <w:color w:val="auto"/>
        </w:rPr>
        <w:t xml:space="preserve">(av) </w:t>
      </w:r>
      <w:r>
        <w:rPr>
          <w:rFonts w:ascii="Times New Roman" w:cs="Times New Roman" w:eastAsia="Times New Roman" w:hAnsi="Times New Roman"/>
          <w:sz w:val="21"/>
          <w:szCs w:val="21"/>
          <w:u w:val="single" w:color="auto"/>
          <w:color w:val="auto"/>
        </w:rPr>
        <w:t>Authority to Enter into Sales Agreement</w:t>
      </w:r>
      <w:r>
        <w:rPr>
          <w:rFonts w:ascii="Times New Roman" w:cs="Times New Roman" w:eastAsia="Times New Roman" w:hAnsi="Times New Roman"/>
          <w:sz w:val="21"/>
          <w:szCs w:val="21"/>
          <w:color w:val="auto"/>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46"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color w:val="auto"/>
        </w:rPr>
        <w:t xml:space="preserve">(aw) </w:t>
      </w:r>
      <w:r>
        <w:rPr>
          <w:rFonts w:ascii="Times New Roman" w:cs="Times New Roman" w:eastAsia="Times New Roman" w:hAnsi="Times New Roman"/>
          <w:sz w:val="21"/>
          <w:szCs w:val="21"/>
          <w:u w:val="single" w:color="auto"/>
          <w:color w:val="auto"/>
        </w:rPr>
        <w:t>No Violation of Organizational Documents, Laws or Existing Instruments</w:t>
      </w:r>
      <w:r>
        <w:rPr>
          <w:rFonts w:ascii="Times New Roman" w:cs="Times New Roman" w:eastAsia="Times New Roman" w:hAnsi="Times New Roman"/>
          <w:sz w:val="21"/>
          <w:szCs w:val="21"/>
          <w:color w:val="auto"/>
        </w:rPr>
        <w:t>. 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50"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 xml:space="preserve">(ax) </w:t>
      </w:r>
      <w:r>
        <w:rPr>
          <w:rFonts w:ascii="Times New Roman" w:cs="Times New Roman" w:eastAsia="Times New Roman" w:hAnsi="Times New Roman"/>
          <w:sz w:val="21"/>
          <w:szCs w:val="21"/>
          <w:u w:val="single" w:color="auto"/>
          <w:color w:val="auto"/>
        </w:rPr>
        <w:t>Accuracy of Certain Disclosure</w:t>
      </w:r>
      <w:r>
        <w:rPr>
          <w:rFonts w:ascii="Times New Roman" w:cs="Times New Roman" w:eastAsia="Times New Roman" w:hAnsi="Times New Roman"/>
          <w:sz w:val="21"/>
          <w:szCs w:val="21"/>
          <w:color w:val="auto"/>
        </w:rPr>
        <w:t>. The statements set forth in the Registration Statement and the Prospectus under the caption “Description of Capital Stock,” insofar as they purport to constitute a summary of the terms of the Common Stock are accurate, complete and fair in all material respects.</w:t>
      </w:r>
    </w:p>
    <w:p>
      <w:pPr>
        <w:spacing w:after="0" w:line="146"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 xml:space="preserve">(ay) </w:t>
      </w:r>
      <w:r>
        <w:rPr>
          <w:rFonts w:ascii="Times New Roman" w:cs="Times New Roman" w:eastAsia="Times New Roman" w:hAnsi="Times New Roman"/>
          <w:sz w:val="21"/>
          <w:szCs w:val="21"/>
          <w:u w:val="single" w:color="auto"/>
          <w:color w:val="auto"/>
        </w:rPr>
        <w:t>No Material Labor Disturbances</w:t>
      </w:r>
      <w:r>
        <w:rPr>
          <w:rFonts w:ascii="Times New Roman" w:cs="Times New Roman" w:eastAsia="Times New Roman" w:hAnsi="Times New Roman"/>
          <w:sz w:val="21"/>
          <w:szCs w:val="21"/>
          <w:color w:val="auto"/>
        </w:rPr>
        <w:t>. No material labor disturbance by or dispute with employees of the Company or any of its subsidiaries exists or, to the Company’s knowledge, is contemplated or threatened, and the Company is not aware of any existing or imminent labor disturbance by, or dispute with, the employees of any of its principal suppliers or contractors, except as would not, individually or in the aggregate, reasonably be expected to have a Material Adverse Effect. The Company has not received any notice of cancellation or termination with respect to any collective bargaining agreement material to the Company.</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 xml:space="preserve">(az) </w:t>
      </w:r>
      <w:r>
        <w:rPr>
          <w:rFonts w:ascii="Times New Roman" w:cs="Times New Roman" w:eastAsia="Times New Roman" w:hAnsi="Times New Roman"/>
          <w:sz w:val="21"/>
          <w:szCs w:val="21"/>
          <w:u w:val="single" w:color="auto"/>
          <w:color w:val="auto"/>
        </w:rPr>
        <w:t>No Ratings</w:t>
      </w:r>
      <w:r>
        <w:rPr>
          <w:rFonts w:ascii="Times New Roman" w:cs="Times New Roman" w:eastAsia="Times New Roman" w:hAnsi="Times New Roman"/>
          <w:sz w:val="21"/>
          <w:szCs w:val="21"/>
          <w:color w:val="auto"/>
        </w:rPr>
        <w:t>. There are no debt securities or preferred stock issued or guaranteed by the Company nor any of its subsidiaries that are rated by a “nationally recognized statistical rating organization,” as such term is defined in Section 3(a)(62) under the Exchange Act.</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 xml:space="preserve">(ba) </w:t>
      </w:r>
      <w:r>
        <w:rPr>
          <w:rFonts w:ascii="Times New Roman" w:cs="Times New Roman" w:eastAsia="Times New Roman" w:hAnsi="Times New Roman"/>
          <w:sz w:val="21"/>
          <w:szCs w:val="21"/>
          <w:u w:val="single" w:color="auto"/>
          <w:color w:val="auto"/>
        </w:rPr>
        <w:t>Forward-Looking Statements</w:t>
      </w:r>
      <w:r>
        <w:rPr>
          <w:rFonts w:ascii="Times New Roman" w:cs="Times New Roman" w:eastAsia="Times New Roman" w:hAnsi="Times New Roman"/>
          <w:sz w:val="21"/>
          <w:szCs w:val="21"/>
          <w:color w:val="auto"/>
        </w:rPr>
        <w:t>. No forward-looking statement (within the meaning of Section 27A of the Securities Act and Section 21E of the Exchange Act) included in the Registration Statement or the Prospectus has been made or reaffirmed without a reasonable basis or has been disclosed other than in good faith.</w:t>
      </w:r>
    </w:p>
    <w:p>
      <w:pPr>
        <w:spacing w:after="0" w:line="17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The Company acknowledges that the Agent and, for purposes of the opinions to be delivered pursuant to </w:t>
      </w:r>
      <w:r>
        <w:rPr>
          <w:rFonts w:ascii="Times New Roman" w:cs="Times New Roman" w:eastAsia="Times New Roman" w:hAnsi="Times New Roman"/>
          <w:sz w:val="21"/>
          <w:szCs w:val="21"/>
          <w:u w:val="single" w:color="auto"/>
          <w:color w:val="auto"/>
        </w:rPr>
        <w:t>Section 4(o)</w:t>
      </w:r>
      <w:r>
        <w:rPr>
          <w:rFonts w:ascii="Times New Roman" w:cs="Times New Roman" w:eastAsia="Times New Roman" w:hAnsi="Times New Roman"/>
          <w:sz w:val="21"/>
          <w:szCs w:val="21"/>
          <w:color w:val="auto"/>
        </w:rPr>
        <w:t xml:space="preserve"> and Section 4(q) hereof, counsel to the Company and counsel to the Agent, will rely upon the accuracy and truthfulness of the foregoing representations and hereby consents to such reliance.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39" w:right="339" w:bottom="1440" w:gutter="0" w:footer="0" w:header="0"/>
        </w:sectPr>
      </w:pPr>
    </w:p>
    <w:bookmarkStart w:id="412" w:name="page413"/>
    <w:bookmarkEnd w:id="412"/>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3.</w:t>
      </w:r>
      <w:r>
        <w:rPr>
          <w:sz w:val="20"/>
          <w:szCs w:val="20"/>
          <w:color w:val="auto"/>
        </w:rPr>
        <w:tab/>
      </w:r>
      <w:r>
        <w:rPr>
          <w:rFonts w:ascii="Times New Roman" w:cs="Times New Roman" w:eastAsia="Times New Roman" w:hAnsi="Times New Roman"/>
          <w:sz w:val="20"/>
          <w:szCs w:val="20"/>
          <w:b w:val="1"/>
          <w:bCs w:val="1"/>
          <w:color w:val="auto"/>
        </w:rPr>
        <w:t>ISSUANCE AND SALE OF COMMON SHARES</w:t>
      </w:r>
    </w:p>
    <w:p>
      <w:pPr>
        <w:spacing w:after="0" w:line="175" w:lineRule="exact"/>
        <w:rPr>
          <w:sz w:val="20"/>
          <w:szCs w:val="20"/>
          <w:color w:val="auto"/>
        </w:rPr>
      </w:pPr>
    </w:p>
    <w:p>
      <w:pPr>
        <w:jc w:val="both"/>
        <w:ind w:firstLine="622"/>
        <w:spacing w:after="0" w:line="217" w:lineRule="auto"/>
        <w:tabs>
          <w:tab w:leader="none" w:pos="1234" w:val="left"/>
        </w:tabs>
        <w:numPr>
          <w:ilvl w:val="1"/>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of Securities</w:t>
      </w:r>
      <w:r>
        <w:rPr>
          <w:rFonts w:ascii="Times New Roman" w:cs="Times New Roman" w:eastAsia="Times New Roman" w:hAnsi="Times New Roman"/>
          <w:sz w:val="21"/>
          <w:szCs w:val="21"/>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Mechanics of Issuances</w:t>
      </w:r>
      <w:r>
        <w:rPr>
          <w:rFonts w:ascii="Times New Roman" w:cs="Times New Roman" w:eastAsia="Times New Roman" w:hAnsi="Times New Roman"/>
          <w:sz w:val="21"/>
          <w:szCs w:val="21"/>
          <w:color w:val="auto"/>
        </w:rPr>
        <w:t>.</w:t>
      </w:r>
    </w:p>
    <w:p>
      <w:pPr>
        <w:spacing w:after="0" w:line="196" w:lineRule="exact"/>
        <w:rPr>
          <w:rFonts w:ascii="Times New Roman" w:cs="Times New Roman" w:eastAsia="Times New Roman" w:hAnsi="Times New Roman"/>
          <w:sz w:val="21"/>
          <w:szCs w:val="21"/>
          <w:color w:val="auto"/>
        </w:rPr>
      </w:pPr>
    </w:p>
    <w:p>
      <w:pPr>
        <w:jc w:val="both"/>
        <w:ind w:firstLine="3"/>
        <w:spacing w:after="0" w:line="249" w:lineRule="auto"/>
        <w:tabs>
          <w:tab w:leader="none" w:pos="888"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Issuance Notice</w:t>
      </w:r>
      <w:r>
        <w:rPr>
          <w:rFonts w:ascii="Times New Roman" w:cs="Times New Roman" w:eastAsia="Times New Roman" w:hAnsi="Times New Roman"/>
          <w:sz w:val="21"/>
          <w:szCs w:val="21"/>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shall have been satisfied, the Company may exercise its right to request an issuance of Shares by delivering to the Agent an Issuance Notice;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76" w:lineRule="exact"/>
        <w:rPr>
          <w:rFonts w:ascii="Times New Roman" w:cs="Times New Roman" w:eastAsia="Times New Roman" w:hAnsi="Times New Roman"/>
          <w:sz w:val="19"/>
          <w:szCs w:val="19"/>
          <w:color w:val="auto"/>
        </w:rPr>
      </w:pPr>
    </w:p>
    <w:p>
      <w:pPr>
        <w:jc w:val="both"/>
        <w:ind w:firstLine="3"/>
        <w:spacing w:after="0" w:line="253" w:lineRule="auto"/>
        <w:tabs>
          <w:tab w:leader="none" w:pos="826"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(ii) </w:t>
      </w:r>
      <w:r>
        <w:rPr>
          <w:rFonts w:ascii="Times New Roman" w:cs="Times New Roman" w:eastAsia="Times New Roman" w:hAnsi="Times New Roman"/>
          <w:sz w:val="21"/>
          <w:szCs w:val="21"/>
          <w:u w:val="single" w:color="auto"/>
          <w:color w:val="auto"/>
        </w:rPr>
        <w:t>Agent Efforts</w:t>
      </w:r>
      <w:r>
        <w:rPr>
          <w:rFonts w:ascii="Times New Roman" w:cs="Times New Roman" w:eastAsia="Times New Roman" w:hAnsi="Times New Roman"/>
          <w:sz w:val="21"/>
          <w:szCs w:val="21"/>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74" w:lineRule="exact"/>
        <w:rPr>
          <w:rFonts w:ascii="Times New Roman" w:cs="Times New Roman" w:eastAsia="Times New Roman" w:hAnsi="Times New Roman"/>
          <w:sz w:val="19"/>
          <w:szCs w:val="19"/>
          <w:color w:val="auto"/>
        </w:rPr>
      </w:pPr>
    </w:p>
    <w:p>
      <w:pPr>
        <w:jc w:val="both"/>
        <w:ind w:firstLine="3"/>
        <w:spacing w:after="0" w:line="251" w:lineRule="auto"/>
        <w:tabs>
          <w:tab w:leader="none" w:pos="816"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(iii) </w:t>
      </w:r>
      <w:r>
        <w:rPr>
          <w:rFonts w:ascii="Times New Roman" w:cs="Times New Roman" w:eastAsia="Times New Roman" w:hAnsi="Times New Roman"/>
          <w:sz w:val="21"/>
          <w:szCs w:val="21"/>
          <w:u w:val="single" w:color="auto"/>
          <w:color w:val="auto"/>
        </w:rPr>
        <w:t>Method of Offer and Sale</w:t>
      </w:r>
      <w:r>
        <w:rPr>
          <w:rFonts w:ascii="Times New Roman" w:cs="Times New Roman" w:eastAsia="Times New Roman" w:hAnsi="Times New Roman"/>
          <w:sz w:val="21"/>
          <w:szCs w:val="21"/>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Class A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73" w:lineRule="exact"/>
        <w:rPr>
          <w:rFonts w:ascii="Times New Roman" w:cs="Times New Roman" w:eastAsia="Times New Roman" w:hAnsi="Times New Roman"/>
          <w:sz w:val="19"/>
          <w:szCs w:val="19"/>
          <w:color w:val="auto"/>
        </w:rPr>
      </w:pPr>
    </w:p>
    <w:p>
      <w:pPr>
        <w:jc w:val="both"/>
        <w:ind w:firstLine="3"/>
        <w:spacing w:after="0" w:line="262" w:lineRule="auto"/>
        <w:tabs>
          <w:tab w:leader="none" w:pos="878"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(iv) </w:t>
      </w:r>
      <w:r>
        <w:rPr>
          <w:rFonts w:ascii="Times New Roman" w:cs="Times New Roman" w:eastAsia="Times New Roman" w:hAnsi="Times New Roman"/>
          <w:sz w:val="21"/>
          <w:szCs w:val="21"/>
          <w:u w:val="single" w:color="auto"/>
          <w:color w:val="auto"/>
        </w:rPr>
        <w:t>Confirmation to the Company</w:t>
      </w:r>
      <w:r>
        <w:rPr>
          <w:rFonts w:ascii="Times New Roman" w:cs="Times New Roman" w:eastAsia="Times New Roman" w:hAnsi="Times New Roman"/>
          <w:sz w:val="21"/>
          <w:szCs w:val="21"/>
          <w:color w:val="auto"/>
        </w:rPr>
        <w:t>. If acting as sales agent hereunder, the Agent will provide written confirmation to the Company no later than the opening of the Trading Day next following the Trading Day on which it has placed Shares hereunder setting forth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35" w:right="339" w:bottom="1440" w:gutter="0" w:footer="0" w:header="0"/>
        </w:sectPr>
      </w:pPr>
    </w:p>
    <w:bookmarkStart w:id="413" w:name="page414"/>
    <w:bookmarkEnd w:id="413"/>
    <w:p>
      <w:pPr>
        <w:spacing w:after="0" w:line="269" w:lineRule="auto"/>
        <w:rPr>
          <w:sz w:val="20"/>
          <w:szCs w:val="20"/>
          <w:color w:val="auto"/>
        </w:rPr>
      </w:pPr>
      <w:r>
        <w:rPr>
          <w:rFonts w:ascii="Times New Roman" w:cs="Times New Roman" w:eastAsia="Times New Roman" w:hAnsi="Times New Roman"/>
          <w:sz w:val="21"/>
          <w:szCs w:val="21"/>
          <w:color w:val="auto"/>
        </w:rPr>
        <w:t>number of Shares sold on such Trading Day, the corresponding Sales Price and the Issuance Price payable to the Company in respect thereof.</w:t>
      </w:r>
    </w:p>
    <w:p>
      <w:pPr>
        <w:spacing w:after="0" w:line="155" w:lineRule="exact"/>
        <w:rPr>
          <w:sz w:val="20"/>
          <w:szCs w:val="20"/>
          <w:color w:val="auto"/>
        </w:rPr>
      </w:pPr>
    </w:p>
    <w:p>
      <w:pPr>
        <w:jc w:val="both"/>
        <w:ind w:firstLine="3"/>
        <w:spacing w:after="0" w:line="250" w:lineRule="auto"/>
        <w:tabs>
          <w:tab w:leader="none" w:pos="852" w:val="left"/>
        </w:tabs>
        <w:numPr>
          <w:ilvl w:val="0"/>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(v) </w:t>
      </w: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cs="Times New Roman" w:eastAsia="Times New Roman" w:hAnsi="Times New Roman"/>
          <w:sz w:val="21"/>
          <w:szCs w:val="21"/>
          <w:b w:val="1"/>
          <w:bCs w:val="1"/>
          <w:color w:val="auto"/>
        </w:rPr>
        <w:t>Time of Sale</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19"/>
          <w:szCs w:val="19"/>
          <w:color w:val="auto"/>
        </w:rPr>
      </w:pPr>
    </w:p>
    <w:p>
      <w:pPr>
        <w:jc w:val="both"/>
        <w:ind w:firstLine="3"/>
        <w:spacing w:after="0" w:line="248" w:lineRule="auto"/>
        <w:tabs>
          <w:tab w:leader="none" w:pos="852" w:val="left"/>
        </w:tabs>
        <w:numPr>
          <w:ilvl w:val="0"/>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(vi) </w:t>
      </w:r>
      <w:r>
        <w:rPr>
          <w:rFonts w:ascii="Times New Roman" w:cs="Times New Roman" w:eastAsia="Times New Roman" w:hAnsi="Times New Roman"/>
          <w:sz w:val="21"/>
          <w:szCs w:val="21"/>
          <w:u w:val="single" w:color="auto"/>
          <w:color w:val="auto"/>
        </w:rPr>
        <w:t>Suspension or Termination of Sales</w:t>
      </w:r>
      <w:r>
        <w:rPr>
          <w:rFonts w:ascii="Times New Roman" w:cs="Times New Roman" w:eastAsia="Times New Roman" w:hAnsi="Times New Roman"/>
          <w:sz w:val="21"/>
          <w:szCs w:val="21"/>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21"/>
          <w:szCs w:val="21"/>
          <w:u w:val="single" w:color="auto"/>
          <w:color w:val="auto"/>
        </w:rPr>
        <w:t>Section 3(b)(v)</w:t>
      </w:r>
      <w:r>
        <w:rPr>
          <w:rFonts w:ascii="Times New Roman" w:cs="Times New Roman" w:eastAsia="Times New Roman" w:hAnsi="Times New Roman"/>
          <w:sz w:val="21"/>
          <w:szCs w:val="21"/>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Class A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21"/>
          <w:szCs w:val="21"/>
          <w:u w:val="single" w:color="auto"/>
          <w:color w:val="auto"/>
        </w:rPr>
        <w:t>Section 3(b)(i)</w:t>
      </w:r>
      <w:r>
        <w:rPr>
          <w:rFonts w:ascii="Times New Roman" w:cs="Times New Roman" w:eastAsia="Times New Roman" w:hAnsi="Times New Roman"/>
          <w:sz w:val="21"/>
          <w:szCs w:val="21"/>
          <w:color w:val="auto"/>
        </w:rPr>
        <w:t>.</w:t>
      </w:r>
    </w:p>
    <w:p>
      <w:pPr>
        <w:spacing w:after="0" w:line="185" w:lineRule="exact"/>
        <w:rPr>
          <w:rFonts w:ascii="Times New Roman" w:cs="Times New Roman" w:eastAsia="Times New Roman" w:hAnsi="Times New Roman"/>
          <w:sz w:val="19"/>
          <w:szCs w:val="19"/>
          <w:color w:val="auto"/>
        </w:rPr>
      </w:pPr>
    </w:p>
    <w:p>
      <w:pPr>
        <w:jc w:val="both"/>
        <w:ind w:firstLine="3"/>
        <w:spacing w:after="0" w:line="256" w:lineRule="auto"/>
        <w:tabs>
          <w:tab w:leader="none" w:pos="855" w:val="left"/>
        </w:tabs>
        <w:numPr>
          <w:ilvl w:val="0"/>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(vii) </w:t>
      </w:r>
      <w:r>
        <w:rPr>
          <w:rFonts w:ascii="Times New Roman" w:cs="Times New Roman" w:eastAsia="Times New Roman" w:hAnsi="Times New Roman"/>
          <w:sz w:val="21"/>
          <w:szCs w:val="21"/>
          <w:u w:val="single" w:color="auto"/>
          <w:color w:val="auto"/>
        </w:rPr>
        <w:t>No Guarantee of Placement, Etc.</w:t>
      </w:r>
      <w:r>
        <w:rPr>
          <w:rFonts w:ascii="Times New Roman" w:cs="Times New Roman" w:eastAsia="Times New Roman" w:hAnsi="Times New Roman"/>
          <w:sz w:val="21"/>
          <w:szCs w:val="21"/>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68" w:lineRule="exact"/>
        <w:rPr>
          <w:rFonts w:ascii="Times New Roman" w:cs="Times New Roman" w:eastAsia="Times New Roman" w:hAnsi="Times New Roman"/>
          <w:sz w:val="19"/>
          <w:szCs w:val="19"/>
          <w:color w:val="auto"/>
        </w:rPr>
      </w:pPr>
    </w:p>
    <w:p>
      <w:pPr>
        <w:ind w:firstLine="622"/>
        <w:spacing w:after="0" w:line="282" w:lineRule="auto"/>
        <w:tabs>
          <w:tab w:leader="none" w:pos="1235" w:val="left"/>
        </w:tabs>
        <w:numPr>
          <w:ilvl w:val="1"/>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(viii) </w:t>
      </w:r>
      <w:r>
        <w:rPr>
          <w:rFonts w:ascii="Times New Roman" w:cs="Times New Roman" w:eastAsia="Times New Roman" w:hAnsi="Times New Roman"/>
          <w:sz w:val="21"/>
          <w:szCs w:val="21"/>
          <w:u w:val="single" w:color="auto"/>
          <w:color w:val="auto"/>
        </w:rPr>
        <w:t>Material Non-Public Information.</w:t>
      </w:r>
      <w:r>
        <w:rPr>
          <w:rFonts w:ascii="Times New Roman" w:cs="Times New Roman" w:eastAsia="Times New Roman" w:hAnsi="Times New Roman"/>
          <w:sz w:val="21"/>
          <w:szCs w:val="21"/>
          <w:color w:val="auto"/>
        </w:rPr>
        <w:t xml:space="preserve"> Notwithstanding any other provision of this Agreement, the Company and the Agent agree that the Company shall not deliver 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64" w:right="339" w:bottom="1440" w:gutter="0" w:footer="0" w:header="0"/>
        </w:sectPr>
      </w:pPr>
    </w:p>
    <w:bookmarkStart w:id="414" w:name="page415"/>
    <w:bookmarkEnd w:id="414"/>
    <w:p>
      <w:pPr>
        <w:spacing w:after="0" w:line="269" w:lineRule="auto"/>
        <w:rPr>
          <w:sz w:val="20"/>
          <w:szCs w:val="20"/>
          <w:color w:val="auto"/>
        </w:rPr>
      </w:pPr>
      <w:r>
        <w:rPr>
          <w:rFonts w:ascii="Times New Roman" w:cs="Times New Roman" w:eastAsia="Times New Roman" w:hAnsi="Times New Roman"/>
          <w:sz w:val="21"/>
          <w:szCs w:val="21"/>
          <w:color w:val="auto"/>
        </w:rPr>
        <w:t>Issuance Notice to the Agent, and the Agent shall not be obligated to place any Shares, during any period in which the Company is in possession of material non-public information.</w:t>
      </w:r>
    </w:p>
    <w:p>
      <w:pPr>
        <w:spacing w:after="0" w:line="129" w:lineRule="exact"/>
        <w:rPr>
          <w:sz w:val="20"/>
          <w:szCs w:val="20"/>
          <w:color w:val="auto"/>
        </w:rPr>
      </w:pPr>
    </w:p>
    <w:p>
      <w:pPr>
        <w:jc w:val="both"/>
        <w:ind w:firstLine="622"/>
        <w:spacing w:after="0" w:line="225" w:lineRule="auto"/>
        <w:tabs>
          <w:tab w:leader="none" w:pos="1233" w:val="left"/>
        </w:tabs>
        <w:numPr>
          <w:ilvl w:val="1"/>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21"/>
          <w:szCs w:val="21"/>
          <w:u w:val="single" w:color="auto"/>
          <w:color w:val="auto"/>
        </w:rPr>
        <w:t>Section 3(b)(vi))</w:t>
      </w:r>
      <w:r>
        <w:rPr>
          <w:rFonts w:ascii="Times New Roman" w:cs="Times New Roman" w:eastAsia="Times New Roman" w:hAnsi="Times New Roman"/>
          <w:sz w:val="21"/>
          <w:szCs w:val="21"/>
          <w:color w:val="auto"/>
        </w:rPr>
        <w:t xml:space="preserve"> by the Agent deducting the Selling Commission from the applicable Issuance Amount.</w:t>
      </w:r>
    </w:p>
    <w:p>
      <w:pPr>
        <w:spacing w:after="0" w:line="145" w:lineRule="exact"/>
        <w:rPr>
          <w:rFonts w:ascii="Times New Roman" w:cs="Times New Roman" w:eastAsia="Times New Roman" w:hAnsi="Times New Roman"/>
          <w:sz w:val="21"/>
          <w:szCs w:val="21"/>
          <w:color w:val="auto"/>
        </w:rPr>
      </w:pPr>
    </w:p>
    <w:p>
      <w:pPr>
        <w:jc w:val="both"/>
        <w:ind w:firstLine="622"/>
        <w:spacing w:after="0" w:line="219" w:lineRule="auto"/>
        <w:tabs>
          <w:tab w:leader="none" w:pos="1226"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w:t>
      </w:r>
    </w:p>
    <w:p>
      <w:pPr>
        <w:spacing w:after="0" w:line="4" w:lineRule="exact"/>
        <w:rPr>
          <w:rFonts w:ascii="Times New Roman" w:cs="Times New Roman" w:eastAsia="Times New Roman" w:hAnsi="Times New Roman"/>
          <w:sz w:val="20"/>
          <w:szCs w:val="20"/>
          <w:color w:val="auto"/>
        </w:rPr>
      </w:pPr>
    </w:p>
    <w:p>
      <w:pPr>
        <w:jc w:val="both"/>
        <w:ind w:firstLine="3"/>
        <w:spacing w:after="0" w:line="207" w:lineRule="auto"/>
        <w:tabs>
          <w:tab w:leader="none" w:pos="317"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reasonable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21"/>
          <w:szCs w:val="21"/>
          <w:b w:val="1"/>
          <w:bCs w:val="1"/>
          <w:color w:val="auto"/>
        </w:rPr>
        <w:t>Blue Sky Survey</w:t>
      </w:r>
      <w:r>
        <w:rPr>
          <w:rFonts w:ascii="Times New Roman" w:cs="Times New Roman" w:eastAsia="Times New Roman" w:hAnsi="Times New Roman"/>
          <w:sz w:val="21"/>
          <w:szCs w:val="21"/>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(A) $75,000 in connection with the execution of this Agreement, and (B) $25,000 in connection with each Triggering Event Date (as defined below) on which the Company is required to provide a certificate pursuant to Section 4(o);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that the fees and expenses of the Agent’s counsel in connection with FINRA review and approval of the Agent’s participation in the offering and distribution of the Shares pursuant to subsection (vii) above shall not be subject to the dollar amount limitations on the fees and disbursements of the Agent’s counsel that are set forth in this sentence, but shall not exceed an additional $10,000.</w:t>
      </w:r>
    </w:p>
    <w:p>
      <w:pPr>
        <w:spacing w:after="0" w:line="14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4.</w:t>
      </w:r>
      <w:r>
        <w:rPr>
          <w:sz w:val="20"/>
          <w:szCs w:val="20"/>
          <w:color w:val="auto"/>
        </w:rPr>
        <w:tab/>
      </w:r>
      <w:r>
        <w:rPr>
          <w:rFonts w:ascii="Times New Roman" w:cs="Times New Roman" w:eastAsia="Times New Roman" w:hAnsi="Times New Roman"/>
          <w:sz w:val="20"/>
          <w:szCs w:val="20"/>
          <w:b w:val="1"/>
          <w:bCs w:val="1"/>
          <w:color w:val="auto"/>
        </w:rPr>
        <w:t>ADDITIONAL COVENANTS</w:t>
      </w:r>
    </w:p>
    <w:p>
      <w:pPr>
        <w:spacing w:after="0" w:line="201" w:lineRule="exact"/>
        <w:rPr>
          <w:sz w:val="20"/>
          <w:szCs w:val="20"/>
          <w:color w:val="auto"/>
        </w:rPr>
      </w:pPr>
    </w:p>
    <w:p>
      <w:pPr>
        <w:ind w:firstLine="619"/>
        <w:spacing w:after="0" w:line="282" w:lineRule="auto"/>
        <w:rPr>
          <w:sz w:val="20"/>
          <w:szCs w:val="20"/>
          <w:color w:val="auto"/>
        </w:rPr>
      </w:pPr>
      <w:r>
        <w:rPr>
          <w:rFonts w:ascii="Times New Roman" w:cs="Times New Roman" w:eastAsia="Times New Roman" w:hAnsi="Times New Roman"/>
          <w:sz w:val="21"/>
          <w:szCs w:val="21"/>
          <w:color w:val="auto"/>
        </w:rPr>
        <w:t>The Company covenants and agrees with the Agent as follows, in addition to any other covenants and agreements made elsewhere in this Agreement:</w:t>
      </w:r>
    </w:p>
    <w:p>
      <w:pPr>
        <w:spacing w:after="0" w:line="116" w:lineRule="exact"/>
        <w:rPr>
          <w:sz w:val="20"/>
          <w:szCs w:val="20"/>
          <w:color w:val="auto"/>
        </w:rPr>
      </w:pPr>
    </w:p>
    <w:p>
      <w:pPr>
        <w:jc w:val="both"/>
        <w:ind w:firstLine="622"/>
        <w:spacing w:after="0" w:line="219" w:lineRule="auto"/>
        <w:tabs>
          <w:tab w:leader="none" w:pos="1234" w:val="left"/>
        </w:tabs>
        <w:numPr>
          <w:ilvl w:val="1"/>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Act Compliance</w:t>
      </w:r>
      <w:r>
        <w:rPr>
          <w:rFonts w:ascii="Times New Roman" w:cs="Times New Roman" w:eastAsia="Times New Roman" w:hAnsi="Times New Roman"/>
          <w:sz w:val="20"/>
          <w:szCs w:val="20"/>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in the Company’s sole discretion, (A) include in its quarterly reports on Form 10-Q and its annual reports on Form 10-K, a summary detailing, for the relevant reporting period, (1) the number of Shares, if any, sold through the Agent pursuant to this Agreement and (2) the net proceeds, if any, received by the Company from such sales or,</w:t>
      </w:r>
    </w:p>
    <w:p>
      <w:pPr>
        <w:spacing w:after="0" w:line="4" w:lineRule="exact"/>
        <w:rPr>
          <w:rFonts w:ascii="Times New Roman" w:cs="Times New Roman" w:eastAsia="Times New Roman" w:hAnsi="Times New Roman"/>
          <w:sz w:val="20"/>
          <w:szCs w:val="20"/>
          <w:color w:val="auto"/>
        </w:rPr>
      </w:pPr>
    </w:p>
    <w:p>
      <w:pPr>
        <w:ind w:left="320" w:hanging="317"/>
        <w:spacing w:after="0"/>
        <w:tabs>
          <w:tab w:leader="none" w:pos="320"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a prospectus supplement containing, or include in such other filing permitted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64" w:right="339" w:bottom="1440" w:gutter="0" w:footer="0" w:header="0"/>
        </w:sectPr>
      </w:pPr>
    </w:p>
    <w:bookmarkStart w:id="415" w:name="page416"/>
    <w:bookmarkEnd w:id="415"/>
    <w:p>
      <w:pPr>
        <w:jc w:val="both"/>
        <w:spacing w:after="0" w:line="226" w:lineRule="auto"/>
        <w:rPr>
          <w:sz w:val="20"/>
          <w:szCs w:val="20"/>
          <w:color w:val="auto"/>
        </w:rPr>
      </w:pPr>
      <w:r>
        <w:rPr>
          <w:rFonts w:ascii="Times New Roman" w:cs="Times New Roman" w:eastAsia="Times New Roman" w:hAnsi="Times New Roman"/>
          <w:sz w:val="21"/>
          <w:szCs w:val="21"/>
          <w:color w:val="auto"/>
        </w:rPr>
        <w:t>Securities Act or Exchange Act (each an “</w:t>
      </w:r>
      <w:r>
        <w:rPr>
          <w:rFonts w:ascii="Times New Roman" w:cs="Times New Roman" w:eastAsia="Times New Roman" w:hAnsi="Times New Roman"/>
          <w:sz w:val="21"/>
          <w:szCs w:val="21"/>
          <w:b w:val="1"/>
          <w:bCs w:val="1"/>
          <w:color w:val="auto"/>
        </w:rPr>
        <w:t>Interim Prospectus Supplement</w:t>
      </w:r>
      <w:r>
        <w:rPr>
          <w:rFonts w:ascii="Times New Roman" w:cs="Times New Roman" w:eastAsia="Times New Roman" w:hAnsi="Times New Roman"/>
          <w:sz w:val="21"/>
          <w:szCs w:val="21"/>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47" w:lineRule="exact"/>
        <w:rPr>
          <w:sz w:val="20"/>
          <w:szCs w:val="20"/>
          <w:color w:val="auto"/>
        </w:rPr>
      </w:pPr>
    </w:p>
    <w:p>
      <w:pPr>
        <w:jc w:val="both"/>
        <w:ind w:firstLine="622"/>
        <w:spacing w:after="0" w:line="219" w:lineRule="auto"/>
        <w:tabs>
          <w:tab w:leader="none" w:pos="1233"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Act Compliance</w:t>
      </w:r>
      <w:r>
        <w:rPr>
          <w:rFonts w:ascii="Times New Roman" w:cs="Times New Roman" w:eastAsia="Times New Roman" w:hAnsi="Times New Roman"/>
          <w:sz w:val="20"/>
          <w:szCs w:val="20"/>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Class A Common Shares from any securities exchange upon which they are listed for trading or included or designated for quotation, or of the threatening or initiation of any proceedings for any of such purposes; and (v) of the Company losing its status as a “well-known seasoned issuer” as defined in Rule 405 under the Securities Act as of the time the Company files with the Commission an annual report on Form 10-K. If the Commission shall enter any such stop order at any time, the Company will use its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52" w:lineRule="exact"/>
        <w:rPr>
          <w:rFonts w:ascii="Times New Roman" w:cs="Times New Roman" w:eastAsia="Times New Roman" w:hAnsi="Times New Roman"/>
          <w:sz w:val="20"/>
          <w:szCs w:val="20"/>
          <w:color w:val="auto"/>
        </w:rPr>
      </w:pPr>
    </w:p>
    <w:p>
      <w:pPr>
        <w:jc w:val="both"/>
        <w:ind w:firstLine="622"/>
        <w:spacing w:after="0" w:line="219" w:lineRule="auto"/>
        <w:tabs>
          <w:tab w:leader="none" w:pos="1234"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and Supplements to the Prospectus and Other Securities Act Matters</w:t>
      </w:r>
      <w:r>
        <w:rPr>
          <w:rFonts w:ascii="Times New Roman" w:cs="Times New Roman" w:eastAsia="Times New Roman" w:hAnsi="Times New Roman"/>
          <w:sz w:val="20"/>
          <w:szCs w:val="20"/>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Section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Section 4(f). Notwithstanding the foregoing, the Company shall not be required to file such amendment or supplement if there is no pending Issuance Notice and the Company believes that it is in its best interests not to file such amendment or supplement; provided, however, the Company agrees not to provide an Issuance Notice or otherwise sell under this Agreement until such amendment or supplement is filed or it is determined that such amendment or supplement is no longer required; provided further, that the failure of the Company to file such amendment or supplement request shall not relieve the Company of any obligation or liability under Section 3(d) or Section 6 hereof, or affect the Agent’s right to rely on the representations and warranties made by the Company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35" w:right="339" w:bottom="1440" w:gutter="0" w:footer="0" w:header="0"/>
        </w:sectPr>
      </w:pPr>
    </w:p>
    <w:bookmarkStart w:id="416" w:name="page417"/>
    <w:bookmarkEnd w:id="416"/>
    <w:p>
      <w:pPr>
        <w:jc w:val="both"/>
        <w:ind w:firstLine="622"/>
        <w:spacing w:after="0" w:line="212" w:lineRule="auto"/>
        <w:tabs>
          <w:tab w:leader="none" w:pos="1233"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Agent’s Review of Proposed Amendments and Supplements</w:t>
      </w:r>
      <w:r>
        <w:rPr>
          <w:rFonts w:ascii="Times New Roman" w:cs="Times New Roman" w:eastAsia="Times New Roman" w:hAnsi="Times New Roman"/>
          <w:sz w:val="21"/>
          <w:szCs w:val="21"/>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 which consent will not be unreasonably withheld, conditioned or delayed, and the Company shall file with the Commission within the applicable period specified in Rule 424(b) under the Securities Act any prospectus required to be filed pursuant to such Rule.</w:t>
      </w:r>
    </w:p>
    <w:p>
      <w:pPr>
        <w:spacing w:after="0" w:line="149"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4"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Free Writing Prospectus</w:t>
      </w:r>
      <w:r>
        <w:rPr>
          <w:rFonts w:ascii="Times New Roman" w:cs="Times New Roman" w:eastAsia="Times New Roman" w:hAnsi="Times New Roman"/>
          <w:sz w:val="21"/>
          <w:szCs w:val="21"/>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21"/>
          <w:szCs w:val="21"/>
          <w:b w:val="1"/>
          <w:bCs w:val="1"/>
          <w:color w:val="auto"/>
        </w:rPr>
        <w:t>Free Writing Prospectus</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622"/>
        <w:spacing w:after="0" w:line="208" w:lineRule="auto"/>
        <w:tabs>
          <w:tab w:leader="none" w:pos="1237"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Free Writing Prospectuses</w:t>
      </w:r>
      <w:r>
        <w:rPr>
          <w:rFonts w:ascii="Times New Roman" w:cs="Times New Roman" w:eastAsia="Times New Roman" w:hAnsi="Times New Roman"/>
          <w:sz w:val="21"/>
          <w:szCs w:val="21"/>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consent will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prior to amending or supplementing any such free writing prospectus, the Company shall furnish to the Agent for review,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consent will not be unreasonably withheld, conditioned or delayed.</w:t>
      </w:r>
    </w:p>
    <w:p>
      <w:pPr>
        <w:spacing w:after="0" w:line="149"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3"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Filing of Agent Free Writing Prospectuses</w:t>
      </w:r>
      <w:r>
        <w:rPr>
          <w:rFonts w:ascii="Times New Roman" w:cs="Times New Roman" w:eastAsia="Times New Roman" w:hAnsi="Times New Roman"/>
          <w:sz w:val="21"/>
          <w:szCs w:val="21"/>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39" w:right="339" w:bottom="1440" w:gutter="0" w:footer="0" w:header="0"/>
        </w:sectPr>
      </w:pPr>
    </w:p>
    <w:bookmarkStart w:id="417" w:name="page418"/>
    <w:bookmarkEnd w:id="417"/>
    <w:p>
      <w:pPr>
        <w:jc w:val="both"/>
        <w:ind w:firstLine="622"/>
        <w:spacing w:after="0" w:line="208" w:lineRule="auto"/>
        <w:tabs>
          <w:tab w:leader="none" w:pos="1233"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Copies of Registration Statement and Prospectus</w:t>
      </w:r>
      <w:r>
        <w:rPr>
          <w:rFonts w:ascii="Times New Roman" w:cs="Times New Roman" w:eastAsia="Times New Roman" w:hAnsi="Times New Roman"/>
          <w:sz w:val="21"/>
          <w:szCs w:val="21"/>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49" w:lineRule="exact"/>
        <w:rPr>
          <w:rFonts w:ascii="Times New Roman" w:cs="Times New Roman" w:eastAsia="Times New Roman" w:hAnsi="Times New Roman"/>
          <w:sz w:val="21"/>
          <w:szCs w:val="21"/>
          <w:color w:val="auto"/>
        </w:rPr>
      </w:pPr>
    </w:p>
    <w:p>
      <w:pPr>
        <w:jc w:val="both"/>
        <w:ind w:firstLine="622"/>
        <w:spacing w:after="0" w:line="211" w:lineRule="auto"/>
        <w:tabs>
          <w:tab w:leader="none" w:pos="1226"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Blue Sky Compliance</w:t>
      </w:r>
      <w:r>
        <w:rPr>
          <w:rFonts w:ascii="Times New Roman" w:cs="Times New Roman" w:eastAsia="Times New Roman" w:hAnsi="Times New Roman"/>
          <w:sz w:val="21"/>
          <w:szCs w:val="21"/>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commercially reasonable efforts to obtain the withdrawal thereof at the earliest possible moment.</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26"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Earnings Statement</w:t>
      </w:r>
      <w:r>
        <w:rPr>
          <w:rFonts w:ascii="Times New Roman" w:cs="Times New Roman" w:eastAsia="Times New Roman" w:hAnsi="Times New Roman"/>
          <w:sz w:val="21"/>
          <w:szCs w:val="21"/>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3"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Listing; Reservation of Shares</w:t>
      </w:r>
      <w:r>
        <w:rPr>
          <w:rFonts w:ascii="Times New Roman" w:cs="Times New Roman" w:eastAsia="Times New Roman" w:hAnsi="Times New Roman"/>
          <w:sz w:val="21"/>
          <w:szCs w:val="21"/>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38" w:right="339" w:bottom="1440" w:gutter="0" w:footer="0" w:header="0"/>
        </w:sectPr>
      </w:pPr>
    </w:p>
    <w:bookmarkStart w:id="418" w:name="page419"/>
    <w:bookmarkEnd w:id="418"/>
    <w:p>
      <w:pPr>
        <w:ind w:left="1220" w:hanging="598"/>
        <w:spacing w:after="0"/>
        <w:tabs>
          <w:tab w:leader="none" w:pos="1220" w:val="left"/>
        </w:tabs>
        <w:numPr>
          <w:ilvl w:val="3"/>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Agent</w:t>
      </w:r>
      <w:r>
        <w:rPr>
          <w:rFonts w:ascii="Times New Roman" w:cs="Times New Roman" w:eastAsia="Times New Roman" w:hAnsi="Times New Roman"/>
          <w:sz w:val="21"/>
          <w:szCs w:val="21"/>
          <w:color w:val="auto"/>
        </w:rPr>
        <w:t>. The Company shall engage and maintain, at its expense, a registrar and transfer agent for the Shares.</w:t>
      </w:r>
    </w:p>
    <w:p>
      <w:pPr>
        <w:spacing w:after="0" w:line="171" w:lineRule="exact"/>
        <w:rPr>
          <w:rFonts w:ascii="Times New Roman" w:cs="Times New Roman" w:eastAsia="Times New Roman" w:hAnsi="Times New Roman"/>
          <w:sz w:val="21"/>
          <w:szCs w:val="21"/>
          <w:color w:val="auto"/>
        </w:rPr>
      </w:pPr>
    </w:p>
    <w:p>
      <w:pPr>
        <w:jc w:val="both"/>
        <w:ind w:firstLine="622"/>
        <w:spacing w:after="0" w:line="220" w:lineRule="auto"/>
        <w:tabs>
          <w:tab w:leader="none" w:pos="1226" w:val="left"/>
        </w:tabs>
        <w:numPr>
          <w:ilvl w:val="3"/>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Due Diligence</w:t>
      </w:r>
      <w:r>
        <w:rPr>
          <w:rFonts w:ascii="Times New Roman" w:cs="Times New Roman" w:eastAsia="Times New Roman" w:hAnsi="Times New Roman"/>
          <w:sz w:val="21"/>
          <w:szCs w:val="21"/>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45" w:lineRule="exact"/>
        <w:rPr>
          <w:rFonts w:ascii="Times New Roman" w:cs="Times New Roman" w:eastAsia="Times New Roman" w:hAnsi="Times New Roman"/>
          <w:sz w:val="21"/>
          <w:szCs w:val="21"/>
          <w:color w:val="auto"/>
        </w:rPr>
      </w:pPr>
    </w:p>
    <w:p>
      <w:pPr>
        <w:jc w:val="both"/>
        <w:ind w:firstLine="622"/>
        <w:spacing w:after="0" w:line="212" w:lineRule="auto"/>
        <w:tabs>
          <w:tab w:leader="none" w:pos="1233" w:val="left"/>
        </w:tabs>
        <w:numPr>
          <w:ilvl w:val="3"/>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49" w:lineRule="exact"/>
        <w:rPr>
          <w:rFonts w:ascii="Times New Roman" w:cs="Times New Roman" w:eastAsia="Times New Roman" w:hAnsi="Times New Roman"/>
          <w:sz w:val="21"/>
          <w:szCs w:val="21"/>
          <w:color w:val="auto"/>
        </w:rPr>
      </w:pPr>
    </w:p>
    <w:p>
      <w:pPr>
        <w:ind w:firstLine="622"/>
        <w:spacing w:after="0" w:line="235" w:lineRule="auto"/>
        <w:tabs>
          <w:tab w:leader="none" w:pos="1233" w:val="left"/>
        </w:tabs>
        <w:numPr>
          <w:ilvl w:val="3"/>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Deliverables at Triggering Event Dates; Certificates</w:t>
      </w:r>
      <w:r>
        <w:rPr>
          <w:rFonts w:ascii="Times New Roman" w:cs="Times New Roman" w:eastAsia="Times New Roman" w:hAnsi="Times New Roman"/>
          <w:sz w:val="21"/>
          <w:szCs w:val="21"/>
          <w:color w:val="auto"/>
        </w:rPr>
        <w:t>. The Company agrees that on or prior to the date of the first Issuance Notice and, during the term of this Agreement after the date of the first Issuance Notice, upon:</w:t>
      </w:r>
    </w:p>
    <w:p>
      <w:pPr>
        <w:spacing w:after="0" w:line="171" w:lineRule="exact"/>
        <w:rPr>
          <w:rFonts w:ascii="Times New Roman" w:cs="Times New Roman" w:eastAsia="Times New Roman" w:hAnsi="Times New Roman"/>
          <w:sz w:val="21"/>
          <w:szCs w:val="21"/>
          <w:color w:val="auto"/>
        </w:rPr>
      </w:pPr>
    </w:p>
    <w:p>
      <w:pPr>
        <w:jc w:val="both"/>
        <w:ind w:firstLine="567"/>
        <w:spacing w:after="0" w:line="256" w:lineRule="auto"/>
        <w:tabs>
          <w:tab w:leader="none" w:pos="1132" w:val="left"/>
        </w:tabs>
        <w:numPr>
          <w:ilvl w:val="2"/>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filing of the Prospectus or the amendment or supplement of any Registration Statement or Prospectus (other than a prospectus supplement relating solely to an offering of securities other than the Shares or a prospectus filed pursuant to Section 4(a)(ii) (B)), by means of a post-effective amendment, sticker or supplement, but not by means of incorporation of documents by reference into the Registration Statement or Prospectus;</w:t>
      </w:r>
    </w:p>
    <w:p>
      <w:pPr>
        <w:spacing w:after="0" w:line="194" w:lineRule="exact"/>
        <w:rPr>
          <w:rFonts w:ascii="Times New Roman" w:cs="Times New Roman" w:eastAsia="Times New Roman" w:hAnsi="Times New Roman"/>
          <w:sz w:val="21"/>
          <w:szCs w:val="21"/>
          <w:color w:val="auto"/>
        </w:rPr>
      </w:pPr>
    </w:p>
    <w:p>
      <w:pPr>
        <w:jc w:val="both"/>
        <w:ind w:firstLine="475"/>
        <w:spacing w:after="0" w:line="256" w:lineRule="auto"/>
        <w:tabs>
          <w:tab w:leader="none" w:pos="983" w:val="left"/>
        </w:tabs>
        <w:numPr>
          <w:ilvl w:val="1"/>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w:t>
      </w:r>
    </w:p>
    <w:p>
      <w:pPr>
        <w:spacing w:after="0" w:line="194" w:lineRule="exact"/>
        <w:rPr>
          <w:rFonts w:ascii="Times New Roman" w:cs="Times New Roman" w:eastAsia="Times New Roman" w:hAnsi="Times New Roman"/>
          <w:sz w:val="21"/>
          <w:szCs w:val="21"/>
          <w:color w:val="auto"/>
        </w:rPr>
      </w:pPr>
    </w:p>
    <w:p>
      <w:pPr>
        <w:jc w:val="both"/>
        <w:ind w:firstLine="3"/>
        <w:spacing w:after="0" w:line="273" w:lineRule="auto"/>
        <w:tabs>
          <w:tab w:leader="none" w:pos="119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 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or</w:t>
      </w:r>
    </w:p>
    <w:p>
      <w:pPr>
        <w:spacing w:after="0" w:line="152" w:lineRule="exact"/>
        <w:rPr>
          <w:rFonts w:ascii="Times New Roman" w:cs="Times New Roman" w:eastAsia="Times New Roman" w:hAnsi="Times New Roman"/>
          <w:sz w:val="18"/>
          <w:szCs w:val="18"/>
          <w:color w:val="auto"/>
        </w:rPr>
      </w:pPr>
    </w:p>
    <w:p>
      <w:pPr>
        <w:ind w:left="1580" w:hanging="339"/>
        <w:spacing w:after="0"/>
        <w:tabs>
          <w:tab w:leader="none" w:pos="1580" w:val="left"/>
        </w:tabs>
        <w:numPr>
          <w:ilvl w:val="4"/>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as the Agent may reasonably request;</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(any such event, a “</w:t>
      </w:r>
      <w:r>
        <w:rPr>
          <w:rFonts w:ascii="Times New Roman" w:cs="Times New Roman" w:eastAsia="Times New Roman" w:hAnsi="Times New Roman"/>
          <w:sz w:val="21"/>
          <w:szCs w:val="21"/>
          <w:b w:val="1"/>
          <w:bCs w:val="1"/>
          <w:color w:val="auto"/>
        </w:rPr>
        <w:t>Triggering Event Date</w:t>
      </w:r>
      <w:r>
        <w:rPr>
          <w:rFonts w:ascii="Times New Roman" w:cs="Times New Roman" w:eastAsia="Times New Roman" w:hAnsi="Times New Roman"/>
          <w:sz w:val="21"/>
          <w:szCs w:val="21"/>
          <w:color w:val="auto"/>
        </w:rPr>
        <w:t>”), the Company shall furnish the Agent (but in the case of clause (C) above only if the Agent reasonably determines that the information contained in such current report on Form 8-K of the Company is material) with a certificate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38" w:right="339" w:bottom="1440" w:gutter="0" w:footer="0" w:header="0"/>
        </w:sectPr>
      </w:pPr>
    </w:p>
    <w:bookmarkStart w:id="419" w:name="page420"/>
    <w:bookmarkEnd w:id="419"/>
    <w:p>
      <w:pPr>
        <w:jc w:val="both"/>
        <w:spacing w:after="0" w:line="263" w:lineRule="auto"/>
        <w:rPr>
          <w:sz w:val="20"/>
          <w:szCs w:val="20"/>
          <w:color w:val="auto"/>
        </w:rPr>
      </w:pPr>
      <w:r>
        <w:rPr>
          <w:rFonts w:ascii="Times New Roman" w:cs="Times New Roman" w:eastAsia="Times New Roman" w:hAnsi="Times New Roman"/>
          <w:sz w:val="20"/>
          <w:szCs w:val="20"/>
          <w:color w:val="auto"/>
        </w:rPr>
        <w:t>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w:t>
      </w:r>
    </w:p>
    <w:p>
      <w:pPr>
        <w:spacing w:after="0" w:line="2" w:lineRule="exact"/>
        <w:rPr>
          <w:sz w:val="20"/>
          <w:szCs w:val="20"/>
          <w:color w:val="auto"/>
        </w:rPr>
      </w:pPr>
    </w:p>
    <w:p>
      <w:pPr>
        <w:jc w:val="both"/>
        <w:ind w:firstLine="3"/>
        <w:spacing w:after="0" w:line="246" w:lineRule="auto"/>
        <w:tabs>
          <w:tab w:leader="none" w:pos="363"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21"/>
          <w:szCs w:val="21"/>
          <w:u w:val="single" w:color="auto"/>
          <w:color w:val="auto"/>
        </w:rPr>
        <w:t>Section 5(a)(iii)</w:t>
      </w:r>
      <w:r>
        <w:rPr>
          <w:rFonts w:ascii="Times New Roman" w:cs="Times New Roman" w:eastAsia="Times New Roman" w:hAnsi="Times New Roman"/>
          <w:sz w:val="21"/>
          <w:szCs w:val="21"/>
          <w:color w:val="auto"/>
        </w:rPr>
        <w:t xml:space="preserve"> hereof, and (C) containing any other certification that the Agent shall reasonably request. The requirement to provide a certificate under this </w:t>
      </w:r>
      <w:r>
        <w:rPr>
          <w:rFonts w:ascii="Times New Roman" w:cs="Times New Roman" w:eastAsia="Times New Roman" w:hAnsi="Times New Roman"/>
          <w:sz w:val="21"/>
          <w:szCs w:val="21"/>
          <w:u w:val="single" w:color="auto"/>
          <w:color w:val="auto"/>
        </w:rPr>
        <w:t>Section 4(o)</w:t>
      </w:r>
      <w:r>
        <w:rPr>
          <w:rFonts w:ascii="Times New Roman" w:cs="Times New Roman" w:eastAsia="Times New Roman" w:hAnsi="Times New Roman"/>
          <w:sz w:val="21"/>
          <w:szCs w:val="21"/>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57" w:lineRule="exact"/>
        <w:rPr>
          <w:rFonts w:ascii="Times New Roman" w:cs="Times New Roman" w:eastAsia="Times New Roman" w:hAnsi="Times New Roman"/>
          <w:sz w:val="21"/>
          <w:szCs w:val="21"/>
          <w:color w:val="auto"/>
        </w:rPr>
      </w:pPr>
    </w:p>
    <w:p>
      <w:pPr>
        <w:jc w:val="both"/>
        <w:ind w:firstLine="622"/>
        <w:spacing w:after="0" w:line="209" w:lineRule="auto"/>
        <w:tabs>
          <w:tab w:leader="none" w:pos="1233" w:val="left"/>
        </w:tabs>
        <w:numPr>
          <w:ilvl w:val="1"/>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Legal Opinions and Negative Assurance Letter.</w:t>
      </w:r>
      <w:r>
        <w:rPr>
          <w:rFonts w:ascii="Times New Roman" w:cs="Times New Roman" w:eastAsia="Times New Roman" w:hAnsi="Times New Roman"/>
          <w:sz w:val="21"/>
          <w:szCs w:val="21"/>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to be furnished to the Agent (1) a negative assurances letter and the written legal opinion of Wilson Sonsini Goodrich &amp; Rosati, P.C., counsel to the Company, and (2) the written legal opinion of Wilson Sonsini Goodrich &amp; Rosati, P.C.,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shall be required to furnish no more than one written legal opinion of Company Counsel per filing of an annual report on Form 10-K or quarterly report on Form 10-Q.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54" w:lineRule="exact"/>
        <w:rPr>
          <w:rFonts w:ascii="Times New Roman" w:cs="Times New Roman" w:eastAsia="Times New Roman" w:hAnsi="Times New Roman"/>
          <w:sz w:val="21"/>
          <w:szCs w:val="21"/>
          <w:color w:val="auto"/>
        </w:rPr>
      </w:pPr>
    </w:p>
    <w:p>
      <w:pPr>
        <w:jc w:val="both"/>
        <w:ind w:firstLine="622"/>
        <w:spacing w:after="0" w:line="212" w:lineRule="auto"/>
        <w:tabs>
          <w:tab w:leader="none" w:pos="1237" w:val="left"/>
        </w:tabs>
        <w:numPr>
          <w:ilvl w:val="1"/>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Comfort Letter</w:t>
      </w:r>
      <w:r>
        <w:rPr>
          <w:rFonts w:ascii="Times New Roman" w:cs="Times New Roman" w:eastAsia="Times New Roman" w:hAnsi="Times New Roman"/>
          <w:sz w:val="21"/>
          <w:szCs w:val="21"/>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the independent registered public accounting firm(s) who have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64" w:right="339" w:bottom="1440" w:gutter="0" w:footer="0" w:header="0"/>
        </w:sectPr>
      </w:pPr>
    </w:p>
    <w:bookmarkStart w:id="420" w:name="page421"/>
    <w:bookmarkEnd w:id="420"/>
    <w:p>
      <w:pPr>
        <w:jc w:val="both"/>
        <w:spacing w:after="0" w:line="217" w:lineRule="auto"/>
        <w:rPr>
          <w:sz w:val="20"/>
          <w:szCs w:val="20"/>
          <w:color w:val="auto"/>
        </w:rPr>
      </w:pPr>
      <w:r>
        <w:rPr>
          <w:rFonts w:ascii="Times New Roman" w:cs="Times New Roman" w:eastAsia="Times New Roman" w:hAnsi="Times New Roman"/>
          <w:sz w:val="21"/>
          <w:szCs w:val="21"/>
          <w:color w:val="auto"/>
        </w:rPr>
        <w:t>Company shall also cause a comfort letter to be furnished to the Agent upon the occurrence of any material transaction or event requiring the filing of a current report on Form 8-K containing material amended financial information of the Company, including the restatement of the Company’s financial statements, promptly following the filing of such current report on Form 8-K. After the initial comfort letter is furnished on or prior to the date of the first Issuance Notice, the Company shall be required to furnish no more than one comfort letter hereunder per calendar quarter.</w:t>
      </w:r>
    </w:p>
    <w:p>
      <w:pPr>
        <w:spacing w:after="0" w:line="146" w:lineRule="exact"/>
        <w:rPr>
          <w:sz w:val="20"/>
          <w:szCs w:val="20"/>
          <w:color w:val="auto"/>
        </w:rPr>
      </w:pPr>
    </w:p>
    <w:p>
      <w:pPr>
        <w:jc w:val="both"/>
        <w:ind w:firstLine="622"/>
        <w:spacing w:after="0" w:line="212" w:lineRule="auto"/>
        <w:tabs>
          <w:tab w:leader="none" w:pos="1236"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Secretary’s Certificate</w:t>
      </w:r>
      <w:r>
        <w:rPr>
          <w:rFonts w:ascii="Times New Roman" w:cs="Times New Roman" w:eastAsia="Times New Roman" w:hAnsi="Times New Roman"/>
          <w:sz w:val="21"/>
          <w:szCs w:val="21"/>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49" w:lineRule="exact"/>
        <w:rPr>
          <w:rFonts w:ascii="Times New Roman" w:cs="Times New Roman" w:eastAsia="Times New Roman" w:hAnsi="Times New Roman"/>
          <w:sz w:val="21"/>
          <w:szCs w:val="21"/>
          <w:color w:val="auto"/>
        </w:rPr>
      </w:pPr>
    </w:p>
    <w:p>
      <w:pPr>
        <w:jc w:val="both"/>
        <w:ind w:firstLine="622"/>
        <w:spacing w:after="0" w:line="225" w:lineRule="auto"/>
        <w:tabs>
          <w:tab w:leader="none" w:pos="1226"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Agent’s Own Account; Clients’ Account</w:t>
      </w:r>
      <w:r>
        <w:rPr>
          <w:rFonts w:ascii="Times New Roman" w:cs="Times New Roman" w:eastAsia="Times New Roman" w:hAnsi="Times New Roman"/>
          <w:sz w:val="21"/>
          <w:szCs w:val="21"/>
          <w:color w:val="auto"/>
        </w:rPr>
        <w:t>. The Company consents to the Agent trading, in compliance with applicable law, in the Class A Common Shares for the Agent’s own account and for the account of its clients at the same time as sales of the Shares occur pursuant to this Agreement.</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3"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Limitation</w:t>
      </w:r>
      <w:r>
        <w:rPr>
          <w:rFonts w:ascii="Times New Roman" w:cs="Times New Roman" w:eastAsia="Times New Roman" w:hAnsi="Times New Roman"/>
          <w:sz w:val="21"/>
          <w:szCs w:val="21"/>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45" w:lineRule="exact"/>
        <w:rPr>
          <w:rFonts w:ascii="Times New Roman" w:cs="Times New Roman" w:eastAsia="Times New Roman" w:hAnsi="Times New Roman"/>
          <w:sz w:val="21"/>
          <w:szCs w:val="21"/>
          <w:color w:val="auto"/>
        </w:rPr>
      </w:pPr>
    </w:p>
    <w:p>
      <w:pPr>
        <w:jc w:val="both"/>
        <w:ind w:firstLine="622"/>
        <w:spacing w:after="0" w:line="211" w:lineRule="auto"/>
        <w:tabs>
          <w:tab w:leader="none" w:pos="1233"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Market Activities</w:t>
      </w:r>
      <w:r>
        <w:rPr>
          <w:rFonts w:ascii="Times New Roman" w:cs="Times New Roman" w:eastAsia="Times New Roman" w:hAnsi="Times New Roman"/>
          <w:sz w:val="21"/>
          <w:szCs w:val="21"/>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Times New Roman" w:cs="Times New Roman" w:eastAsia="Times New Roman" w:hAnsi="Times New Roman"/>
          <w:sz w:val="21"/>
          <w:szCs w:val="21"/>
          <w:b w:val="1"/>
          <w:bCs w:val="1"/>
          <w:color w:val="auto"/>
        </w:rPr>
        <w:t>Rule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102</w:t>
      </w:r>
      <w:r>
        <w:rPr>
          <w:rFonts w:ascii="Times New Roman" w:cs="Times New Roman" w:eastAsia="Times New Roman" w:hAnsi="Times New Roman"/>
          <w:sz w:val="21"/>
          <w:szCs w:val="21"/>
          <w:color w:val="auto"/>
        </w:rPr>
        <w:t>”) do not apply with respect to the Shares or any other reference security pursuant to any exception set forth in Section (d) of Rule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51" w:lineRule="exact"/>
        <w:rPr>
          <w:rFonts w:ascii="Times New Roman" w:cs="Times New Roman" w:eastAsia="Times New Roman" w:hAnsi="Times New Roman"/>
          <w:sz w:val="21"/>
          <w:szCs w:val="21"/>
          <w:color w:val="auto"/>
        </w:rPr>
      </w:pPr>
    </w:p>
    <w:p>
      <w:pPr>
        <w:jc w:val="both"/>
        <w:ind w:firstLine="622"/>
        <w:spacing w:after="0" w:line="213" w:lineRule="auto"/>
        <w:tabs>
          <w:tab w:leader="none" w:pos="1227"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Other Sale</w:t>
      </w:r>
      <w:r>
        <w:rPr>
          <w:rFonts w:ascii="Times New Roman" w:cs="Times New Roman" w:eastAsia="Times New Roman" w:hAnsi="Times New Roman"/>
          <w:sz w:val="21"/>
          <w:szCs w:val="21"/>
          <w:color w:val="auto"/>
        </w:rPr>
        <w:t>. Without the written consent of the Agent, the Company will not, directly or indirectly, offer to sell, sell, contract to sell, grant any option to sell or otherwise dispose of any shares of Common Stock or securities convertible into or exchangeable for Common Stock (other than Shares hereunder), warrants or any rights to purchase or acquire Common Stock,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agreement with an agent or underwriter for any other “at the market” or continuous equity transaction to offer to sell,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39" w:right="339" w:bottom="1440" w:gutter="0" w:footer="0" w:header="0"/>
        </w:sectPr>
      </w:pPr>
    </w:p>
    <w:bookmarkStart w:id="421" w:name="page422"/>
    <w:bookmarkEnd w:id="421"/>
    <w:p>
      <w:pPr>
        <w:jc w:val="both"/>
        <w:spacing w:after="0" w:line="209" w:lineRule="auto"/>
        <w:rPr>
          <w:sz w:val="20"/>
          <w:szCs w:val="20"/>
          <w:color w:val="auto"/>
        </w:rPr>
      </w:pPr>
      <w:r>
        <w:rPr>
          <w:rFonts w:ascii="Times New Roman" w:cs="Times New Roman" w:eastAsia="Times New Roman" w:hAnsi="Times New Roman"/>
          <w:sz w:val="21"/>
          <w:szCs w:val="21"/>
          <w:color w:val="auto"/>
        </w:rPr>
        <w:t>contract to sell, grant any option to sell or otherwise dispose of any shares of Common Stock (other than the Shares offered pursuant to this Agreement) or securities convertible into or exchangeable for Common Stock, warrants or any rights to purchase or acquire, shares of Common Stock prior to the termination of this Agreement; provided, however, that such restrictions will not be required in connection with the Company’s (i) issuance or sale of Class A Common Shares, options to purchase Class A Common Shares or Class A Common Shares issuable upon the exercise, settlement or vesting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Class A Common Shares issuable upon exchange, conversion or redemption of securities or the exercise, settlement or vesting of warrants, options or other equity awards outstanding at the date of this Agreement, (iii) modification of any outstanding options, warrants of any rights to purchase or acquire Class A Common Shares and (iv) any Class A Common Shares or other securities issued in connection with a transaction that includes a commercial relationship (including joint ventures, marketing or distribution arrangements, collaboration agreements, intellectual property license agreements, or lending agreements or arrangements) or any acquisition of assets or acquisition of equity of another entity, provided that the aggregate number of Class A Common Shares issued pursuant to this clause (iv) shall not exceed 7.5% of the total number of outstanding shares of Common Stock, as of the date of such issuance or sale on a fully-diluted basis.</w:t>
      </w:r>
    </w:p>
    <w:p>
      <w:pPr>
        <w:spacing w:after="0" w:line="14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5.</w:t>
      </w:r>
      <w:r>
        <w:rPr>
          <w:sz w:val="20"/>
          <w:szCs w:val="20"/>
          <w:color w:val="auto"/>
        </w:rPr>
        <w:tab/>
      </w:r>
      <w:r>
        <w:rPr>
          <w:rFonts w:ascii="Times New Roman" w:cs="Times New Roman" w:eastAsia="Times New Roman" w:hAnsi="Times New Roman"/>
          <w:sz w:val="20"/>
          <w:szCs w:val="20"/>
          <w:b w:val="1"/>
          <w:bCs w:val="1"/>
          <w:color w:val="auto"/>
        </w:rPr>
        <w:t>CONDITIONS TO DELIVERY OF ISSUANCE NOTICES AND TO SETTLEMENT</w:t>
      </w:r>
    </w:p>
    <w:p>
      <w:pPr>
        <w:spacing w:after="0" w:line="175" w:lineRule="exact"/>
        <w:rPr>
          <w:sz w:val="20"/>
          <w:szCs w:val="20"/>
          <w:color w:val="auto"/>
        </w:rPr>
      </w:pPr>
    </w:p>
    <w:p>
      <w:pPr>
        <w:jc w:val="both"/>
        <w:ind w:firstLine="622"/>
        <w:spacing w:after="0" w:line="217" w:lineRule="auto"/>
        <w:tabs>
          <w:tab w:leader="none" w:pos="1234"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21"/>
          <w:szCs w:val="21"/>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71" w:lineRule="exact"/>
        <w:rPr>
          <w:rFonts w:ascii="Times New Roman" w:cs="Times New Roman" w:eastAsia="Times New Roman" w:hAnsi="Times New Roman"/>
          <w:sz w:val="21"/>
          <w:szCs w:val="21"/>
          <w:color w:val="auto"/>
        </w:rPr>
      </w:pPr>
    </w:p>
    <w:p>
      <w:pPr>
        <w:jc w:val="both"/>
        <w:ind w:left="1240" w:hanging="618"/>
        <w:spacing w:after="0" w:line="251" w:lineRule="auto"/>
        <w:tabs>
          <w:tab w:leader="none" w:pos="1228"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Accuracy of the Company’s Representations and Warranties; Performance by the Company</w:t>
      </w:r>
      <w:r>
        <w:rPr>
          <w:rFonts w:ascii="Times New Roman" w:cs="Times New Roman" w:eastAsia="Times New Roman" w:hAnsi="Times New Roman"/>
          <w:sz w:val="21"/>
          <w:szCs w:val="21"/>
          <w:color w:val="auto"/>
        </w:rPr>
        <w:t xml:space="preserve">. The Company shall have delivered the certificate required to be delivered pursuant to </w:t>
      </w:r>
      <w:r>
        <w:rPr>
          <w:rFonts w:ascii="Times New Roman" w:cs="Times New Roman" w:eastAsia="Times New Roman" w:hAnsi="Times New Roman"/>
          <w:sz w:val="21"/>
          <w:szCs w:val="21"/>
          <w:u w:val="single" w:color="auto"/>
          <w:color w:val="auto"/>
        </w:rPr>
        <w:t>Section 4(o)</w:t>
      </w:r>
      <w:r>
        <w:rPr>
          <w:rFonts w:ascii="Times New Roman" w:cs="Times New Roman" w:eastAsia="Times New Roman" w:hAnsi="Times New Roman"/>
          <w:sz w:val="21"/>
          <w:szCs w:val="21"/>
          <w:color w:val="auto"/>
        </w:rPr>
        <w:t xml:space="preserve"> on or before the date on which delivery of such certificate is required pursuant to </w:t>
      </w:r>
      <w:r>
        <w:rPr>
          <w:rFonts w:ascii="Times New Roman" w:cs="Times New Roman" w:eastAsia="Times New Roman" w:hAnsi="Times New Roman"/>
          <w:sz w:val="21"/>
          <w:szCs w:val="21"/>
          <w:u w:val="single" w:color="auto"/>
          <w:color w:val="auto"/>
        </w:rPr>
        <w:t>Section 4(o)</w:t>
      </w:r>
      <w:r>
        <w:rPr>
          <w:rFonts w:ascii="Times New Roman" w:cs="Times New Roman" w:eastAsia="Times New Roman" w:hAnsi="Times New Roman"/>
          <w:sz w:val="21"/>
          <w:szCs w:val="21"/>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21"/>
          <w:szCs w:val="21"/>
          <w:u w:val="single" w:color="auto"/>
          <w:color w:val="auto"/>
        </w:rPr>
        <w:t>Section 4(q)</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4(r)</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4(s).</w:t>
      </w:r>
    </w:p>
    <w:p>
      <w:pPr>
        <w:spacing w:after="0" w:line="186" w:lineRule="exact"/>
        <w:rPr>
          <w:rFonts w:ascii="Times New Roman" w:cs="Times New Roman" w:eastAsia="Times New Roman" w:hAnsi="Times New Roman"/>
          <w:sz w:val="19"/>
          <w:szCs w:val="19"/>
          <w:color w:val="auto"/>
        </w:rPr>
      </w:pPr>
    </w:p>
    <w:p>
      <w:pPr>
        <w:jc w:val="both"/>
        <w:ind w:left="1240" w:hanging="618"/>
        <w:spacing w:after="0" w:line="251" w:lineRule="auto"/>
        <w:tabs>
          <w:tab w:leader="none" w:pos="1230"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(ii) </w:t>
      </w:r>
      <w:r>
        <w:rPr>
          <w:rFonts w:ascii="Times New Roman" w:cs="Times New Roman" w:eastAsia="Times New Roman" w:hAnsi="Times New Roman"/>
          <w:sz w:val="21"/>
          <w:szCs w:val="21"/>
          <w:u w:val="single" w:color="auto"/>
          <w:color w:val="auto"/>
        </w:rPr>
        <w:t>No Injunction</w:t>
      </w:r>
      <w:r>
        <w:rPr>
          <w:rFonts w:ascii="Times New Roman" w:cs="Times New Roman" w:eastAsia="Times New Roman" w:hAnsi="Times New Roman"/>
          <w:sz w:val="21"/>
          <w:szCs w:val="21"/>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39" w:right="339" w:bottom="1440" w:gutter="0" w:footer="0" w:header="0"/>
        </w:sectPr>
      </w:pPr>
    </w:p>
    <w:bookmarkStart w:id="422" w:name="page423"/>
    <w:bookmarkEnd w:id="422"/>
    <w:p>
      <w:pPr>
        <w:jc w:val="both"/>
        <w:ind w:left="618" w:hanging="618"/>
        <w:spacing w:after="0" w:line="251" w:lineRule="auto"/>
        <w:tabs>
          <w:tab w:leader="none" w:pos="606" w:val="left"/>
        </w:tabs>
        <w:numPr>
          <w:ilvl w:val="0"/>
          <w:numId w:val="34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(iii) </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86" w:lineRule="exact"/>
        <w:rPr>
          <w:rFonts w:ascii="Times New Roman" w:cs="Times New Roman" w:eastAsia="Times New Roman" w:hAnsi="Times New Roman"/>
          <w:sz w:val="19"/>
          <w:szCs w:val="19"/>
          <w:color w:val="auto"/>
        </w:rPr>
      </w:pPr>
    </w:p>
    <w:p>
      <w:pPr>
        <w:jc w:val="both"/>
        <w:ind w:left="618" w:hanging="618"/>
        <w:spacing w:after="0" w:line="248" w:lineRule="auto"/>
        <w:tabs>
          <w:tab w:leader="none" w:pos="608" w:val="left"/>
        </w:tabs>
        <w:numPr>
          <w:ilvl w:val="0"/>
          <w:numId w:val="34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(iv) </w:t>
      </w:r>
      <w:r>
        <w:rPr>
          <w:rFonts w:ascii="Times New Roman" w:cs="Times New Roman" w:eastAsia="Times New Roman" w:hAnsi="Times New Roman"/>
          <w:sz w:val="21"/>
          <w:szCs w:val="21"/>
          <w:u w:val="single" w:color="auto"/>
          <w:color w:val="auto"/>
        </w:rPr>
        <w:t>No Suspension of Trading in or Delisting of Class A Common Shares; Other Events</w:t>
      </w:r>
      <w:r>
        <w:rPr>
          <w:rFonts w:ascii="Times New Roman" w:cs="Times New Roman" w:eastAsia="Times New Roman" w:hAnsi="Times New Roman"/>
          <w:sz w:val="21"/>
          <w:szCs w:val="21"/>
          <w:color w:val="auto"/>
        </w:rPr>
        <w:t>. The trading of the Class A Common Shares (including without limitation the Shares) shall not have been suspended by the Commission, the Principal Market or FINRA and the Class A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FINRA; (ii) a general banking moratorium shall have been declared by any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76" w:lineRule="exact"/>
        <w:rPr>
          <w:rFonts w:ascii="Times New Roman" w:cs="Times New Roman" w:eastAsia="Times New Roman" w:hAnsi="Times New Roman"/>
          <w:sz w:val="19"/>
          <w:szCs w:val="19"/>
          <w:color w:val="auto"/>
        </w:rPr>
      </w:pPr>
    </w:p>
    <w:p>
      <w:pPr>
        <w:jc w:val="both"/>
        <w:ind w:left="618" w:hanging="618"/>
        <w:spacing w:after="0" w:line="249" w:lineRule="auto"/>
        <w:tabs>
          <w:tab w:leader="none" w:pos="613" w:val="left"/>
        </w:tabs>
        <w:numPr>
          <w:ilvl w:val="0"/>
          <w:numId w:val="34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(v) </w:t>
      </w:r>
      <w:r>
        <w:rPr>
          <w:rFonts w:ascii="Times New Roman" w:cs="Times New Roman" w:eastAsia="Times New Roman" w:hAnsi="Times New Roman"/>
          <w:sz w:val="21"/>
          <w:szCs w:val="21"/>
          <w:u w:val="single" w:color="auto"/>
          <w:color w:val="auto"/>
        </w:rPr>
        <w:t>Agent Counsel Opinion and Negative Assurances Letter</w:t>
      </w:r>
      <w:r>
        <w:rPr>
          <w:rFonts w:ascii="Times New Roman" w:cs="Times New Roman" w:eastAsia="Times New Roman" w:hAnsi="Times New Roman"/>
          <w:sz w:val="21"/>
          <w:szCs w:val="21"/>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Davis Polk &amp; Wardwell LLP, the Agent’s counsel, shall have furnished to the Agent a negative assurances letter and written legal opinion, each dated the date of delivery, in form and substance reasonably satisfactory to the Agent, modified, as necessary, to relate to the Registration Statement and the Prospectus as then amended or supplemented. In lieu of such opinion for subsequent periodic filings, Agent Counsel may furnish a reliance letter, permitting the Agent to rely on a previously delivered opinion letter, modified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98"/>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0618"/>
          </w:cols>
          <w:pgMar w:left="942" w:top="1365" w:right="339" w:bottom="1440" w:gutter="0" w:footer="0" w:header="0"/>
        </w:sectPr>
      </w:pPr>
    </w:p>
    <w:bookmarkStart w:id="423" w:name="page424"/>
    <w:bookmarkEnd w:id="423"/>
    <w:p>
      <w:pPr>
        <w:jc w:val="both"/>
        <w:ind w:left="1240"/>
        <w:spacing w:after="0" w:line="256" w:lineRule="auto"/>
        <w:rPr>
          <w:sz w:val="20"/>
          <w:szCs w:val="20"/>
          <w:color w:val="auto"/>
        </w:rPr>
      </w:pPr>
      <w:r>
        <w:rPr>
          <w:rFonts w:ascii="Times New Roman" w:cs="Times New Roman" w:eastAsia="Times New Roman" w:hAnsi="Times New Roman"/>
          <w:sz w:val="21"/>
          <w:szCs w:val="21"/>
          <w:color w:val="auto"/>
        </w:rPr>
        <w:t>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55" w:lineRule="exact"/>
        <w:rPr>
          <w:sz w:val="20"/>
          <w:szCs w:val="20"/>
          <w:color w:val="auto"/>
        </w:rPr>
      </w:pPr>
    </w:p>
    <w:p>
      <w:pPr>
        <w:jc w:val="both"/>
        <w:ind w:firstLine="622"/>
        <w:spacing w:after="0" w:line="215" w:lineRule="auto"/>
        <w:tabs>
          <w:tab w:leader="none" w:pos="1233"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Documents Required to be Delivered on each Issuance Notice Date</w:t>
      </w:r>
      <w:r>
        <w:rPr>
          <w:rFonts w:ascii="Times New Roman" w:cs="Times New Roman" w:eastAsia="Times New Roman" w:hAnsi="Times New Roman"/>
          <w:sz w:val="21"/>
          <w:szCs w:val="21"/>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3"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Misstatement or Material Omission</w:t>
      </w:r>
      <w:r>
        <w:rPr>
          <w:rFonts w:ascii="Times New Roman" w:cs="Times New Roman" w:eastAsia="Times New Roman" w:hAnsi="Times New Roman"/>
          <w:sz w:val="21"/>
          <w:szCs w:val="21"/>
          <w:color w:val="auto"/>
        </w:rPr>
        <w:t>. The Agent shall not have advised the Company that the Registration Statement, the Prospectus or the Times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4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6.</w:t>
      </w:r>
      <w:r>
        <w:rPr>
          <w:sz w:val="20"/>
          <w:szCs w:val="20"/>
          <w:color w:val="auto"/>
        </w:rPr>
        <w:tab/>
      </w:r>
      <w:r>
        <w:rPr>
          <w:rFonts w:ascii="Times New Roman" w:cs="Times New Roman" w:eastAsia="Times New Roman" w:hAnsi="Times New Roman"/>
          <w:sz w:val="20"/>
          <w:szCs w:val="20"/>
          <w:b w:val="1"/>
          <w:bCs w:val="1"/>
          <w:color w:val="auto"/>
        </w:rPr>
        <w:t>INDEMNIFICATION AND CONTRIBUTION</w:t>
      </w:r>
    </w:p>
    <w:p>
      <w:pPr>
        <w:spacing w:after="0" w:line="175" w:lineRule="exact"/>
        <w:rPr>
          <w:sz w:val="20"/>
          <w:szCs w:val="20"/>
          <w:color w:val="auto"/>
        </w:rPr>
      </w:pPr>
    </w:p>
    <w:p>
      <w:pPr>
        <w:jc w:val="both"/>
        <w:ind w:firstLine="622"/>
        <w:spacing w:after="0" w:line="217" w:lineRule="auto"/>
        <w:tabs>
          <w:tab w:leader="none" w:pos="1234"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of the Agent</w:t>
      </w:r>
      <w:r>
        <w:rPr>
          <w:rFonts w:ascii="Times New Roman" w:cs="Times New Roman" w:eastAsia="Times New Roman" w:hAnsi="Times New Roman"/>
          <w:sz w:val="20"/>
          <w:szCs w:val="20"/>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w:t>
      </w:r>
    </w:p>
    <w:p>
      <w:pPr>
        <w:spacing w:after="0" w:line="6" w:lineRule="exact"/>
        <w:rPr>
          <w:rFonts w:ascii="Times New Roman" w:cs="Times New Roman" w:eastAsia="Times New Roman" w:hAnsi="Times New Roman"/>
          <w:sz w:val="20"/>
          <w:szCs w:val="20"/>
          <w:color w:val="auto"/>
        </w:rPr>
      </w:pPr>
    </w:p>
    <w:p>
      <w:pPr>
        <w:jc w:val="both"/>
        <w:ind w:firstLine="3"/>
        <w:spacing w:after="0" w:line="208" w:lineRule="auto"/>
        <w:tabs>
          <w:tab w:leader="none" w:pos="311"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Class A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documented expenses (including the documented fees and disbursements of counsel chosen by the Agent) as such expenses are reasonably incurred by the Agent or such officer, employee or controlling person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65" w:right="339" w:bottom="1440" w:gutter="0" w:footer="0" w:header="0"/>
        </w:sectPr>
      </w:pPr>
    </w:p>
    <w:bookmarkStart w:id="424" w:name="page425"/>
    <w:bookmarkEnd w:id="424"/>
    <w:p>
      <w:pPr>
        <w:jc w:val="both"/>
        <w:spacing w:after="0" w:line="211" w:lineRule="auto"/>
        <w:rPr>
          <w:sz w:val="20"/>
          <w:szCs w:val="20"/>
          <w:color w:val="auto"/>
        </w:rPr>
      </w:pPr>
      <w:r>
        <w:rPr>
          <w:rFonts w:ascii="Times New Roman" w:cs="Times New Roman" w:eastAsia="Times New Roman" w:hAnsi="Times New Roman"/>
          <w:sz w:val="21"/>
          <w:szCs w:val="21"/>
          <w:color w:val="auto"/>
        </w:rPr>
        <w:t>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beginning with the words: “Citigroup and its affiliates may in the future provide various investment banking…” (the “</w:t>
      </w:r>
      <w:r>
        <w:rPr>
          <w:rFonts w:ascii="Times New Roman" w:cs="Times New Roman" w:eastAsia="Times New Roman" w:hAnsi="Times New Roman"/>
          <w:sz w:val="21"/>
          <w:szCs w:val="21"/>
          <w:b w:val="1"/>
          <w:bCs w:val="1"/>
          <w:color w:val="auto"/>
        </w:rPr>
        <w:t>Agent Information</w:t>
      </w:r>
      <w:r>
        <w:rPr>
          <w:rFonts w:ascii="Times New Roman" w:cs="Times New Roman" w:eastAsia="Times New Roman" w:hAnsi="Times New Roman"/>
          <w:sz w:val="21"/>
          <w:szCs w:val="21"/>
          <w:color w:val="auto"/>
        </w:rPr>
        <w:t xml:space="preserve">”). The indemnity agreement set forth in this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shall be in addition to any liabilities that the Company may otherwise have.</w:t>
      </w:r>
    </w:p>
    <w:p>
      <w:pPr>
        <w:spacing w:after="0" w:line="152" w:lineRule="exact"/>
        <w:rPr>
          <w:sz w:val="20"/>
          <w:szCs w:val="20"/>
          <w:color w:val="auto"/>
        </w:rPr>
      </w:pPr>
    </w:p>
    <w:p>
      <w:pPr>
        <w:jc w:val="both"/>
        <w:ind w:firstLine="622"/>
        <w:spacing w:after="0" w:line="218" w:lineRule="auto"/>
        <w:tabs>
          <w:tab w:leader="none" w:pos="1233"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of the Company, its Directors and Officers</w:t>
      </w:r>
      <w:r>
        <w:rPr>
          <w:rFonts w:ascii="Times New Roman" w:cs="Times New Roman" w:eastAsia="Times New Roman" w:hAnsi="Times New Roman"/>
          <w:sz w:val="20"/>
          <w:szCs w:val="20"/>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if such settlement is effected with the written consent of the Agent),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Company and each such director, officer and controlling person for any and all documented expenses (including the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provided, however, that the foregoing indemnity agreement shall only apply to any loss, claim damage, liability or expense to the extent, but only to the extent, arising out of or based upon any untrue statement or alleged untrue statement or omission or alleged omission made in reliance upon and in conformity with the Agent Information expressly for use in the Registration Statement, any such Free Writing Prospectus or the Prospectus (or any amendment or supplement thereto). The indemnity agreement set forth in this Section 6(b) shall be in addition to any liabilities that the Agent may otherwise have.</w:t>
      </w:r>
    </w:p>
    <w:p>
      <w:pPr>
        <w:spacing w:after="0" w:line="148" w:lineRule="exact"/>
        <w:rPr>
          <w:rFonts w:ascii="Times New Roman" w:cs="Times New Roman" w:eastAsia="Times New Roman" w:hAnsi="Times New Roman"/>
          <w:sz w:val="20"/>
          <w:szCs w:val="20"/>
          <w:color w:val="auto"/>
        </w:rPr>
      </w:pPr>
    </w:p>
    <w:p>
      <w:pPr>
        <w:jc w:val="both"/>
        <w:ind w:firstLine="622"/>
        <w:spacing w:after="0" w:line="228" w:lineRule="auto"/>
        <w:tabs>
          <w:tab w:leader="none" w:pos="1234"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Notifications and Other Indemnification Procedures</w:t>
      </w:r>
      <w:r>
        <w:rPr>
          <w:rFonts w:ascii="Times New Roman" w:cs="Times New Roman" w:eastAsia="Times New Roman" w:hAnsi="Times New Roman"/>
          <w:sz w:val="20"/>
          <w:szCs w:val="20"/>
          <w:color w:val="auto"/>
        </w:rPr>
        <w:t xml:space="preserve">. Promptly after receipt by an indemnified party under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notify the indemnifying party in writing of the commencement thereof, but the omission to so notify the indemnifying party will not relieve the indemnifying party from any liability which it may have to any indemnified party for contribution or otherwise than under the indemnity agreement contained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or to the extent it is not prejudiced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38" w:right="339" w:bottom="1440" w:gutter="0" w:footer="0" w:header="0"/>
        </w:sectPr>
      </w:pPr>
    </w:p>
    <w:bookmarkStart w:id="425" w:name="page426"/>
    <w:bookmarkEnd w:id="425"/>
    <w:p>
      <w:pPr>
        <w:jc w:val="both"/>
        <w:spacing w:after="0" w:line="207" w:lineRule="auto"/>
        <w:rPr>
          <w:sz w:val="20"/>
          <w:szCs w:val="20"/>
          <w:color w:val="auto"/>
        </w:rPr>
      </w:pPr>
      <w:r>
        <w:rPr>
          <w:rFonts w:ascii="Times New Roman" w:cs="Times New Roman" w:eastAsia="Times New Roman" w:hAnsi="Times New Roman"/>
          <w:sz w:val="21"/>
          <w:szCs w:val="21"/>
          <w:color w:val="auto"/>
        </w:rPr>
        <w:t xml:space="preserve">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64" w:lineRule="exact"/>
        <w:rPr>
          <w:sz w:val="20"/>
          <w:szCs w:val="20"/>
          <w:color w:val="auto"/>
        </w:rPr>
      </w:pPr>
    </w:p>
    <w:p>
      <w:pPr>
        <w:jc w:val="both"/>
        <w:ind w:firstLine="622"/>
        <w:spacing w:after="0" w:line="220" w:lineRule="auto"/>
        <w:tabs>
          <w:tab w:leader="none" w:pos="1233"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Settlements</w:t>
      </w:r>
      <w:r>
        <w:rPr>
          <w:rFonts w:ascii="Times New Roman" w:cs="Times New Roman" w:eastAsia="Times New Roman" w:hAnsi="Times New Roman"/>
          <w:sz w:val="20"/>
          <w:szCs w:val="20"/>
          <w:color w:val="auto"/>
        </w:rPr>
        <w:t xml:space="preserve">. The indemnifying party under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6(c)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51" w:lineRule="exact"/>
        <w:rPr>
          <w:rFonts w:ascii="Times New Roman" w:cs="Times New Roman" w:eastAsia="Times New Roman" w:hAnsi="Times New Roman"/>
          <w:sz w:val="20"/>
          <w:szCs w:val="20"/>
          <w:color w:val="auto"/>
        </w:rPr>
      </w:pPr>
    </w:p>
    <w:p>
      <w:pPr>
        <w:jc w:val="both"/>
        <w:ind w:firstLine="622"/>
        <w:spacing w:after="0" w:line="225" w:lineRule="auto"/>
        <w:tabs>
          <w:tab w:leader="none" w:pos="1234" w:val="left"/>
        </w:tabs>
        <w:numPr>
          <w:ilvl w:val="0"/>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xml:space="preserve">. If the indemnification provided for in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is for any reason held to be unavailable to or otherwise insufficient to hold harmless an indemnified party in respect of any losses, claims, damages, liabilities or expenses referred to therein, then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39" w:right="339" w:bottom="1440" w:gutter="0" w:footer="0" w:header="0"/>
        </w:sectPr>
      </w:pPr>
    </w:p>
    <w:bookmarkStart w:id="426" w:name="page427"/>
    <w:bookmarkEnd w:id="426"/>
    <w:p>
      <w:pPr>
        <w:jc w:val="both"/>
        <w:spacing w:after="0" w:line="209" w:lineRule="auto"/>
        <w:rPr>
          <w:sz w:val="20"/>
          <w:szCs w:val="20"/>
          <w:color w:val="auto"/>
        </w:rPr>
      </w:pPr>
      <w:r>
        <w:rPr>
          <w:rFonts w:ascii="Times New Roman" w:cs="Times New Roman" w:eastAsia="Times New Roman" w:hAnsi="Times New Roman"/>
          <w:sz w:val="21"/>
          <w:szCs w:val="21"/>
          <w:color w:val="auto"/>
        </w:rPr>
        <w:t>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76" w:lineRule="exact"/>
        <w:rPr>
          <w:sz w:val="20"/>
          <w:szCs w:val="20"/>
          <w:color w:val="auto"/>
        </w:rPr>
      </w:pPr>
    </w:p>
    <w:p>
      <w:pPr>
        <w:jc w:val="both"/>
        <w:ind w:firstLine="3"/>
        <w:spacing w:after="0" w:line="251" w:lineRule="auto"/>
        <w:tabs>
          <w:tab w:leader="none" w:pos="870" w:val="left"/>
        </w:tabs>
        <w:numPr>
          <w:ilvl w:val="0"/>
          <w:numId w:val="35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21"/>
          <w:szCs w:val="21"/>
          <w:u w:val="single" w:color="auto"/>
          <w:color w:val="auto"/>
        </w:rPr>
        <w:t>Section 6(c)</w:t>
      </w:r>
      <w:r>
        <w:rPr>
          <w:rFonts w:ascii="Times New Roman" w:cs="Times New Roman" w:eastAsia="Times New Roman" w:hAnsi="Times New Roman"/>
          <w:sz w:val="21"/>
          <w:szCs w:val="21"/>
          <w:color w:val="auto"/>
        </w:rPr>
        <w:t xml:space="preserve">, any documented legal or other fees or expenses reasonably incurred by such party in connection with investigating or defending any action or claim. The provisions set forth in Section 6(c) with respect to notice of commencement of any action shall apply if a claim for contribution is to be made under this Section 6(e); </w:t>
      </w: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that no additional notice shall be required with respect to any action for which notice has been given under Section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6(c) for purposes of indemnification.</w:t>
      </w:r>
    </w:p>
    <w:p>
      <w:pPr>
        <w:spacing w:after="0" w:line="186" w:lineRule="exact"/>
        <w:rPr>
          <w:sz w:val="20"/>
          <w:szCs w:val="20"/>
          <w:color w:val="auto"/>
        </w:rPr>
      </w:pPr>
    </w:p>
    <w:p>
      <w:pPr>
        <w:ind w:right="460" w:firstLine="202"/>
        <w:spacing w:after="0" w:line="256" w:lineRule="auto"/>
        <w:rPr>
          <w:sz w:val="20"/>
          <w:szCs w:val="20"/>
          <w:color w:val="auto"/>
        </w:rPr>
      </w:pPr>
      <w:r>
        <w:rPr>
          <w:rFonts w:ascii="Times New Roman" w:cs="Times New Roman" w:eastAsia="Times New Roman" w:hAnsi="Times New Roman"/>
          <w:sz w:val="21"/>
          <w:szCs w:val="21"/>
          <w:color w:val="auto"/>
        </w:rPr>
        <w:t xml:space="preserve">The Company and the Agent agree that it would not be just and equitable if contribution pursuant to this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 xml:space="preserve"> were determined by pro rata allocation or by any other method of allocation which does not take account of the equitable considerations referred to in this Section 6(e).</w:t>
      </w:r>
    </w:p>
    <w:p>
      <w:pPr>
        <w:spacing w:after="0" w:line="168" w:lineRule="exact"/>
        <w:rPr>
          <w:sz w:val="20"/>
          <w:szCs w:val="20"/>
          <w:color w:val="auto"/>
        </w:rPr>
      </w:pPr>
    </w:p>
    <w:p>
      <w:pPr>
        <w:jc w:val="both"/>
        <w:ind w:firstLine="241"/>
        <w:spacing w:after="0" w:line="249" w:lineRule="auto"/>
        <w:rPr>
          <w:sz w:val="20"/>
          <w:szCs w:val="20"/>
          <w:color w:val="auto"/>
        </w:rPr>
      </w:pPr>
      <w:r>
        <w:rPr>
          <w:rFonts w:ascii="Times New Roman" w:cs="Times New Roman" w:eastAsia="Times New Roman" w:hAnsi="Times New Roman"/>
          <w:sz w:val="21"/>
          <w:szCs w:val="21"/>
          <w:color w:val="auto"/>
        </w:rPr>
        <w:t xml:space="preserve">Notwithstanding the provisions of this Section 6(e),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39" w:right="339" w:bottom="1440" w:gutter="0" w:footer="0" w:header="0"/>
        </w:sectPr>
      </w:pPr>
    </w:p>
    <w:bookmarkStart w:id="427" w:name="page428"/>
    <w:bookmarkEnd w:id="427"/>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7.</w:t>
      </w:r>
      <w:r>
        <w:rPr>
          <w:sz w:val="20"/>
          <w:szCs w:val="20"/>
          <w:color w:val="auto"/>
        </w:rPr>
        <w:tab/>
      </w:r>
      <w:r>
        <w:rPr>
          <w:rFonts w:ascii="Times New Roman" w:cs="Times New Roman" w:eastAsia="Times New Roman" w:hAnsi="Times New Roman"/>
          <w:sz w:val="20"/>
          <w:szCs w:val="20"/>
          <w:b w:val="1"/>
          <w:bCs w:val="1"/>
          <w:color w:val="auto"/>
        </w:rPr>
        <w:t>TERMINATION AND SURVIVAL</w:t>
      </w:r>
    </w:p>
    <w:p>
      <w:pPr>
        <w:spacing w:after="0" w:line="175" w:lineRule="exact"/>
        <w:rPr>
          <w:sz w:val="20"/>
          <w:szCs w:val="20"/>
          <w:color w:val="auto"/>
        </w:rPr>
      </w:pPr>
    </w:p>
    <w:p>
      <w:pPr>
        <w:ind w:firstLine="622"/>
        <w:spacing w:after="0" w:line="235" w:lineRule="auto"/>
        <w:tabs>
          <w:tab w:leader="none" w:pos="1234"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Subject to the provisions of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Survival Following Termination</w:t>
      </w:r>
      <w:r>
        <w:rPr>
          <w:rFonts w:ascii="Times New Roman" w:cs="Times New Roman" w:eastAsia="Times New Roman" w:hAnsi="Times New Roman"/>
          <w:sz w:val="21"/>
          <w:szCs w:val="21"/>
          <w:color w:val="auto"/>
        </w:rPr>
        <w:t>.</w:t>
      </w:r>
    </w:p>
    <w:p>
      <w:pPr>
        <w:spacing w:after="0" w:line="196" w:lineRule="exact"/>
        <w:rPr>
          <w:rFonts w:ascii="Times New Roman" w:cs="Times New Roman" w:eastAsia="Times New Roman" w:hAnsi="Times New Roman"/>
          <w:sz w:val="21"/>
          <w:szCs w:val="21"/>
          <w:color w:val="auto"/>
        </w:rPr>
      </w:pPr>
    </w:p>
    <w:p>
      <w:pPr>
        <w:jc w:val="both"/>
        <w:ind w:left="1240" w:hanging="309"/>
        <w:spacing w:after="0" w:line="251" w:lineRule="auto"/>
        <w:tabs>
          <w:tab w:leader="none" w:pos="1230" w:val="left"/>
        </w:tabs>
        <w:numPr>
          <w:ilvl w:val="1"/>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cs="Times New Roman" w:eastAsia="Times New Roman" w:hAnsi="Times New Roman"/>
          <w:sz w:val="21"/>
          <w:szCs w:val="21"/>
          <w:u w:val="single" w:color="auto"/>
          <w:color w:val="auto"/>
        </w:rPr>
        <w:t>Section 3(b)(v)</w:t>
      </w:r>
      <w:r>
        <w:rPr>
          <w:rFonts w:ascii="Times New Roman" w:cs="Times New Roman" w:eastAsia="Times New Roman" w:hAnsi="Times New Roman"/>
          <w:sz w:val="21"/>
          <w:szCs w:val="21"/>
          <w:color w:val="auto"/>
        </w:rPr>
        <w:t xml:space="preserve"> with respect to such Shares and (B)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w:t>
      </w:r>
      <w:r>
        <w:rPr>
          <w:rFonts w:ascii="Times New Roman" w:cs="Times New Roman" w:eastAsia="Times New Roman" w:hAnsi="Times New Roman"/>
          <w:sz w:val="21"/>
          <w:szCs w:val="21"/>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86" w:lineRule="exact"/>
        <w:rPr>
          <w:rFonts w:ascii="Times New Roman" w:cs="Times New Roman" w:eastAsia="Times New Roman" w:hAnsi="Times New Roman"/>
          <w:sz w:val="19"/>
          <w:szCs w:val="19"/>
          <w:color w:val="auto"/>
        </w:rPr>
      </w:pPr>
    </w:p>
    <w:p>
      <w:pPr>
        <w:jc w:val="both"/>
        <w:ind w:left="1240" w:hanging="309"/>
        <w:spacing w:after="0" w:line="251" w:lineRule="auto"/>
        <w:tabs>
          <w:tab w:leader="none" w:pos="1228" w:val="left"/>
        </w:tabs>
        <w:numPr>
          <w:ilvl w:val="1"/>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(ii) In addition to the survival provision of </w:t>
      </w:r>
      <w:r>
        <w:rPr>
          <w:rFonts w:ascii="Times New Roman" w:cs="Times New Roman" w:eastAsia="Times New Roman" w:hAnsi="Times New Roman"/>
          <w:sz w:val="21"/>
          <w:szCs w:val="21"/>
          <w:u w:val="single" w:color="auto"/>
          <w:color w:val="auto"/>
        </w:rPr>
        <w:t>Section 7(b)(i)</w:t>
      </w:r>
      <w:r>
        <w:rPr>
          <w:rFonts w:ascii="Times New Roman" w:cs="Times New Roman" w:eastAsia="Times New Roman" w:hAnsi="Times New Roman"/>
          <w:sz w:val="21"/>
          <w:szCs w:val="21"/>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4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8.</w:t>
      </w:r>
      <w:r>
        <w:rPr>
          <w:sz w:val="20"/>
          <w:szCs w:val="20"/>
          <w:color w:val="auto"/>
        </w:rPr>
        <w:tab/>
      </w:r>
      <w:r>
        <w:rPr>
          <w:rFonts w:ascii="Times New Roman" w:cs="Times New Roman" w:eastAsia="Times New Roman" w:hAnsi="Times New Roman"/>
          <w:sz w:val="20"/>
          <w:szCs w:val="20"/>
          <w:b w:val="1"/>
          <w:bCs w:val="1"/>
          <w:color w:val="auto"/>
        </w:rPr>
        <w:t>MISCELLANEOUS</w:t>
      </w:r>
    </w:p>
    <w:p>
      <w:pPr>
        <w:spacing w:after="0" w:line="175" w:lineRule="exact"/>
        <w:rPr>
          <w:sz w:val="20"/>
          <w:szCs w:val="20"/>
          <w:color w:val="auto"/>
        </w:rPr>
      </w:pPr>
    </w:p>
    <w:p>
      <w:pPr>
        <w:jc w:val="both"/>
        <w:ind w:firstLine="622"/>
        <w:spacing w:after="0" w:line="209" w:lineRule="auto"/>
        <w:tabs>
          <w:tab w:leader="none" w:pos="1234"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Press Releases and Disclosure</w:t>
      </w:r>
      <w:r>
        <w:rPr>
          <w:rFonts w:ascii="Times New Roman" w:cs="Times New Roman" w:eastAsia="Times New Roman" w:hAnsi="Times New Roman"/>
          <w:sz w:val="21"/>
          <w:szCs w:val="21"/>
          <w:color w:val="auto"/>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and except for the disclosure required pursuant to </w:t>
      </w:r>
      <w:r>
        <w:rPr>
          <w:rFonts w:ascii="Times New Roman" w:cs="Times New Roman" w:eastAsia="Times New Roman" w:hAnsi="Times New Roman"/>
          <w:sz w:val="21"/>
          <w:szCs w:val="21"/>
          <w:u w:val="single" w:color="auto"/>
          <w:color w:val="auto"/>
        </w:rPr>
        <w:t>Section 4(a) of this Agreement, in the Company’s quarterly reports on Form 10-Q or annual reports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Form 10-K</w:t>
      </w:r>
      <w:r>
        <w:rPr>
          <w:rFonts w:ascii="Times New Roman" w:cs="Times New Roman" w:eastAsia="Times New Roman" w:hAnsi="Times New Roman"/>
          <w:sz w:val="21"/>
          <w:szCs w:val="21"/>
          <w:color w:val="auto"/>
        </w:rPr>
        <w:t>.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35" w:right="339" w:bottom="1440" w:gutter="0" w:footer="0" w:header="0"/>
        </w:sectPr>
      </w:pPr>
    </w:p>
    <w:bookmarkStart w:id="428" w:name="page429"/>
    <w:bookmarkEnd w:id="428"/>
    <w:p>
      <w:pPr>
        <w:jc w:val="both"/>
        <w:ind w:firstLine="622"/>
        <w:spacing w:after="0" w:line="210" w:lineRule="auto"/>
        <w:tabs>
          <w:tab w:leader="none" w:pos="1233"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Advisory or Fiduciary Relationship</w:t>
      </w:r>
      <w:r>
        <w:rPr>
          <w:rFonts w:ascii="Times New Roman" w:cs="Times New Roman" w:eastAsia="Times New Roman" w:hAnsi="Times New Roman"/>
          <w:sz w:val="21"/>
          <w:szCs w:val="21"/>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50" w:lineRule="exact"/>
        <w:rPr>
          <w:rFonts w:ascii="Times New Roman" w:cs="Times New Roman" w:eastAsia="Times New Roman" w:hAnsi="Times New Roman"/>
          <w:sz w:val="21"/>
          <w:szCs w:val="21"/>
          <w:color w:val="auto"/>
        </w:rPr>
      </w:pPr>
    </w:p>
    <w:p>
      <w:pPr>
        <w:jc w:val="both"/>
        <w:ind w:firstLine="622"/>
        <w:spacing w:after="0" w:line="212" w:lineRule="auto"/>
        <w:tabs>
          <w:tab w:leader="none" w:pos="1234"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Research Analyst Independence</w:t>
      </w:r>
      <w:r>
        <w:rPr>
          <w:rFonts w:ascii="Times New Roman" w:cs="Times New Roman" w:eastAsia="Times New Roman" w:hAnsi="Times New Roman"/>
          <w:sz w:val="21"/>
          <w:szCs w:val="21"/>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49" w:lineRule="exact"/>
        <w:rPr>
          <w:rFonts w:ascii="Times New Roman" w:cs="Times New Roman" w:eastAsia="Times New Roman" w:hAnsi="Times New Roman"/>
          <w:sz w:val="21"/>
          <w:szCs w:val="21"/>
          <w:color w:val="auto"/>
        </w:rPr>
      </w:pPr>
    </w:p>
    <w:p>
      <w:pPr>
        <w:ind w:firstLine="622"/>
        <w:spacing w:after="0" w:line="235" w:lineRule="auto"/>
        <w:tabs>
          <w:tab w:leader="none" w:pos="1233"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communications hereunder shall be in writing and shall be mailed, hand delivered or telecopied and confirmed to the parties hereto as follows: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If to the Agent:</w:t>
      </w:r>
    </w:p>
    <w:p>
      <w:pPr>
        <w:spacing w:after="0" w:line="2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Citigroup Global Markets Inc.</w:t>
      </w:r>
    </w:p>
    <w:p>
      <w:pPr>
        <w:spacing w:after="0" w:line="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388 Greenwich Street</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New York, NY 10013</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Fax: 646-291-1469</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Davis Polk &amp; Wardwell LLP</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900 Middlefield Rd.</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Redwood City, CA 94063</w:t>
      </w:r>
    </w:p>
    <w:p>
      <w:pPr>
        <w:spacing w:after="0" w:line="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Attention: Alan F. Denenberg; Stephen Byeff</w:t>
      </w:r>
    </w:p>
    <w:p>
      <w:pPr>
        <w:spacing w:after="0" w:line="18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and</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Davis Polk &amp; Wardwell LLP</w:t>
      </w:r>
    </w:p>
    <w:p>
      <w:pPr>
        <w:spacing w:after="0" w:line="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450 Lexington Ave.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39" w:right="339" w:bottom="1440" w:gutter="0" w:footer="0" w:header="0"/>
        </w:sectPr>
      </w:pPr>
    </w:p>
    <w:bookmarkStart w:id="429" w:name="page430"/>
    <w:bookmarkEnd w:id="429"/>
    <w:p>
      <w:pPr>
        <w:ind w:left="940"/>
        <w:spacing w:after="0"/>
        <w:rPr>
          <w:sz w:val="20"/>
          <w:szCs w:val="20"/>
          <w:color w:val="auto"/>
        </w:rPr>
      </w:pPr>
      <w:r>
        <w:rPr>
          <w:rFonts w:ascii="Times New Roman" w:cs="Times New Roman" w:eastAsia="Times New Roman" w:hAnsi="Times New Roman"/>
          <w:sz w:val="21"/>
          <w:szCs w:val="21"/>
          <w:color w:val="auto"/>
        </w:rPr>
        <w:t>New York, NY 10017</w:t>
      </w:r>
    </w:p>
    <w:p>
      <w:pPr>
        <w:spacing w:after="0" w:line="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Attention: Alan Denenberg; Stephen Byeff</w:t>
      </w: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41 S Rio Grande Street</w:t>
      </w:r>
    </w:p>
    <w:p>
      <w:pPr>
        <w:spacing w:after="0" w:line="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Salt Lake City, UT 84101</w:t>
      </w:r>
    </w:p>
    <w:p>
      <w:pPr>
        <w:spacing w:after="0" w:line="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Attention: Christopher Gibson</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Wilson Sonsini Goodrich &amp; Rosati, P.C.</w:t>
      </w:r>
    </w:p>
    <w:p>
      <w:pPr>
        <w:spacing w:after="0" w:line="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701 Fifth Avenue, Suite 5100</w:t>
      </w:r>
    </w:p>
    <w:p>
      <w:pPr>
        <w:spacing w:after="0" w:line="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Seattle, Washington 98104-7036</w:t>
      </w:r>
    </w:p>
    <w:p>
      <w:pPr>
        <w:spacing w:after="0" w:line="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Attention: Patrick J. Schultheis</w:t>
      </w:r>
    </w:p>
    <w:p>
      <w:pPr>
        <w:spacing w:after="0" w:line="2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21"/>
          <w:szCs w:val="21"/>
          <w:u w:val="single" w:color="auto"/>
          <w:color w:val="auto"/>
        </w:rPr>
        <w:t>Section 8(d)</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firstLine="622"/>
        <w:spacing w:after="0" w:line="220" w:lineRule="auto"/>
        <w:tabs>
          <w:tab w:leader="none" w:pos="1234"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7"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Partial Unenforceability</w:t>
      </w:r>
      <w:r>
        <w:rPr>
          <w:rFonts w:ascii="Times New Roman" w:cs="Times New Roman" w:eastAsia="Times New Roman" w:hAnsi="Times New Roman"/>
          <w:sz w:val="21"/>
          <w:szCs w:val="21"/>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5" w:lineRule="exact"/>
        <w:rPr>
          <w:rFonts w:ascii="Times New Roman" w:cs="Times New Roman" w:eastAsia="Times New Roman" w:hAnsi="Times New Roman"/>
          <w:sz w:val="21"/>
          <w:szCs w:val="21"/>
          <w:color w:val="auto"/>
        </w:rPr>
      </w:pPr>
    </w:p>
    <w:p>
      <w:pPr>
        <w:jc w:val="both"/>
        <w:ind w:firstLine="622"/>
        <w:spacing w:after="0" w:line="221" w:lineRule="auto"/>
        <w:tabs>
          <w:tab w:leader="none" w:pos="1233"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Provisions</w:t>
      </w:r>
      <w:r>
        <w:rPr>
          <w:rFonts w:ascii="Times New Roman" w:cs="Times New Roman" w:eastAsia="Times New Roman" w:hAnsi="Times New Roman"/>
          <w:sz w:val="20"/>
          <w:szCs w:val="20"/>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20"/>
          <w:szCs w:val="20"/>
          <w:b w:val="1"/>
          <w:bCs w:val="1"/>
          <w:color w:val="auto"/>
        </w:rPr>
        <w:t>Specified Courts</w:t>
      </w:r>
      <w:r>
        <w:rPr>
          <w:rFonts w:ascii="Times New Roman" w:cs="Times New Roman" w:eastAsia="Times New Roman" w:hAnsi="Times New Roman"/>
          <w:sz w:val="20"/>
          <w:szCs w:val="20"/>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65" w:right="33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21"/>
          <w:szCs w:val="21"/>
          <w:color w:val="auto"/>
        </w:rPr>
        <w:t>court that any such suit, action or other proceeding brought in any such court has been brought in an inconvenient forum.</w:t>
      </w:r>
    </w:p>
    <w:p>
      <w:pPr>
        <w:spacing w:after="0" w:line="171" w:lineRule="exact"/>
        <w:rPr>
          <w:sz w:val="20"/>
          <w:szCs w:val="20"/>
          <w:color w:val="auto"/>
        </w:rPr>
      </w:pPr>
    </w:p>
    <w:p>
      <w:pPr>
        <w:jc w:val="both"/>
        <w:ind w:firstLine="622"/>
        <w:spacing w:after="0" w:line="222" w:lineRule="auto"/>
        <w:tabs>
          <w:tab w:leader="none" w:pos="1233"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Immediately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39" w:right="339" w:bottom="1440" w:gutter="0" w:footer="0" w:header="0"/>
        </w:sectPr>
      </w:pPr>
    </w:p>
    <w:bookmarkStart w:id="431" w:name="page432"/>
    <w:bookmarkEnd w:id="431"/>
    <w:p>
      <w:pPr>
        <w:spacing w:after="0" w:line="13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3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b w:val="1"/>
          <w:bCs w:val="1"/>
          <w:color w:val="auto"/>
        </w:rPr>
        <w:t>RECURSION PHARMACEUTICALS, INC.</w:t>
      </w:r>
    </w:p>
    <w:p>
      <w:pPr>
        <w:spacing w:after="0" w:line="240" w:lineRule="exact"/>
        <w:rPr>
          <w:sz w:val="20"/>
          <w:szCs w:val="20"/>
          <w:color w:val="auto"/>
        </w:rPr>
      </w:pPr>
    </w:p>
    <w:p>
      <w:pPr>
        <w:ind w:left="4020"/>
        <w:spacing w:after="0"/>
        <w:tabs>
          <w:tab w:leader="none" w:pos="46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-13970</wp:posOffset>
            </wp:positionV>
            <wp:extent cx="16116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Name: Chris Gibson</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CITIGROUP GLOBAL MARKETS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Andrew Pucher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-13970</wp:posOffset>
            </wp:positionV>
            <wp:extent cx="11055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Name: Andrew Pucher</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Title: Managing Director, Head of West Region Healthcare</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ISSUANCE NOTICE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Citigroup Global Markets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388 Greenwich Street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 10013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Attn: [__________]</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Reference is made to the Sales Agreement between Recursion Pharmaceuticals,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Citigroup Global Markets Inc.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dated as of February 26, 2025. The Company confirms that all conditions to the delivery of this Issuance Notice are satisfied as of the date hereof.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Date of Delivery of Issuance Notice (determined pursuant to </w:t>
      </w:r>
      <w:r>
        <w:rPr>
          <w:rFonts w:ascii="Times New Roman" w:cs="Times New Roman" w:eastAsia="Times New Roman" w:hAnsi="Times New Roman"/>
          <w:sz w:val="21"/>
          <w:szCs w:val="21"/>
          <w:u w:val="single" w:color="auto"/>
          <w:color w:val="auto"/>
        </w:rPr>
        <w:t>Section 3(b)(i)</w:t>
      </w:r>
      <w:r>
        <w:rPr>
          <w:rFonts w:ascii="Times New Roman" w:cs="Times New Roman" w:eastAsia="Times New Roman" w:hAnsi="Times New Roman"/>
          <w:sz w:val="21"/>
          <w:szCs w:val="21"/>
          <w:color w:val="auto"/>
        </w:rPr>
        <w:t>): 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Issuance Amount (equal to the total Sales Price for such Shares):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-13970</wp:posOffset>
            </wp:positionV>
            <wp:extent cx="5238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52387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-13970</wp:posOffset>
            </wp:positionV>
            <wp:extent cx="52387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52387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-13970</wp:posOffset>
            </wp:positionV>
            <wp:extent cx="52387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52387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-13970</wp:posOffset>
            </wp:positionV>
            <wp:extent cx="5238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52387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Settlement Date(s) if other than standard T+1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271780</wp:posOffset>
            </wp:positionV>
            <wp:extent cx="52387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extLst>
                        <a:ext uri="{28A0092B-C50C-407E-A947-70E740481C1C}"/>
                      </a:extLst>
                    </a:blip>
                    <a:srcRect/>
                    <a:stretch>
                      <a:fillRect/>
                    </a:stretch>
                  </pic:blipFill>
                  <pic:spPr bwMode="auto">
                    <a:xfrm>
                      <a:off x="0" y="0"/>
                      <a:ext cx="523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Floor Price Limitation (in no event less than $1.00 without the prior written consent of the Agent, which consent may be withheld in the Agent’s sole discretion): $ ____ per share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-13970</wp:posOffset>
            </wp:positionV>
            <wp:extent cx="15716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9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2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-13970</wp:posOffset>
            </wp:positionV>
            <wp:extent cx="91694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Name:</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Title:</w:t>
      </w:r>
    </w:p>
    <w:p>
      <w:pPr>
        <w:sectPr>
          <w:pgSz w:w="11900" w:h="16838" w:orient="portrait"/>
          <w:cols w:equalWidth="0" w:num="1">
            <w:col w:w="11240"/>
          </w:cols>
          <w:pgMar w:left="320" w:top="1440" w:right="339" w:bottom="1440" w:gutter="0" w:footer="0" w:header="0"/>
        </w:sectPr>
      </w:pPr>
    </w:p>
    <w:bookmarkStart w:id="433" w:name="page434"/>
    <w:bookmarkEnd w:id="433"/>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Subsidiaries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list of subsidiaries of Recursion Pharmaceuticals Inc. as of December 31, 2024.</w:t>
      </w:r>
    </w:p>
    <w:p>
      <w:pPr>
        <w:sectPr>
          <w:pgSz w:w="11900" w:h="16838" w:orient="portrait"/>
          <w:cols w:equalWidth="0" w:num="1">
            <w:col w:w="11240"/>
          </w:cols>
          <w:pgMar w:left="320" w:top="339" w:right="339" w:bottom="1440" w:gutter="0" w:footer="0" w:header="0"/>
        </w:sect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of Incorporation</w:t>
      </w:r>
    </w:p>
    <w:p>
      <w:pPr>
        <w:spacing w:after="0" w:line="51"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Limited</w:t>
      </w:r>
    </w:p>
    <w:p>
      <w:pPr>
        <w:spacing w:after="0" w:line="20" w:lineRule="exact"/>
        <w:rPr>
          <w:sz w:val="20"/>
          <w:szCs w:val="20"/>
          <w:color w:val="auto"/>
        </w:rPr>
      </w:pPr>
      <w:r>
        <w:rPr>
          <w:sz w:val="20"/>
          <w:szCs w:val="20"/>
          <w:color w:val="auto"/>
        </w:rPr>
        <w:br w:type="column"/>
      </w:r>
    </w:p>
    <w:p>
      <w:pPr>
        <w:jc w:val="center"/>
        <w:ind w:right="4380"/>
        <w:spacing w:after="0"/>
        <w:rPr>
          <w:sz w:val="20"/>
          <w:szCs w:val="20"/>
          <w:color w:val="auto"/>
        </w:rPr>
      </w:pPr>
      <w:r>
        <w:rPr>
          <w:rFonts w:ascii="Arial" w:cs="Arial" w:eastAsia="Arial" w:hAnsi="Arial"/>
          <w:sz w:val="17"/>
          <w:szCs w:val="17"/>
          <w:color w:val="auto"/>
        </w:rPr>
        <w:t>United Kingdom</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(UK) Holdings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AI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Scotland</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Kinetic Discovery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Scotland</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Inc.</w:t>
      </w:r>
    </w:p>
    <w:p>
      <w:pPr>
        <w:spacing w:after="0" w:line="20" w:lineRule="exact"/>
        <w:rPr>
          <w:sz w:val="20"/>
          <w:szCs w:val="20"/>
          <w:color w:val="auto"/>
        </w:rPr>
      </w:pPr>
      <w:r>
        <w:rPr>
          <w:sz w:val="20"/>
          <w:szCs w:val="20"/>
          <w:color w:val="auto"/>
        </w:rPr>
        <w:br w:type="column"/>
      </w:r>
    </w:p>
    <w:p>
      <w:pPr>
        <w:jc w:val="center"/>
        <w:ind w:right="4880"/>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Ventures 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 Ventures 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Ventures II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 Ventures 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Exscientia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Austria</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Recursion London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Recursion Canada,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Valence Discovery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Valence Discovery USA,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Cyclica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Cyclica Inc.</w:t>
      </w:r>
    </w:p>
    <w:p>
      <w:pPr>
        <w:spacing w:after="0" w:line="20" w:lineRule="exact"/>
        <w:rPr>
          <w:sz w:val="20"/>
          <w:szCs w:val="20"/>
          <w:color w:val="auto"/>
        </w:rPr>
      </w:pPr>
      <w:r>
        <w:rPr>
          <w:sz w:val="20"/>
          <w:szCs w:val="20"/>
          <w:color w:val="auto"/>
        </w:rPr>
        <w:br w:type="column"/>
      </w:r>
    </w:p>
    <w:p>
      <w:pPr>
        <w:jc w:val="center"/>
        <w:ind w:right="4880"/>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Giro Health Inc.</w:t>
      </w:r>
    </w:p>
    <w:p>
      <w:pPr>
        <w:spacing w:after="0" w:line="20" w:lineRule="exact"/>
        <w:rPr>
          <w:sz w:val="20"/>
          <w:szCs w:val="20"/>
          <w:color w:val="auto"/>
        </w:rPr>
      </w:pPr>
      <w:r>
        <w:rPr>
          <w:sz w:val="20"/>
          <w:szCs w:val="20"/>
          <w:color w:val="auto"/>
        </w:rPr>
        <w:br w:type="column"/>
      </w:r>
    </w:p>
    <w:p>
      <w:pPr>
        <w:jc w:val="center"/>
        <w:ind w:right="4880"/>
        <w:spacing w:after="0"/>
        <w:rPr>
          <w:sz w:val="20"/>
          <w:szCs w:val="20"/>
          <w:color w:val="auto"/>
        </w:rPr>
      </w:pPr>
      <w:r>
        <w:rPr>
          <w:rFonts w:ascii="Arial" w:cs="Arial" w:eastAsia="Arial" w:hAnsi="Arial"/>
          <w:sz w:val="17"/>
          <w:szCs w:val="17"/>
          <w:color w:val="auto"/>
        </w:rPr>
        <w:t>Delaware</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1414517 B.C. Unlimited Liability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Canada</w:t>
      </w:r>
    </w:p>
    <w:p>
      <w:pPr>
        <w:spacing w:after="0" w:line="49"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CereXis, Inc.</w:t>
      </w:r>
    </w:p>
    <w:p>
      <w:pPr>
        <w:spacing w:after="0" w:line="20" w:lineRule="exact"/>
        <w:rPr>
          <w:sz w:val="20"/>
          <w:szCs w:val="20"/>
          <w:color w:val="auto"/>
        </w:rPr>
      </w:pPr>
      <w:r>
        <w:rPr>
          <w:sz w:val="20"/>
          <w:szCs w:val="20"/>
          <w:color w:val="auto"/>
        </w:rPr>
        <w:br w:type="column"/>
      </w:r>
    </w:p>
    <w:p>
      <w:pPr>
        <w:jc w:val="center"/>
        <w:ind w:right="4880"/>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4900" w:space="720"/>
            <w:col w:w="5620"/>
          </w:cols>
          <w:pgMar w:left="320" w:top="339" w:right="339" w:bottom="1440" w:gutter="0" w:footer="0" w:header="0"/>
          <w:type w:val="continuous"/>
        </w:sectPr>
      </w:pPr>
    </w:p>
    <w:p>
      <w:pPr>
        <w:spacing w:after="0" w:line="146"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*Inclusion on the list above is not an admission that any of the above entities, individually or in the aggregate, constitutes a significant subsidiary within the meaning of Rule 1-02(w) of Regulation S-X and Item 601(b)(21)(ii) of Regulation S-K.</w:t>
      </w:r>
    </w:p>
    <w:p>
      <w:pPr>
        <w:sectPr>
          <w:pgSz w:w="11900" w:h="16838" w:orient="portrait"/>
          <w:cols w:equalWidth="0" w:num="1">
            <w:col w:w="11240"/>
          </w:cols>
          <w:pgMar w:left="320" w:top="339" w:right="339" w:bottom="1440" w:gutter="0" w:footer="0" w:header="0"/>
          <w:type w:val="continuous"/>
        </w:sectPr>
      </w:pPr>
    </w:p>
    <w:bookmarkStart w:id="434" w:name="page435"/>
    <w:bookmarkEnd w:id="434"/>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We consent to the incorporation by reference in the following Registration Statements:</w:t>
      </w:r>
    </w:p>
    <w:p>
      <w:pPr>
        <w:spacing w:after="0" w:line="339" w:lineRule="exact"/>
        <w:rPr>
          <w:sz w:val="20"/>
          <w:szCs w:val="20"/>
          <w:color w:val="auto"/>
        </w:rPr>
      </w:pPr>
    </w:p>
    <w:p>
      <w:pPr>
        <w:ind w:left="620" w:hanging="307"/>
        <w:spacing w:after="0"/>
        <w:tabs>
          <w:tab w:leader="none" w:pos="62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Registration Statement (Form S-3 No. 333-272281) of Recursion Pharmaceuticals, Inc.,</w:t>
      </w:r>
    </w:p>
    <w:p>
      <w:pPr>
        <w:spacing w:after="0" w:line="31" w:lineRule="exact"/>
        <w:rPr>
          <w:rFonts w:ascii="Arial" w:cs="Arial" w:eastAsia="Arial" w:hAnsi="Arial"/>
          <w:sz w:val="21"/>
          <w:szCs w:val="21"/>
          <w:color w:val="auto"/>
        </w:rPr>
      </w:pPr>
    </w:p>
    <w:p>
      <w:pPr>
        <w:ind w:left="620" w:hanging="307"/>
        <w:spacing w:after="0"/>
        <w:tabs>
          <w:tab w:leader="none" w:pos="62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Registration Statement (Form S-3 No. 333-264845) of Recursion Pharmaceuticals, Inc.,</w:t>
      </w:r>
    </w:p>
    <w:p>
      <w:pPr>
        <w:spacing w:after="0" w:line="8" w:lineRule="exact"/>
        <w:rPr>
          <w:rFonts w:ascii="Arial" w:cs="Arial" w:eastAsia="Arial" w:hAnsi="Arial"/>
          <w:sz w:val="21"/>
          <w:szCs w:val="21"/>
          <w:color w:val="auto"/>
        </w:rPr>
      </w:pPr>
    </w:p>
    <w:p>
      <w:pPr>
        <w:ind w:left="620" w:right="840" w:hanging="307"/>
        <w:spacing w:after="0" w:line="243" w:lineRule="auto"/>
        <w:tabs>
          <w:tab w:leader="none" w:pos="61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Registration Statement (Form S-8 No. 333-272282) pertaining to the assumption of the Cyclica Inc. Second Amended and Restated Stock Option Plan, by Recursion Pharmaceuticals, Inc.,</w:t>
      </w:r>
    </w:p>
    <w:p>
      <w:pPr>
        <w:ind w:left="620" w:right="580" w:hanging="307"/>
        <w:spacing w:after="0" w:line="247" w:lineRule="auto"/>
        <w:tabs>
          <w:tab w:leader="none" w:pos="61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Registration Statement (Form S-8 No. 333-272027) pertaining to the assumption of the Valence Discovery Inc. Stock Option Plan dated April 17, 2018 as amended and restated on November 16, 2021, by Recursion Pharmaceuticals, Inc.,</w:t>
      </w:r>
    </w:p>
    <w:p>
      <w:pPr>
        <w:spacing w:after="0" w:line="2" w:lineRule="exact"/>
        <w:rPr>
          <w:rFonts w:ascii="Arial" w:cs="Arial" w:eastAsia="Arial" w:hAnsi="Arial"/>
          <w:sz w:val="21"/>
          <w:szCs w:val="21"/>
          <w:color w:val="auto"/>
        </w:rPr>
      </w:pPr>
    </w:p>
    <w:p>
      <w:pPr>
        <w:ind w:left="620" w:right="20" w:hanging="307"/>
        <w:spacing w:after="0" w:line="243" w:lineRule="auto"/>
        <w:tabs>
          <w:tab w:leader="none" w:pos="61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Registration Statement (Form S-8 No. 333-271719) pertaining to the 2021 Equity Incentive Plan and 2021 Employee Stock Purchase Plan, of Recursion Pharmaceuticals, Inc.,</w:t>
      </w:r>
    </w:p>
    <w:p>
      <w:pPr>
        <w:ind w:left="620" w:right="20" w:hanging="307"/>
        <w:spacing w:after="0" w:line="243" w:lineRule="auto"/>
        <w:tabs>
          <w:tab w:leader="none" w:pos="61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Registration Statement (Form S-8 No. 333-264847) pertaining to the 2021 Equity Incentive Plan and 2021 Employee Stock Purchase Plan of Recursion Pharmaceuticals, Inc.,</w:t>
      </w:r>
    </w:p>
    <w:p>
      <w:pPr>
        <w:ind w:left="620" w:right="360" w:hanging="307"/>
        <w:spacing w:after="0" w:line="249" w:lineRule="auto"/>
        <w:tabs>
          <w:tab w:leader="none" w:pos="61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Registration Statement (Form S-8 No. 333-255315) pertaining to the 2021 Equity Incentive Plan, 2021 Employee Stock Purchase Plan, and the 2016 Equity Incentive Plan of Recursion Pharmaceuticals, Inc.,</w:t>
      </w:r>
    </w:p>
    <w:p>
      <w:pPr>
        <w:spacing w:after="0" w:line="1" w:lineRule="exact"/>
        <w:rPr>
          <w:rFonts w:ascii="Arial" w:cs="Arial" w:eastAsia="Arial" w:hAnsi="Arial"/>
          <w:sz w:val="21"/>
          <w:szCs w:val="21"/>
          <w:color w:val="auto"/>
        </w:rPr>
      </w:pPr>
    </w:p>
    <w:p>
      <w:pPr>
        <w:ind w:left="620" w:right="360" w:hanging="307"/>
        <w:spacing w:after="0" w:line="243" w:lineRule="auto"/>
        <w:tabs>
          <w:tab w:leader="none" w:pos="61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Registration Statement (Form S-8 No. 333-279290) pertaining to the 2021 Equity Incentive Plan, 2021 Employee Stock Purchase Plan, and the 2016 Equity Incentive Plan of Recursion Pharmaceuticals, Inc., and</w:t>
      </w:r>
    </w:p>
    <w:p>
      <w:pPr>
        <w:ind w:left="620" w:right="60" w:hanging="307"/>
        <w:spacing w:after="0" w:line="274" w:lineRule="auto"/>
        <w:tabs>
          <w:tab w:leader="none" w:pos="61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Registration Statement (Form S-8 No. 333-283347) pertaining to the Exscientia Unapproved Share Option Plan with RSU Sub-Plan, Exscientia plc 2021 Equity Incentive Plan with Non-Employee Sub-Plan and CSOP Sub-Plan, and Recursion Pharmaceuticals, Inc. 2024 Inducement Equity Incentive Plan of Recursion Pharmaceuticals, Inc.;</w:t>
      </w:r>
    </w:p>
    <w:p>
      <w:pPr>
        <w:spacing w:after="0" w:line="172" w:lineRule="exact"/>
        <w:rPr>
          <w:sz w:val="20"/>
          <w:szCs w:val="20"/>
          <w:color w:val="auto"/>
        </w:rPr>
      </w:pPr>
    </w:p>
    <w:p>
      <w:pPr>
        <w:ind w:right="200"/>
        <w:spacing w:after="0" w:line="258" w:lineRule="auto"/>
        <w:rPr>
          <w:sz w:val="20"/>
          <w:szCs w:val="20"/>
          <w:color w:val="auto"/>
        </w:rPr>
      </w:pPr>
      <w:r>
        <w:rPr>
          <w:rFonts w:ascii="Arial" w:cs="Arial" w:eastAsia="Arial" w:hAnsi="Arial"/>
          <w:sz w:val="21"/>
          <w:szCs w:val="21"/>
          <w:color w:val="auto"/>
        </w:rPr>
        <w:t>of our reports dated February 29, 2024, except for Note 15, as to which the date is February 28, 2025, with respect to the consolidated financial statements of Recursion Pharmaceuticals, Inc. included in this Annual Report (Form 10-K) of Recursion Pharmaceuticals, inc. for the year ended December 31, 2024</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/s/ Ernst and Young</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February 28, 2025</w:t>
      </w:r>
    </w:p>
    <w:p>
      <w:pPr>
        <w:sectPr>
          <w:pgSz w:w="11900" w:h="16838" w:orient="portrait"/>
          <w:cols w:equalWidth="0" w:num="1">
            <w:col w:w="11240"/>
          </w:cols>
          <w:pgMar w:left="320" w:top="372" w:right="339"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9"/>
          <w:szCs w:val="19"/>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37"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333-255315, 333-264847, 333-271719, 333-272027, 333-272282, 333-279290, and 333-283347) and Form S-3 (Nos. 333-264845, 333-272281, and 333-284878) of Recursion Pharmaceuticals,</w:t>
      </w:r>
    </w:p>
    <w:p>
      <w:pPr>
        <w:spacing w:after="0" w:line="1" w:lineRule="exact"/>
        <w:rPr>
          <w:sz w:val="20"/>
          <w:szCs w:val="20"/>
          <w:color w:val="auto"/>
        </w:rPr>
      </w:pPr>
    </w:p>
    <w:p>
      <w:pPr>
        <w:ind w:right="480"/>
        <w:spacing w:after="0" w:line="229" w:lineRule="auto"/>
        <w:rPr>
          <w:sz w:val="20"/>
          <w:szCs w:val="20"/>
          <w:color w:val="auto"/>
        </w:rPr>
      </w:pPr>
      <w:r>
        <w:rPr>
          <w:rFonts w:ascii="Times New Roman" w:cs="Times New Roman" w:eastAsia="Times New Roman" w:hAnsi="Times New Roman"/>
          <w:sz w:val="19"/>
          <w:szCs w:val="19"/>
          <w:color w:val="auto"/>
        </w:rPr>
        <w:t xml:space="preserve">Inc. of our report dated February 28, 2025 </w:t>
      </w:r>
      <w:r>
        <w:rPr>
          <w:rFonts w:ascii="Georgia" w:cs="Georgia" w:eastAsia="Georgia" w:hAnsi="Georgia"/>
          <w:sz w:val="17"/>
          <w:szCs w:val="17"/>
          <w:color w:val="auto"/>
        </w:rPr>
        <w:t>rela</w:t>
      </w:r>
      <w:r>
        <w:rPr>
          <w:rFonts w:ascii="Times New Roman" w:cs="Times New Roman" w:eastAsia="Times New Roman" w:hAnsi="Times New Roman"/>
          <w:sz w:val="19"/>
          <w:szCs w:val="19"/>
          <w:color w:val="auto"/>
        </w:rPr>
        <w:t>ting to the financial statements and the effectiveness of internal control over financial reporting, which appears in this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Seattle, Washington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28, 2025</w:t>
      </w:r>
    </w:p>
    <w:p>
      <w:pPr>
        <w:sectPr>
          <w:pgSz w:w="11900" w:h="16838" w:orient="portrait"/>
          <w:cols w:equalWidth="0" w:num="1">
            <w:col w:w="11240"/>
          </w:cols>
          <w:pgMar w:left="320" w:top="372" w:right="339" w:bottom="1440" w:gutter="0" w:footer="0" w:header="0"/>
        </w:sectPr>
      </w:pPr>
    </w:p>
    <w:bookmarkStart w:id="436" w:name="page437"/>
    <w:bookmarkEnd w:id="436"/>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Rules 13a-14(a) and 15d-14(a) of the Securities Exchange Act of 1934, as amended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Christopher Gibson, certify that:</w:t>
      </w:r>
    </w:p>
    <w:p>
      <w:pPr>
        <w:spacing w:after="0" w:line="243" w:lineRule="exact"/>
        <w:rPr>
          <w:sz w:val="20"/>
          <w:szCs w:val="20"/>
          <w:color w:val="auto"/>
        </w:rPr>
      </w:pPr>
    </w:p>
    <w:p>
      <w:pPr>
        <w:ind w:left="200" w:hanging="197"/>
        <w:spacing w:after="0"/>
        <w:tabs>
          <w:tab w:leader="none" w:pos="20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Recursion Pharmaceuticals, Inc.;</w:t>
      </w:r>
    </w:p>
    <w:p>
      <w:pPr>
        <w:spacing w:after="0" w:line="242" w:lineRule="exact"/>
        <w:rPr>
          <w:rFonts w:ascii="Arial" w:cs="Arial" w:eastAsia="Arial" w:hAnsi="Arial"/>
          <w:sz w:val="17"/>
          <w:szCs w:val="17"/>
          <w:color w:val="auto"/>
        </w:rPr>
      </w:pPr>
    </w:p>
    <w:p>
      <w:pPr>
        <w:jc w:val="both"/>
        <w:ind w:right="180" w:firstLine="3"/>
        <w:spacing w:after="0" w:line="271" w:lineRule="auto"/>
        <w:tabs>
          <w:tab w:leader="none" w:pos="19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7"/>
          <w:szCs w:val="17"/>
          <w:color w:val="auto"/>
        </w:rPr>
      </w:pPr>
    </w:p>
    <w:p>
      <w:pPr>
        <w:ind w:right="80" w:firstLine="3"/>
        <w:spacing w:after="0" w:line="290" w:lineRule="auto"/>
        <w:tabs>
          <w:tab w:leader="none" w:pos="19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right="260" w:firstLine="3"/>
        <w:spacing w:after="0" w:line="271" w:lineRule="auto"/>
        <w:tabs>
          <w:tab w:leader="none" w:pos="19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7"/>
          <w:szCs w:val="17"/>
          <w:color w:val="auto"/>
        </w:rPr>
      </w:pPr>
    </w:p>
    <w:p>
      <w:pPr>
        <w:ind w:left="620" w:right="340" w:firstLine="2"/>
        <w:spacing w:after="0" w:line="271" w:lineRule="auto"/>
        <w:tabs>
          <w:tab w:leader="none" w:pos="878" w:val="left"/>
        </w:tabs>
        <w:numPr>
          <w:ilvl w:val="1"/>
          <w:numId w:val="3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7"/>
          <w:szCs w:val="17"/>
          <w:color w:val="auto"/>
        </w:rPr>
      </w:pPr>
    </w:p>
    <w:p>
      <w:pPr>
        <w:ind w:left="620" w:right="80" w:firstLine="2"/>
        <w:spacing w:after="0" w:line="271" w:lineRule="auto"/>
        <w:tabs>
          <w:tab w:leader="none" w:pos="878" w:val="left"/>
        </w:tabs>
        <w:numPr>
          <w:ilvl w:val="1"/>
          <w:numId w:val="3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7"/>
          <w:szCs w:val="17"/>
          <w:color w:val="auto"/>
        </w:rPr>
      </w:pPr>
    </w:p>
    <w:p>
      <w:pPr>
        <w:ind w:left="620" w:right="60" w:firstLine="2"/>
        <w:spacing w:after="0" w:line="290" w:lineRule="auto"/>
        <w:tabs>
          <w:tab w:leader="none" w:pos="868" w:val="left"/>
        </w:tabs>
        <w:numPr>
          <w:ilvl w:val="1"/>
          <w:numId w:val="3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ind w:left="620" w:right="100" w:firstLine="2"/>
        <w:spacing w:after="0" w:line="271" w:lineRule="auto"/>
        <w:tabs>
          <w:tab w:leader="none" w:pos="878" w:val="left"/>
        </w:tabs>
        <w:numPr>
          <w:ilvl w:val="1"/>
          <w:numId w:val="3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7"/>
          <w:szCs w:val="17"/>
          <w:color w:val="auto"/>
        </w:rPr>
      </w:pPr>
    </w:p>
    <w:p>
      <w:pPr>
        <w:ind w:right="20" w:firstLine="3"/>
        <w:spacing w:after="0" w:line="290" w:lineRule="auto"/>
        <w:tabs>
          <w:tab w:leader="none" w:pos="191"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7"/>
          <w:szCs w:val="17"/>
          <w:color w:val="auto"/>
        </w:rPr>
      </w:pPr>
    </w:p>
    <w:p>
      <w:pPr>
        <w:ind w:left="620" w:right="500" w:firstLine="2"/>
        <w:spacing w:after="0" w:line="290" w:lineRule="auto"/>
        <w:tabs>
          <w:tab w:leader="none" w:pos="878" w:val="left"/>
        </w:tabs>
        <w:numPr>
          <w:ilvl w:val="1"/>
          <w:numId w:val="3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left="620" w:right="120" w:firstLine="2"/>
        <w:spacing w:after="0" w:line="290" w:lineRule="auto"/>
        <w:tabs>
          <w:tab w:leader="none" w:pos="878" w:val="left"/>
        </w:tabs>
        <w:numPr>
          <w:ilvl w:val="1"/>
          <w:numId w:val="35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Christopher Gibson, Chief Executive Officer (principal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2025</w:t>
      </w:r>
    </w:p>
    <w:p>
      <w:pPr>
        <w:sectPr>
          <w:pgSz w:w="11900" w:h="16838" w:orient="portrait"/>
          <w:cols w:equalWidth="0" w:num="1">
            <w:col w:w="11240"/>
          </w:cols>
          <w:pgMar w:left="320" w:top="121" w:right="339" w:bottom="1440" w:gutter="0" w:footer="0" w:header="0"/>
        </w:sectPr>
      </w:pPr>
    </w:p>
    <w:bookmarkStart w:id="437" w:name="page438"/>
    <w:bookmarkEnd w:id="437"/>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Rules 13a-14(a) and 15d-14(a) of the Securities Exchange Act of 1934, as amended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Ben Taylor, certify that:</w:t>
      </w:r>
    </w:p>
    <w:p>
      <w:pPr>
        <w:spacing w:after="0" w:line="243" w:lineRule="exact"/>
        <w:rPr>
          <w:sz w:val="20"/>
          <w:szCs w:val="20"/>
          <w:color w:val="auto"/>
        </w:rPr>
      </w:pPr>
    </w:p>
    <w:p>
      <w:pPr>
        <w:ind w:left="200" w:hanging="197"/>
        <w:spacing w:after="0"/>
        <w:tabs>
          <w:tab w:leader="none" w:pos="20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Recursion Pharmaceuticals, Inc.;</w:t>
      </w:r>
    </w:p>
    <w:p>
      <w:pPr>
        <w:spacing w:after="0" w:line="242" w:lineRule="exact"/>
        <w:rPr>
          <w:rFonts w:ascii="Arial" w:cs="Arial" w:eastAsia="Arial" w:hAnsi="Arial"/>
          <w:sz w:val="17"/>
          <w:szCs w:val="17"/>
          <w:color w:val="auto"/>
        </w:rPr>
      </w:pPr>
    </w:p>
    <w:p>
      <w:pPr>
        <w:jc w:val="both"/>
        <w:ind w:right="180" w:firstLine="3"/>
        <w:spacing w:after="0" w:line="271" w:lineRule="auto"/>
        <w:tabs>
          <w:tab w:leader="none" w:pos="191" w:val="left"/>
        </w:tabs>
        <w:numPr>
          <w:ilvl w:val="0"/>
          <w:numId w:val="36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7"/>
          <w:szCs w:val="17"/>
          <w:color w:val="auto"/>
        </w:rPr>
      </w:pPr>
    </w:p>
    <w:p>
      <w:pPr>
        <w:ind w:right="80" w:firstLine="3"/>
        <w:spacing w:after="0" w:line="290" w:lineRule="auto"/>
        <w:tabs>
          <w:tab w:leader="none" w:pos="191" w:val="left"/>
        </w:tabs>
        <w:numPr>
          <w:ilvl w:val="0"/>
          <w:numId w:val="3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right="260" w:firstLine="3"/>
        <w:spacing w:after="0" w:line="271" w:lineRule="auto"/>
        <w:tabs>
          <w:tab w:leader="none" w:pos="191"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7"/>
          <w:szCs w:val="17"/>
          <w:color w:val="auto"/>
        </w:rPr>
      </w:pPr>
    </w:p>
    <w:p>
      <w:pPr>
        <w:ind w:left="620" w:right="340" w:firstLine="2"/>
        <w:spacing w:after="0" w:line="271" w:lineRule="auto"/>
        <w:tabs>
          <w:tab w:leader="none" w:pos="878" w:val="left"/>
        </w:tabs>
        <w:numPr>
          <w:ilvl w:val="1"/>
          <w:numId w:val="3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7"/>
          <w:szCs w:val="17"/>
          <w:color w:val="auto"/>
        </w:rPr>
      </w:pPr>
    </w:p>
    <w:p>
      <w:pPr>
        <w:ind w:left="620" w:right="80" w:firstLine="2"/>
        <w:spacing w:after="0" w:line="271" w:lineRule="auto"/>
        <w:tabs>
          <w:tab w:leader="none" w:pos="878" w:val="left"/>
        </w:tabs>
        <w:numPr>
          <w:ilvl w:val="1"/>
          <w:numId w:val="3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7"/>
          <w:szCs w:val="17"/>
          <w:color w:val="auto"/>
        </w:rPr>
      </w:pPr>
    </w:p>
    <w:p>
      <w:pPr>
        <w:ind w:left="620" w:right="60" w:firstLine="2"/>
        <w:spacing w:after="0" w:line="290" w:lineRule="auto"/>
        <w:tabs>
          <w:tab w:leader="none" w:pos="868" w:val="left"/>
        </w:tabs>
        <w:numPr>
          <w:ilvl w:val="1"/>
          <w:numId w:val="3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ind w:left="620" w:right="100" w:firstLine="2"/>
        <w:spacing w:after="0" w:line="271" w:lineRule="auto"/>
        <w:tabs>
          <w:tab w:leader="none" w:pos="878" w:val="left"/>
        </w:tabs>
        <w:numPr>
          <w:ilvl w:val="1"/>
          <w:numId w:val="3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7"/>
          <w:szCs w:val="17"/>
          <w:color w:val="auto"/>
        </w:rPr>
      </w:pPr>
    </w:p>
    <w:p>
      <w:pPr>
        <w:ind w:right="20" w:firstLine="3"/>
        <w:spacing w:after="0" w:line="290" w:lineRule="auto"/>
        <w:tabs>
          <w:tab w:leader="none" w:pos="191"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7"/>
          <w:szCs w:val="17"/>
          <w:color w:val="auto"/>
        </w:rPr>
      </w:pPr>
    </w:p>
    <w:p>
      <w:pPr>
        <w:ind w:left="620" w:right="500" w:firstLine="2"/>
        <w:spacing w:after="0" w:line="290" w:lineRule="auto"/>
        <w:tabs>
          <w:tab w:leader="none" w:pos="878" w:val="left"/>
        </w:tabs>
        <w:numPr>
          <w:ilvl w:val="1"/>
          <w:numId w:val="3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left="620" w:right="120" w:firstLine="2"/>
        <w:spacing w:after="0" w:line="290" w:lineRule="auto"/>
        <w:tabs>
          <w:tab w:leader="none" w:pos="878" w:val="left"/>
        </w:tabs>
        <w:numPr>
          <w:ilvl w:val="1"/>
          <w:numId w:val="3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Ben Taylor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Ben Taylor, Chief Financial Officer (principal financial officer)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2025</w:t>
      </w:r>
    </w:p>
    <w:p>
      <w:pPr>
        <w:sectPr>
          <w:pgSz w:w="11900" w:h="16838" w:orient="portrait"/>
          <w:cols w:equalWidth="0" w:num="1">
            <w:col w:w="11240"/>
          </w:cols>
          <w:pgMar w:left="320" w:top="121" w:right="339" w:bottom="1440" w:gutter="0" w:footer="0" w:header="0"/>
        </w:sectPr>
      </w:pPr>
    </w:p>
    <w:bookmarkStart w:id="438" w:name="page439"/>
    <w:bookmarkEnd w:id="438"/>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340" w:right="120"/>
        <w:spacing w:after="0" w:line="304" w:lineRule="auto"/>
        <w:rPr>
          <w:sz w:val="20"/>
          <w:szCs w:val="20"/>
          <w:color w:val="auto"/>
        </w:rPr>
      </w:pPr>
      <w:r>
        <w:rPr>
          <w:rFonts w:ascii="Arial" w:cs="Arial" w:eastAsia="Arial" w:hAnsi="Arial"/>
          <w:sz w:val="17"/>
          <w:szCs w:val="17"/>
          <w:b w:val="1"/>
          <w:bCs w:val="1"/>
          <w:color w:val="auto"/>
        </w:rPr>
        <w:t>Certifications of Principal Executive Officer and Principal Financial Officer Pursuant to 18 U.S.C. Section 1350, as Adopted Pursuant to Section 906 of the Sarbanes-Oxley Act of 2002</w:t>
      </w:r>
    </w:p>
    <w:p>
      <w:pPr>
        <w:spacing w:after="0" w:line="15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connection with the Annual Report of Recursion Pharmaceuticals, Inc. (the “Company”) on Form 10-K for the period ended December 31, 2024 as filed with the Securities and Exchange Commission on the date hereof (the “Report”), The undersigned certify, pursuant to 18 U.S.C. Section 1350, as adopted pursuant to Section 906 of the Sarbanes-Oxley Act of 2002, that:</w:t>
      </w:r>
    </w:p>
    <w:p>
      <w:pPr>
        <w:spacing w:after="0" w:line="189" w:lineRule="exact"/>
        <w:rPr>
          <w:sz w:val="20"/>
          <w:szCs w:val="20"/>
          <w:color w:val="auto"/>
        </w:rPr>
      </w:pPr>
    </w:p>
    <w:p>
      <w:pPr>
        <w:ind w:left="200" w:hanging="197"/>
        <w:spacing w:after="0"/>
        <w:tabs>
          <w:tab w:leader="none" w:pos="20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2" w:lineRule="exact"/>
        <w:rPr>
          <w:rFonts w:ascii="Arial" w:cs="Arial" w:eastAsia="Arial" w:hAnsi="Arial"/>
          <w:sz w:val="17"/>
          <w:szCs w:val="17"/>
          <w:color w:val="auto"/>
        </w:rPr>
      </w:pPr>
    </w:p>
    <w:p>
      <w:pPr>
        <w:ind w:left="200" w:hanging="197"/>
        <w:spacing w:after="0"/>
        <w:tabs>
          <w:tab w:leader="none" w:pos="20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Christopher Gibson, Chief Executive Officer (principal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Ben Taylor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Ben Taylor, Chief Financial Officer (principal financial officer)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2025</w:t>
      </w:r>
    </w:p>
    <w:sectPr>
      <w:pgSz w:w="11900" w:h="16838" w:orient="portrait"/>
      <w:cols w:equalWidth="0" w:num="1">
        <w:col w:w="11240"/>
      </w:cols>
      <w:pgMar w:left="320" w:top="3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68DB37E"/>
    <w:multiLevelType w:val="hybridMultilevel"/>
    <w:lvl w:ilvl="0">
      <w:lvlJc w:val="left"/>
      <w:lvlText w:val="☒"/>
      <w:numFmt w:val="bullet"/>
      <w:start w:val="1"/>
    </w:lvl>
  </w:abstractNum>
  <w:abstractNum w:abstractNumId="1">
    <w:nsid w:val="6A3B714C"/>
    <w:multiLevelType w:val="hybridMultilevel"/>
    <w:lvl w:ilvl="0">
      <w:lvlJc w:val="left"/>
      <w:lvlText w:val="☐"/>
      <w:numFmt w:val="bullet"/>
      <w:start w:val="1"/>
    </w:lvl>
  </w:abstractNum>
  <w:abstractNum w:abstractNumId="2">
    <w:nsid w:val="327B517E"/>
    <w:multiLevelType w:val="hybridMultilevel"/>
    <w:lvl w:ilvl="0">
      <w:lvlJc w:val="left"/>
      <w:lvlText w:val="•"/>
      <w:numFmt w:val="bullet"/>
      <w:start w:val="1"/>
    </w:lvl>
  </w:abstractNum>
  <w:abstractNum w:abstractNumId="3">
    <w:nsid w:val="1F461B51"/>
    <w:multiLevelType w:val="hybridMultilevel"/>
    <w:lvl w:ilvl="0">
      <w:lvlJc w:val="left"/>
      <w:lvlText w:val="%1."/>
      <w:numFmt w:val="decimal"/>
      <w:start w:val="1"/>
    </w:lvl>
  </w:abstractNum>
  <w:abstractNum w:abstractNumId="4">
    <w:nsid w:val="29BACF25"/>
    <w:multiLevelType w:val="hybridMultilevel"/>
    <w:lvl w:ilvl="0">
      <w:lvlJc w:val="left"/>
      <w:lvlText w:val="•"/>
      <w:numFmt w:val="bullet"/>
      <w:start w:val="1"/>
    </w:lvl>
  </w:abstractNum>
  <w:abstractNum w:abstractNumId="5">
    <w:nsid w:val="5D5BABB3"/>
    <w:multiLevelType w:val="hybridMultilevel"/>
    <w:lvl w:ilvl="0">
      <w:lvlJc w:val="left"/>
      <w:lvlText w:val="◦"/>
      <w:numFmt w:val="bullet"/>
      <w:start w:val="1"/>
    </w:lvl>
  </w:abstractNum>
  <w:abstractNum w:abstractNumId="6">
    <w:nsid w:val="51BF6B48"/>
    <w:multiLevelType w:val="hybridMultilevel"/>
    <w:lvl w:ilvl="0">
      <w:lvlJc w:val="left"/>
      <w:lvlText w:val="◦"/>
      <w:numFmt w:val="bullet"/>
      <w:start w:val="1"/>
    </w:lvl>
  </w:abstractNum>
  <w:abstractNum w:abstractNumId="7">
    <w:nsid w:val="7E0F6384"/>
    <w:multiLevelType w:val="hybridMultilevel"/>
    <w:lvl w:ilvl="0">
      <w:lvlJc w:val="left"/>
      <w:lvlText w:val="◦"/>
      <w:numFmt w:val="bullet"/>
      <w:start w:val="1"/>
    </w:lvl>
  </w:abstractNum>
  <w:abstractNum w:abstractNumId="8">
    <w:nsid w:val="2B4B8B53"/>
    <w:multiLevelType w:val="hybridMultilevel"/>
    <w:lvl w:ilvl="0">
      <w:lvlJc w:val="left"/>
      <w:lvlText w:val="◦"/>
      <w:numFmt w:val="bullet"/>
      <w:start w:val="1"/>
    </w:lvl>
  </w:abstractNum>
  <w:abstractNum w:abstractNumId="9">
    <w:nsid w:val="72E3413A"/>
    <w:multiLevelType w:val="hybridMultilevel"/>
    <w:lvl w:ilvl="0">
      <w:lvlJc w:val="left"/>
      <w:lvlText w:val="◦"/>
      <w:numFmt w:val="bullet"/>
      <w:start w:val="1"/>
    </w:lvl>
  </w:abstractNum>
  <w:abstractNum w:abstractNumId="10">
    <w:nsid w:val="116AE494"/>
    <w:multiLevelType w:val="hybridMultilevel"/>
    <w:lvl w:ilvl="0">
      <w:lvlJc w:val="left"/>
      <w:lvlText w:val="◦"/>
      <w:numFmt w:val="bullet"/>
      <w:start w:val="1"/>
    </w:lvl>
  </w:abstractNum>
  <w:abstractNum w:abstractNumId="11">
    <w:nsid w:val="3494B2FB"/>
    <w:multiLevelType w:val="hybridMultilevel"/>
    <w:lvl w:ilvl="0">
      <w:lvlJc w:val="left"/>
      <w:lvlText w:val="◦"/>
      <w:numFmt w:val="bullet"/>
      <w:start w:val="1"/>
    </w:lvl>
  </w:abstractNum>
  <w:abstractNum w:abstractNumId="12">
    <w:nsid w:val="B13A31"/>
    <w:multiLevelType w:val="hybridMultilevel"/>
    <w:lvl w:ilvl="0">
      <w:lvlJc w:val="left"/>
      <w:lvlText w:val="◦"/>
      <w:numFmt w:val="bullet"/>
      <w:start w:val="1"/>
    </w:lvl>
  </w:abstractNum>
  <w:abstractNum w:abstractNumId="13">
    <w:nsid w:val="64429599"/>
    <w:multiLevelType w:val="hybridMultilevel"/>
    <w:lvl w:ilvl="0">
      <w:lvlJc w:val="left"/>
      <w:lvlText w:val="◦"/>
      <w:numFmt w:val="bullet"/>
      <w:start w:val="1"/>
    </w:lvl>
  </w:abstractNum>
  <w:abstractNum w:abstractNumId="14">
    <w:nsid w:val="631F1690"/>
    <w:multiLevelType w:val="hybridMultilevel"/>
    <w:lvl w:ilvl="0">
      <w:lvlJc w:val="left"/>
      <w:lvlText w:val="•"/>
      <w:numFmt w:val="bullet"/>
      <w:start w:val="1"/>
    </w:lvl>
  </w:abstractNum>
  <w:abstractNum w:abstractNumId="15">
    <w:nsid w:val="25973E32"/>
    <w:multiLevelType w:val="hybridMultilevel"/>
    <w:lvl w:ilvl="0">
      <w:lvlJc w:val="left"/>
      <w:lvlText w:val="•"/>
      <w:numFmt w:val="bullet"/>
      <w:start w:val="1"/>
    </w:lvl>
  </w:abstractNum>
  <w:abstractNum w:abstractNumId="16">
    <w:nsid w:val="EAD6F57"/>
    <w:multiLevelType w:val="hybridMultilevel"/>
    <w:lvl w:ilvl="0">
      <w:lvlJc w:val="left"/>
      <w:lvlText w:val="•"/>
      <w:numFmt w:val="bullet"/>
      <w:start w:val="1"/>
    </w:lvl>
  </w:abstractNum>
  <w:abstractNum w:abstractNumId="17">
    <w:nsid w:val="6EC9D844"/>
    <w:multiLevelType w:val="hybridMultilevel"/>
    <w:lvl w:ilvl="0">
      <w:lvlJc w:val="left"/>
      <w:lvlText w:val="•"/>
      <w:numFmt w:val="bullet"/>
      <w:start w:val="1"/>
    </w:lvl>
  </w:abstractNum>
  <w:abstractNum w:abstractNumId="18">
    <w:nsid w:val="5C49EAEE"/>
    <w:multiLevelType w:val="hybridMultilevel"/>
    <w:lvl w:ilvl="0">
      <w:lvlJc w:val="left"/>
      <w:lvlText w:val="•"/>
      <w:numFmt w:val="bullet"/>
      <w:start w:val="1"/>
    </w:lvl>
  </w:abstractNum>
  <w:abstractNum w:abstractNumId="19">
    <w:nsid w:val="64AF49B"/>
    <w:multiLevelType w:val="hybridMultilevel"/>
    <w:lvl w:ilvl="0">
      <w:lvlJc w:val="left"/>
      <w:lvlText w:val="•"/>
      <w:numFmt w:val="bullet"/>
      <w:start w:val="1"/>
    </w:lvl>
  </w:abstractNum>
  <w:abstractNum w:abstractNumId="20">
    <w:nsid w:val="397C46BC"/>
    <w:multiLevelType w:val="hybridMultilevel"/>
    <w:lvl w:ilvl="0">
      <w:lvlJc w:val="left"/>
      <w:lvlText w:val="•"/>
      <w:numFmt w:val="bullet"/>
      <w:start w:val="1"/>
    </w:lvl>
  </w:abstractNum>
  <w:abstractNum w:abstractNumId="21">
    <w:nsid w:val="7E448DE9"/>
    <w:multiLevelType w:val="hybridMultilevel"/>
    <w:lvl w:ilvl="0">
      <w:lvlJc w:val="left"/>
      <w:lvlText w:val="•"/>
      <w:numFmt w:val="bullet"/>
      <w:start w:val="1"/>
    </w:lvl>
  </w:abstractNum>
  <w:abstractNum w:abstractNumId="22">
    <w:nsid w:val="5A9CC3E5"/>
    <w:multiLevelType w:val="hybridMultilevel"/>
    <w:lvl w:ilvl="0">
      <w:lvlJc w:val="left"/>
      <w:lvlText w:val="•"/>
      <w:numFmt w:val="bullet"/>
      <w:start w:val="1"/>
    </w:lvl>
  </w:abstractNum>
  <w:abstractNum w:abstractNumId="23">
    <w:nsid w:val="1AFE3625"/>
    <w:multiLevelType w:val="hybridMultilevel"/>
    <w:lvl w:ilvl="0">
      <w:lvlJc w:val="left"/>
      <w:lvlText w:val="•"/>
      <w:numFmt w:val="bullet"/>
      <w:start w:val="1"/>
    </w:lvl>
  </w:abstractNum>
  <w:abstractNum w:abstractNumId="24">
    <w:nsid w:val="3CA88ECF"/>
    <w:multiLevelType w:val="hybridMultilevel"/>
    <w:lvl w:ilvl="0">
      <w:lvlJc w:val="left"/>
      <w:lvlText w:val="•"/>
      <w:numFmt w:val="bullet"/>
      <w:start w:val="1"/>
    </w:lvl>
  </w:abstractNum>
  <w:abstractNum w:abstractNumId="25">
    <w:nsid w:val="6EBE4208"/>
    <w:multiLevelType w:val="hybridMultilevel"/>
    <w:lvl w:ilvl="0">
      <w:lvlJc w:val="left"/>
      <w:lvlText w:val="•"/>
      <w:numFmt w:val="bullet"/>
      <w:start w:val="1"/>
    </w:lvl>
  </w:abstractNum>
  <w:abstractNum w:abstractNumId="26">
    <w:nsid w:val="C058DF5"/>
    <w:multiLevelType w:val="hybridMultilevel"/>
    <w:lvl w:ilvl="0">
      <w:lvlJc w:val="left"/>
      <w:lvlText w:val="•"/>
      <w:numFmt w:val="bullet"/>
      <w:start w:val="1"/>
    </w:lvl>
  </w:abstractNum>
  <w:abstractNum w:abstractNumId="27">
    <w:nsid w:val="CBE5BE9"/>
    <w:multiLevelType w:val="hybridMultilevel"/>
    <w:lvl w:ilvl="0">
      <w:lvlJc w:val="left"/>
      <w:lvlText w:val="•"/>
      <w:numFmt w:val="bullet"/>
      <w:start w:val="1"/>
    </w:lvl>
  </w:abstractNum>
  <w:abstractNum w:abstractNumId="28">
    <w:nsid w:val="3102BBE2"/>
    <w:multiLevelType w:val="hybridMultilevel"/>
    <w:lvl w:ilvl="0">
      <w:lvlJc w:val="left"/>
      <w:lvlText w:val="•"/>
      <w:numFmt w:val="bullet"/>
      <w:start w:val="1"/>
    </w:lvl>
  </w:abstractNum>
  <w:abstractNum w:abstractNumId="29">
    <w:nsid w:val="26A02C5E"/>
    <w:multiLevelType w:val="hybridMultilevel"/>
    <w:lvl w:ilvl="0">
      <w:lvlJc w:val="left"/>
      <w:lvlText w:val="•"/>
      <w:numFmt w:val="bullet"/>
      <w:start w:val="1"/>
    </w:lvl>
  </w:abstractNum>
  <w:abstractNum w:abstractNumId="30">
    <w:nsid w:val="541C8153"/>
    <w:multiLevelType w:val="hybridMultilevel"/>
    <w:lvl w:ilvl="0">
      <w:lvlJc w:val="left"/>
      <w:lvlText w:val="•"/>
      <w:numFmt w:val="bullet"/>
      <w:start w:val="1"/>
    </w:lvl>
  </w:abstractNum>
  <w:abstractNum w:abstractNumId="31">
    <w:nsid w:val="67906F60"/>
    <w:multiLevelType w:val="hybridMultilevel"/>
    <w:lvl w:ilvl="0">
      <w:lvlJc w:val="left"/>
      <w:lvlText w:val="1"/>
      <w:numFmt w:val="bullet"/>
      <w:start w:val="1"/>
    </w:lvl>
  </w:abstractNum>
  <w:abstractNum w:abstractNumId="32">
    <w:nsid w:val="10DB9DAA"/>
    <w:multiLevelType w:val="hybridMultilevel"/>
    <w:lvl w:ilvl="0">
      <w:lvlJc w:val="left"/>
      <w:lvlText w:val="2"/>
      <w:numFmt w:val="bullet"/>
      <w:start w:val="1"/>
    </w:lvl>
  </w:abstractNum>
  <w:abstractNum w:abstractNumId="33">
    <w:nsid w:val="697D2D2"/>
    <w:multiLevelType w:val="hybridMultilevel"/>
    <w:lvl w:ilvl="0">
      <w:lvlJc w:val="left"/>
      <w:lvlText w:val="3"/>
      <w:numFmt w:val="bullet"/>
      <w:start w:val="1"/>
    </w:lvl>
  </w:abstractNum>
  <w:abstractNum w:abstractNumId="34">
    <w:nsid w:val="6D68AB2"/>
    <w:multiLevelType w:val="hybridMultilevel"/>
    <w:lvl w:ilvl="0">
      <w:lvlJc w:val="left"/>
      <w:lvlText w:val="4"/>
      <w:numFmt w:val="bullet"/>
      <w:start w:val="1"/>
    </w:lvl>
  </w:abstractNum>
  <w:abstractNum w:abstractNumId="35">
    <w:nsid w:val="3A966CD0"/>
    <w:multiLevelType w:val="hybridMultilevel"/>
    <w:lvl w:ilvl="0">
      <w:lvlJc w:val="left"/>
      <w:lvlText w:val="5"/>
      <w:numFmt w:val="bullet"/>
      <w:start w:val="1"/>
    </w:lvl>
  </w:abstractNum>
  <w:abstractNum w:abstractNumId="36">
    <w:nsid w:val="63F37E85"/>
    <w:multiLevelType w:val="hybridMultilevel"/>
    <w:lvl w:ilvl="0">
      <w:lvlJc w:val="left"/>
      <w:lvlText w:val="-"/>
      <w:numFmt w:val="bullet"/>
      <w:start w:val="1"/>
    </w:lvl>
    <w:lvl w:ilvl="1">
      <w:lvlJc w:val="left"/>
      <w:lvlText w:val="•"/>
      <w:numFmt w:val="bullet"/>
      <w:start w:val="1"/>
    </w:lvl>
  </w:abstractNum>
  <w:abstractNum w:abstractNumId="37">
    <w:nsid w:val="5895F5FA"/>
    <w:multiLevelType w:val="hybridMultilevel"/>
    <w:lvl w:ilvl="0">
      <w:lvlJc w:val="left"/>
      <w:lvlText w:val="6"/>
      <w:numFmt w:val="bullet"/>
      <w:start w:val="1"/>
    </w:lvl>
  </w:abstractNum>
  <w:abstractNum w:abstractNumId="38">
    <w:nsid w:val="38A5D054"/>
    <w:multiLevelType w:val="hybridMultilevel"/>
    <w:lvl w:ilvl="0">
      <w:lvlJc w:val="left"/>
      <w:lvlText w:val="7"/>
      <w:numFmt w:val="bullet"/>
      <w:start w:val="1"/>
    </w:lvl>
  </w:abstractNum>
  <w:abstractNum w:abstractNumId="39">
    <w:nsid w:val="F3F09D8"/>
    <w:multiLevelType w:val="hybridMultilevel"/>
    <w:lvl w:ilvl="0">
      <w:lvlJc w:val="left"/>
      <w:lvlText w:val="8"/>
      <w:numFmt w:val="bullet"/>
      <w:start w:val="1"/>
    </w:lvl>
  </w:abstractNum>
  <w:abstractNum w:abstractNumId="40">
    <w:nsid w:val="4B793735"/>
    <w:multiLevelType w:val="hybridMultilevel"/>
    <w:lvl w:ilvl="0">
      <w:lvlJc w:val="left"/>
      <w:lvlText w:val="9"/>
      <w:numFmt w:val="bullet"/>
      <w:start w:val="1"/>
    </w:lvl>
  </w:abstractNum>
  <w:abstractNum w:abstractNumId="41">
    <w:nsid w:val="4A10B4E8"/>
    <w:multiLevelType w:val="hybridMultilevel"/>
    <w:lvl w:ilvl="0">
      <w:lvlJc w:val="left"/>
      <w:lvlText w:val="•"/>
      <w:numFmt w:val="bullet"/>
      <w:start w:val="1"/>
    </w:lvl>
  </w:abstractNum>
  <w:abstractNum w:abstractNumId="42">
    <w:nsid w:val="43D3BCD4"/>
    <w:multiLevelType w:val="hybridMultilevel"/>
    <w:lvl w:ilvl="0">
      <w:lvlJc w:val="left"/>
      <w:lvlText w:val="%1"/>
      <w:numFmt w:val="decimal"/>
      <w:start w:val="10"/>
    </w:lvl>
  </w:abstractNum>
  <w:abstractNum w:abstractNumId="43">
    <w:nsid w:val="4C2A7166"/>
    <w:multiLevelType w:val="hybridMultilevel"/>
    <w:lvl w:ilvl="0">
      <w:lvlJc w:val="left"/>
      <w:lvlText w:val="%1"/>
      <w:numFmt w:val="decimal"/>
      <w:start w:val="11"/>
    </w:lvl>
  </w:abstractNum>
  <w:abstractNum w:abstractNumId="44">
    <w:nsid w:val="2E534A82"/>
    <w:multiLevelType w:val="hybridMultilevel"/>
    <w:lvl w:ilvl="0">
      <w:lvlJc w:val="left"/>
      <w:lvlText w:val="%1."/>
      <w:numFmt w:val="decimal"/>
      <w:start w:val="1"/>
    </w:lvl>
  </w:abstractNum>
  <w:abstractNum w:abstractNumId="45">
    <w:nsid w:val="26F2D364"/>
    <w:multiLevelType w:val="hybridMultilevel"/>
    <w:lvl w:ilvl="0">
      <w:lvlJc w:val="left"/>
      <w:lvlText w:val="•"/>
      <w:numFmt w:val="bullet"/>
      <w:start w:val="1"/>
    </w:lvl>
  </w:abstractNum>
  <w:abstractNum w:abstractNumId="46">
    <w:nsid w:val="71C1AF98"/>
    <w:multiLevelType w:val="hybridMultilevel"/>
    <w:lvl w:ilvl="0">
      <w:lvlJc w:val="left"/>
      <w:lvlText w:val="%1"/>
      <w:numFmt w:val="decimal"/>
      <w:start w:val="12"/>
    </w:lvl>
  </w:abstractNum>
  <w:abstractNum w:abstractNumId="47">
    <w:nsid w:val="3D00B9D9"/>
    <w:multiLevelType w:val="hybridMultilevel"/>
    <w:lvl w:ilvl="0">
      <w:lvlJc w:val="left"/>
      <w:lvlText w:val="•"/>
      <w:numFmt w:val="bullet"/>
      <w:start w:val="1"/>
    </w:lvl>
  </w:abstractNum>
  <w:abstractNum w:abstractNumId="48">
    <w:nsid w:val="15BCABA8"/>
    <w:multiLevelType w:val="hybridMultilevel"/>
    <w:lvl w:ilvl="0">
      <w:lvlJc w:val="left"/>
      <w:lvlText w:val="•"/>
      <w:numFmt w:val="bullet"/>
      <w:start w:val="1"/>
    </w:lvl>
  </w:abstractNum>
  <w:abstractNum w:abstractNumId="49">
    <w:nsid w:val="4E0B9A87"/>
    <w:multiLevelType w:val="hybridMultilevel"/>
    <w:lvl w:ilvl="0">
      <w:lvlJc w:val="left"/>
      <w:lvlText w:val="•"/>
      <w:numFmt w:val="bullet"/>
      <w:start w:val="1"/>
    </w:lvl>
  </w:abstractNum>
  <w:abstractNum w:abstractNumId="50">
    <w:nsid w:val="434BAE75"/>
    <w:multiLevelType w:val="hybridMultilevel"/>
    <w:lvl w:ilvl="0">
      <w:lvlJc w:val="left"/>
      <w:lvlText w:val="•"/>
      <w:numFmt w:val="bullet"/>
      <w:start w:val="1"/>
    </w:lvl>
  </w:abstractNum>
  <w:abstractNum w:abstractNumId="51">
    <w:nsid w:val="4F38F265"/>
    <w:multiLevelType w:val="hybridMultilevel"/>
    <w:lvl w:ilvl="0">
      <w:lvlJc w:val="left"/>
      <w:lvlText w:val="•"/>
      <w:numFmt w:val="bullet"/>
      <w:start w:val="1"/>
    </w:lvl>
  </w:abstractNum>
  <w:abstractNum w:abstractNumId="52">
    <w:nsid w:val="4C502870"/>
    <w:multiLevelType w:val="hybridMultilevel"/>
    <w:lvl w:ilvl="0">
      <w:lvlJc w:val="left"/>
      <w:lvlText w:val="%1."/>
      <w:numFmt w:val="upperLetter"/>
      <w:start w:val="9"/>
    </w:lvl>
  </w:abstractNum>
  <w:abstractNum w:abstractNumId="53">
    <w:nsid w:val="1DE8725A"/>
    <w:multiLevelType w:val="hybridMultilevel"/>
    <w:lvl w:ilvl="0">
      <w:lvlJc w:val="left"/>
      <w:lvlText w:val="%1."/>
      <w:numFmt w:val="upperLetter"/>
      <w:start w:val="35"/>
    </w:lvl>
  </w:abstractNum>
  <w:abstractNum w:abstractNumId="54">
    <w:nsid w:val="6A37288A"/>
    <w:multiLevelType w:val="hybridMultilevel"/>
    <w:lvl w:ilvl="0">
      <w:lvlJc w:val="left"/>
      <w:lvlText w:val="•"/>
      <w:numFmt w:val="bullet"/>
      <w:start w:val="1"/>
    </w:lvl>
  </w:abstractNum>
  <w:abstractNum w:abstractNumId="55">
    <w:nsid w:val="8F8B73F"/>
    <w:multiLevelType w:val="hybridMultilevel"/>
    <w:lvl w:ilvl="0">
      <w:lvlJc w:val="left"/>
      <w:lvlText w:val="%1"/>
      <w:numFmt w:val="decimal"/>
      <w:start w:val="14"/>
    </w:lvl>
  </w:abstractNum>
  <w:abstractNum w:abstractNumId="56">
    <w:nsid w:val="CA6B462"/>
    <w:multiLevelType w:val="hybridMultilevel"/>
    <w:lvl w:ilvl="0">
      <w:lvlJc w:val="left"/>
      <w:lvlText w:val="•"/>
      <w:numFmt w:val="bullet"/>
      <w:start w:val="1"/>
    </w:lvl>
  </w:abstractNum>
  <w:abstractNum w:abstractNumId="57">
    <w:nsid w:val="763CB680"/>
    <w:multiLevelType w:val="hybridMultilevel"/>
    <w:lvl w:ilvl="0">
      <w:lvlJc w:val="left"/>
      <w:lvlText w:val="%1"/>
      <w:numFmt w:val="decimal"/>
      <w:start w:val="16"/>
    </w:lvl>
  </w:abstractNum>
  <w:abstractNum w:abstractNumId="58">
    <w:nsid w:val="15B71329"/>
    <w:multiLevelType w:val="hybridMultilevel"/>
    <w:lvl w:ilvl="0">
      <w:lvlJc w:val="left"/>
      <w:lvlText w:val="%1"/>
      <w:numFmt w:val="decimal"/>
      <w:start w:val="18"/>
    </w:lvl>
  </w:abstractNum>
  <w:abstractNum w:abstractNumId="59">
    <w:nsid w:val="3DA97044"/>
    <w:multiLevelType w:val="hybridMultilevel"/>
    <w:lvl w:ilvl="0">
      <w:lvlJc w:val="left"/>
      <w:lvlText w:val="•"/>
      <w:numFmt w:val="bullet"/>
      <w:start w:val="1"/>
    </w:lvl>
  </w:abstractNum>
  <w:abstractNum w:abstractNumId="60">
    <w:nsid w:val="1CDCE2DE"/>
    <w:multiLevelType w:val="hybridMultilevel"/>
    <w:lvl w:ilvl="0">
      <w:lvlJc w:val="left"/>
      <w:lvlText w:val="%1"/>
      <w:numFmt w:val="decimal"/>
      <w:start w:val="19"/>
    </w:lvl>
  </w:abstractNum>
  <w:abstractNum w:abstractNumId="61">
    <w:nsid w:val="69D3947C"/>
    <w:multiLevelType w:val="hybridMultilevel"/>
    <w:lvl w:ilvl="0">
      <w:lvlJc w:val="left"/>
      <w:lvlText w:val="•"/>
      <w:numFmt w:val="bullet"/>
      <w:start w:val="1"/>
    </w:lvl>
  </w:abstractNum>
  <w:abstractNum w:abstractNumId="62">
    <w:nsid w:val="2539DFA5"/>
    <w:multiLevelType w:val="hybridMultilevel"/>
    <w:lvl w:ilvl="0">
      <w:lvlJc w:val="left"/>
      <w:lvlText w:val="%1"/>
      <w:numFmt w:val="decimal"/>
      <w:start w:val="21"/>
    </w:lvl>
  </w:abstractNum>
  <w:abstractNum w:abstractNumId="63">
    <w:nsid w:val="2DB88089"/>
    <w:multiLevelType w:val="hybridMultilevel"/>
    <w:lvl w:ilvl="0">
      <w:lvlJc w:val="left"/>
      <w:lvlText w:val="•"/>
      <w:numFmt w:val="bullet"/>
      <w:start w:val="1"/>
    </w:lvl>
  </w:abstractNum>
  <w:abstractNum w:abstractNumId="64">
    <w:nsid w:val="706B674E"/>
    <w:multiLevelType w:val="hybridMultilevel"/>
    <w:lvl w:ilvl="0">
      <w:lvlJc w:val="left"/>
      <w:lvlText w:val="%1"/>
      <w:numFmt w:val="decimal"/>
      <w:start w:val="23"/>
    </w:lvl>
  </w:abstractNum>
  <w:abstractNum w:abstractNumId="65">
    <w:nsid w:val="2C106A57"/>
    <w:multiLevelType w:val="hybridMultilevel"/>
    <w:lvl w:ilvl="0">
      <w:lvlJc w:val="left"/>
      <w:lvlText w:val="%1"/>
      <w:numFmt w:val="decimal"/>
      <w:start w:val="24"/>
    </w:lvl>
  </w:abstractNum>
  <w:abstractNum w:abstractNumId="66">
    <w:nsid w:val="684EED59"/>
    <w:multiLevelType w:val="hybridMultilevel"/>
    <w:lvl w:ilvl="0">
      <w:lvlJc w:val="left"/>
      <w:lvlText w:val="%1"/>
      <w:numFmt w:val="decimal"/>
      <w:start w:val="27"/>
    </w:lvl>
  </w:abstractNum>
  <w:abstractNum w:abstractNumId="67">
    <w:nsid w:val="545EE5D3"/>
    <w:multiLevelType w:val="hybridMultilevel"/>
    <w:lvl w:ilvl="0">
      <w:lvlJc w:val="left"/>
      <w:lvlText w:val="%1"/>
      <w:numFmt w:val="decimal"/>
      <w:start w:val="28"/>
    </w:lvl>
  </w:abstractNum>
  <w:abstractNum w:abstractNumId="68">
    <w:nsid w:val="4A66051"/>
    <w:multiLevelType w:val="hybridMultilevel"/>
    <w:lvl w:ilvl="0">
      <w:lvlJc w:val="left"/>
      <w:lvlText w:val="•"/>
      <w:numFmt w:val="bullet"/>
      <w:start w:val="1"/>
    </w:lvl>
  </w:abstractNum>
  <w:abstractNum w:abstractNumId="69">
    <w:nsid w:val="20F4BDAD"/>
    <w:multiLevelType w:val="hybridMultilevel"/>
    <w:lvl w:ilvl="0">
      <w:lvlJc w:val="left"/>
      <w:lvlText w:val="•"/>
      <w:numFmt w:val="bullet"/>
      <w:start w:val="1"/>
    </w:lvl>
  </w:abstractNum>
  <w:abstractNum w:abstractNumId="70">
    <w:nsid w:val="639DEFAC"/>
    <w:multiLevelType w:val="hybridMultilevel"/>
    <w:lvl w:ilvl="0">
      <w:lvlJc w:val="left"/>
      <w:lvlText w:val="%1"/>
      <w:numFmt w:val="decimal"/>
      <w:start w:val="31"/>
    </w:lvl>
  </w:abstractNum>
  <w:abstractNum w:abstractNumId="71">
    <w:nsid w:val="501F9786"/>
    <w:multiLevelType w:val="hybridMultilevel"/>
    <w:lvl w:ilvl="0">
      <w:lvlJc w:val="left"/>
      <w:lvlText w:val="%1"/>
      <w:numFmt w:val="decimal"/>
      <w:start w:val="32"/>
    </w:lvl>
  </w:abstractNum>
  <w:abstractNum w:abstractNumId="72">
    <w:nsid w:val="6B057295"/>
    <w:multiLevelType w:val="hybridMultilevel"/>
    <w:lvl w:ilvl="0">
      <w:lvlJc w:val="left"/>
      <w:lvlText w:val="•"/>
      <w:numFmt w:val="bullet"/>
      <w:start w:val="1"/>
    </w:lvl>
  </w:abstractNum>
  <w:abstractNum w:abstractNumId="73">
    <w:nsid w:val="2771AC80"/>
    <w:multiLevelType w:val="hybridMultilevel"/>
    <w:lvl w:ilvl="0">
      <w:lvlJc w:val="left"/>
      <w:lvlText w:val="%1"/>
      <w:numFmt w:val="decimal"/>
      <w:start w:val="34"/>
    </w:lvl>
  </w:abstractNum>
  <w:abstractNum w:abstractNumId="74">
    <w:nsid w:val="1C4A08EC"/>
    <w:multiLevelType w:val="hybridMultilevel"/>
    <w:lvl w:ilvl="0">
      <w:lvlJc w:val="left"/>
      <w:lvlText w:val="%1"/>
      <w:numFmt w:val="decimal"/>
      <w:start w:val="35"/>
    </w:lvl>
  </w:abstractNum>
  <w:abstractNum w:abstractNumId="75">
    <w:nsid w:val="1958BD17"/>
    <w:multiLevelType w:val="hybridMultilevel"/>
    <w:lvl w:ilvl="0">
      <w:lvlJc w:val="left"/>
      <w:lvlText w:val="•"/>
      <w:numFmt w:val="bullet"/>
      <w:start w:val="1"/>
    </w:lvl>
  </w:abstractNum>
  <w:abstractNum w:abstractNumId="76">
    <w:nsid w:val="4E647FE4"/>
    <w:multiLevelType w:val="hybridMultilevel"/>
    <w:lvl w:ilvl="0">
      <w:lvlJc w:val="left"/>
      <w:lvlText w:val="%1"/>
      <w:numFmt w:val="decimal"/>
      <w:start w:val="36"/>
    </w:lvl>
  </w:abstractNum>
  <w:abstractNum w:abstractNumId="77">
    <w:nsid w:val="E0BB885"/>
    <w:multiLevelType w:val="hybridMultilevel"/>
    <w:lvl w:ilvl="0">
      <w:lvlJc w:val="left"/>
      <w:lvlText w:val="%1"/>
      <w:numFmt w:val="decimal"/>
      <w:start w:val="37"/>
    </w:lvl>
  </w:abstractNum>
  <w:abstractNum w:abstractNumId="78">
    <w:nsid w:val="565976F1"/>
    <w:multiLevelType w:val="hybridMultilevel"/>
    <w:lvl w:ilvl="0">
      <w:lvlJc w:val="left"/>
      <w:lvlText w:val="•"/>
      <w:numFmt w:val="bullet"/>
      <w:start w:val="1"/>
    </w:lvl>
  </w:abstractNum>
  <w:abstractNum w:abstractNumId="79">
    <w:nsid w:val="64212B8C"/>
    <w:multiLevelType w:val="hybridMultilevel"/>
    <w:lvl w:ilvl="0">
      <w:lvlJc w:val="left"/>
      <w:lvlText w:val="•"/>
      <w:numFmt w:val="bullet"/>
      <w:start w:val="1"/>
    </w:lvl>
  </w:abstractNum>
  <w:abstractNum w:abstractNumId="80">
    <w:nsid w:val="5C17530C"/>
    <w:multiLevelType w:val="hybridMultilevel"/>
    <w:lvl w:ilvl="0">
      <w:lvlJc w:val="left"/>
      <w:lvlText w:val="•"/>
      <w:numFmt w:val="bullet"/>
      <w:start w:val="1"/>
    </w:lvl>
  </w:abstractNum>
  <w:abstractNum w:abstractNumId="81">
    <w:nsid w:val="19A52566"/>
    <w:multiLevelType w:val="hybridMultilevel"/>
    <w:lvl w:ilvl="0">
      <w:lvlJc w:val="left"/>
      <w:lvlText w:val="%1"/>
      <w:numFmt w:val="decimal"/>
      <w:start w:val="38"/>
    </w:lvl>
  </w:abstractNum>
  <w:abstractNum w:abstractNumId="82">
    <w:nsid w:val="335A1DF1"/>
    <w:multiLevelType w:val="hybridMultilevel"/>
    <w:lvl w:ilvl="0">
      <w:lvlJc w:val="left"/>
      <w:lvlText w:val="%1"/>
      <w:numFmt w:val="decimal"/>
      <w:start w:val="39"/>
    </w:lvl>
  </w:abstractNum>
  <w:abstractNum w:abstractNumId="83">
    <w:nsid w:val="28677B7C"/>
    <w:multiLevelType w:val="hybridMultilevel"/>
    <w:lvl w:ilvl="0">
      <w:lvlJc w:val="left"/>
      <w:lvlText w:val="•"/>
      <w:numFmt w:val="bullet"/>
      <w:start w:val="1"/>
    </w:lvl>
  </w:abstractNum>
  <w:abstractNum w:abstractNumId="84">
    <w:nsid w:val="378D97C0"/>
    <w:multiLevelType w:val="hybridMultilevel"/>
    <w:lvl w:ilvl="0">
      <w:lvlJc w:val="left"/>
      <w:lvlText w:val="%1"/>
      <w:numFmt w:val="decimal"/>
      <w:start w:val="40"/>
    </w:lvl>
  </w:abstractNum>
  <w:abstractNum w:abstractNumId="85">
    <w:nsid w:val="1D91467C"/>
    <w:multiLevelType w:val="hybridMultilevel"/>
    <w:lvl w:ilvl="0">
      <w:lvlJc w:val="left"/>
      <w:lvlText w:val="•"/>
      <w:numFmt w:val="bullet"/>
      <w:start w:val="1"/>
    </w:lvl>
  </w:abstractNum>
  <w:abstractNum w:abstractNumId="86">
    <w:nsid w:val="316032BB"/>
    <w:multiLevelType w:val="hybridMultilevel"/>
    <w:lvl w:ilvl="0">
      <w:lvlJc w:val="left"/>
      <w:lvlText w:val="•"/>
      <w:numFmt w:val="bullet"/>
      <w:start w:val="1"/>
    </w:lvl>
  </w:abstractNum>
  <w:abstractNum w:abstractNumId="87">
    <w:nsid w:val="44344C22"/>
    <w:multiLevelType w:val="hybridMultilevel"/>
    <w:lvl w:ilvl="0">
      <w:lvlJc w:val="left"/>
      <w:lvlText w:val="•"/>
      <w:numFmt w:val="bullet"/>
      <w:start w:val="1"/>
    </w:lvl>
  </w:abstractNum>
  <w:abstractNum w:abstractNumId="88">
    <w:nsid w:val="13CDFCFC"/>
    <w:multiLevelType w:val="hybridMultilevel"/>
    <w:lvl w:ilvl="0">
      <w:lvlJc w:val="left"/>
      <w:lvlText w:val="•"/>
      <w:numFmt w:val="bullet"/>
      <w:start w:val="1"/>
    </w:lvl>
  </w:abstractNum>
  <w:abstractNum w:abstractNumId="89">
    <w:nsid w:val="471745E4"/>
    <w:multiLevelType w:val="hybridMultilevel"/>
    <w:lvl w:ilvl="0">
      <w:lvlJc w:val="left"/>
      <w:lvlText w:val="•"/>
      <w:numFmt w:val="bullet"/>
      <w:start w:val="1"/>
    </w:lvl>
  </w:abstractNum>
  <w:abstractNum w:abstractNumId="90">
    <w:nsid w:val="1DDBC66"/>
    <w:multiLevelType w:val="hybridMultilevel"/>
    <w:lvl w:ilvl="0">
      <w:lvlJc w:val="left"/>
      <w:lvlText w:val="•"/>
      <w:numFmt w:val="bullet"/>
      <w:start w:val="1"/>
    </w:lvl>
    <w:lvl w:ilvl="1">
      <w:lvlJc w:val="left"/>
      <w:lvlText w:val="◦"/>
      <w:numFmt w:val="bullet"/>
      <w:start w:val="1"/>
    </w:lvl>
  </w:abstractNum>
  <w:abstractNum w:abstractNumId="91">
    <w:nsid w:val="30AADFDA"/>
    <w:multiLevelType w:val="hybridMultilevel"/>
    <w:lvl w:ilvl="0">
      <w:lvlJc w:val="left"/>
      <w:lvlText w:val="◦"/>
      <w:numFmt w:val="bullet"/>
      <w:start w:val="1"/>
    </w:lvl>
  </w:abstractNum>
  <w:abstractNum w:abstractNumId="92">
    <w:nsid w:val="30EADA61"/>
    <w:multiLevelType w:val="hybridMultilevel"/>
    <w:lvl w:ilvl="0">
      <w:lvlJc w:val="left"/>
      <w:lvlText w:val="•"/>
      <w:numFmt w:val="bullet"/>
      <w:start w:val="1"/>
    </w:lvl>
  </w:abstractNum>
  <w:abstractNum w:abstractNumId="93">
    <w:nsid w:val="27179C0B"/>
    <w:multiLevelType w:val="hybridMultilevel"/>
    <w:lvl w:ilvl="0">
      <w:lvlJc w:val="left"/>
      <w:lvlText w:val="•"/>
      <w:numFmt w:val="bullet"/>
      <w:start w:val="1"/>
    </w:lvl>
  </w:abstractNum>
  <w:abstractNum w:abstractNumId="94">
    <w:nsid w:val="5E636063"/>
    <w:multiLevelType w:val="hybridMultilevel"/>
    <w:lvl w:ilvl="0">
      <w:lvlJc w:val="left"/>
      <w:lvlText w:val="•"/>
      <w:numFmt w:val="bullet"/>
      <w:start w:val="1"/>
    </w:lvl>
  </w:abstractNum>
  <w:abstractNum w:abstractNumId="95">
    <w:nsid w:val="215641AF"/>
    <w:multiLevelType w:val="hybridMultilevel"/>
    <w:lvl w:ilvl="0">
      <w:lvlJc w:val="left"/>
      <w:lvlText w:val="%1"/>
      <w:numFmt w:val="upperLetter"/>
      <w:start w:val="61"/>
    </w:lvl>
  </w:abstractNum>
  <w:abstractNum w:abstractNumId="96">
    <w:nsid w:val="53280662"/>
    <w:multiLevelType w:val="hybridMultilevel"/>
    <w:lvl w:ilvl="0">
      <w:lvlJc w:val="left"/>
      <w:lvlText w:val="•"/>
      <w:numFmt w:val="bullet"/>
      <w:start w:val="1"/>
    </w:lvl>
  </w:abstractNum>
  <w:abstractNum w:abstractNumId="97">
    <w:nsid w:val="46B24DBC"/>
    <w:multiLevelType w:val="hybridMultilevel"/>
    <w:lvl w:ilvl="0">
      <w:lvlJc w:val="left"/>
      <w:lvlText w:val="•"/>
      <w:numFmt w:val="bullet"/>
      <w:start w:val="1"/>
    </w:lvl>
  </w:abstractNum>
  <w:abstractNum w:abstractNumId="98">
    <w:nsid w:val="75B52783"/>
    <w:multiLevelType w:val="hybridMultilevel"/>
    <w:lvl w:ilvl="0">
      <w:lvlJc w:val="left"/>
      <w:lvlText w:val="(%1)"/>
      <w:numFmt w:val="decimal"/>
      <w:start w:val="2"/>
    </w:lvl>
  </w:abstractNum>
  <w:abstractNum w:abstractNumId="99">
    <w:nsid w:val="57CE66B4"/>
    <w:multiLevelType w:val="hybridMultilevel"/>
    <w:lvl w:ilvl="0">
      <w:lvlJc w:val="left"/>
      <w:lvlText w:val="•"/>
      <w:numFmt w:val="bullet"/>
      <w:start w:val="1"/>
    </w:lvl>
  </w:abstractNum>
  <w:abstractNum w:abstractNumId="100">
    <w:nsid w:val="67A70B69"/>
    <w:multiLevelType w:val="hybridMultilevel"/>
    <w:lvl w:ilvl="0">
      <w:lvlJc w:val="left"/>
      <w:lvlText w:val="•"/>
      <w:numFmt w:val="bullet"/>
      <w:start w:val="1"/>
    </w:lvl>
  </w:abstractNum>
  <w:abstractNum w:abstractNumId="101">
    <w:nsid w:val="5953172F"/>
    <w:multiLevelType w:val="hybridMultilevel"/>
    <w:lvl w:ilvl="0">
      <w:lvlJc w:val="left"/>
      <w:lvlText w:val="•"/>
      <w:numFmt w:val="bullet"/>
      <w:start w:val="1"/>
    </w:lvl>
  </w:abstractNum>
  <w:abstractNum w:abstractNumId="102">
    <w:nsid w:val="27EDFE3A"/>
    <w:multiLevelType w:val="hybridMultilevel"/>
    <w:lvl w:ilvl="0">
      <w:lvlJc w:val="left"/>
      <w:lvlText w:val="•"/>
      <w:numFmt w:val="bullet"/>
      <w:start w:val="1"/>
    </w:lvl>
  </w:abstractNum>
  <w:abstractNum w:abstractNumId="103">
    <w:nsid w:val="52AC7DFF"/>
    <w:multiLevelType w:val="hybridMultilevel"/>
    <w:lvl w:ilvl="0">
      <w:lvlJc w:val="left"/>
      <w:lvlText w:val="•"/>
      <w:numFmt w:val="bullet"/>
      <w:start w:val="1"/>
    </w:lvl>
  </w:abstractNum>
  <w:abstractNum w:abstractNumId="104">
    <w:nsid w:val="C4C3AF"/>
    <w:multiLevelType w:val="hybridMultilevel"/>
    <w:lvl w:ilvl="0">
      <w:lvlJc w:val="left"/>
      <w:lvlText w:val="•"/>
      <w:numFmt w:val="bullet"/>
      <w:start w:val="1"/>
    </w:lvl>
  </w:abstractNum>
  <w:abstractNum w:abstractNumId="105">
    <w:nsid w:val="44380727"/>
    <w:multiLevelType w:val="hybridMultilevel"/>
    <w:lvl w:ilvl="0">
      <w:lvlJc w:val="left"/>
      <w:lvlText w:val="•"/>
      <w:numFmt w:val="bullet"/>
      <w:start w:val="1"/>
    </w:lvl>
  </w:abstractNum>
  <w:abstractNum w:abstractNumId="106">
    <w:nsid w:val="6C053B16"/>
    <w:multiLevelType w:val="hybridMultilevel"/>
    <w:lvl w:ilvl="0">
      <w:lvlJc w:val="left"/>
      <w:lvlText w:val="•"/>
      <w:numFmt w:val="bullet"/>
      <w:start w:val="1"/>
    </w:lvl>
  </w:abstractNum>
  <w:abstractNum w:abstractNumId="107">
    <w:nsid w:val="4F294393"/>
    <w:multiLevelType w:val="hybridMultilevel"/>
    <w:lvl w:ilvl="0">
      <w:lvlJc w:val="left"/>
      <w:lvlText w:val="•"/>
      <w:numFmt w:val="bullet"/>
      <w:start w:val="1"/>
    </w:lvl>
  </w:abstractNum>
  <w:abstractNum w:abstractNumId="108">
    <w:nsid w:val="5243BFAC"/>
    <w:multiLevelType w:val="hybridMultilevel"/>
    <w:lvl w:ilvl="0">
      <w:lvlJc w:val="left"/>
      <w:lvlText w:val="•"/>
      <w:numFmt w:val="bullet"/>
      <w:start w:val="1"/>
    </w:lvl>
  </w:abstractNum>
  <w:abstractNum w:abstractNumId="109">
    <w:nsid w:val="425EB207"/>
    <w:multiLevelType w:val="hybridMultilevel"/>
    <w:lvl w:ilvl="0">
      <w:lvlJc w:val="left"/>
      <w:lvlText w:val="•"/>
      <w:numFmt w:val="bullet"/>
      <w:start w:val="1"/>
    </w:lvl>
  </w:abstractNum>
  <w:abstractNum w:abstractNumId="110">
    <w:nsid w:val="334A6F1F"/>
    <w:multiLevelType w:val="hybridMultilevel"/>
    <w:lvl w:ilvl="0">
      <w:lvlJc w:val="left"/>
      <w:lvlText w:val="•"/>
      <w:numFmt w:val="bullet"/>
      <w:start w:val="1"/>
    </w:lvl>
  </w:abstractNum>
  <w:abstractNum w:abstractNumId="111">
    <w:nsid w:val="2E5B12B8"/>
    <w:multiLevelType w:val="hybridMultilevel"/>
    <w:lvl w:ilvl="0">
      <w:lvlJc w:val="left"/>
      <w:lvlText w:val="•"/>
      <w:numFmt w:val="bullet"/>
      <w:start w:val="1"/>
    </w:lvl>
  </w:abstractNum>
  <w:abstractNum w:abstractNumId="112">
    <w:nsid w:val="5C03D76D"/>
    <w:multiLevelType w:val="hybridMultilevel"/>
    <w:lvl w:ilvl="0">
      <w:lvlJc w:val="left"/>
      <w:lvlText w:val="•"/>
      <w:numFmt w:val="bullet"/>
      <w:start w:val="1"/>
    </w:lvl>
  </w:abstractNum>
  <w:abstractNum w:abstractNumId="113">
    <w:nsid w:val="66A48D11"/>
    <w:multiLevelType w:val="hybridMultilevel"/>
    <w:lvl w:ilvl="0">
      <w:lvlJc w:val="left"/>
      <w:lvlText w:val="•"/>
      <w:numFmt w:val="bullet"/>
      <w:start w:val="1"/>
    </w:lvl>
  </w:abstractNum>
  <w:abstractNum w:abstractNumId="114">
    <w:nsid w:val="56C28E34"/>
    <w:multiLevelType w:val="hybridMultilevel"/>
    <w:lvl w:ilvl="0">
      <w:lvlJc w:val="left"/>
      <w:lvlText w:val="•"/>
      <w:numFmt w:val="bullet"/>
      <w:start w:val="1"/>
    </w:lvl>
  </w:abstractNum>
  <w:abstractNum w:abstractNumId="115">
    <w:nsid w:val="13916F2D"/>
    <w:multiLevelType w:val="hybridMultilevel"/>
    <w:lvl w:ilvl="0">
      <w:lvlJc w:val="left"/>
      <w:lvlText w:val="•"/>
      <w:numFmt w:val="bullet"/>
      <w:start w:val="1"/>
    </w:lvl>
  </w:abstractNum>
  <w:abstractNum w:abstractNumId="116">
    <w:nsid w:val="435D38D"/>
    <w:multiLevelType w:val="hybridMultilevel"/>
    <w:lvl w:ilvl="0">
      <w:lvlJc w:val="left"/>
      <w:lvlText w:val="•"/>
      <w:numFmt w:val="bullet"/>
      <w:start w:val="1"/>
    </w:lvl>
  </w:abstractNum>
  <w:abstractNum w:abstractNumId="117">
    <w:nsid w:val="822C0EF"/>
    <w:multiLevelType w:val="hybridMultilevel"/>
    <w:lvl w:ilvl="0">
      <w:lvlJc w:val="left"/>
      <w:lvlText w:val="•"/>
      <w:numFmt w:val="bullet"/>
      <w:start w:val="1"/>
    </w:lvl>
    <w:lvl w:ilvl="1">
      <w:lvlJc w:val="left"/>
      <w:lvlText w:val="•"/>
      <w:numFmt w:val="bullet"/>
      <w:start w:val="1"/>
    </w:lvl>
  </w:abstractNum>
  <w:abstractNum w:abstractNumId="118">
    <w:nsid w:val="57C5BB4F"/>
    <w:multiLevelType w:val="hybridMultilevel"/>
    <w:lvl w:ilvl="0">
      <w:lvlJc w:val="left"/>
      <w:lvlText w:val="•"/>
      <w:numFmt w:val="bullet"/>
      <w:start w:val="1"/>
    </w:lvl>
  </w:abstractNum>
  <w:abstractNum w:abstractNumId="119">
    <w:nsid w:val="1803D089"/>
    <w:multiLevelType w:val="hybridMultilevel"/>
    <w:lvl w:ilvl="0">
      <w:lvlJc w:val="left"/>
      <w:lvlText w:val="•"/>
      <w:numFmt w:val="bullet"/>
      <w:start w:val="1"/>
    </w:lvl>
  </w:abstractNum>
  <w:abstractNum w:abstractNumId="120">
    <w:nsid w:val="4F3A06D4"/>
    <w:multiLevelType w:val="hybridMultilevel"/>
    <w:lvl w:ilvl="0">
      <w:lvlJc w:val="left"/>
      <w:lvlText w:val="•"/>
      <w:numFmt w:val="bullet"/>
      <w:start w:val="1"/>
    </w:lvl>
  </w:abstractNum>
  <w:abstractNum w:abstractNumId="121">
    <w:nsid w:val="59A377B6"/>
    <w:multiLevelType w:val="hybridMultilevel"/>
    <w:lvl w:ilvl="0">
      <w:lvlJc w:val="left"/>
      <w:lvlText w:val="•"/>
      <w:numFmt w:val="bullet"/>
      <w:start w:val="1"/>
    </w:lvl>
  </w:abstractNum>
  <w:abstractNum w:abstractNumId="122">
    <w:nsid w:val="48AEB063"/>
    <w:multiLevelType w:val="hybridMultilevel"/>
    <w:lvl w:ilvl="0">
      <w:lvlJc w:val="left"/>
      <w:lvlText w:val="•"/>
      <w:numFmt w:val="bullet"/>
      <w:start w:val="1"/>
    </w:lvl>
  </w:abstractNum>
  <w:abstractNum w:abstractNumId="123">
    <w:nsid w:val="24E135"/>
    <w:multiLevelType w:val="hybridMultilevel"/>
    <w:lvl w:ilvl="0">
      <w:lvlJc w:val="left"/>
      <w:lvlText w:val="•"/>
      <w:numFmt w:val="bullet"/>
      <w:start w:val="1"/>
    </w:lvl>
  </w:abstractNum>
  <w:abstractNum w:abstractNumId="124">
    <w:nsid w:val="BB13C1"/>
    <w:multiLevelType w:val="hybridMultilevel"/>
    <w:lvl w:ilvl="0">
      <w:lvlJc w:val="left"/>
      <w:lvlText w:val="•"/>
      <w:numFmt w:val="bullet"/>
      <w:start w:val="1"/>
    </w:lvl>
  </w:abstractNum>
  <w:abstractNum w:abstractNumId="125">
    <w:nsid w:val="271210C7"/>
    <w:multiLevelType w:val="hybridMultilevel"/>
    <w:lvl w:ilvl="0">
      <w:lvlJc w:val="left"/>
      <w:lvlText w:val="•"/>
      <w:numFmt w:val="bullet"/>
      <w:start w:val="1"/>
    </w:lvl>
  </w:abstractNum>
  <w:abstractNum w:abstractNumId="126">
    <w:nsid w:val="217B22E4"/>
    <w:multiLevelType w:val="hybridMultilevel"/>
    <w:lvl w:ilvl="0">
      <w:lvlJc w:val="left"/>
      <w:lvlText w:val="•"/>
      <w:numFmt w:val="bullet"/>
      <w:start w:val="1"/>
    </w:lvl>
  </w:abstractNum>
  <w:abstractNum w:abstractNumId="127">
    <w:nsid w:val="53E31A24"/>
    <w:multiLevelType w:val="hybridMultilevel"/>
    <w:lvl w:ilvl="0">
      <w:lvlJc w:val="left"/>
      <w:lvlText w:val="•"/>
      <w:numFmt w:val="bullet"/>
      <w:start w:val="1"/>
    </w:lvl>
  </w:abstractNum>
  <w:abstractNum w:abstractNumId="128">
    <w:nsid w:val="6DC45E83"/>
    <w:multiLevelType w:val="hybridMultilevel"/>
    <w:lvl w:ilvl="0">
      <w:lvlJc w:val="left"/>
      <w:lvlText w:val="%1."/>
      <w:numFmt w:val="decimal"/>
      <w:start w:val="1"/>
    </w:lvl>
  </w:abstractNum>
  <w:abstractNum w:abstractNumId="129">
    <w:nsid w:val="17304A67"/>
    <w:multiLevelType w:val="hybridMultilevel"/>
    <w:lvl w:ilvl="0">
      <w:lvlJc w:val="left"/>
      <w:lvlText w:val="•"/>
      <w:numFmt w:val="bullet"/>
      <w:start w:val="1"/>
    </w:lvl>
  </w:abstractNum>
  <w:abstractNum w:abstractNumId="130">
    <w:nsid w:val="2BB180D8"/>
    <w:multiLevelType w:val="hybridMultilevel"/>
    <w:lvl w:ilvl="0">
      <w:lvlJc w:val="left"/>
      <w:lvlText w:val="•"/>
      <w:numFmt w:val="bullet"/>
      <w:start w:val="1"/>
    </w:lvl>
  </w:abstractNum>
  <w:abstractNum w:abstractNumId="131">
    <w:nsid w:val="556B69ED"/>
    <w:multiLevelType w:val="hybridMultilevel"/>
    <w:lvl w:ilvl="0">
      <w:lvlJc w:val="left"/>
      <w:lvlText w:val="•"/>
      <w:numFmt w:val="bullet"/>
      <w:start w:val="1"/>
    </w:lvl>
  </w:abstractNum>
  <w:abstractNum w:abstractNumId="132">
    <w:nsid w:val="70836196"/>
    <w:multiLevelType w:val="hybridMultilevel"/>
    <w:lvl w:ilvl="0">
      <w:lvlJc w:val="left"/>
      <w:lvlText w:val="•"/>
      <w:numFmt w:val="bullet"/>
      <w:start w:val="1"/>
    </w:lvl>
  </w:abstractNum>
  <w:abstractNum w:abstractNumId="133">
    <w:nsid w:val="539F7F12"/>
    <w:multiLevelType w:val="hybridMultilevel"/>
    <w:lvl w:ilvl="0">
      <w:lvlJc w:val="left"/>
      <w:lvlText w:val="(%1)"/>
      <w:numFmt w:val="lowerRoman"/>
      <w:start w:val="2"/>
    </w:lvl>
  </w:abstractNum>
  <w:abstractNum w:abstractNumId="134">
    <w:nsid w:val="2817E7EC"/>
    <w:multiLevelType w:val="hybridMultilevel"/>
    <w:lvl w:ilvl="0">
      <w:lvlJc w:val="left"/>
      <w:lvlText w:val="(%1)"/>
      <w:numFmt w:val="lowerRoman"/>
      <w:start w:val="2"/>
    </w:lvl>
  </w:abstractNum>
  <w:abstractNum w:abstractNumId="135">
    <w:nsid w:val="71482545"/>
    <w:multiLevelType w:val="hybridMultilevel"/>
    <w:lvl w:ilvl="0">
      <w:lvlJc w:val="left"/>
      <w:lvlText w:val="•"/>
      <w:numFmt w:val="bullet"/>
      <w:start w:val="1"/>
    </w:lvl>
  </w:abstractNum>
  <w:abstractNum w:abstractNumId="136">
    <w:nsid w:val="17D78639"/>
    <w:multiLevelType w:val="hybridMultilevel"/>
    <w:lvl w:ilvl="0">
      <w:lvlJc w:val="left"/>
      <w:lvlText w:val="•"/>
      <w:numFmt w:val="bullet"/>
      <w:start w:val="1"/>
    </w:lvl>
  </w:abstractNum>
  <w:abstractNum w:abstractNumId="137">
    <w:nsid w:val="141D2302"/>
    <w:multiLevelType w:val="hybridMultilevel"/>
    <w:lvl w:ilvl="0">
      <w:lvlJc w:val="left"/>
      <w:lvlText w:val="•"/>
      <w:numFmt w:val="bullet"/>
      <w:start w:val="1"/>
    </w:lvl>
  </w:abstractNum>
  <w:abstractNum w:abstractNumId="138">
    <w:nsid w:val="407168D8"/>
    <w:multiLevelType w:val="hybridMultilevel"/>
    <w:lvl w:ilvl="0">
      <w:lvlJc w:val="left"/>
      <w:lvlText w:val="(%1)"/>
      <w:numFmt w:val="lowerLetter"/>
      <w:start w:val="1"/>
    </w:lvl>
    <w:lvl w:ilvl="1">
      <w:lvlJc w:val="left"/>
      <w:lvlText w:val="(%2)"/>
      <w:numFmt w:val="decimal"/>
      <w:start w:val="1"/>
    </w:lvl>
  </w:abstractNum>
  <w:abstractNum w:abstractNumId="139">
    <w:nsid w:val="6A1B45E5"/>
    <w:multiLevelType w:val="hybridMultilevel"/>
    <w:lvl w:ilvl="0">
      <w:lvlJc w:val="left"/>
      <w:lvlText w:val="+"/>
      <w:numFmt w:val="bullet"/>
      <w:start w:val="1"/>
    </w:lvl>
  </w:abstractNum>
  <w:abstractNum w:abstractNumId="140">
    <w:nsid w:val="567BD50A"/>
    <w:multiLevelType w:val="hybridMultilevel"/>
    <w:lvl w:ilvl="0">
      <w:lvlJc w:val="left"/>
      <w:lvlText w:val="#"/>
      <w:numFmt w:val="bullet"/>
      <w:start w:val="1"/>
    </w:lvl>
  </w:abstractNum>
  <w:abstractNum w:abstractNumId="141">
    <w:nsid w:val="73BBD7F8"/>
    <w:multiLevelType w:val="hybridMultilevel"/>
    <w:lvl w:ilvl="0">
      <w:lvlJc w:val="left"/>
      <w:lvlText w:val="^"/>
      <w:numFmt w:val="bullet"/>
      <w:start w:val="1"/>
    </w:lvl>
  </w:abstractNum>
  <w:abstractNum w:abstractNumId="142">
    <w:nsid w:val="1876589D"/>
    <w:multiLevelType w:val="hybridMultilevel"/>
    <w:lvl w:ilvl="0">
      <w:lvlJc w:val="left"/>
      <w:lvlText w:val="*"/>
      <w:numFmt w:val="bullet"/>
      <w:start w:val="1"/>
    </w:lvl>
  </w:abstractNum>
  <w:abstractNum w:abstractNumId="143">
    <w:nsid w:val="327FAC77"/>
    <w:multiLevelType w:val="hybridMultilevel"/>
    <w:lvl w:ilvl="0">
      <w:lvlJc w:val="left"/>
      <w:lvlText w:val="%1."/>
      <w:numFmt w:val="upperLetter"/>
      <w:start w:val="1"/>
    </w:lvl>
  </w:abstractNum>
  <w:abstractNum w:abstractNumId="144">
    <w:nsid w:val="5A60650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5">
    <w:nsid w:val="6F38E6D1"/>
    <w:multiLevelType w:val="hybridMultilevel"/>
    <w:lvl w:ilvl="0">
      <w:lvlJc w:val="left"/>
      <w:lvlText w:val="%1."/>
      <w:numFmt w:val="decimal"/>
      <w:start w:val="2"/>
    </w:lvl>
  </w:abstractNum>
  <w:abstractNum w:abstractNumId="146">
    <w:nsid w:val="46111BA5"/>
    <w:multiLevelType w:val="hybridMultilevel"/>
    <w:lvl w:ilvl="0">
      <w:lvlJc w:val="left"/>
      <w:lvlText w:val="%1."/>
      <w:numFmt w:val="decimal"/>
      <w:start w:val="3"/>
    </w:lvl>
  </w:abstractNum>
  <w:abstractNum w:abstractNumId="147">
    <w:nsid w:val="5E963896"/>
    <w:multiLevelType w:val="hybridMultilevel"/>
    <w:lvl w:ilvl="0">
      <w:lvlJc w:val="left"/>
      <w:lvlText w:val="%1."/>
      <w:numFmt w:val="lowerLetter"/>
      <w:start w:val="1"/>
    </w:lvl>
  </w:abstractNum>
  <w:abstractNum w:abstractNumId="148">
    <w:nsid w:val="775BA7C1"/>
    <w:multiLevelType w:val="hybridMultilevel"/>
    <w:lvl w:ilvl="0">
      <w:lvlJc w:val="left"/>
      <w:lvlText w:val="%1."/>
      <w:numFmt w:val="lowerLetter"/>
      <w:start w:val="12"/>
    </w:lvl>
  </w:abstractNum>
  <w:abstractNum w:abstractNumId="149">
    <w:nsid w:val="1DD6D6F4"/>
    <w:multiLevelType w:val="hybridMultilevel"/>
    <w:lvl w:ilvl="0">
      <w:lvlJc w:val="left"/>
      <w:lvlText w:val="%1."/>
      <w:numFmt w:val="upperLetter"/>
      <w:start w:val="3"/>
    </w:lvl>
  </w:abstractNum>
  <w:abstractNum w:abstractNumId="150">
    <w:nsid w:val="769A091F"/>
    <w:multiLevelType w:val="hybridMultilevel"/>
    <w:lvl w:ilvl="0">
      <w:lvlJc w:val="left"/>
      <w:lvlText w:val="%1."/>
      <w:numFmt w:val="upperLetter"/>
      <w:start w:val="4"/>
    </w:lvl>
  </w:abstractNum>
  <w:abstractNum w:abstractNumId="151">
    <w:nsid w:val="4695AE95"/>
    <w:multiLevelType w:val="hybridMultilevel"/>
    <w:lvl w:ilvl="0">
      <w:lvlJc w:val="left"/>
      <w:lvlText w:val="%1."/>
      <w:numFmt w:val="decimal"/>
      <w:start w:val="1"/>
    </w:lvl>
  </w:abstractNum>
  <w:abstractNum w:abstractNumId="152">
    <w:nsid w:val="777A4EAA"/>
    <w:multiLevelType w:val="hybridMultilevel"/>
    <w:lvl w:ilvl="0">
      <w:lvlJc w:val="left"/>
      <w:lvlText w:val="%1."/>
      <w:numFmt w:val="upperLetter"/>
      <w:start w:val="5"/>
    </w:lvl>
    <w:lvl w:ilvl="1">
      <w:lvlJc w:val="left"/>
      <w:lvlText w:val="%2."/>
      <w:numFmt w:val="decimal"/>
      <w:start w:val="1"/>
    </w:lvl>
  </w:abstractNum>
  <w:abstractNum w:abstractNumId="153">
    <w:nsid w:val="3F48B982"/>
    <w:multiLevelType w:val="hybridMultilevel"/>
    <w:lvl w:ilvl="0">
      <w:lvlJc w:val="left"/>
      <w:lvlText w:val="%1."/>
      <w:numFmt w:val="decimal"/>
      <w:start w:val="2"/>
    </w:lvl>
  </w:abstractNum>
  <w:abstractNum w:abstractNumId="154">
    <w:nsid w:val="46BA8FCA"/>
    <w:multiLevelType w:val="hybridMultilevel"/>
    <w:lvl w:ilvl="0">
      <w:lvlJc w:val="left"/>
      <w:lvlText w:val="%1"/>
      <w:numFmt w:val="upperLetter"/>
      <w:start w:val="1"/>
    </w:lvl>
    <w:lvl w:ilvl="1">
      <w:lvlJc w:val="left"/>
      <w:lvlText w:val="%2."/>
      <w:numFmt w:val="decimal"/>
      <w:start w:val="3"/>
    </w:lvl>
  </w:abstractNum>
  <w:abstractNum w:abstractNumId="155">
    <w:nsid w:val="7835626C"/>
    <w:multiLevelType w:val="hybridMultilevel"/>
    <w:lvl w:ilvl="0">
      <w:lvlJc w:val="left"/>
      <w:lvlText w:val="%1."/>
      <w:numFmt w:val="upperLetter"/>
      <w:start w:val="6"/>
    </w:lvl>
    <w:lvl w:ilvl="1">
      <w:lvlJc w:val="left"/>
      <w:lvlText w:val="%2"/>
      <w:numFmt w:val="decimal"/>
      <w:start w:val="1"/>
    </w:lvl>
  </w:abstractNum>
  <w:abstractNum w:abstractNumId="156">
    <w:nsid w:val="665ACA49"/>
    <w:multiLevelType w:val="hybridMultilevel"/>
    <w:lvl w:ilvl="0">
      <w:lvlJc w:val="left"/>
      <w:lvlText w:val="%1"/>
      <w:numFmt w:val="upperLetter"/>
      <w:start w:val="1"/>
    </w:lvl>
    <w:lvl w:ilvl="1">
      <w:lvlJc w:val="left"/>
      <w:lvlText w:val="%2."/>
      <w:numFmt w:val="decimal"/>
      <w:start w:val="1"/>
    </w:lvl>
  </w:abstractNum>
  <w:abstractNum w:abstractNumId="157">
    <w:nsid w:val="6835B2AE"/>
    <w:multiLevelType w:val="hybridMultilevel"/>
    <w:lvl w:ilvl="0">
      <w:lvlJc w:val="left"/>
      <w:lvlText w:val="%1."/>
      <w:numFmt w:val="upperLetter"/>
      <w:start w:val="7"/>
    </w:lvl>
    <w:lvl w:ilvl="1">
      <w:lvlJc w:val="left"/>
      <w:lvlText w:val="%2"/>
      <w:numFmt w:val="decimal"/>
      <w:start w:val="1"/>
    </w:lvl>
  </w:abstractNum>
  <w:abstractNum w:abstractNumId="158">
    <w:nsid w:val="4C187C90"/>
    <w:multiLevelType w:val="hybridMultilevel"/>
    <w:lvl w:ilvl="0">
      <w:lvlJc w:val="left"/>
      <w:lvlText w:val="%1."/>
      <w:numFmt w:val="upperLetter"/>
      <w:start w:val="8"/>
    </w:lvl>
  </w:abstractNum>
  <w:abstractNum w:abstractNumId="159">
    <w:nsid w:val="541F28CD"/>
    <w:multiLevelType w:val="hybridMultilevel"/>
    <w:lvl w:ilvl="0">
      <w:lvlJc w:val="left"/>
      <w:lvlText w:val="%1."/>
      <w:numFmt w:val="decimal"/>
      <w:start w:val="1"/>
    </w:lvl>
  </w:abstractNum>
  <w:abstractNum w:abstractNumId="160">
    <w:nsid w:val="7F65FD16"/>
    <w:multiLevelType w:val="hybridMultilevel"/>
    <w:lvl w:ilvl="0">
      <w:lvlJc w:val="left"/>
      <w:lvlText w:val="%1."/>
      <w:numFmt w:val="decimal"/>
      <w:start w:val="6"/>
    </w:lvl>
  </w:abstractNum>
  <w:abstractNum w:abstractNumId="161">
    <w:nsid w:val="77C9FD68"/>
    <w:multiLevelType w:val="hybridMultilevel"/>
    <w:lvl w:ilvl="0">
      <w:lvlJc w:val="left"/>
      <w:lvlText w:val="%1."/>
      <w:numFmt w:val="upperLetter"/>
      <w:start w:val="9"/>
    </w:lvl>
  </w:abstractNum>
  <w:abstractNum w:abstractNumId="162">
    <w:nsid w:val="298A92BA"/>
    <w:multiLevelType w:val="hybridMultilevel"/>
    <w:lvl w:ilvl="0">
      <w:lvlJc w:val="left"/>
      <w:lvlText w:val="%1."/>
      <w:numFmt w:val="upperLetter"/>
      <w:start w:val="10"/>
    </w:lvl>
  </w:abstractNum>
  <w:abstractNum w:abstractNumId="163">
    <w:nsid w:val="6FE95EAC"/>
    <w:multiLevelType w:val="hybridMultilevel"/>
    <w:lvl w:ilvl="0">
      <w:lvlJc w:val="left"/>
      <w:lvlText w:val="%1."/>
      <w:numFmt w:val="upperLetter"/>
      <w:start w:val="11"/>
    </w:lvl>
  </w:abstractNum>
  <w:abstractNum w:abstractNumId="164">
    <w:nsid w:val="4B697C7A"/>
    <w:multiLevelType w:val="hybridMultilevel"/>
    <w:lvl w:ilvl="0">
      <w:lvlJc w:val="left"/>
      <w:lvlText w:val="%1."/>
      <w:numFmt w:val="upperLetter"/>
      <w:start w:val="12"/>
    </w:lvl>
  </w:abstractNum>
  <w:abstractNum w:abstractNumId="165">
    <w:nsid w:val="51A27AA6"/>
    <w:multiLevelType w:val="hybridMultilevel"/>
    <w:lvl w:ilvl="0">
      <w:lvlJc w:val="left"/>
      <w:lvlText w:val="%1."/>
      <w:numFmt w:val="upperLetter"/>
      <w:start w:val="13"/>
    </w:lvl>
  </w:abstractNum>
  <w:abstractNum w:abstractNumId="166">
    <w:nsid w:val="613183F2"/>
    <w:multiLevelType w:val="hybridMultilevel"/>
    <w:lvl w:ilvl="0">
      <w:lvlJc w:val="left"/>
      <w:lvlText w:val="%1."/>
      <w:numFmt w:val="upperLetter"/>
      <w:start w:val="14"/>
    </w:lvl>
  </w:abstractNum>
  <w:abstractNum w:abstractNumId="167">
    <w:nsid w:val="634102B4"/>
    <w:multiLevelType w:val="hybridMultilevel"/>
    <w:lvl w:ilvl="0">
      <w:lvlJc w:val="left"/>
      <w:lvlText w:val="☐"/>
      <w:numFmt w:val="bullet"/>
      <w:start w:val="1"/>
    </w:lvl>
  </w:abstractNum>
  <w:abstractNum w:abstractNumId="168">
    <w:nsid w:val="65BF9D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9">
    <w:nsid w:val="21A2EC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0">
    <w:nsid w:val="4D5C4899"/>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71">
    <w:nsid w:val="3C3B72B2"/>
    <w:multiLevelType w:val="hybridMultilevel"/>
    <w:lvl w:ilvl="0">
      <w:lvlJc w:val="left"/>
      <w:lvlText w:val="%1."/>
      <w:numFmt w:val="decimal"/>
      <w:start w:val="7"/>
    </w:lvl>
  </w:abstractNum>
  <w:abstractNum w:abstractNumId="172">
    <w:nsid w:val="155EC4C2"/>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173">
    <w:nsid w:val="65D2A137"/>
    <w:multiLevelType w:val="hybridMultilevel"/>
    <w:lvl w:ilvl="0">
      <w:lvlJc w:val="left"/>
      <w:lvlText w:val="%1."/>
      <w:numFmt w:val="decimal"/>
      <w:start w:val="10"/>
    </w:lvl>
    <w:lvl w:ilvl="1">
      <w:lvlJc w:val="left"/>
      <w:lvlText w:val="%2."/>
      <w:numFmt w:val="decimal"/>
      <w:start w:val="12"/>
    </w:lvl>
    <w:lvl w:ilvl="2">
      <w:lvlJc w:val="left"/>
      <w:lvlText w:val="%3."/>
      <w:numFmt w:val="lowerLetter"/>
      <w:start w:val="1"/>
    </w:lvl>
  </w:abstractNum>
  <w:abstractNum w:abstractNumId="174">
    <w:nsid w:val="6EBB1F2A"/>
    <w:multiLevelType w:val="hybridMultilevel"/>
    <w:lvl w:ilvl="0">
      <w:lvlJc w:val="left"/>
      <w:lvlText w:val="•"/>
      <w:numFmt w:val="bullet"/>
      <w:start w:val="1"/>
    </w:lvl>
  </w:abstractNum>
  <w:abstractNum w:abstractNumId="175">
    <w:nsid w:val="6FBF29CB"/>
    <w:multiLevelType w:val="hybridMultilevel"/>
    <w:lvl w:ilvl="0">
      <w:lvlJc w:val="left"/>
      <w:lvlText w:val="%1."/>
      <w:numFmt w:val="decimal"/>
      <w:start w:val="1"/>
    </w:lvl>
  </w:abstractNum>
  <w:abstractNum w:abstractNumId="176">
    <w:nsid w:val="550B8808"/>
    <w:multiLevelType w:val="hybridMultilevel"/>
    <w:lvl w:ilvl="0">
      <w:lvlJc w:val="left"/>
      <w:lvlText w:val="%1."/>
      <w:numFmt w:val="decimal"/>
      <w:start w:val="2"/>
    </w:lvl>
    <w:lvl w:ilvl="1">
      <w:lvlJc w:val="left"/>
      <w:lvlText w:val="(%2)"/>
      <w:numFmt w:val="lowerLetter"/>
      <w:start w:val="1"/>
    </w:lvl>
  </w:abstractNum>
  <w:abstractNum w:abstractNumId="177">
    <w:nsid w:val="34CC3ACF"/>
    <w:multiLevelType w:val="hybridMultilevel"/>
    <w:lvl w:ilvl="0">
      <w:lvlJc w:val="left"/>
      <w:lvlText w:val="(%1)"/>
      <w:numFmt w:val="lowerLetter"/>
      <w:start w:val="1"/>
    </w:lvl>
    <w:lvl w:ilvl="1">
      <w:lvlJc w:val="left"/>
      <w:lvlText w:val="(%2)"/>
      <w:numFmt w:val="lowerRoman"/>
      <w:start w:val="1"/>
    </w:lvl>
  </w:abstractNum>
  <w:abstractNum w:abstractNumId="178">
    <w:nsid w:val="4E556261"/>
    <w:multiLevelType w:val="hybridMultilevel"/>
    <w:lvl w:ilvl="0">
      <w:lvlJc w:val="left"/>
      <w:lvlText w:val="%1"/>
      <w:numFmt w:val="lowerLetter"/>
      <w:start w:val="1"/>
    </w:lvl>
    <w:lvl w:ilvl="1">
      <w:lvlJc w:val="left"/>
      <w:lvlText w:val="(%2)"/>
      <w:numFmt w:val="lowerRoman"/>
      <w:start w:val="6"/>
    </w:lvl>
  </w:abstractNum>
  <w:abstractNum w:abstractNumId="179">
    <w:nsid w:val="4C672FC9"/>
    <w:multiLevelType w:val="hybridMultilevel"/>
    <w:lvl w:ilvl="0">
      <w:lvlJc w:val="left"/>
      <w:lvlText w:val="(%1)"/>
      <w:numFmt w:val="lowerLetter"/>
      <w:start w:val="2"/>
    </w:lvl>
    <w:lvl w:ilvl="1">
      <w:lvlJc w:val="left"/>
      <w:lvlText w:val="(%2)"/>
      <w:numFmt w:val="lowerRoman"/>
      <w:start w:val="1"/>
    </w:lvl>
  </w:abstractNum>
  <w:abstractNum w:abstractNumId="180">
    <w:nsid w:val="52A311C3"/>
    <w:multiLevelType w:val="hybridMultilevel"/>
    <w:lvl w:ilvl="0">
      <w:lvlJc w:val="left"/>
      <w:lvlText w:val="1"/>
      <w:numFmt w:val="bullet"/>
      <w:start w:val="1"/>
    </w:lvl>
  </w:abstractNum>
  <w:abstractNum w:abstractNumId="181">
    <w:nsid w:val="44EF6B80"/>
    <w:multiLevelType w:val="hybridMultilevel"/>
    <w:lvl w:ilvl="0">
      <w:lvlJc w:val="left"/>
      <w:lvlText w:val="%1"/>
      <w:numFmt w:val="lowerLetter"/>
      <w:start w:val="1"/>
    </w:lvl>
    <w:lvl w:ilvl="1">
      <w:lvlJc w:val="left"/>
      <w:lvlText w:val="(%2)"/>
      <w:numFmt w:val="lowerLetter"/>
      <w:start w:val="35"/>
    </w:lvl>
  </w:abstractNum>
  <w:abstractNum w:abstractNumId="182">
    <w:nsid w:val="12FCDE5E"/>
    <w:multiLevelType w:val="hybridMultilevel"/>
    <w:lvl w:ilvl="0">
      <w:lvlJc w:val="left"/>
      <w:lvlText w:val="(%1)"/>
      <w:numFmt w:val="lowerLetter"/>
      <w:start w:val="3"/>
    </w:lvl>
    <w:lvl w:ilvl="1">
      <w:lvlJc w:val="left"/>
      <w:lvlText w:val="(%2)"/>
      <w:numFmt w:val="lowerLetter"/>
      <w:start w:val="9"/>
    </w:lvl>
  </w:abstractNum>
  <w:abstractNum w:abstractNumId="183">
    <w:nsid w:val="4A1D606E"/>
    <w:multiLevelType w:val="hybridMultilevel"/>
    <w:lvl w:ilvl="0">
      <w:lvlJc w:val="left"/>
      <w:lvlText w:val="(%1)"/>
      <w:numFmt w:val="lowerRoman"/>
      <w:start w:val="2"/>
    </w:lvl>
  </w:abstractNum>
  <w:abstractNum w:abstractNumId="184">
    <w:nsid w:val="438250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5">
    <w:nsid w:val="59B76E2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86">
    <w:nsid w:val="4252C2D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3"/>
    </w:lvl>
  </w:abstractNum>
  <w:abstractNum w:abstractNumId="187">
    <w:nsid w:val="6A92EF4C"/>
    <w:multiLevelType w:val="hybridMultilevel"/>
    <w:lvl w:ilvl="0">
      <w:lvlJc w:val="left"/>
      <w:lvlText w:val="(%1)"/>
      <w:numFmt w:val="lowerLetter"/>
      <w:start w:val="7"/>
    </w:lvl>
    <w:lvl w:ilvl="1">
      <w:lvlJc w:val="left"/>
      <w:lvlText w:val="(%2)"/>
      <w:numFmt w:val="lowerRoman"/>
      <w:start w:val="1"/>
    </w:lvl>
  </w:abstractNum>
  <w:abstractNum w:abstractNumId="188">
    <w:nsid w:val="41ED20D7"/>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89">
    <w:nsid w:val="E6B3F6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90">
    <w:nsid w:val="3EB21819"/>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191">
    <w:nsid w:val="41531DE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92">
    <w:nsid w:val="6353CD2"/>
    <w:multiLevelType w:val="hybridMultilevel"/>
    <w:lvl w:ilvl="0">
      <w:lvlJc w:val="left"/>
      <w:lvlText w:val="%1."/>
      <w:numFmt w:val="decimal"/>
      <w:start w:val="5"/>
    </w:lvl>
    <w:lvl w:ilvl="1">
      <w:lvlJc w:val="left"/>
      <w:lvlText w:val="(%2)"/>
      <w:numFmt w:val="lowerLetter"/>
      <w:start w:val="1"/>
    </w:lvl>
  </w:abstractNum>
  <w:abstractNum w:abstractNumId="193">
    <w:nsid w:val="683CAAD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94">
    <w:nsid w:val="313C7C9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95">
    <w:nsid w:val="519EB94C"/>
    <w:multiLevelType w:val="hybridMultilevel"/>
    <w:lvl w:ilvl="0">
      <w:lvlJc w:val="left"/>
      <w:lvlText w:val="%1"/>
      <w:numFmt w:val="lowerLetter"/>
      <w:start w:val="1"/>
    </w:lvl>
    <w:lvl w:ilvl="1">
      <w:lvlJc w:val="left"/>
      <w:lvlText w:val="(%2)"/>
      <w:numFmt w:val="lowerRoman"/>
      <w:start w:val="2"/>
    </w:lvl>
  </w:abstractNum>
  <w:abstractNum w:abstractNumId="196">
    <w:nsid w:val="39DF2579"/>
    <w:multiLevelType w:val="hybridMultilevel"/>
    <w:lvl w:ilvl="0">
      <w:lvlJc w:val="left"/>
      <w:lvlText w:val="(%1)"/>
      <w:numFmt w:val="lowerLetter"/>
      <w:start w:val="2"/>
    </w:lvl>
    <w:lvl w:ilvl="1">
      <w:lvlJc w:val="left"/>
      <w:lvlText w:val="%2"/>
      <w:numFmt w:val="lowerRoman"/>
      <w:start w:val="1"/>
    </w:lvl>
  </w:abstractNum>
  <w:abstractNum w:abstractNumId="197">
    <w:nsid w:val="126E008B"/>
    <w:multiLevelType w:val="hybridMultilevel"/>
    <w:lvl w:ilvl="0">
      <w:lvlJc w:val="left"/>
      <w:lvlText w:val="%1"/>
      <w:numFmt w:val="decimal"/>
      <w:start w:val="1"/>
    </w:lvl>
    <w:lvl w:ilvl="1">
      <w:lvlJc w:val="left"/>
      <w:lvlText w:val="(%2)"/>
      <w:numFmt w:val="lowerLetter"/>
      <w:start w:val="4"/>
    </w:lvl>
  </w:abstractNum>
  <w:abstractNum w:abstractNumId="198">
    <w:nsid w:val="34DFBC00"/>
    <w:multiLevelType w:val="hybridMultilevel"/>
    <w:lvl w:ilvl="0">
      <w:lvlJc w:val="left"/>
      <w:lvlText w:val="%1."/>
      <w:numFmt w:val="decimal"/>
      <w:start w:val="7"/>
    </w:lvl>
    <w:lvl w:ilvl="1">
      <w:lvlJc w:val="left"/>
      <w:lvlText w:val="%2"/>
      <w:numFmt w:val="lowerLetter"/>
      <w:start w:val="1"/>
    </w:lvl>
  </w:abstractNum>
  <w:abstractNum w:abstractNumId="199">
    <w:nsid w:val="1F9EC322"/>
    <w:multiLevelType w:val="hybridMultilevel"/>
    <w:lvl w:ilvl="0">
      <w:lvlJc w:val="left"/>
      <w:lvlText w:val="%1."/>
      <w:numFmt w:val="decimal"/>
      <w:start w:val="8"/>
    </w:lvl>
  </w:abstractNum>
  <w:abstractNum w:abstractNumId="200">
    <w:nsid w:val="3410ED56"/>
    <w:multiLevelType w:val="hybridMultilevel"/>
    <w:lvl w:ilvl="0">
      <w:lvlJc w:val="left"/>
      <w:lvlText w:val="%1."/>
      <w:numFmt w:val="decimal"/>
      <w:start w:val="9"/>
    </w:lvl>
  </w:abstractNum>
  <w:abstractNum w:abstractNumId="201">
    <w:nsid w:val="23C049A"/>
    <w:multiLevelType w:val="hybridMultilevel"/>
    <w:lvl w:ilvl="0">
      <w:lvlJc w:val="left"/>
      <w:lvlText w:val="%1."/>
      <w:numFmt w:val="decimal"/>
      <w:start w:val="10"/>
    </w:lvl>
  </w:abstractNum>
  <w:abstractNum w:abstractNumId="202">
    <w:nsid w:val="5BDA35D4"/>
    <w:multiLevelType w:val="hybridMultilevel"/>
    <w:lvl w:ilvl="0">
      <w:lvlJc w:val="left"/>
      <w:lvlText w:val="%1."/>
      <w:numFmt w:val="decimal"/>
      <w:start w:val="11"/>
    </w:lvl>
  </w:abstractNum>
  <w:abstractNum w:abstractNumId="203">
    <w:nsid w:val="496FB218"/>
    <w:multiLevelType w:val="hybridMultilevel"/>
    <w:lvl w:ilvl="0">
      <w:lvlJc w:val="left"/>
      <w:lvlText w:val="%1."/>
      <w:numFmt w:val="decimal"/>
      <w:start w:val="12"/>
    </w:lvl>
  </w:abstractNum>
  <w:abstractNum w:abstractNumId="204">
    <w:nsid w:val="680EA5D1"/>
    <w:multiLevelType w:val="hybridMultilevel"/>
    <w:lvl w:ilvl="0">
      <w:lvlJc w:val="left"/>
      <w:lvlText w:val="%1."/>
      <w:numFmt w:val="decimal"/>
      <w:start w:val="13"/>
    </w:lvl>
  </w:abstractNum>
  <w:abstractNum w:abstractNumId="205">
    <w:nsid w:val="4A9554FE"/>
    <w:multiLevelType w:val="hybridMultilevel"/>
    <w:lvl w:ilvl="0">
      <w:lvlJc w:val="left"/>
      <w:lvlText w:val="%1."/>
      <w:numFmt w:val="decimal"/>
      <w:start w:val="14"/>
    </w:lvl>
  </w:abstractNum>
  <w:abstractNum w:abstractNumId="206">
    <w:nsid w:val="392EDBE4"/>
    <w:multiLevelType w:val="hybridMultilevel"/>
    <w:lvl w:ilvl="0">
      <w:lvlJc w:val="left"/>
      <w:lvlText w:val="%1."/>
      <w:numFmt w:val="decimal"/>
      <w:start w:val="15"/>
    </w:lvl>
  </w:abstractNum>
  <w:abstractNum w:abstractNumId="207">
    <w:nsid w:val="3D1A2DD9"/>
    <w:multiLevelType w:val="hybridMultilevel"/>
    <w:lvl w:ilvl="0">
      <w:lvlJc w:val="left"/>
      <w:lvlText w:val="(%1)"/>
      <w:numFmt w:val="lowerLetter"/>
      <w:start w:val="1"/>
    </w:lvl>
  </w:abstractNum>
  <w:abstractNum w:abstractNumId="208">
    <w:nsid w:val="7F618FCD"/>
    <w:multiLevelType w:val="hybridMultilevel"/>
    <w:lvl w:ilvl="0">
      <w:lvlJc w:val="left"/>
      <w:lvlText w:val="%1"/>
      <w:numFmt w:val="decimal"/>
      <w:start w:val="1"/>
    </w:lvl>
    <w:lvl w:ilvl="1">
      <w:lvlJc w:val="left"/>
      <w:lvlText w:val="(%2)"/>
      <w:numFmt w:val="lowerLetter"/>
      <w:start w:val="2"/>
    </w:lvl>
  </w:abstractNum>
  <w:abstractNum w:abstractNumId="209">
    <w:nsid w:val="7843E45"/>
    <w:multiLevelType w:val="hybridMultilevel"/>
    <w:lvl w:ilvl="0">
      <w:lvlJc w:val="left"/>
      <w:lvlText w:val="%1."/>
      <w:numFmt w:val="decimal"/>
      <w:start w:val="16"/>
    </w:lvl>
    <w:lvl w:ilvl="1">
      <w:lvlJc w:val="left"/>
      <w:lvlText w:val="%2"/>
      <w:numFmt w:val="lowerLetter"/>
      <w:start w:val="1"/>
    </w:lvl>
  </w:abstractNum>
  <w:abstractNum w:abstractNumId="210">
    <w:nsid w:val="9815DA3"/>
    <w:multiLevelType w:val="hybridMultilevel"/>
    <w:lvl w:ilvl="0">
      <w:lvlJc w:val="left"/>
      <w:lvlText w:val="%1."/>
      <w:numFmt w:val="decimal"/>
      <w:start w:val="17"/>
    </w:lvl>
  </w:abstractNum>
  <w:abstractNum w:abstractNumId="211">
    <w:nsid w:val="5204A191"/>
    <w:multiLevelType w:val="hybridMultilevel"/>
    <w:lvl w:ilvl="0">
      <w:lvlJc w:val="left"/>
      <w:lvlText w:val="%1."/>
      <w:numFmt w:val="decimal"/>
      <w:start w:val="18"/>
    </w:lvl>
  </w:abstractNum>
  <w:abstractNum w:abstractNumId="212">
    <w:nsid w:val="4C73A9C6"/>
    <w:multiLevelType w:val="hybridMultilevel"/>
    <w:lvl w:ilvl="0">
      <w:lvlJc w:val="left"/>
      <w:lvlText w:val="%1."/>
      <w:numFmt w:val="decimal"/>
      <w:start w:val="19"/>
    </w:lvl>
  </w:abstractNum>
  <w:abstractNum w:abstractNumId="213">
    <w:nsid w:val="1C7E3C01"/>
    <w:multiLevelType w:val="hybridMultilevel"/>
    <w:lvl w:ilvl="0">
      <w:lvlJc w:val="left"/>
      <w:lvlText w:val="(%1)"/>
      <w:numFmt w:val="lowerLetter"/>
      <w:start w:val="1"/>
    </w:lvl>
    <w:lvl w:ilvl="1">
      <w:lvlJc w:val="left"/>
      <w:lvlText w:val="(%2)"/>
      <w:numFmt w:val="decimal"/>
      <w:start w:val="1"/>
    </w:lvl>
  </w:abstractNum>
  <w:abstractNum w:abstractNumId="214">
    <w:nsid w:val="1C2201FF"/>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15">
    <w:nsid w:val="50ABCEC9"/>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16">
    <w:nsid w:val="7635AA2A"/>
    <w:multiLevelType w:val="hybridMultilevel"/>
    <w:lvl w:ilvl="0">
      <w:lvlJc w:val="left"/>
      <w:lvlText w:val="%1."/>
      <w:numFmt w:val="decimal"/>
      <w:start w:val="20"/>
    </w:lvl>
    <w:lvl w:ilvl="1">
      <w:lvlJc w:val="left"/>
      <w:lvlText w:val="%2"/>
      <w:numFmt w:val="lowerLetter"/>
      <w:start w:val="1"/>
    </w:lvl>
    <w:lvl w:ilvl="2">
      <w:lvlJc w:val="left"/>
      <w:lvlText w:val="%3"/>
      <w:numFmt w:val="decimal"/>
      <w:start w:val="1"/>
    </w:lvl>
  </w:abstractNum>
  <w:abstractNum w:abstractNumId="217">
    <w:nsid w:val="5E74C4D9"/>
    <w:multiLevelType w:val="hybridMultilevel"/>
    <w:lvl w:ilvl="0">
      <w:lvlJc w:val="left"/>
      <w:lvlText w:val="%1."/>
      <w:numFmt w:val="decimal"/>
      <w:start w:val="21"/>
    </w:lvl>
  </w:abstractNum>
  <w:abstractNum w:abstractNumId="218">
    <w:nsid w:val="3B3EBE15"/>
    <w:multiLevelType w:val="hybridMultilevel"/>
    <w:lvl w:ilvl="0">
      <w:lvlJc w:val="left"/>
      <w:lvlText w:val="%1."/>
      <w:numFmt w:val="decimal"/>
      <w:start w:val="22"/>
    </w:lvl>
  </w:abstractNum>
  <w:abstractNum w:abstractNumId="219">
    <w:nsid w:val="3822CB01"/>
    <w:multiLevelType w:val="hybridMultilevel"/>
    <w:lvl w:ilvl="0">
      <w:lvlJc w:val="left"/>
      <w:lvlText w:val="%1."/>
      <w:numFmt w:val="decimal"/>
      <w:start w:val="23"/>
    </w:lvl>
  </w:abstractNum>
  <w:abstractNum w:abstractNumId="220">
    <w:nsid w:val="6CE00443"/>
    <w:multiLevelType w:val="hybridMultilevel"/>
    <w:lvl w:ilvl="0">
      <w:lvlJc w:val="left"/>
      <w:lvlText w:val="%1."/>
      <w:numFmt w:val="decimal"/>
      <w:start w:val="24"/>
    </w:lvl>
  </w:abstractNum>
  <w:abstractNum w:abstractNumId="221">
    <w:nsid w:val="79F0D62F"/>
    <w:multiLevelType w:val="hybridMultilevel"/>
    <w:lvl w:ilvl="0">
      <w:lvlJc w:val="left"/>
      <w:lvlText w:val="%1."/>
      <w:numFmt w:val="decimal"/>
      <w:start w:val="1"/>
    </w:lvl>
    <w:lvl w:ilvl="1">
      <w:lvlJc w:val="left"/>
      <w:lvlText w:val="-"/>
      <w:numFmt w:val="bullet"/>
      <w:start w:val="1"/>
    </w:lvl>
  </w:abstractNum>
  <w:abstractNum w:abstractNumId="222">
    <w:nsid w:val="7975E8EE"/>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223">
    <w:nsid w:val="73154115"/>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224">
    <w:nsid w:val="622D8102"/>
    <w:multiLevelType w:val="hybridMultilevel"/>
    <w:lvl w:ilvl="0">
      <w:lvlJc w:val="left"/>
      <w:lvlText w:val="%1."/>
      <w:numFmt w:val="lowerLetter"/>
      <w:start w:val="2"/>
    </w:lvl>
  </w:abstractNum>
  <w:abstractNum w:abstractNumId="225">
    <w:nsid w:val="2AB2658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6">
    <w:nsid w:val="44B3FA6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27">
    <w:nsid w:val="1C0CA67C"/>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228">
    <w:nsid w:val="3D206613"/>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229">
    <w:nsid w:val="7993B662"/>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230">
    <w:nsid w:val="3BAB699E"/>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231">
    <w:nsid w:val="71315369"/>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32">
    <w:nsid w:val="7BCFBAFC"/>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233">
    <w:nsid w:val="17859F72"/>
    <w:multiLevelType w:val="hybridMultilevel"/>
    <w:lvl w:ilvl="0">
      <w:lvlJc w:val="left"/>
      <w:lvlText w:val="%1."/>
      <w:numFmt w:val="decimal"/>
      <w:start w:val="22"/>
    </w:lvl>
  </w:abstractNum>
  <w:abstractNum w:abstractNumId="234">
    <w:nsid w:val="3AA10581"/>
    <w:multiLevelType w:val="hybridMultilevel"/>
    <w:lvl w:ilvl="0">
      <w:lvlJc w:val="left"/>
      <w:lvlText w:val="%1."/>
      <w:numFmt w:val="decimal"/>
      <w:start w:val="1"/>
    </w:lvl>
    <w:lvl w:ilvl="1">
      <w:lvlJc w:val="left"/>
      <w:lvlText w:val="-"/>
      <w:numFmt w:val="bullet"/>
      <w:start w:val="1"/>
    </w:lvl>
  </w:abstractNum>
  <w:abstractNum w:abstractNumId="235">
    <w:nsid w:val="63DE60CD"/>
    <w:multiLevelType w:val="hybridMultilevel"/>
    <w:lvl w:ilvl="0">
      <w:lvlJc w:val="left"/>
      <w:lvlText w:val="%1."/>
      <w:numFmt w:val="decimal"/>
      <w:start w:val="1"/>
    </w:lvl>
    <w:lvl w:ilvl="1">
      <w:lvlJc w:val="left"/>
      <w:lvlText w:val="%2"/>
      <w:numFmt w:val="lowerLetter"/>
      <w:start w:val="1"/>
    </w:lvl>
  </w:abstractNum>
  <w:abstractNum w:abstractNumId="236">
    <w:nsid w:val="621AF47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37">
    <w:nsid w:val="73CFE165"/>
    <w:multiLevelType w:val="hybridMultilevel"/>
    <w:lvl w:ilvl="0">
      <w:lvlJc w:val="left"/>
      <w:lvlText w:val="%1."/>
      <w:numFmt w:val="lowerRoman"/>
      <w:start w:val="2"/>
    </w:lvl>
  </w:abstractNum>
  <w:abstractNum w:abstractNumId="238">
    <w:nsid w:val="20F88EA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9">
    <w:nsid w:val="617C843E"/>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
    </w:lvl>
  </w:abstractNum>
  <w:abstractNum w:abstractNumId="240">
    <w:nsid w:val="7B541FAB"/>
    <w:multiLevelType w:val="hybridMultilevel"/>
    <w:lvl w:ilvl="0">
      <w:lvlJc w:val="left"/>
      <w:lvlText w:val="%1."/>
      <w:numFmt w:val="lowerLetter"/>
      <w:start w:val="4"/>
    </w:lvl>
  </w:abstractNum>
  <w:abstractNum w:abstractNumId="241">
    <w:nsid w:val="2A79EC49"/>
    <w:multiLevelType w:val="hybridMultilevel"/>
    <w:lvl w:ilvl="0">
      <w:lvlJc w:val="left"/>
      <w:lvlText w:val="%1"/>
      <w:numFmt w:val="decimal"/>
      <w:start w:val="1"/>
    </w:lvl>
    <w:lvl w:ilvl="1">
      <w:lvlJc w:val="left"/>
      <w:lvlText w:val="%2."/>
      <w:numFmt w:val="decimal"/>
      <w:start w:val="5"/>
    </w:lvl>
  </w:abstractNum>
  <w:abstractNum w:abstractNumId="242">
    <w:nsid w:val="338125CF"/>
    <w:multiLevelType w:val="hybridMultilevel"/>
    <w:lvl w:ilvl="0">
      <w:lvlJc w:val="left"/>
      <w:lvlText w:val="(%1)"/>
      <w:numFmt w:val="decimal"/>
      <w:start w:val="21"/>
    </w:lvl>
    <w:lvl w:ilvl="1">
      <w:lvlJc w:val="left"/>
      <w:lvlText w:val="%2"/>
      <w:numFmt w:val="decimal"/>
      <w:start w:val="1"/>
    </w:lvl>
  </w:abstractNum>
  <w:abstractNum w:abstractNumId="243">
    <w:nsid w:val="47C7C971"/>
    <w:multiLevelType w:val="hybridMultilevel"/>
    <w:lvl w:ilvl="0">
      <w:lvlJc w:val="left"/>
      <w:lvlText w:val="%1."/>
      <w:numFmt w:val="decimal"/>
      <w:start w:val="6"/>
    </w:lvl>
  </w:abstractNum>
  <w:abstractNum w:abstractNumId="244">
    <w:nsid w:val="46F8284B"/>
    <w:multiLevelType w:val="hybridMultilevel"/>
    <w:lvl w:ilvl="0">
      <w:lvlJc w:val="left"/>
      <w:lvlText w:val="%1."/>
      <w:numFmt w:val="decimal"/>
      <w:start w:val="12"/>
    </w:lvl>
  </w:abstractNum>
  <w:abstractNum w:abstractNumId="245">
    <w:nsid w:val="4FA327CE"/>
    <w:multiLevelType w:val="hybridMultilevel"/>
    <w:lvl w:ilvl="0">
      <w:lvlJc w:val="left"/>
      <w:lvlText w:val="%1."/>
      <w:numFmt w:val="decimal"/>
      <w:start w:val="14"/>
    </w:lvl>
  </w:abstractNum>
  <w:abstractNum w:abstractNumId="246">
    <w:nsid w:val="1873983A"/>
    <w:multiLevelType w:val="hybridMultilevel"/>
    <w:lvl w:ilvl="0">
      <w:lvlJc w:val="left"/>
      <w:lvlText w:val="%1"/>
      <w:numFmt w:val="decimal"/>
      <w:start w:val="1"/>
    </w:lvl>
    <w:lvl w:ilvl="1">
      <w:lvlJc w:val="left"/>
      <w:lvlText w:val="%2."/>
      <w:numFmt w:val="decimal"/>
      <w:start w:val="19"/>
    </w:lvl>
  </w:abstractNum>
  <w:abstractNum w:abstractNumId="247">
    <w:nsid w:val="3D2DD275"/>
    <w:multiLevelType w:val="hybridMultilevel"/>
    <w:lvl w:ilvl="0">
      <w:lvlJc w:val="left"/>
      <w:lvlText w:val="(%1)"/>
      <w:numFmt w:val="decimal"/>
      <w:start w:val="21"/>
    </w:lvl>
    <w:lvl w:ilvl="1">
      <w:lvlJc w:val="left"/>
      <w:lvlText w:val="%2."/>
      <w:numFmt w:val="decimal"/>
      <w:start w:val="25"/>
    </w:lvl>
  </w:abstractNum>
  <w:abstractNum w:abstractNumId="248">
    <w:nsid w:val="2E17ECA7"/>
    <w:multiLevelType w:val="hybridMultilevel"/>
    <w:lvl w:ilvl="0">
      <w:lvlJc w:val="left"/>
      <w:lvlText w:val="(%1)"/>
      <w:numFmt w:val="lowerLetter"/>
      <w:start w:val="1"/>
    </w:lvl>
  </w:abstractNum>
  <w:abstractNum w:abstractNumId="249">
    <w:nsid w:val="53B2564F"/>
    <w:multiLevelType w:val="hybridMultilevel"/>
    <w:lvl w:ilvl="0">
      <w:lvlJc w:val="left"/>
      <w:lvlText w:val="*"/>
      <w:numFmt w:val="bullet"/>
      <w:start w:val="1"/>
    </w:lvl>
  </w:abstractNum>
  <w:abstractNum w:abstractNumId="250">
    <w:nsid w:val="75509D76"/>
    <w:multiLevelType w:val="hybridMultilevel"/>
    <w:lvl w:ilvl="0">
      <w:lvlJc w:val="left"/>
      <w:lvlText w:val="%1"/>
      <w:numFmt w:val="decimal"/>
      <w:start w:val="1"/>
    </w:lvl>
    <w:lvl w:ilvl="1">
      <w:lvlJc w:val="left"/>
      <w:lvlText w:val="%2."/>
      <w:numFmt w:val="decimal"/>
      <w:start w:val="1"/>
    </w:lvl>
  </w:abstractNum>
  <w:abstractNum w:abstractNumId="251">
    <w:nsid w:val="1AF7F0EA"/>
    <w:multiLevelType w:val="hybridMultilevel"/>
    <w:lvl w:ilvl="0">
      <w:lvlJc w:val="left"/>
      <w:lvlText w:val="%1."/>
      <w:numFmt w:val="decimal"/>
      <w:start w:val="2"/>
    </w:lvl>
    <w:lvl w:ilvl="1">
      <w:lvlJc w:val="left"/>
      <w:lvlText w:val="%2"/>
      <w:numFmt w:val="decimal"/>
      <w:start w:val="1"/>
    </w:lvl>
  </w:abstractNum>
  <w:abstractNum w:abstractNumId="252">
    <w:nsid w:val="4DA32C7E"/>
    <w:multiLevelType w:val="hybridMultilevel"/>
    <w:lvl w:ilvl="0">
      <w:lvlJc w:val="left"/>
      <w:lvlText w:val="%1."/>
      <w:numFmt w:val="decimal"/>
      <w:start w:val="6"/>
    </w:lvl>
  </w:abstractNum>
  <w:abstractNum w:abstractNumId="253">
    <w:nsid w:val="6EC68664"/>
    <w:multiLevelType w:val="hybridMultilevel"/>
    <w:lvl w:ilvl="0">
      <w:lvlJc w:val="left"/>
      <w:lvlText w:val="%1."/>
      <w:numFmt w:val="decimal"/>
      <w:start w:val="7"/>
    </w:lvl>
  </w:abstractNum>
  <w:abstractNum w:abstractNumId="254">
    <w:nsid w:val="E0D31FF"/>
    <w:multiLevelType w:val="hybridMultilevel"/>
    <w:lvl w:ilvl="0">
      <w:lvlJc w:val="left"/>
      <w:lvlText w:val="%1."/>
      <w:numFmt w:val="decimal"/>
      <w:start w:val="9"/>
    </w:lvl>
    <w:lvl w:ilvl="1">
      <w:lvlJc w:val="left"/>
      <w:lvlText w:val="(%2)"/>
      <w:numFmt w:val="lowerLetter"/>
      <w:start w:val="1"/>
    </w:lvl>
  </w:abstractNum>
  <w:abstractNum w:abstractNumId="255">
    <w:nsid w:val="2FD0AD81"/>
    <w:multiLevelType w:val="hybridMultilevel"/>
    <w:lvl w:ilvl="0">
      <w:lvlJc w:val="left"/>
      <w:lvlText w:val="(%1)"/>
      <w:numFmt w:val="lowerLetter"/>
      <w:start w:val="3"/>
    </w:lvl>
  </w:abstractNum>
  <w:abstractNum w:abstractNumId="256">
    <w:nsid w:val="1978EBEB"/>
    <w:multiLevelType w:val="hybridMultilevel"/>
    <w:lvl w:ilvl="0">
      <w:lvlJc w:val="left"/>
      <w:lvlText w:val="%1."/>
      <w:numFmt w:val="decimal"/>
      <w:start w:val="1"/>
    </w:lvl>
    <w:lvl w:ilvl="1">
      <w:lvlJc w:val="left"/>
      <w:lvlText w:val="%2."/>
      <w:numFmt w:val="lowerLetter"/>
      <w:start w:val="1"/>
    </w:lvl>
  </w:abstractNum>
  <w:abstractNum w:abstractNumId="257">
    <w:nsid w:val="52C12C61"/>
    <w:multiLevelType w:val="hybridMultilevel"/>
    <w:lvl w:ilvl="0">
      <w:lvlJc w:val="left"/>
      <w:lvlText w:val="%1"/>
      <w:numFmt w:val="decimal"/>
      <w:start w:val="1"/>
    </w:lvl>
    <w:lvl w:ilvl="1">
      <w:lvlJc w:val="left"/>
      <w:lvlText w:val="%2."/>
      <w:numFmt w:val="lowerLetter"/>
      <w:start w:val="3"/>
    </w:lvl>
  </w:abstractNum>
  <w:abstractNum w:abstractNumId="258">
    <w:nsid w:val="4BDD53FD"/>
    <w:multiLevelType w:val="hybridMultilevel"/>
    <w:lvl w:ilvl="0">
      <w:lvlJc w:val="left"/>
      <w:lvlText w:val="%1."/>
      <w:numFmt w:val="decimal"/>
      <w:start w:val="1"/>
    </w:lvl>
    <w:lvl w:ilvl="1">
      <w:lvlJc w:val="left"/>
      <w:lvlText w:val="%2"/>
      <w:numFmt w:val="lowerLetter"/>
      <w:start w:val="1"/>
    </w:lvl>
  </w:abstractNum>
  <w:abstractNum w:abstractNumId="259">
    <w:nsid w:val="569951FE"/>
    <w:multiLevelType w:val="hybridMultilevel"/>
    <w:lvl w:ilvl="0">
      <w:lvlJc w:val="left"/>
      <w:lvlText w:val="%1"/>
      <w:numFmt w:val="lowerLetter"/>
      <w:start w:val="1"/>
    </w:lvl>
    <w:lvl w:ilvl="1">
      <w:lvlJc w:val="left"/>
      <w:lvlText w:val="%2."/>
      <w:numFmt w:val="lowerLetter"/>
      <w:start w:val="1"/>
    </w:lvl>
  </w:abstractNum>
  <w:abstractNum w:abstractNumId="260">
    <w:nsid w:val="4C54E2C3"/>
    <w:multiLevelType w:val="hybridMultilevel"/>
    <w:lvl w:ilvl="0">
      <w:lvlJc w:val="left"/>
      <w:lvlText w:val="%1"/>
      <w:numFmt w:val="lowerLetter"/>
      <w:start w:val="1"/>
    </w:lvl>
    <w:lvl w:ilvl="1">
      <w:lvlJc w:val="left"/>
      <w:lvlText w:val="%2."/>
      <w:numFmt w:val="lowerLetter"/>
      <w:start w:val="3"/>
    </w:lvl>
  </w:abstractNum>
  <w:abstractNum w:abstractNumId="261">
    <w:nsid w:val="788BD9B"/>
    <w:multiLevelType w:val="hybridMultilevel"/>
    <w:lvl w:ilvl="0">
      <w:lvlJc w:val="left"/>
      <w:lvlText w:val="%1."/>
      <w:numFmt w:val="decimal"/>
      <w:start w:val="6"/>
    </w:lvl>
  </w:abstractNum>
  <w:abstractNum w:abstractNumId="262">
    <w:nsid w:val="47CAA567"/>
    <w:multiLevelType w:val="hybridMultilevel"/>
    <w:lvl w:ilvl="0">
      <w:lvlJc w:val="left"/>
      <w:lvlText w:val="%1."/>
      <w:numFmt w:val="decimal"/>
      <w:start w:val="11"/>
    </w:lvl>
  </w:abstractNum>
  <w:abstractNum w:abstractNumId="263">
    <w:nsid w:val="48249DBF"/>
    <w:multiLevelType w:val="hybridMultilevel"/>
    <w:lvl w:ilvl="0">
      <w:lvlJc w:val="left"/>
      <w:lvlText w:val="%1."/>
      <w:numFmt w:val="lowerLetter"/>
      <w:start w:val="1"/>
    </w:lvl>
  </w:abstractNum>
  <w:abstractNum w:abstractNumId="264">
    <w:nsid w:val="1F0E5D0D"/>
    <w:multiLevelType w:val="hybridMultilevel"/>
    <w:lvl w:ilvl="0">
      <w:lvlJc w:val="left"/>
      <w:lvlText w:val="%1"/>
      <w:numFmt w:val="decimal"/>
      <w:start w:val="1"/>
    </w:lvl>
    <w:lvl w:ilvl="1">
      <w:lvlJc w:val="left"/>
      <w:lvlText w:val="%2."/>
      <w:numFmt w:val="lowerLetter"/>
      <w:start w:val="5"/>
    </w:lvl>
  </w:abstractNum>
  <w:abstractNum w:abstractNumId="265">
    <w:nsid w:val="26BAAE9"/>
    <w:multiLevelType w:val="hybridMultilevel"/>
    <w:lvl w:ilvl="0">
      <w:lvlJc w:val="left"/>
      <w:lvlText w:val="%1."/>
      <w:numFmt w:val="decimal"/>
      <w:start w:val="12"/>
    </w:lvl>
    <w:lvl w:ilvl="1">
      <w:lvlJc w:val="left"/>
      <w:lvlText w:val="%2"/>
      <w:numFmt w:val="lowerLetter"/>
      <w:start w:val="1"/>
    </w:lvl>
  </w:abstractNum>
  <w:abstractNum w:abstractNumId="266">
    <w:nsid w:val="2C02FE8C"/>
    <w:multiLevelType w:val="hybridMultilevel"/>
    <w:lvl w:ilvl="0">
      <w:lvlJc w:val="left"/>
      <w:lvlText w:val="%1."/>
      <w:numFmt w:val="decimal"/>
      <w:start w:val="14"/>
    </w:lvl>
  </w:abstractNum>
  <w:abstractNum w:abstractNumId="267">
    <w:nsid w:val="129517E"/>
    <w:multiLevelType w:val="hybridMultilevel"/>
    <w:lvl w:ilvl="0">
      <w:lvlJc w:val="left"/>
      <w:lvlText w:val="%1."/>
      <w:numFmt w:val="decimal"/>
      <w:start w:val="19"/>
    </w:lvl>
  </w:abstractNum>
  <w:abstractNum w:abstractNumId="268">
    <w:nsid w:val="763B8C4E"/>
    <w:multiLevelType w:val="hybridMultilevel"/>
    <w:lvl w:ilvl="0">
      <w:lvlJc w:val="left"/>
      <w:lvlText w:val="(%1)"/>
      <w:numFmt w:val="lowerRoman"/>
      <w:start w:val="1"/>
    </w:lvl>
    <w:lvl w:ilvl="1">
      <w:lvlJc w:val="left"/>
      <w:lvlText w:val="%2."/>
      <w:numFmt w:val="decimal"/>
      <w:start w:val="21"/>
    </w:lvl>
  </w:abstractNum>
  <w:abstractNum w:abstractNumId="269">
    <w:nsid w:val="4CFB8D32"/>
    <w:multiLevelType w:val="hybridMultilevel"/>
    <w:lvl w:ilvl="0">
      <w:lvlJc w:val="left"/>
      <w:lvlText w:val="%1"/>
      <w:numFmt w:val="decimal"/>
      <w:start w:val="1"/>
    </w:lvl>
    <w:lvl w:ilvl="1">
      <w:lvlJc w:val="left"/>
      <w:lvlText w:val="%2."/>
      <w:numFmt w:val="decimal"/>
      <w:start w:val="27"/>
    </w:lvl>
  </w:abstractNum>
  <w:abstractNum w:abstractNumId="270">
    <w:nsid w:val="62A5D5BD"/>
    <w:multiLevelType w:val="hybridMultilevel"/>
    <w:lvl w:ilvl="0">
      <w:lvlJc w:val="left"/>
      <w:lvlText w:val="(%1)"/>
      <w:numFmt w:val="decimal"/>
      <w:start w:val="21"/>
    </w:lvl>
    <w:lvl w:ilvl="1">
      <w:lvlJc w:val="left"/>
      <w:lvlText w:val="%2"/>
      <w:numFmt w:val="decimal"/>
      <w:start w:val="1"/>
    </w:lvl>
  </w:abstractNum>
  <w:abstractNum w:abstractNumId="271">
    <w:nsid w:val="718FABF9"/>
    <w:multiLevelType w:val="hybridMultilevel"/>
    <w:lvl w:ilvl="0">
      <w:lvlJc w:val="left"/>
      <w:lvlText w:val="%1."/>
      <w:numFmt w:val="decimal"/>
      <w:start w:val="29"/>
    </w:lvl>
    <w:lvl w:ilvl="1">
      <w:lvlJc w:val="left"/>
      <w:lvlText w:val="(%2)"/>
      <w:numFmt w:val="lowerLetter"/>
      <w:start w:val="1"/>
    </w:lvl>
  </w:abstractNum>
  <w:abstractNum w:abstractNumId="272">
    <w:nsid w:val="7775797C"/>
    <w:multiLevelType w:val="hybridMultilevel"/>
    <w:lvl w:ilvl="0">
      <w:lvlJc w:val="left"/>
      <w:lvlText w:val="*"/>
      <w:numFmt w:val="bullet"/>
      <w:start w:val="1"/>
    </w:lvl>
  </w:abstractNum>
  <w:abstractNum w:abstractNumId="273">
    <w:nsid w:val="1626FB8C"/>
    <w:multiLevelType w:val="hybridMultilevel"/>
    <w:lvl w:ilvl="0">
      <w:lvlJc w:val="left"/>
      <w:lvlText w:val="(%1)"/>
      <w:numFmt w:val="lowerLetter"/>
      <w:start w:val="1"/>
    </w:lvl>
  </w:abstractNum>
  <w:abstractNum w:abstractNumId="274">
    <w:nsid w:val="3957756A"/>
    <w:multiLevelType w:val="hybridMultilevel"/>
    <w:lvl w:ilvl="0">
      <w:lvlJc w:val="left"/>
      <w:lvlText w:val="(%1)"/>
      <w:numFmt w:val="decimal"/>
      <w:start w:val="2"/>
    </w:lvl>
  </w:abstractNum>
  <w:abstractNum w:abstractNumId="275">
    <w:nsid w:val="3E6DA1C7"/>
    <w:multiLevelType w:val="hybridMultilevel"/>
    <w:lvl w:ilvl="0">
      <w:lvlJc w:val="left"/>
      <w:lvlText w:val="(%1)"/>
      <w:numFmt w:val="decimal"/>
      <w:start w:val="1"/>
    </w:lvl>
  </w:abstractNum>
  <w:abstractNum w:abstractNumId="276">
    <w:nsid w:val="65CA235B"/>
    <w:multiLevelType w:val="hybridMultilevel"/>
    <w:lvl w:ilvl="0">
      <w:lvlJc w:val="left"/>
      <w:lvlText w:val="(%1)"/>
      <w:numFmt w:val="lowerLetter"/>
      <w:start w:val="1"/>
    </w:lvl>
    <w:lvl w:ilvl="1">
      <w:lvlJc w:val="left"/>
      <w:lvlText w:val="(%2)"/>
      <w:numFmt w:val="lowerLetter"/>
      <w:start w:val="9"/>
    </w:lvl>
  </w:abstractNum>
  <w:abstractNum w:abstractNumId="277">
    <w:nsid w:val="51CB0DA4"/>
    <w:multiLevelType w:val="hybridMultilevel"/>
    <w:lvl w:ilvl="0">
      <w:lvlJc w:val="left"/>
      <w:lvlText w:val="(%1)"/>
      <w:numFmt w:val="lowerRoman"/>
      <w:start w:val="2"/>
    </w:lvl>
    <w:lvl w:ilvl="1">
      <w:lvlJc w:val="left"/>
      <w:lvlText w:val="(%2)"/>
      <w:numFmt w:val="lowerLetter"/>
      <w:start w:val="61"/>
    </w:lvl>
  </w:abstractNum>
  <w:abstractNum w:abstractNumId="278">
    <w:nsid w:val="7B9B743C"/>
    <w:multiLevelType w:val="hybridMultilevel"/>
    <w:lvl w:ilvl="0">
      <w:lvlJc w:val="left"/>
      <w:lvlText w:val="(%1)"/>
      <w:numFmt w:val="decimal"/>
      <w:start w:val="2"/>
    </w:lvl>
  </w:abstractNum>
  <w:abstractNum w:abstractNumId="279">
    <w:nsid w:val="13E21002"/>
    <w:multiLevelType w:val="hybridMultilevel"/>
    <w:lvl w:ilvl="0">
      <w:lvlJc w:val="left"/>
      <w:lvlText w:val="➢"/>
      <w:numFmt w:val="bullet"/>
      <w:start w:val="1"/>
    </w:lvl>
  </w:abstractNum>
  <w:abstractNum w:abstractNumId="280">
    <w:nsid w:val="257D63F4"/>
    <w:multiLevelType w:val="hybridMultilevel"/>
    <w:lvl w:ilvl="0">
      <w:lvlJc w:val="left"/>
      <w:lvlText w:val="-"/>
      <w:numFmt w:val="bullet"/>
      <w:start w:val="1"/>
    </w:lvl>
  </w:abstractNum>
  <w:abstractNum w:abstractNumId="281">
    <w:nsid w:val="70EC11B2"/>
    <w:multiLevelType w:val="hybridMultilevel"/>
    <w:lvl w:ilvl="0">
      <w:lvlJc w:val="left"/>
      <w:lvlText w:val="➢"/>
      <w:numFmt w:val="bullet"/>
      <w:start w:val="1"/>
    </w:lvl>
  </w:abstractNum>
  <w:abstractNum w:abstractNumId="282">
    <w:nsid w:val="2EDA00ED"/>
    <w:multiLevelType w:val="hybridMultilevel"/>
    <w:lvl w:ilvl="0">
      <w:lvlJc w:val="left"/>
      <w:lvlText w:val="(%1)"/>
      <w:numFmt w:val="lowerLetter"/>
      <w:start w:val="1"/>
    </w:lvl>
  </w:abstractNum>
  <w:abstractNum w:abstractNumId="283">
    <w:nsid w:val="73209072"/>
    <w:multiLevelType w:val="hybridMultilevel"/>
    <w:lvl w:ilvl="0">
      <w:lvlJc w:val="left"/>
      <w:lvlText w:val="(%1)"/>
      <w:numFmt w:val="lowerLetter"/>
      <w:start w:val="1"/>
    </w:lvl>
  </w:abstractNum>
  <w:abstractNum w:abstractNumId="284">
    <w:nsid w:val="5FB29816"/>
    <w:multiLevelType w:val="hybridMultilevel"/>
    <w:lvl w:ilvl="0">
      <w:lvlJc w:val="left"/>
      <w:lvlText w:val="(%1)"/>
      <w:numFmt w:val="lowerRoman"/>
      <w:start w:val="3"/>
    </w:lvl>
  </w:abstractNum>
  <w:abstractNum w:abstractNumId="285">
    <w:nsid w:val="3CE732EC"/>
    <w:multiLevelType w:val="hybridMultilevel"/>
    <w:lvl w:ilvl="0">
      <w:lvlJc w:val="left"/>
      <w:lvlText w:val="(%1)"/>
      <w:numFmt w:val="lowerLetter"/>
      <w:start w:val="1"/>
    </w:lvl>
  </w:abstractNum>
  <w:abstractNum w:abstractNumId="286">
    <w:nsid w:val="22F13DF3"/>
    <w:multiLevelType w:val="hybridMultilevel"/>
    <w:lvl w:ilvl="0">
      <w:lvlJc w:val="left"/>
      <w:lvlText w:val="(%1)"/>
      <w:numFmt w:val="lowerLetter"/>
      <w:start w:val="1"/>
    </w:lvl>
  </w:abstractNum>
  <w:abstractNum w:abstractNumId="287">
    <w:nsid w:val="792B8401"/>
    <w:multiLevelType w:val="hybridMultilevel"/>
    <w:lvl w:ilvl="0">
      <w:lvlJc w:val="left"/>
      <w:lvlText w:val="(%1)"/>
      <w:numFmt w:val="lowerLetter"/>
      <w:start w:val="1"/>
    </w:lvl>
  </w:abstractNum>
  <w:abstractNum w:abstractNumId="288">
    <w:nsid w:val="FA85F4D"/>
    <w:multiLevelType w:val="hybridMultilevel"/>
    <w:lvl w:ilvl="0">
      <w:lvlJc w:val="left"/>
      <w:lvlText w:val="(%1)"/>
      <w:numFmt w:val="lowerLetter"/>
      <w:start w:val="2"/>
    </w:lvl>
  </w:abstractNum>
  <w:abstractNum w:abstractNumId="289">
    <w:nsid w:val="6ECE91F0"/>
    <w:multiLevelType w:val="hybridMultilevel"/>
    <w:lvl w:ilvl="0">
      <w:lvlJc w:val="left"/>
      <w:lvlText w:val="(%1)"/>
      <w:numFmt w:val="lowerLetter"/>
      <w:start w:val="1"/>
    </w:lvl>
  </w:abstractNum>
  <w:abstractNum w:abstractNumId="290">
    <w:nsid w:val="4FC4D600"/>
    <w:multiLevelType w:val="hybridMultilevel"/>
    <w:lvl w:ilvl="0">
      <w:lvlJc w:val="left"/>
      <w:lvlText w:val="(%1)"/>
      <w:numFmt w:val="lowerLetter"/>
      <w:start w:val="1"/>
    </w:lvl>
  </w:abstractNum>
  <w:abstractNum w:abstractNumId="291">
    <w:nsid w:val="5BFD4210"/>
    <w:multiLevelType w:val="hybridMultilevel"/>
    <w:lvl w:ilvl="0">
      <w:lvlJc w:val="left"/>
      <w:lvlText w:val="(%1)"/>
      <w:numFmt w:val="lowerLetter"/>
      <w:start w:val="2"/>
    </w:lvl>
  </w:abstractNum>
  <w:abstractNum w:abstractNumId="292">
    <w:nsid w:val="76574F8B"/>
    <w:multiLevelType w:val="hybridMultilevel"/>
    <w:lvl w:ilvl="0">
      <w:lvlJc w:val="left"/>
      <w:lvlText w:val="(%1)"/>
      <w:numFmt w:val="lowerLetter"/>
      <w:start w:val="1"/>
    </w:lvl>
  </w:abstractNum>
  <w:abstractNum w:abstractNumId="293">
    <w:nsid w:val="178F7B67"/>
    <w:multiLevelType w:val="hybridMultilevel"/>
    <w:lvl w:ilvl="0">
      <w:lvlJc w:val="left"/>
      <w:lvlText w:val="(%1)"/>
      <w:numFmt w:val="decimal"/>
      <w:start w:val="1"/>
    </w:lvl>
  </w:abstractNum>
  <w:abstractNum w:abstractNumId="294">
    <w:nsid w:val="2421DFCF"/>
    <w:multiLevelType w:val="hybridMultilevel"/>
    <w:lvl w:ilvl="0">
      <w:lvlJc w:val="left"/>
      <w:lvlText w:val="(%1)"/>
      <w:numFmt w:val="lowerRoman"/>
      <w:start w:val="3"/>
    </w:lvl>
  </w:abstractNum>
  <w:abstractNum w:abstractNumId="295">
    <w:nsid w:val="1565AC99"/>
    <w:multiLevelType w:val="hybridMultilevel"/>
    <w:lvl w:ilvl="0">
      <w:lvlJc w:val="left"/>
      <w:lvlText w:val="(%1)"/>
      <w:numFmt w:val="lowerLetter"/>
      <w:start w:val="1"/>
    </w:lvl>
  </w:abstractNum>
  <w:abstractNum w:abstractNumId="296">
    <w:nsid w:val="19FB2650"/>
    <w:multiLevelType w:val="hybridMultilevel"/>
    <w:lvl w:ilvl="0">
      <w:lvlJc w:val="left"/>
      <w:lvlText w:val="(%1)"/>
      <w:numFmt w:val="lowerLetter"/>
      <w:start w:val="1"/>
    </w:lvl>
  </w:abstractNum>
  <w:abstractNum w:abstractNumId="297">
    <w:nsid w:val="5024DE5B"/>
    <w:multiLevelType w:val="hybridMultilevel"/>
    <w:lvl w:ilvl="0">
      <w:lvlJc w:val="left"/>
      <w:lvlText w:val="[***]"/>
      <w:numFmt w:val="bullet"/>
      <w:start w:val="1"/>
    </w:lvl>
  </w:abstractNum>
  <w:abstractNum w:abstractNumId="298">
    <w:nsid w:val="168EFE17"/>
    <w:multiLevelType w:val="hybridMultilevel"/>
    <w:lvl w:ilvl="0">
      <w:lvlJc w:val="left"/>
      <w:lvlText w:val="(%1)"/>
      <w:numFmt w:val="lowerLetter"/>
      <w:start w:val="1"/>
    </w:lvl>
  </w:abstractNum>
  <w:abstractNum w:abstractNumId="299">
    <w:nsid w:val="1036B29F"/>
    <w:multiLevelType w:val="hybridMultilevel"/>
    <w:lvl w:ilvl="0">
      <w:lvlJc w:val="left"/>
      <w:lvlText w:val="(%1)"/>
      <w:numFmt w:val="lowerLetter"/>
      <w:start w:val="1"/>
    </w:lvl>
  </w:abstractNum>
  <w:abstractNum w:abstractNumId="300">
    <w:nsid w:val="1D206B8E"/>
    <w:multiLevelType w:val="hybridMultilevel"/>
    <w:lvl w:ilvl="0">
      <w:lvlJc w:val="left"/>
      <w:lvlText w:val="[***]"/>
      <w:numFmt w:val="bullet"/>
      <w:start w:val="1"/>
    </w:lvl>
  </w:abstractNum>
  <w:abstractNum w:abstractNumId="301">
    <w:nsid w:val="7934D3D4"/>
    <w:multiLevelType w:val="hybridMultilevel"/>
    <w:lvl w:ilvl="0">
      <w:lvlJc w:val="left"/>
      <w:lvlText w:val="(%1)"/>
      <w:numFmt w:val="lowerLetter"/>
      <w:start w:val="1"/>
    </w:lvl>
  </w:abstractNum>
  <w:abstractNum w:abstractNumId="302">
    <w:nsid w:val="1C65E98"/>
    <w:multiLevelType w:val="hybridMultilevel"/>
    <w:lvl w:ilvl="0">
      <w:lvlJc w:val="left"/>
      <w:lvlText w:val="(%1)"/>
      <w:numFmt w:val="lowerLetter"/>
      <w:start w:val="1"/>
    </w:lvl>
  </w:abstractNum>
  <w:abstractNum w:abstractNumId="303">
    <w:nsid w:val="1495E50A"/>
    <w:multiLevelType w:val="hybridMultilevel"/>
    <w:lvl w:ilvl="0">
      <w:lvlJc w:val="left"/>
      <w:lvlText w:val="(%1)"/>
      <w:numFmt w:val="lowerLetter"/>
      <w:start w:val="3"/>
    </w:lvl>
  </w:abstractNum>
  <w:abstractNum w:abstractNumId="304">
    <w:nsid w:val="F5BCF61"/>
    <w:multiLevelType w:val="hybridMultilevel"/>
    <w:lvl w:ilvl="0">
      <w:lvlJc w:val="left"/>
      <w:lvlText w:val="[***]"/>
      <w:numFmt w:val="bullet"/>
      <w:start w:val="1"/>
    </w:lvl>
  </w:abstractNum>
  <w:abstractNum w:abstractNumId="305">
    <w:nsid w:val="3B1DD403"/>
    <w:multiLevelType w:val="hybridMultilevel"/>
    <w:lvl w:ilvl="0">
      <w:lvlJc w:val="left"/>
      <w:lvlText w:val="(%1)"/>
      <w:numFmt w:val="lowerLetter"/>
      <w:start w:val="2"/>
    </w:lvl>
  </w:abstractNum>
  <w:abstractNum w:abstractNumId="306">
    <w:nsid w:val="530386D1"/>
    <w:multiLevelType w:val="hybridMultilevel"/>
    <w:lvl w:ilvl="0">
      <w:lvlJc w:val="left"/>
      <w:lvlText w:val="(%1)"/>
      <w:numFmt w:val="lowerRoman"/>
      <w:start w:val="4"/>
    </w:lvl>
  </w:abstractNum>
  <w:abstractNum w:abstractNumId="307">
    <w:nsid w:val="7525F2BC"/>
    <w:multiLevelType w:val="hybridMultilevel"/>
    <w:lvl w:ilvl="0">
      <w:lvlJc w:val="left"/>
      <w:lvlText w:val="(%1)"/>
      <w:numFmt w:val="lowerLetter"/>
      <w:start w:val="1"/>
    </w:lvl>
  </w:abstractNum>
  <w:abstractNum w:abstractNumId="308">
    <w:nsid w:val="CE8E1A7"/>
    <w:multiLevelType w:val="hybridMultilevel"/>
    <w:lvl w:ilvl="0">
      <w:lvlJc w:val="left"/>
      <w:lvlText w:val="(%1)"/>
      <w:numFmt w:val="lowerLetter"/>
      <w:start w:val="2"/>
    </w:lvl>
  </w:abstractNum>
  <w:abstractNum w:abstractNumId="309">
    <w:nsid w:val="4E9EFB0D"/>
    <w:multiLevelType w:val="hybridMultilevel"/>
    <w:lvl w:ilvl="0">
      <w:lvlJc w:val="left"/>
      <w:lvlText w:val="[***]"/>
      <w:numFmt w:val="bullet"/>
      <w:start w:val="1"/>
    </w:lvl>
  </w:abstractNum>
  <w:abstractNum w:abstractNumId="310">
    <w:nsid w:val="90802BE"/>
    <w:multiLevelType w:val="hybridMultilevel"/>
    <w:lvl w:ilvl="0">
      <w:lvlJc w:val="left"/>
      <w:lvlText w:val="(%1)"/>
      <w:numFmt w:val="lowerLetter"/>
      <w:start w:val="1"/>
    </w:lvl>
  </w:abstractNum>
  <w:abstractNum w:abstractNumId="311">
    <w:nsid w:val="3266459B"/>
    <w:multiLevelType w:val="hybridMultilevel"/>
    <w:lvl w:ilvl="0">
      <w:lvlJc w:val="left"/>
      <w:lvlText w:val="(%1)"/>
      <w:numFmt w:val="lowerLetter"/>
      <w:start w:val="1"/>
    </w:lvl>
  </w:abstractNum>
  <w:abstractNum w:abstractNumId="312">
    <w:nsid w:val="3F8B0CBF"/>
    <w:multiLevelType w:val="hybridMultilevel"/>
    <w:lvl w:ilvl="0">
      <w:lvlJc w:val="left"/>
      <w:lvlText w:val="(%1)"/>
      <w:numFmt w:val="lowerLetter"/>
      <w:start w:val="1"/>
    </w:lvl>
  </w:abstractNum>
  <w:abstractNum w:abstractNumId="313">
    <w:nsid w:val="37E203AB"/>
    <w:multiLevelType w:val="hybridMultilevel"/>
    <w:lvl w:ilvl="0">
      <w:lvlJc w:val="left"/>
      <w:lvlText w:val="(%1)"/>
      <w:numFmt w:val="lowerLetter"/>
      <w:start w:val="1"/>
    </w:lvl>
  </w:abstractNum>
  <w:abstractNum w:abstractNumId="314">
    <w:nsid w:val="2586D60E"/>
    <w:multiLevelType w:val="hybridMultilevel"/>
    <w:lvl w:ilvl="0">
      <w:lvlJc w:val="left"/>
      <w:lvlText w:val="(%1)"/>
      <w:numFmt w:val="lowerLetter"/>
      <w:start w:val="2"/>
    </w:lvl>
  </w:abstractNum>
  <w:abstractNum w:abstractNumId="315">
    <w:nsid w:val="1F3DA4D5"/>
    <w:multiLevelType w:val="hybridMultilevel"/>
    <w:lvl w:ilvl="0">
      <w:lvlJc w:val="left"/>
      <w:lvlText w:val="(%1)"/>
      <w:numFmt w:val="lowerLetter"/>
      <w:start w:val="3"/>
    </w:lvl>
  </w:abstractNum>
  <w:abstractNum w:abstractNumId="316">
    <w:nsid w:val="74C93698"/>
    <w:multiLevelType w:val="hybridMultilevel"/>
    <w:lvl w:ilvl="0">
      <w:lvlJc w:val="left"/>
      <w:lvlText w:val="%1"/>
      <w:numFmt w:val="upperLetter"/>
      <w:start w:val="1"/>
    </w:lvl>
    <w:lvl w:ilvl="1">
      <w:lvlJc w:val="left"/>
      <w:lvlText w:val="(%2)"/>
      <w:numFmt w:val="lowerLetter"/>
      <w:start w:val="6"/>
    </w:lvl>
  </w:abstractNum>
  <w:abstractNum w:abstractNumId="317">
    <w:nsid w:val="48781401"/>
    <w:multiLevelType w:val="hybridMultilevel"/>
    <w:lvl w:ilvl="0">
      <w:lvlJc w:val="left"/>
      <w:lvlText w:val="(%1)"/>
      <w:numFmt w:val="upperLetter"/>
      <w:start w:val="3"/>
    </w:lvl>
    <w:lvl w:ilvl="1">
      <w:lvlJc w:val="left"/>
      <w:lvlText w:val="(%2)"/>
      <w:numFmt w:val="lowerLetter"/>
      <w:start w:val="7"/>
    </w:lvl>
  </w:abstractNum>
  <w:abstractNum w:abstractNumId="318">
    <w:nsid w:val="186928D6"/>
    <w:multiLevelType w:val="hybridMultilevel"/>
    <w:lvl w:ilvl="0">
      <w:lvlJc w:val="left"/>
      <w:lvlText w:val="(%1)"/>
      <w:numFmt w:val="lowerLetter"/>
      <w:start w:val="12"/>
    </w:lvl>
  </w:abstractNum>
  <w:abstractNum w:abstractNumId="319">
    <w:nsid w:val="47195E5"/>
    <w:multiLevelType w:val="hybridMultilevel"/>
    <w:lvl w:ilvl="0">
      <w:lvlJc w:val="left"/>
      <w:lvlText w:val="(%1)"/>
      <w:numFmt w:val="lowerLetter"/>
      <w:start w:val="15"/>
    </w:lvl>
  </w:abstractNum>
  <w:abstractNum w:abstractNumId="320">
    <w:nsid w:val="3746A5F2"/>
    <w:multiLevelType w:val="hybridMultilevel"/>
    <w:lvl w:ilvl="0">
      <w:lvlJc w:val="left"/>
      <w:lvlText w:val="%1"/>
      <w:numFmt w:val="upperLetter"/>
      <w:start w:val="1"/>
    </w:lvl>
    <w:lvl w:ilvl="1">
      <w:lvlJc w:val="left"/>
      <w:lvlText w:val="(%2)"/>
      <w:numFmt w:val="lowerLetter"/>
      <w:start w:val="19"/>
    </w:lvl>
  </w:abstractNum>
  <w:abstractNum w:abstractNumId="321">
    <w:nsid w:val="682DFED6"/>
    <w:multiLevelType w:val="hybridMultilevel"/>
    <w:lvl w:ilvl="0">
      <w:lvlJc w:val="left"/>
      <w:lvlText w:val="(%1)"/>
      <w:numFmt w:val="upperLetter"/>
      <w:start w:val="1"/>
    </w:lvl>
    <w:lvl w:ilvl="1">
      <w:lvlJc w:val="left"/>
      <w:lvlText w:val="(%2)"/>
      <w:numFmt w:val="lowerLetter"/>
      <w:start w:val="20"/>
    </w:lvl>
  </w:abstractNum>
  <w:abstractNum w:abstractNumId="322">
    <w:nsid w:val="606ED7F6"/>
    <w:multiLevelType w:val="hybridMultilevel"/>
    <w:lvl w:ilvl="0">
      <w:lvlJc w:val="left"/>
      <w:lvlText w:val="(%1)"/>
      <w:numFmt w:val="lowerRoman"/>
      <w:start w:val="5"/>
    </w:lvl>
  </w:abstractNum>
  <w:abstractNum w:abstractNumId="323">
    <w:nsid w:val="2D9DF57D"/>
    <w:multiLevelType w:val="hybridMultilevel"/>
    <w:lvl w:ilvl="0">
      <w:lvlJc w:val="left"/>
      <w:lvlText w:val="%1"/>
      <w:numFmt w:val="lowerLetter"/>
      <w:start w:val="1"/>
    </w:lvl>
    <w:lvl w:ilvl="1">
      <w:lvlJc w:val="left"/>
      <w:lvlText w:val="(%2)"/>
      <w:numFmt w:val="lowerLetter"/>
      <w:start w:val="23"/>
    </w:lvl>
  </w:abstractNum>
  <w:abstractNum w:abstractNumId="324">
    <w:nsid w:val="7FBD7A3E"/>
    <w:multiLevelType w:val="hybridMultilevel"/>
    <w:lvl w:ilvl="0">
      <w:lvlJc w:val="left"/>
      <w:lvlText w:val="(%1)"/>
      <w:numFmt w:val="lowerLetter"/>
      <w:start w:val="9"/>
    </w:lvl>
    <w:lvl w:ilvl="1">
      <w:lvlJc w:val="left"/>
      <w:lvlText w:val="(%2)"/>
      <w:numFmt w:val="lowerLetter"/>
      <w:start w:val="25"/>
    </w:lvl>
  </w:abstractNum>
  <w:abstractNum w:abstractNumId="325">
    <w:nsid w:val="490B7C5"/>
    <w:multiLevelType w:val="hybridMultilevel"/>
    <w:lvl w:ilvl="0">
      <w:lvlJc w:val="left"/>
      <w:lvlText w:val="(%1)"/>
      <w:numFmt w:val="lowerLetter"/>
      <w:start w:val="27"/>
    </w:lvl>
  </w:abstractNum>
  <w:abstractNum w:abstractNumId="326">
    <w:nsid w:val="4303A216"/>
    <w:multiLevelType w:val="hybridMultilevel"/>
    <w:lvl w:ilvl="0">
      <w:lvlJc w:val="left"/>
      <w:lvlText w:val="(%1)"/>
      <w:numFmt w:val="lowerRoman"/>
      <w:start w:val="2"/>
    </w:lvl>
  </w:abstractNum>
  <w:abstractNum w:abstractNumId="327">
    <w:nsid w:val="19B8A08E"/>
    <w:multiLevelType w:val="hybridMultilevel"/>
    <w:lvl w:ilvl="0">
      <w:lvlJc w:val="left"/>
      <w:lvlText w:val="(%1)"/>
      <w:numFmt w:val="lowerRoman"/>
      <w:start w:val="6"/>
    </w:lvl>
  </w:abstractNum>
  <w:abstractNum w:abstractNumId="328">
    <w:nsid w:val="54B59621"/>
    <w:multiLevelType w:val="hybridMultilevel"/>
    <w:lvl w:ilvl="0">
      <w:lvlJc w:val="left"/>
      <w:lvlText w:val="%1"/>
      <w:numFmt w:val="lowerLetter"/>
      <w:start w:val="1"/>
    </w:lvl>
    <w:lvl w:ilvl="1">
      <w:lvlJc w:val="left"/>
      <w:lvlText w:val="(%2)"/>
      <w:numFmt w:val="lowerLetter"/>
      <w:start w:val="1"/>
    </w:lvl>
  </w:abstractNum>
  <w:abstractNum w:abstractNumId="329">
    <w:nsid w:val="5992A02E"/>
    <w:multiLevelType w:val="hybridMultilevel"/>
    <w:lvl w:ilvl="0">
      <w:lvlJc w:val="left"/>
      <w:lvlText w:val="(%1)"/>
      <w:numFmt w:val="lowerLetter"/>
      <w:start w:val="3"/>
    </w:lvl>
    <w:lvl w:ilvl="1">
      <w:lvlJc w:val="left"/>
      <w:lvlText w:val="%2"/>
      <w:numFmt w:val="lowerLetter"/>
      <w:start w:val="1"/>
    </w:lvl>
  </w:abstractNum>
  <w:abstractNum w:abstractNumId="330">
    <w:nsid w:val="29EF532D"/>
    <w:multiLevelType w:val="hybridMultilevel"/>
    <w:lvl w:ilvl="0">
      <w:lvlJc w:val="left"/>
      <w:lvlText w:val="(%1)"/>
      <w:numFmt w:val="lowerLetter"/>
      <w:start w:val="7"/>
    </w:lvl>
    <w:lvl w:ilvl="1">
      <w:lvlJc w:val="left"/>
      <w:lvlText w:val="(%2)"/>
      <w:numFmt w:val="lowerLetter"/>
      <w:start w:val="10"/>
    </w:lvl>
  </w:abstractNum>
  <w:abstractNum w:abstractNumId="331">
    <w:nsid w:val="71D601AF"/>
    <w:multiLevelType w:val="hybridMultilevel"/>
    <w:lvl w:ilvl="0">
      <w:lvlJc w:val="left"/>
      <w:lvlText w:val="%1"/>
      <w:numFmt w:val="lowerLetter"/>
      <w:start w:val="1"/>
    </w:lvl>
    <w:lvl w:ilvl="1">
      <w:lvlJc w:val="left"/>
      <w:lvlText w:val="(%2)"/>
      <w:numFmt w:val="lowerLetter"/>
      <w:start w:val="11"/>
    </w:lvl>
  </w:abstractNum>
  <w:abstractNum w:abstractNumId="332">
    <w:nsid w:val="52C77402"/>
    <w:multiLevelType w:val="hybridMultilevel"/>
    <w:lvl w:ilvl="0">
      <w:lvlJc w:val="left"/>
      <w:lvlText w:val="(%1)"/>
      <w:numFmt w:val="lowerLetter"/>
      <w:start w:val="22"/>
    </w:lvl>
    <w:lvl w:ilvl="1">
      <w:lvlJc w:val="left"/>
      <w:lvlText w:val="%2"/>
      <w:numFmt w:val="lowerLetter"/>
      <w:start w:val="1"/>
    </w:lvl>
  </w:abstractNum>
  <w:abstractNum w:abstractNumId="333">
    <w:nsid w:val="2BB5B1C6"/>
    <w:multiLevelType w:val="hybridMultilevel"/>
    <w:lvl w:ilvl="0">
      <w:lvlJc w:val="left"/>
      <w:lvlText w:val="%1"/>
      <w:numFmt w:val="upperLetter"/>
      <w:start w:val="1"/>
    </w:lvl>
    <w:lvl w:ilvl="1">
      <w:lvlJc w:val="left"/>
      <w:lvlText w:val="(%2)"/>
      <w:numFmt w:val="lowerLetter"/>
      <w:start w:val="1"/>
    </w:lvl>
  </w:abstractNum>
  <w:abstractNum w:abstractNumId="334">
    <w:nsid w:val="66BE6B9"/>
    <w:multiLevelType w:val="hybridMultilevel"/>
    <w:lvl w:ilvl="0">
      <w:lvlJc w:val="left"/>
      <w:lvlText w:val="(%1)"/>
      <w:numFmt w:val="upperLetter"/>
      <w:start w:val="2"/>
    </w:lvl>
    <w:lvl w:ilvl="1">
      <w:lvlJc w:val="left"/>
      <w:lvlText w:val="%2"/>
      <w:numFmt w:val="lowerLetter"/>
      <w:start w:val="1"/>
    </w:lvl>
  </w:abstractNum>
  <w:abstractNum w:abstractNumId="335">
    <w:nsid w:val="62234363"/>
    <w:multiLevelType w:val="hybridMultilevel"/>
    <w:lvl w:ilvl="0">
      <w:lvlJc w:val="left"/>
      <w:lvlText w:val="(%1)"/>
      <w:numFmt w:val="lowerLetter"/>
      <w:start w:val="2"/>
    </w:lvl>
  </w:abstractNum>
  <w:abstractNum w:abstractNumId="336">
    <w:nsid w:val="66D385C9"/>
    <w:multiLevelType w:val="hybridMultilevel"/>
    <w:lvl w:ilvl="0">
      <w:lvlJc w:val="left"/>
      <w:lvlText w:val="(%1)"/>
      <w:numFmt w:val="lowerLetter"/>
      <w:start w:val="4"/>
    </w:lvl>
  </w:abstractNum>
  <w:abstractNum w:abstractNumId="337">
    <w:nsid w:val="596F6D8A"/>
    <w:multiLevelType w:val="hybridMultilevel"/>
    <w:lvl w:ilvl="0">
      <w:lvlJc w:val="left"/>
      <w:lvlText w:val="(%1)"/>
      <w:numFmt w:val="lowerLetter"/>
      <w:start w:val="8"/>
    </w:lvl>
  </w:abstractNum>
  <w:abstractNum w:abstractNumId="338">
    <w:nsid w:val="5749361F"/>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1"/>
    </w:lvl>
    <w:lvl w:ilvl="3">
      <w:lvlJc w:val="left"/>
      <w:lvlText w:val="(%4)"/>
      <w:numFmt w:val="lowerLetter"/>
      <w:start w:val="12"/>
    </w:lvl>
    <w:lvl w:ilvl="4">
      <w:lvlJc w:val="left"/>
      <w:lvlText w:val="%5"/>
      <w:numFmt w:val="upperLetter"/>
      <w:start w:val="1"/>
    </w:lvl>
  </w:abstractNum>
  <w:abstractNum w:abstractNumId="339">
    <w:nsid w:val="73BC6770"/>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1"/>
    </w:lvl>
    <w:lvl w:ilvl="3">
      <w:lvlJc w:val="left"/>
      <w:lvlText w:val="%4"/>
      <w:numFmt w:val="lowerLetter"/>
      <w:start w:val="1"/>
    </w:lvl>
    <w:lvl w:ilvl="4">
      <w:lvlJc w:val="left"/>
      <w:lvlText w:val="%5"/>
      <w:numFmt w:val="upperLetter"/>
      <w:start w:val="1"/>
    </w:lvl>
  </w:abstractNum>
  <w:abstractNum w:abstractNumId="340">
    <w:nsid w:val="280E6897"/>
    <w:multiLevelType w:val="hybridMultilevel"/>
    <w:lvl w:ilvl="0">
      <w:lvlJc w:val="left"/>
      <w:lvlText w:val="%1"/>
      <w:numFmt w:val="lowerLetter"/>
      <w:start w:val="1"/>
    </w:lvl>
    <w:lvl w:ilvl="1">
      <w:lvlJc w:val="left"/>
      <w:lvlText w:val="(%2)"/>
      <w:numFmt w:val="upperLetter"/>
      <w:start w:val="2"/>
    </w:lvl>
    <w:lvl w:ilvl="2">
      <w:lvlJc w:val="left"/>
      <w:lvlText w:val="%3"/>
      <w:numFmt w:val="upperLetter"/>
      <w:start w:val="1"/>
    </w:lvl>
    <w:lvl w:ilvl="3">
      <w:lvlJc w:val="left"/>
      <w:lvlText w:val="%4"/>
      <w:numFmt w:val="lowerLetter"/>
      <w:start w:val="1"/>
    </w:lvl>
    <w:lvl w:ilvl="4">
      <w:lvlJc w:val="left"/>
      <w:lvlText w:val="%5"/>
      <w:numFmt w:val="upperLetter"/>
      <w:start w:val="1"/>
    </w:lvl>
  </w:abstractNum>
  <w:abstractNum w:abstractNumId="341">
    <w:nsid w:val="605138DE"/>
    <w:multiLevelType w:val="hybridMultilevel"/>
    <w:lvl w:ilvl="0">
      <w:lvlJc w:val="left"/>
      <w:lvlText w:val="(%1)"/>
      <w:numFmt w:val="lowerLetter"/>
      <w:start w:val="16"/>
    </w:lvl>
    <w:lvl w:ilvl="1">
      <w:lvlJc w:val="left"/>
      <w:lvlText w:val="%2"/>
      <w:numFmt w:val="upperLetter"/>
      <w:start w:val="1"/>
    </w:lvl>
    <w:lvl w:ilvl="2">
      <w:lvlJc w:val="left"/>
      <w:lvlText w:val="%3"/>
      <w:numFmt w:val="upperLetter"/>
      <w:start w:val="1"/>
    </w:lvl>
    <w:lvl w:ilvl="3">
      <w:lvlJc w:val="left"/>
      <w:lvlText w:val="%4"/>
      <w:numFmt w:val="lowerLetter"/>
      <w:start w:val="1"/>
    </w:lvl>
    <w:lvl w:ilvl="4">
      <w:lvlJc w:val="left"/>
      <w:lvlText w:val="(%5)"/>
      <w:numFmt w:val="upperLetter"/>
      <w:start w:val="4"/>
    </w:lvl>
  </w:abstractNum>
  <w:abstractNum w:abstractNumId="342">
    <w:nsid w:val="2622AD0C"/>
    <w:multiLevelType w:val="hybridMultilevel"/>
    <w:lvl w:ilvl="0">
      <w:lvlJc w:val="left"/>
      <w:lvlText w:val="(%1)"/>
      <w:numFmt w:val="upperLetter"/>
      <w:start w:val="2"/>
    </w:lvl>
    <w:lvl w:ilvl="1">
      <w:lvlJc w:val="left"/>
      <w:lvlText w:val="(%2)"/>
      <w:numFmt w:val="lowerLetter"/>
      <w:start w:val="17"/>
    </w:lvl>
  </w:abstractNum>
  <w:abstractNum w:abstractNumId="343">
    <w:nsid w:val="67997556"/>
    <w:multiLevelType w:val="hybridMultilevel"/>
    <w:lvl w:ilvl="0">
      <w:lvlJc w:val="left"/>
      <w:lvlText w:val="(%1)"/>
      <w:numFmt w:val="lowerLetter"/>
      <w:start w:val="19"/>
    </w:lvl>
  </w:abstractNum>
  <w:abstractNum w:abstractNumId="344">
    <w:nsid w:val="18333C89"/>
    <w:multiLevelType w:val="hybridMultilevel"/>
    <w:lvl w:ilvl="0">
      <w:lvlJc w:val="left"/>
      <w:lvlText w:val="(%1)"/>
      <w:numFmt w:val="lowerLetter"/>
      <w:start w:val="1"/>
    </w:lvl>
  </w:abstractNum>
  <w:abstractNum w:abstractNumId="345">
    <w:nsid w:val="4BA9831A"/>
    <w:multiLevelType w:val="hybridMultilevel"/>
    <w:lvl w:ilvl="0">
      <w:lvlJc w:val="left"/>
      <w:lvlText w:val="(%1)"/>
      <w:numFmt w:val="lowerLetter"/>
      <w:start w:val="4"/>
    </w:lvl>
  </w:abstractNum>
  <w:abstractNum w:abstractNumId="346">
    <w:nsid w:val="6D71A2B"/>
    <w:multiLevelType w:val="hybridMultilevel"/>
    <w:lvl w:ilvl="0">
      <w:lvlJc w:val="left"/>
      <w:lvlText w:val="(%1)"/>
      <w:numFmt w:val="lowerLetter"/>
      <w:start w:val="7"/>
    </w:lvl>
  </w:abstractNum>
  <w:abstractNum w:abstractNumId="347">
    <w:nsid w:val="CFC7321"/>
    <w:multiLevelType w:val="hybridMultilevel"/>
    <w:lvl w:ilvl="0">
      <w:lvlJc w:val="left"/>
      <w:lvlText w:val="%1"/>
      <w:numFmt w:val="lowerLetter"/>
      <w:start w:val="1"/>
    </w:lvl>
    <w:lvl w:ilvl="1">
      <w:lvlJc w:val="left"/>
      <w:lvlText w:val="(%2)"/>
      <w:numFmt w:val="lowerLetter"/>
      <w:start w:val="1"/>
    </w:lvl>
  </w:abstractNum>
  <w:abstractNum w:abstractNumId="348">
    <w:nsid w:val="1421971B"/>
    <w:multiLevelType w:val="hybridMultilevel"/>
    <w:lvl w:ilvl="0">
      <w:lvlJc w:val="left"/>
      <w:lvlText w:val="(%1)"/>
      <w:numFmt w:val="lowerLetter"/>
      <w:start w:val="35"/>
    </w:lvl>
    <w:lvl w:ilvl="1">
      <w:lvlJc w:val="left"/>
      <w:lvlText w:val="%2"/>
      <w:numFmt w:val="lowerLetter"/>
      <w:start w:val="1"/>
    </w:lvl>
  </w:abstractNum>
  <w:abstractNum w:abstractNumId="349">
    <w:nsid w:val="1F404301"/>
    <w:multiLevelType w:val="hybridMultilevel"/>
    <w:lvl w:ilvl="0">
      <w:lvlJc w:val="left"/>
      <w:lvlText w:val="(%1)"/>
      <w:numFmt w:val="lowerLetter"/>
      <w:start w:val="2"/>
    </w:lvl>
  </w:abstractNum>
  <w:abstractNum w:abstractNumId="350">
    <w:nsid w:val="116E0907"/>
    <w:multiLevelType w:val="hybridMultilevel"/>
    <w:lvl w:ilvl="0">
      <w:lvlJc w:val="left"/>
      <w:lvlText w:val="(%1)"/>
      <w:numFmt w:val="lowerLetter"/>
      <w:start w:val="4"/>
    </w:lvl>
  </w:abstractNum>
  <w:abstractNum w:abstractNumId="351">
    <w:nsid w:val="4B683D0D"/>
    <w:multiLevelType w:val="hybridMultilevel"/>
    <w:lvl w:ilvl="0">
      <w:lvlJc w:val="left"/>
      <w:lvlText w:val="(%1)"/>
      <w:numFmt w:val="lowerLetter"/>
      <w:start w:val="6"/>
    </w:lvl>
  </w:abstractNum>
  <w:abstractNum w:abstractNumId="352">
    <w:nsid w:val="76E41D8"/>
    <w:multiLevelType w:val="hybridMultilevel"/>
    <w:lvl w:ilvl="0">
      <w:lvlJc w:val="left"/>
      <w:lvlText w:val="(%1)"/>
      <w:numFmt w:val="lowerLetter"/>
      <w:start w:val="1"/>
    </w:lvl>
    <w:lvl w:ilvl="1">
      <w:lvlJc w:val="left"/>
      <w:lvlText w:val="(%2)"/>
      <w:numFmt w:val="lowerLetter"/>
      <w:start w:val="3"/>
    </w:lvl>
  </w:abstractNum>
  <w:abstractNum w:abstractNumId="353">
    <w:nsid w:val="71DCE0FD"/>
    <w:multiLevelType w:val="hybridMultilevel"/>
    <w:lvl w:ilvl="0">
      <w:lvlJc w:val="left"/>
      <w:lvlText w:val="(%1)"/>
      <w:numFmt w:val="lowerLetter"/>
      <w:start w:val="1"/>
    </w:lvl>
  </w:abstractNum>
  <w:abstractNum w:abstractNumId="354">
    <w:nsid w:val="7906328B"/>
    <w:multiLevelType w:val="hybridMultilevel"/>
    <w:lvl w:ilvl="0">
      <w:lvlJc w:val="left"/>
      <w:lvlText w:val="(%1)"/>
      <w:numFmt w:val="lowerLetter"/>
      <w:start w:val="2"/>
    </w:lvl>
  </w:abstractNum>
  <w:abstractNum w:abstractNumId="355">
    <w:nsid w:val="72BBC16"/>
    <w:multiLevelType w:val="hybridMultilevel"/>
    <w:lvl w:ilvl="0">
      <w:lvlJc w:val="left"/>
      <w:lvlText w:val="(%1)"/>
      <w:numFmt w:val="lowerLetter"/>
      <w:start w:val="5"/>
    </w:lvl>
  </w:abstractNum>
  <w:abstractNum w:abstractNumId="356">
    <w:nsid w:val="766D98C2"/>
    <w:multiLevelType w:val="hybridMultilevel"/>
    <w:lvl w:ilvl="0">
      <w:lvlJc w:val="left"/>
      <w:lvlText w:val="(%1)"/>
      <w:numFmt w:val="lowerLetter"/>
      <w:start w:val="8"/>
    </w:lvl>
  </w:abstractNum>
  <w:abstractNum w:abstractNumId="357">
    <w:nsid w:val="3C09D4A1"/>
    <w:multiLevelType w:val="hybridMultilevel"/>
    <w:lvl w:ilvl="0">
      <w:lvlJc w:val="left"/>
      <w:lvlText w:val="%1)"/>
      <w:numFmt w:val="decimal"/>
      <w:start w:val="1"/>
    </w:lvl>
  </w:abstractNum>
  <w:abstractNum w:abstractNumId="358">
    <w:nsid w:val="20E45CA4"/>
    <w:multiLevelType w:val="hybridMultilevel"/>
    <w:lvl w:ilvl="0">
      <w:lvlJc w:val="left"/>
      <w:lvlText w:val="%1."/>
      <w:numFmt w:val="decimal"/>
      <w:start w:val="1"/>
    </w:lvl>
    <w:lvl w:ilvl="1">
      <w:lvlJc w:val="left"/>
      <w:lvlText w:val="(%2)"/>
      <w:numFmt w:val="lowerLetter"/>
      <w:start w:val="1"/>
    </w:lvl>
  </w:abstractNum>
  <w:abstractNum w:abstractNumId="359">
    <w:nsid w:val="4B232EE3"/>
    <w:multiLevelType w:val="hybridMultilevel"/>
    <w:lvl w:ilvl="0">
      <w:lvlJc w:val="left"/>
      <w:lvlText w:val="%1."/>
      <w:numFmt w:val="decimal"/>
      <w:start w:val="1"/>
    </w:lvl>
    <w:lvl w:ilvl="1">
      <w:lvlJc w:val="left"/>
      <w:lvlText w:val="(%2)"/>
      <w:numFmt w:val="lowerLetter"/>
      <w:start w:val="1"/>
    </w:lvl>
  </w:abstractNum>
  <w:abstractNum w:abstractNumId="360">
    <w:nsid w:val="159C74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67" Type="http://schemas.openxmlformats.org/officeDocument/2006/relationships/image" Target="media/image344.png"/><Relationship Id="rId368" Type="http://schemas.openxmlformats.org/officeDocument/2006/relationships/image" Target="media/image345.png"/><Relationship Id="rId394"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pn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414" Type="http://schemas.openxmlformats.org/officeDocument/2006/relationships/image" Target="media/image359.png"/><Relationship Id="rId415" Type="http://schemas.openxmlformats.org/officeDocument/2006/relationships/image" Target="media/image360.png"/><Relationship Id="rId416" Type="http://schemas.openxmlformats.org/officeDocument/2006/relationships/image" Target="media/image361.png"/><Relationship Id="rId417" Type="http://schemas.openxmlformats.org/officeDocument/2006/relationships/image" Target="media/image362.png"/><Relationship Id="rId418" Type="http://schemas.openxmlformats.org/officeDocument/2006/relationships/image" Target="media/image363.png"/><Relationship Id="rId419" Type="http://schemas.openxmlformats.org/officeDocument/2006/relationships/image" Target="media/image364.png"/><Relationship Id="rId420" Type="http://schemas.openxmlformats.org/officeDocument/2006/relationships/image" Target="media/image365.png"/><Relationship Id="rId421" Type="http://schemas.openxmlformats.org/officeDocument/2006/relationships/image" Target="media/image366.jpeg"/><Relationship Id="rId422" Type="http://schemas.openxmlformats.org/officeDocument/2006/relationships/image" Target="media/image367.jpeg"/><Relationship Id="rId423" Type="http://schemas.openxmlformats.org/officeDocument/2006/relationships/image" Target="media/image368.png"/><Relationship Id="rId424" Type="http://schemas.openxmlformats.org/officeDocument/2006/relationships/image" Target="media/image369.png"/><Relationship Id="rId425" Type="http://schemas.openxmlformats.org/officeDocument/2006/relationships/image" Target="media/image370.png"/><Relationship Id="rId426" Type="http://schemas.openxmlformats.org/officeDocument/2006/relationships/image" Target="media/image371.png"/><Relationship Id="rId427" Type="http://schemas.openxmlformats.org/officeDocument/2006/relationships/image" Target="media/image372.png"/><Relationship Id="rId428" Type="http://schemas.openxmlformats.org/officeDocument/2006/relationships/image" Target="media/image373.png"/><Relationship Id="rId429" Type="http://schemas.openxmlformats.org/officeDocument/2006/relationships/image" Target="media/image374.png"/><Relationship Id="rId430" Type="http://schemas.openxmlformats.org/officeDocument/2006/relationships/image" Target="media/image375.png"/><Relationship Id="rId431" Type="http://schemas.openxmlformats.org/officeDocument/2006/relationships/image" Target="media/image376.png"/><Relationship Id="rId432" Type="http://schemas.openxmlformats.org/officeDocument/2006/relationships/image" Target="media/image377.png"/><Relationship Id="rId433" Type="http://schemas.openxmlformats.org/officeDocument/2006/relationships/image" Target="media/image378.png"/><Relationship Id="rId434" Type="http://schemas.openxmlformats.org/officeDocument/2006/relationships/image" Target="media/image379.png"/><Relationship Id="rId435" Type="http://schemas.openxmlformats.org/officeDocument/2006/relationships/image" Target="media/image380.png"/><Relationship Id="rId436" Type="http://schemas.openxmlformats.org/officeDocument/2006/relationships/image" Target="media/image381.png"/><Relationship Id="rId437" Type="http://schemas.openxmlformats.org/officeDocument/2006/relationships/image" Target="media/image382.png"/><Relationship Id="rId438" Type="http://schemas.openxmlformats.org/officeDocument/2006/relationships/image" Target="media/image383.png"/><Relationship Id="rId439" Type="http://schemas.openxmlformats.org/officeDocument/2006/relationships/image" Target="media/image384.png"/><Relationship Id="rId440" Type="http://schemas.openxmlformats.org/officeDocument/2006/relationships/image" Target="media/image385.png"/><Relationship Id="rId351" Type="http://schemas.openxmlformats.org/officeDocument/2006/relationships/hyperlink" Target="https://www.sec.gov/Archives/edgar/data/1601830/000119312524196505/d856792dex21.htm" TargetMode="External"/><Relationship Id="rId352" Type="http://schemas.openxmlformats.org/officeDocument/2006/relationships/hyperlink" Target="https://www.sec.gov/Archives/edgar/data/1601830/000110465924114487/tm2427472d1_ex2-1.htm" TargetMode="External"/><Relationship Id="rId353" Type="http://schemas.openxmlformats.org/officeDocument/2006/relationships/hyperlink" Target="https://www.sec.gov/Archives/edgar/data/0001601830/000119312521123764/d149444dex31.htm" TargetMode="External"/><Relationship Id="rId354" Type="http://schemas.openxmlformats.org/officeDocument/2006/relationships/hyperlink" Target="https://www.sec.gov/Archives/edgar/data/1601830/000160183024000009/a1-25x24amendedbylaws.htm" TargetMode="External"/><Relationship Id="rId355" Type="http://schemas.openxmlformats.org/officeDocument/2006/relationships/hyperlink" Target="https://www.sec.gov/Archives/edgar/data/0001601830/000119312521089610/d89478dex42.htm" TargetMode="External"/><Relationship Id="rId356" Type="http://schemas.openxmlformats.org/officeDocument/2006/relationships/hyperlink" Target="https://www.sec.gov/Archives/edgar/data/1601830/000160183023000036/exhibit42-valencexexchange.htm" TargetMode="External"/><Relationship Id="rId357" Type="http://schemas.openxmlformats.org/officeDocument/2006/relationships/hyperlink" Target="https://www.sec.gov/Archives/edgar/data/1601830/000119312522268003/d365090dex102.htm" TargetMode="External"/><Relationship Id="rId358" Type="http://schemas.openxmlformats.org/officeDocument/2006/relationships/hyperlink" Target="https://www.sec.gov/Archives/edgar/data/1601830/000160183023000036/exhibit43-valencexregistra.htm" TargetMode="External"/><Relationship Id="rId359" Type="http://schemas.openxmlformats.org/officeDocument/2006/relationships/hyperlink" Target="https://www.sec.gov/Archives/edgar/data/1601830/000160183023000044/exhibit41registrationagree.htm" TargetMode="External"/><Relationship Id="rId360" Type="http://schemas.openxmlformats.org/officeDocument/2006/relationships/hyperlink" Target="https://www.sec.gov/Archives/edgar/data/1601830/000160183023000050/ex102-rxrxxnvidiaregrights.htm" TargetMode="External"/><Relationship Id="rId361" Type="http://schemas.openxmlformats.org/officeDocument/2006/relationships/hyperlink" Target="https://www.sec.gov/Archives/edgar/data/0001601830/000119312521089610/d89478dex101.htm" TargetMode="External"/><Relationship Id="rId362" Type="http://schemas.openxmlformats.org/officeDocument/2006/relationships/hyperlink" Target="https://www.sec.gov/Archives/edgar/data/1601830/000119312521112364/d89478dex102.htm" TargetMode="External"/><Relationship Id="rId363" Type="http://schemas.openxmlformats.org/officeDocument/2006/relationships/hyperlink" Target="https://www.sec.gov/Archives/edgar/data/1601830/000160183023000010/exhibit103equityincentivep.htm" TargetMode="External"/><Relationship Id="rId364" Type="http://schemas.openxmlformats.org/officeDocument/2006/relationships/hyperlink" Target="https://www.sec.gov/Archives/edgar/data/1601830/000119312521112364/d89478dex104.htm" TargetMode="External"/><Relationship Id="rId365" Type="http://schemas.openxmlformats.org/officeDocument/2006/relationships/hyperlink" Target="https://www.sec.gov/Archives/edgar/data/1601830/000119312524262126/d895868dex46.htm" TargetMode="External"/><Relationship Id="rId366" Type="http://schemas.openxmlformats.org/officeDocument/2006/relationships/hyperlink" Target="https://www.sec.gov/Archives/edgar/data/1601830/000119312524262126/d895868dex44.htm" TargetMode="External"/><Relationship Id="rId369" Type="http://schemas.openxmlformats.org/officeDocument/2006/relationships/hyperlink" Target="https://www.sec.gov/Archives/edgar/data/1601830/000119312524262126/d895868dex45.htm" TargetMode="External"/><Relationship Id="rId370" Type="http://schemas.openxmlformats.org/officeDocument/2006/relationships/hyperlink" Target="https://www.sec.gov/Archives/edgar/data/1601830/000160183023000038/exhibit44-secondamendedand.htm" TargetMode="External"/><Relationship Id="rId371" Type="http://schemas.openxmlformats.org/officeDocument/2006/relationships/hyperlink" Target="https://www.sec.gov/Archives/edgar/data/1601830/000160183023000029/ex44valenceoptionplan.htm" TargetMode="External"/><Relationship Id="rId372" Type="http://schemas.openxmlformats.org/officeDocument/2006/relationships/hyperlink" Target="https://www.sec.gov/Archives/edgar/data/0001601830/000119312521089610/d89478dex1020.htm" TargetMode="External"/><Relationship Id="rId373" Type="http://schemas.openxmlformats.org/officeDocument/2006/relationships/hyperlink" Target="https://www.sec.gov/Archives/edgar/data/0001601830/000119312521089610/d89478dex1021.htm" TargetMode="External"/><Relationship Id="rId374" Type="http://schemas.openxmlformats.org/officeDocument/2006/relationships/hyperlink" Target="https://www.sec.gov/Archives/edgar/data/0001601830/000119312521089610/d89478dex1010.htm" TargetMode="External"/><Relationship Id="rId375" Type="http://schemas.openxmlformats.org/officeDocument/2006/relationships/hyperlink" Target="https://www.sec.gov/Archives/edgar/data/0001601830/000119312521089610/d89478dex1011.htm" TargetMode="External"/><Relationship Id="rId376" Type="http://schemas.openxmlformats.org/officeDocument/2006/relationships/hyperlink" Target="https://www.sec.gov/Archives/edgar/data/0001601830/000119312521089610/d89478dex105.htm" TargetMode="External"/><Relationship Id="rId377" Type="http://schemas.openxmlformats.org/officeDocument/2006/relationships/hyperlink" Target="https://www.sec.gov/Archives/edgar/data/1601830/000160183024000115/exhibit101-crdoofferletter.htm" TargetMode="External"/><Relationship Id="rId378" Type="http://schemas.openxmlformats.org/officeDocument/2006/relationships/hyperlink" Target="https://www.sec.gov/Archives/edgar/data/0001601830/000119312521089610/d89478dex107.htm" TargetMode="External"/><Relationship Id="rId379" Type="http://schemas.openxmlformats.org/officeDocument/2006/relationships/hyperlink" Target="https://www.sec.gov/Archives/edgar/data/0001601830/000119312521089610/d89478dex108.htm" TargetMode="External"/><Relationship Id="rId380" Type="http://schemas.openxmlformats.org/officeDocument/2006/relationships/hyperlink" Target="https://www.sec.gov/Archives/edgar/data/0001601830/000160183023000057/exhibit101-cmoofferletter.htm" TargetMode="External"/><Relationship Id="rId381" Type="http://schemas.openxmlformats.org/officeDocument/2006/relationships/hyperlink" Target="https://www.sec.gov/Archives/edgar/data/1601830/000119312521112364/d89478dex1022.htm" TargetMode="External"/><Relationship Id="rId382" Type="http://schemas.openxmlformats.org/officeDocument/2006/relationships/hyperlink" Target="https://www.sec.gov/Archives/edgar/data/1601830/000119312521112364/d89478dex1023.htm" TargetMode="External"/><Relationship Id="rId383" Type="http://schemas.openxmlformats.org/officeDocument/2006/relationships/hyperlink" Target="https://www.sec.gov/Archives/edgar/data/1601830/000160183024000052/exhibit101-viraniadvisorya.htm" TargetMode="External"/><Relationship Id="rId384" Type="http://schemas.openxmlformats.org/officeDocument/2006/relationships/hyperlink" Target="https://www.sec.gov/Archives/edgar/data/1601830/000160183024000052/exhibit102-viranitransitio.htm" TargetMode="External"/><Relationship Id="rId385" Type="http://schemas.openxmlformats.org/officeDocument/2006/relationships/hyperlink" Target="https://www.sec.gov/Archives/edgar/data/1601830/000160183023000010/exhibit108-vestarofficel.htm" TargetMode="External"/><Relationship Id="rId386" Type="http://schemas.openxmlformats.org/officeDocument/2006/relationships/hyperlink" Target="https://www.sec.gov/Archives/edgar/data/0001601830/000119312521089610/d89478dex1014.htm" TargetMode="External"/><Relationship Id="rId387" Type="http://schemas.openxmlformats.org/officeDocument/2006/relationships/hyperlink" Target="https://www.sec.gov/Archives/edgar/data/1601830/000160183022000012/exhibit1011-bayercollabora.htm" TargetMode="External"/><Relationship Id="rId388" Type="http://schemas.openxmlformats.org/officeDocument/2006/relationships/hyperlink" Target="https://www.sec.gov/Archives/edgar/data/1601830/000160183024000019/exhibit1021-rxrxxbayeragre.htm" TargetMode="External"/><Relationship Id="rId389" Type="http://schemas.openxmlformats.org/officeDocument/2006/relationships/hyperlink" Target="https://www.sec.gov/Archives/edgar/data/0001601830/000119312521089610/d89478dex1015.htm" TargetMode="External"/><Relationship Id="rId390" Type="http://schemas.openxmlformats.org/officeDocument/2006/relationships/hyperlink" Target="https://www.sec.gov/Archives/edgar/data/0001601830/000119312521089610/d89478dex1016.htm" TargetMode="External"/><Relationship Id="rId391" Type="http://schemas.openxmlformats.org/officeDocument/2006/relationships/hyperlink" Target="https://www.sec.gov/Archives/edgar/data/0001601830/000119312521089610/d89478dex1017.htm" TargetMode="External"/><Relationship Id="rId392" Type="http://schemas.openxmlformats.org/officeDocument/2006/relationships/hyperlink" Target="https://www.sec.gov/Archives/edgar/data/1601830/000160183022000012/exhibit1025-rochecollabora.htm" TargetMode="External"/><Relationship Id="rId393" Type="http://schemas.openxmlformats.org/officeDocument/2006/relationships/hyperlink" Target="https://www.sec.gov/Archives/edgar/data/0001601830/000160183023000069/exhibit104-masteragreement.htm" TargetMode="External"/><Relationship Id="rId395" Type="http://schemas.openxmlformats.org/officeDocument/2006/relationships/hyperlink" Target="https://www.sec.gov/Archives/edgar/data/1601830/000119312522268003/d365090dex101.htm" TargetMode="External"/><Relationship Id="rId396" Type="http://schemas.openxmlformats.org/officeDocument/2006/relationships/hyperlink" Target="https://www.sec.gov/Archives/edgar/data/1601830/000160183023000050/ex101-rxrxnvidiastockpurch.htm" TargetMode="External"/><Relationship Id="rId397" Type="http://schemas.openxmlformats.org/officeDocument/2006/relationships/hyperlink" Target="https://www.sec.gov/Archives/edgar/data/1601830/000119312524196505/d856792dex101.htm" TargetMode="External"/><Relationship Id="rId398" Type="http://schemas.openxmlformats.org/officeDocument/2006/relationships/hyperlink" Target="https://www.sec.gov/Archives/edgar/data/1601830/000119312524196505/d856792dex102.htm" TargetMode="External"/><Relationship Id="rId399" Type="http://schemas.openxmlformats.org/officeDocument/2006/relationships/hyperlink" Target="https://www.sec.gov/Archives/edgar/data/1601830/000119312524196505/d856792dex103.htm" TargetMode="External"/><Relationship Id="rId400" Type="http://schemas.openxmlformats.org/officeDocument/2006/relationships/hyperlink" Target="https://www.sec.gov/Archives/edgar/data/1601830/000160183024000140/exhibit101-agreement.htm" TargetMode="External"/><Relationship Id="rId401" Type="http://schemas.openxmlformats.org/officeDocument/2006/relationships/hyperlink" Target="https://www.sec.gov/ix?doc=/Archives/edgar/data/1601830/000160183024000019/rxr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2025-02-28T06:18:51Z</dcterms:created>
  <dcterms:modified xsi:type="dcterms:W3CDTF">2025-02-28T06:18:51Z</dcterms:modified>
</cp:coreProperties>
</file>